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49BDE">
      <w:pPr>
        <w:autoSpaceDE w:val="0"/>
        <w:autoSpaceDN w:val="0"/>
        <w:spacing w:line="360" w:lineRule="auto"/>
        <w:jc w:val="center"/>
        <w:textAlignment w:val="bottom"/>
        <w:rPr>
          <w:rFonts w:hint="eastAsia" w:ascii="宋体" w:hAnsi="宋体" w:eastAsia="宋体" w:cs="宋体"/>
          <w:b/>
          <w:bCs/>
          <w:spacing w:val="120"/>
          <w:sz w:val="72"/>
          <w:szCs w:val="72"/>
          <w:highlight w:val="none"/>
          <w:lang w:val="en-US" w:eastAsia="zh-CN"/>
        </w:rPr>
      </w:pPr>
    </w:p>
    <w:p w14:paraId="39F9331F">
      <w:pPr>
        <w:autoSpaceDE w:val="0"/>
        <w:autoSpaceDN w:val="0"/>
        <w:spacing w:line="500" w:lineRule="atLeast"/>
        <w:jc w:val="center"/>
        <w:textAlignment w:val="bottom"/>
        <w:rPr>
          <w:rFonts w:hint="eastAsia" w:ascii="宋体" w:hAnsi="宋体" w:eastAsia="宋体" w:cs="宋体"/>
          <w:b/>
          <w:spacing w:val="227"/>
          <w:sz w:val="72"/>
          <w:szCs w:val="72"/>
          <w:highlight w:val="none"/>
        </w:rPr>
      </w:pPr>
      <w:r>
        <w:rPr>
          <w:rFonts w:hint="eastAsia" w:ascii="宋体" w:hAnsi="宋体" w:eastAsia="宋体" w:cs="宋体"/>
          <w:b/>
          <w:spacing w:val="227"/>
          <w:sz w:val="72"/>
          <w:szCs w:val="72"/>
          <w:highlight w:val="none"/>
        </w:rPr>
        <w:t>温州市国有企业</w:t>
      </w:r>
    </w:p>
    <w:p w14:paraId="5E2E8EBA">
      <w:pPr>
        <w:spacing w:line="400" w:lineRule="atLeast"/>
        <w:jc w:val="center"/>
        <w:rPr>
          <w:rFonts w:hint="eastAsia" w:ascii="宋体" w:hAnsi="宋体" w:eastAsia="宋体" w:cs="宋体"/>
          <w:b/>
          <w:sz w:val="52"/>
          <w:szCs w:val="24"/>
          <w:highlight w:val="none"/>
        </w:rPr>
      </w:pPr>
    </w:p>
    <w:p w14:paraId="2FCB8B4D">
      <w:pPr>
        <w:spacing w:line="400" w:lineRule="atLeast"/>
        <w:jc w:val="center"/>
        <w:rPr>
          <w:rFonts w:hint="eastAsia" w:ascii="宋体" w:hAnsi="宋体" w:eastAsia="宋体" w:cs="宋体"/>
          <w:b/>
          <w:sz w:val="52"/>
          <w:szCs w:val="24"/>
          <w:highlight w:val="none"/>
        </w:rPr>
      </w:pPr>
    </w:p>
    <w:p w14:paraId="70DE772A">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430C12C6">
      <w:pPr>
        <w:spacing w:line="400" w:lineRule="exact"/>
        <w:jc w:val="center"/>
        <w:rPr>
          <w:rFonts w:hint="eastAsia" w:ascii="宋体" w:hAnsi="宋体" w:eastAsia="宋体" w:cs="宋体"/>
          <w:b/>
          <w:sz w:val="32"/>
          <w:szCs w:val="24"/>
          <w:highlight w:val="none"/>
        </w:rPr>
      </w:pPr>
    </w:p>
    <w:p w14:paraId="2D0384B1">
      <w:pPr>
        <w:spacing w:line="400" w:lineRule="exact"/>
        <w:jc w:val="center"/>
        <w:rPr>
          <w:rFonts w:hint="eastAsia" w:ascii="宋体" w:hAnsi="宋体" w:eastAsia="宋体" w:cs="宋体"/>
          <w:b/>
          <w:sz w:val="32"/>
          <w:szCs w:val="24"/>
          <w:highlight w:val="none"/>
        </w:rPr>
      </w:pPr>
    </w:p>
    <w:tbl>
      <w:tblPr>
        <w:tblStyle w:val="28"/>
        <w:tblW w:w="0" w:type="auto"/>
        <w:jc w:val="center"/>
        <w:tblLayout w:type="fixed"/>
        <w:tblCellMar>
          <w:top w:w="0" w:type="dxa"/>
          <w:left w:w="108" w:type="dxa"/>
          <w:bottom w:w="0" w:type="dxa"/>
          <w:right w:w="108" w:type="dxa"/>
        </w:tblCellMar>
      </w:tblPr>
      <w:tblGrid>
        <w:gridCol w:w="1751"/>
        <w:gridCol w:w="360"/>
        <w:gridCol w:w="4178"/>
      </w:tblGrid>
      <w:tr w14:paraId="68F5384D">
        <w:tblPrEx>
          <w:tblCellMar>
            <w:top w:w="0" w:type="dxa"/>
            <w:left w:w="108" w:type="dxa"/>
            <w:bottom w:w="0" w:type="dxa"/>
            <w:right w:w="108" w:type="dxa"/>
          </w:tblCellMar>
        </w:tblPrEx>
        <w:trPr>
          <w:trHeight w:val="659" w:hRule="atLeast"/>
          <w:jc w:val="center"/>
        </w:trPr>
        <w:tc>
          <w:tcPr>
            <w:tcW w:w="1751" w:type="dxa"/>
            <w:vAlign w:val="center"/>
          </w:tcPr>
          <w:p w14:paraId="75DCAB08">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3AFD085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178" w:type="dxa"/>
            <w:vAlign w:val="center"/>
          </w:tcPr>
          <w:p w14:paraId="29EA8851">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WGSS-JFJT-X-2025001</w:t>
            </w:r>
          </w:p>
        </w:tc>
      </w:tr>
      <w:tr w14:paraId="27B16D36">
        <w:tblPrEx>
          <w:tblCellMar>
            <w:top w:w="0" w:type="dxa"/>
            <w:left w:w="108" w:type="dxa"/>
            <w:bottom w:w="0" w:type="dxa"/>
            <w:right w:w="108" w:type="dxa"/>
          </w:tblCellMar>
        </w:tblPrEx>
        <w:trPr>
          <w:trHeight w:val="614" w:hRule="atLeast"/>
          <w:jc w:val="center"/>
        </w:trPr>
        <w:tc>
          <w:tcPr>
            <w:tcW w:w="1751" w:type="dxa"/>
            <w:vAlign w:val="center"/>
          </w:tcPr>
          <w:p w14:paraId="20EAD2F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219EC91C">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178" w:type="dxa"/>
            <w:vAlign w:val="center"/>
          </w:tcPr>
          <w:p w14:paraId="31BE9D77">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val="en-US" w:eastAsia="zh-CN"/>
              </w:rPr>
              <w:t>30亿元永续中期票据承销服务</w:t>
            </w:r>
          </w:p>
        </w:tc>
      </w:tr>
      <w:tr w14:paraId="175946A6">
        <w:trPr>
          <w:trHeight w:val="614" w:hRule="atLeast"/>
          <w:jc w:val="center"/>
        </w:trPr>
        <w:tc>
          <w:tcPr>
            <w:tcW w:w="1751" w:type="dxa"/>
            <w:vAlign w:val="center"/>
          </w:tcPr>
          <w:p w14:paraId="2866C81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5E66F110">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178" w:type="dxa"/>
            <w:vAlign w:val="center"/>
          </w:tcPr>
          <w:p w14:paraId="2015329A">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13A7E18E">
      <w:pPr>
        <w:jc w:val="center"/>
        <w:rPr>
          <w:rFonts w:hint="eastAsia" w:ascii="宋体" w:hAnsi="宋体" w:eastAsia="宋体" w:cs="宋体"/>
          <w:b/>
          <w:sz w:val="24"/>
          <w:szCs w:val="24"/>
          <w:highlight w:val="none"/>
        </w:rPr>
      </w:pPr>
    </w:p>
    <w:p w14:paraId="631C637D">
      <w:pPr>
        <w:jc w:val="center"/>
        <w:rPr>
          <w:rFonts w:hint="eastAsia" w:ascii="宋体" w:hAnsi="宋体" w:eastAsia="宋体" w:cs="宋体"/>
          <w:b/>
          <w:sz w:val="24"/>
          <w:szCs w:val="24"/>
          <w:highlight w:val="none"/>
        </w:rPr>
      </w:pPr>
    </w:p>
    <w:p w14:paraId="006B41C4">
      <w:pPr>
        <w:jc w:val="center"/>
        <w:rPr>
          <w:rFonts w:hint="eastAsia" w:ascii="宋体" w:hAnsi="宋体" w:eastAsia="宋体" w:cs="宋体"/>
          <w:b/>
          <w:sz w:val="24"/>
          <w:szCs w:val="24"/>
          <w:highlight w:val="none"/>
        </w:rPr>
      </w:pPr>
    </w:p>
    <w:p w14:paraId="08AF1A42">
      <w:pPr>
        <w:jc w:val="center"/>
        <w:rPr>
          <w:rFonts w:hint="eastAsia" w:ascii="宋体" w:hAnsi="宋体" w:eastAsia="宋体" w:cs="宋体"/>
          <w:b/>
          <w:sz w:val="24"/>
          <w:szCs w:val="24"/>
          <w:highlight w:val="none"/>
        </w:rPr>
      </w:pPr>
    </w:p>
    <w:p w14:paraId="769A5F29">
      <w:pPr>
        <w:jc w:val="center"/>
        <w:rPr>
          <w:rFonts w:hint="eastAsia" w:ascii="宋体" w:hAnsi="宋体" w:eastAsia="宋体" w:cs="宋体"/>
          <w:b/>
          <w:sz w:val="24"/>
          <w:szCs w:val="24"/>
          <w:highlight w:val="none"/>
        </w:rPr>
      </w:pPr>
    </w:p>
    <w:p w14:paraId="2F441743">
      <w:pPr>
        <w:jc w:val="center"/>
        <w:rPr>
          <w:rFonts w:hint="eastAsia" w:ascii="宋体" w:hAnsi="宋体" w:eastAsia="宋体" w:cs="宋体"/>
          <w:b/>
          <w:sz w:val="24"/>
          <w:szCs w:val="24"/>
          <w:highlight w:val="none"/>
        </w:rPr>
      </w:pPr>
    </w:p>
    <w:p w14:paraId="206BE5FC">
      <w:pPr>
        <w:jc w:val="center"/>
        <w:rPr>
          <w:rFonts w:hint="eastAsia" w:ascii="宋体" w:hAnsi="宋体" w:eastAsia="宋体" w:cs="宋体"/>
          <w:b/>
          <w:sz w:val="24"/>
          <w:szCs w:val="24"/>
          <w:highlight w:val="none"/>
        </w:rPr>
      </w:pPr>
    </w:p>
    <w:p w14:paraId="762DD558">
      <w:pPr>
        <w:jc w:val="center"/>
        <w:rPr>
          <w:rFonts w:hint="eastAsia" w:ascii="宋体" w:hAnsi="宋体" w:eastAsia="宋体" w:cs="宋体"/>
          <w:b/>
          <w:sz w:val="24"/>
          <w:szCs w:val="24"/>
          <w:highlight w:val="none"/>
        </w:rPr>
      </w:pPr>
    </w:p>
    <w:p w14:paraId="7BFC7A39">
      <w:pPr>
        <w:jc w:val="center"/>
        <w:rPr>
          <w:rFonts w:hint="eastAsia" w:ascii="宋体" w:hAnsi="宋体" w:eastAsia="宋体" w:cs="宋体"/>
          <w:b/>
          <w:sz w:val="24"/>
          <w:szCs w:val="24"/>
          <w:highlight w:val="none"/>
        </w:rPr>
      </w:pPr>
    </w:p>
    <w:tbl>
      <w:tblPr>
        <w:tblStyle w:val="28"/>
        <w:tblW w:w="0" w:type="auto"/>
        <w:jc w:val="center"/>
        <w:tblLayout w:type="fixed"/>
        <w:tblCellMar>
          <w:top w:w="0" w:type="dxa"/>
          <w:left w:w="108" w:type="dxa"/>
          <w:bottom w:w="0" w:type="dxa"/>
          <w:right w:w="108" w:type="dxa"/>
        </w:tblCellMar>
      </w:tblPr>
      <w:tblGrid>
        <w:gridCol w:w="2199"/>
        <w:gridCol w:w="360"/>
        <w:gridCol w:w="4306"/>
      </w:tblGrid>
      <w:tr w14:paraId="4E151A9D">
        <w:tblPrEx>
          <w:tblCellMar>
            <w:top w:w="0" w:type="dxa"/>
            <w:left w:w="108" w:type="dxa"/>
            <w:bottom w:w="0" w:type="dxa"/>
            <w:right w:w="108" w:type="dxa"/>
          </w:tblCellMar>
        </w:tblPrEx>
        <w:trPr>
          <w:trHeight w:val="614" w:hRule="atLeast"/>
          <w:jc w:val="center"/>
        </w:trPr>
        <w:tc>
          <w:tcPr>
            <w:tcW w:w="2199" w:type="dxa"/>
            <w:vAlign w:val="center"/>
          </w:tcPr>
          <w:p w14:paraId="69D01171">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1F53F4D9">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306" w:type="dxa"/>
            <w:vAlign w:val="center"/>
          </w:tcPr>
          <w:p w14:paraId="087C91FD">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温州市交通发展集团有限公司</w:t>
            </w:r>
          </w:p>
        </w:tc>
      </w:tr>
      <w:tr w14:paraId="1A974473">
        <w:tblPrEx>
          <w:tblCellMar>
            <w:top w:w="0" w:type="dxa"/>
            <w:left w:w="108" w:type="dxa"/>
            <w:bottom w:w="0" w:type="dxa"/>
            <w:right w:w="108" w:type="dxa"/>
          </w:tblCellMar>
        </w:tblPrEx>
        <w:trPr>
          <w:trHeight w:val="614" w:hRule="atLeast"/>
          <w:jc w:val="center"/>
        </w:trPr>
        <w:tc>
          <w:tcPr>
            <w:tcW w:w="2199" w:type="dxa"/>
            <w:vAlign w:val="center"/>
          </w:tcPr>
          <w:p w14:paraId="3FDB4DF4">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7F0E638E">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306" w:type="dxa"/>
            <w:vAlign w:val="center"/>
          </w:tcPr>
          <w:p w14:paraId="56279C93">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浙江国际招投标有限公司</w:t>
            </w:r>
          </w:p>
        </w:tc>
      </w:tr>
    </w:tbl>
    <w:p w14:paraId="13D107C7">
      <w:pPr>
        <w:spacing w:before="120" w:beforeLines="50" w:line="360" w:lineRule="auto"/>
        <w:jc w:val="center"/>
        <w:rPr>
          <w:rFonts w:hint="eastAsia" w:ascii="宋体" w:hAnsi="宋体" w:eastAsia="宋体" w:cs="宋体"/>
          <w:spacing w:val="40"/>
          <w:sz w:val="30"/>
          <w:szCs w:val="30"/>
          <w:highlight w:val="none"/>
          <w:lang w:val="en-US" w:eastAsia="zh-CN"/>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五</w:t>
      </w:r>
      <w:r>
        <w:rPr>
          <w:rFonts w:hint="eastAsia" w:ascii="宋体" w:hAnsi="宋体" w:eastAsia="宋体" w:cs="宋体"/>
          <w:spacing w:val="40"/>
          <w:sz w:val="30"/>
          <w:szCs w:val="30"/>
          <w:highlight w:val="none"/>
        </w:rPr>
        <w:t>年</w:t>
      </w:r>
    </w:p>
    <w:p w14:paraId="46F19D7A">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8E8B3B4">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7BB95159">
      <w:pPr>
        <w:tabs>
          <w:tab w:val="right" w:leader="dot" w:pos="9660"/>
        </w:tabs>
        <w:spacing w:line="480" w:lineRule="auto"/>
        <w:jc w:val="center"/>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16A45DF1">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温州市交通发展集团有限公司</w:t>
      </w:r>
      <w:r>
        <w:rPr>
          <w:rFonts w:hint="eastAsia" w:ascii="宋体" w:hAnsi="宋体" w:eastAsia="宋体" w:cs="宋体"/>
          <w:snapToGrid w:val="0"/>
          <w:spacing w:val="-20"/>
          <w:kern w:val="0"/>
          <w:szCs w:val="24"/>
          <w:highlight w:val="none"/>
          <w:u w:val="single"/>
        </w:rPr>
        <w:t>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val="en-US" w:eastAsia="zh-CN"/>
        </w:rPr>
        <w:t>30亿元永续中期票据承销服务</w:t>
      </w:r>
      <w:r>
        <w:rPr>
          <w:rFonts w:hint="eastAsia" w:ascii="宋体" w:hAnsi="宋体" w:eastAsia="宋体" w:cs="宋体"/>
          <w:snapToGrid w:val="0"/>
          <w:spacing w:val="-20"/>
          <w:kern w:val="0"/>
          <w:szCs w:val="24"/>
          <w:highlight w:val="none"/>
          <w:u w:val="single"/>
        </w:rPr>
        <w:t>项目的采购公告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14:paraId="2D6E0BE6">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温州市交通发展集团有限公司</w:t>
      </w:r>
      <w:r>
        <w:rPr>
          <w:rFonts w:hint="eastAsia" w:ascii="宋体" w:hAnsi="宋体" w:eastAsia="宋体" w:cs="宋体"/>
          <w:spacing w:val="-20"/>
          <w:szCs w:val="24"/>
          <w:highlight w:val="none"/>
          <w:u w:val="single"/>
        </w:rPr>
        <w:t>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val="en-US" w:eastAsia="zh-CN"/>
        </w:rPr>
        <w:t>30亿元永续中期票据承销服务</w:t>
      </w:r>
      <w:r>
        <w:rPr>
          <w:rFonts w:hint="eastAsia" w:ascii="宋体" w:hAnsi="宋体" w:eastAsia="宋体" w:cs="宋体"/>
          <w:spacing w:val="-20"/>
          <w:szCs w:val="24"/>
          <w:highlight w:val="none"/>
          <w:u w:val="single"/>
        </w:rPr>
        <w:t>项目征求意见公示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rPr>
        <w:t>5</w:t>
      </w:r>
      <w:r>
        <w:rPr>
          <w:rFonts w:hint="eastAsia" w:ascii="宋体" w:hAnsi="宋体" w:eastAsia="宋体" w:cs="宋体"/>
          <w:spacing w:val="-20"/>
          <w:szCs w:val="24"/>
          <w:highlight w:val="none"/>
          <w:u w:val="single"/>
        </w:rPr>
        <w:fldChar w:fldCharType="end"/>
      </w:r>
    </w:p>
    <w:p w14:paraId="11C11056">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28049E1D">
      <w:pPr>
        <w:tabs>
          <w:tab w:val="right" w:leader="dot" w:pos="9660"/>
        </w:tabs>
        <w:spacing w:line="480" w:lineRule="auto"/>
        <w:rPr>
          <w:rFonts w:hint="eastAsia" w:ascii="宋体" w:hAnsi="宋体" w:eastAsia="宋体" w:cs="宋体"/>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17</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14:paraId="2F4C4E63">
      <w:pPr>
        <w:tabs>
          <w:tab w:val="right" w:leader="dot" w:pos="9660"/>
        </w:tabs>
        <w:spacing w:line="480" w:lineRule="auto"/>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24</w:t>
      </w:r>
    </w:p>
    <w:p w14:paraId="7023DDD4">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39</w:t>
      </w:r>
    </w:p>
    <w:p w14:paraId="4E003098">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42</w:t>
      </w:r>
    </w:p>
    <w:p w14:paraId="76A4724C">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同时加下划线的条款，为采购文件的实质性要求和条件，着重提醒各投标人注意（不响应“▲”同时加下划线条款的作无效标处理），并认真查看采购文件中的每一个条款及要求，因误读采购文件而造成的后果，采购人概不负责。</w:t>
      </w:r>
    </w:p>
    <w:p w14:paraId="76696BDB">
      <w:pPr>
        <w:jc w:val="center"/>
        <w:rPr>
          <w:rFonts w:hint="eastAsia" w:ascii="宋体" w:hAnsi="宋体" w:eastAsia="宋体" w:cs="宋体"/>
          <w:b/>
          <w:bCs/>
          <w:sz w:val="28"/>
          <w:szCs w:val="28"/>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8"/>
          <w:szCs w:val="28"/>
          <w:highlight w:val="none"/>
          <w:lang w:eastAsia="zh-CN"/>
        </w:rPr>
        <w:t>温州市交通发展集团有限公司</w:t>
      </w:r>
      <w:r>
        <w:rPr>
          <w:rFonts w:hint="eastAsia" w:ascii="宋体" w:hAnsi="宋体" w:eastAsia="宋体" w:cs="宋体"/>
          <w:b/>
          <w:bCs/>
          <w:sz w:val="28"/>
          <w:szCs w:val="28"/>
          <w:highlight w:val="none"/>
        </w:rPr>
        <w:t>关于</w:t>
      </w:r>
      <w:r>
        <w:rPr>
          <w:rFonts w:hint="eastAsia" w:ascii="宋体" w:hAnsi="宋体" w:eastAsia="宋体" w:cs="宋体"/>
          <w:b/>
          <w:bCs/>
          <w:sz w:val="28"/>
          <w:szCs w:val="28"/>
          <w:highlight w:val="none"/>
          <w:lang w:val="en-US" w:eastAsia="zh-CN"/>
        </w:rPr>
        <w:t>30亿元永续中期票据承销服务</w:t>
      </w:r>
      <w:r>
        <w:rPr>
          <w:rFonts w:hint="eastAsia" w:ascii="宋体" w:hAnsi="宋体" w:eastAsia="宋体" w:cs="宋体"/>
          <w:b/>
          <w:bCs/>
          <w:sz w:val="28"/>
          <w:szCs w:val="28"/>
          <w:highlight w:val="none"/>
        </w:rPr>
        <w:t>项目的采购公告</w:t>
      </w:r>
    </w:p>
    <w:p w14:paraId="1CEB8EFD">
      <w:pPr>
        <w:widowControl/>
        <w:spacing w:before="60" w:after="60" w:line="280" w:lineRule="exact"/>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根据《温州市市属国有企业采购管理办法》（温国资委【2024】51号）等有关规定，浙江国际招投标有限公司受</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的委托，就</w:t>
      </w:r>
      <w:r>
        <w:rPr>
          <w:rFonts w:hint="eastAsia" w:ascii="宋体" w:hAnsi="宋体" w:eastAsia="宋体" w:cs="宋体"/>
          <w:highlight w:val="none"/>
          <w:lang w:val="en-US" w:eastAsia="zh-CN"/>
        </w:rPr>
        <w:t>30亿元永续中期票据承销服务</w:t>
      </w:r>
      <w:r>
        <w:rPr>
          <w:rFonts w:hint="eastAsia" w:ascii="宋体" w:hAnsi="宋体" w:eastAsia="宋体" w:cs="宋体"/>
          <w:highlight w:val="none"/>
        </w:rPr>
        <w:t>项目以公开招标方式进行国企采购，欢迎国内合格的投标人前来投标。</w:t>
      </w:r>
    </w:p>
    <w:p w14:paraId="186B9E76">
      <w:pPr>
        <w:widowControl/>
        <w:spacing w:before="60" w:after="60" w:line="280" w:lineRule="exact"/>
        <w:ind w:right="60"/>
        <w:jc w:val="left"/>
        <w:rPr>
          <w:rFonts w:hint="eastAsia" w:ascii="宋体" w:hAnsi="宋体" w:eastAsia="宋体" w:cs="宋体"/>
          <w:bCs/>
          <w:kern w:val="0"/>
          <w:szCs w:val="21"/>
          <w:highlight w:val="none"/>
          <w:lang w:eastAsia="zh-CN"/>
        </w:rPr>
      </w:pPr>
      <w:r>
        <w:rPr>
          <w:rFonts w:hint="eastAsia" w:ascii="宋体" w:hAnsi="宋体" w:eastAsia="宋体" w:cs="宋体"/>
          <w:b/>
          <w:bCs w:val="0"/>
          <w:kern w:val="0"/>
          <w:szCs w:val="21"/>
          <w:highlight w:val="none"/>
        </w:rPr>
        <w:t>一、项目编号：</w:t>
      </w:r>
      <w:r>
        <w:rPr>
          <w:rFonts w:hint="eastAsia" w:ascii="宋体" w:hAnsi="宋体" w:eastAsia="宋体" w:cs="宋体"/>
          <w:bCs/>
          <w:kern w:val="0"/>
          <w:szCs w:val="21"/>
          <w:highlight w:val="none"/>
          <w:lang w:eastAsia="zh-CN"/>
        </w:rPr>
        <w:t>WGSS-JFJT-X-2025001</w:t>
      </w:r>
    </w:p>
    <w:p w14:paraId="24C6E968">
      <w:pPr>
        <w:widowControl/>
        <w:spacing w:before="60" w:after="60" w:line="280" w:lineRule="exact"/>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rPr>
        <w:t>二、项目名称：</w:t>
      </w:r>
      <w:r>
        <w:rPr>
          <w:rFonts w:hint="eastAsia" w:ascii="宋体" w:hAnsi="宋体" w:eastAsia="宋体" w:cs="宋体"/>
          <w:bCs/>
          <w:color w:val="auto"/>
          <w:kern w:val="0"/>
          <w:szCs w:val="21"/>
          <w:highlight w:val="none"/>
          <w:lang w:eastAsia="zh-CN"/>
        </w:rPr>
        <w:t>30亿元永续中期票据承销服务</w:t>
      </w:r>
    </w:p>
    <w:p w14:paraId="3B19B9A5">
      <w:pPr>
        <w:widowControl/>
        <w:spacing w:before="60" w:after="60" w:line="280" w:lineRule="exact"/>
        <w:ind w:right="60"/>
        <w:jc w:val="left"/>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rPr>
        <w:t>三、项目性质：</w:t>
      </w:r>
      <w:r>
        <w:rPr>
          <w:rFonts w:hint="eastAsia" w:ascii="宋体" w:hAnsi="宋体" w:eastAsia="宋体" w:cs="宋体"/>
          <w:bCs/>
          <w:color w:val="auto"/>
          <w:kern w:val="0"/>
          <w:szCs w:val="21"/>
          <w:highlight w:val="none"/>
        </w:rPr>
        <w:t>国企采购（非政府采购）</w:t>
      </w:r>
    </w:p>
    <w:p w14:paraId="0CE50BF2">
      <w:pPr>
        <w:widowControl/>
        <w:spacing w:before="60" w:after="60" w:line="280" w:lineRule="exact"/>
        <w:ind w:right="60"/>
        <w:jc w:val="left"/>
        <w:rPr>
          <w:rFonts w:hint="eastAsia" w:ascii="宋体" w:hAnsi="宋体" w:eastAsia="宋体" w:cs="宋体"/>
          <w:strike w:val="0"/>
          <w:color w:val="auto"/>
          <w:highlight w:val="none"/>
        </w:rPr>
      </w:pPr>
      <w:r>
        <w:rPr>
          <w:rFonts w:hint="eastAsia" w:ascii="宋体" w:hAnsi="宋体" w:eastAsia="宋体" w:cs="宋体"/>
          <w:b/>
          <w:bCs w:val="0"/>
          <w:strike w:val="0"/>
          <w:color w:val="auto"/>
          <w:kern w:val="0"/>
          <w:szCs w:val="21"/>
          <w:highlight w:val="none"/>
          <w:lang w:val="en-US" w:eastAsia="zh-CN"/>
        </w:rPr>
        <w:t>四、</w:t>
      </w:r>
      <w:r>
        <w:rPr>
          <w:rFonts w:hint="eastAsia" w:ascii="宋体" w:hAnsi="宋体" w:eastAsia="宋体" w:cs="宋体"/>
          <w:b/>
          <w:bCs w:val="0"/>
          <w:strike w:val="0"/>
          <w:color w:val="auto"/>
          <w:kern w:val="0"/>
          <w:szCs w:val="21"/>
          <w:highlight w:val="none"/>
        </w:rPr>
        <w:t>采购内容（内容、用途、数量、简要技术要求等）：</w:t>
      </w:r>
    </w:p>
    <w:tbl>
      <w:tblPr>
        <w:tblStyle w:val="2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10"/>
        <w:gridCol w:w="449"/>
        <w:gridCol w:w="473"/>
        <w:gridCol w:w="1103"/>
        <w:gridCol w:w="1280"/>
        <w:gridCol w:w="4032"/>
      </w:tblGrid>
      <w:tr w14:paraId="36CA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Mar>
              <w:top w:w="0" w:type="dxa"/>
              <w:left w:w="108" w:type="dxa"/>
              <w:bottom w:w="0" w:type="dxa"/>
              <w:right w:w="108" w:type="dxa"/>
            </w:tcMar>
            <w:vAlign w:val="center"/>
          </w:tcPr>
          <w:p w14:paraId="6113D6D0">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序</w:t>
            </w:r>
            <w:r>
              <w:rPr>
                <w:rFonts w:hint="eastAsia" w:ascii="宋体" w:hAnsi="宋体" w:eastAsia="宋体" w:cs="宋体"/>
                <w:b/>
                <w:color w:val="auto"/>
                <w:kern w:val="0"/>
                <w:sz w:val="18"/>
                <w:szCs w:val="18"/>
                <w:highlight w:val="none"/>
              </w:rPr>
              <w:t>号</w:t>
            </w:r>
          </w:p>
        </w:tc>
        <w:tc>
          <w:tcPr>
            <w:tcW w:w="1210" w:type="dxa"/>
            <w:tcMar>
              <w:top w:w="0" w:type="dxa"/>
              <w:left w:w="108" w:type="dxa"/>
              <w:bottom w:w="0" w:type="dxa"/>
              <w:right w:w="108" w:type="dxa"/>
            </w:tcMar>
            <w:vAlign w:val="center"/>
          </w:tcPr>
          <w:p w14:paraId="4525B8E7">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标项</w:t>
            </w:r>
            <w:r>
              <w:rPr>
                <w:rFonts w:hint="eastAsia" w:ascii="宋体" w:hAnsi="宋体" w:eastAsia="宋体" w:cs="宋体"/>
                <w:b/>
                <w:color w:val="auto"/>
                <w:kern w:val="0"/>
                <w:sz w:val="18"/>
                <w:szCs w:val="18"/>
                <w:highlight w:val="none"/>
              </w:rPr>
              <w:t>名称</w:t>
            </w:r>
          </w:p>
        </w:tc>
        <w:tc>
          <w:tcPr>
            <w:tcW w:w="449" w:type="dxa"/>
            <w:tcMar>
              <w:top w:w="0" w:type="dxa"/>
              <w:left w:w="108" w:type="dxa"/>
              <w:bottom w:w="0" w:type="dxa"/>
              <w:right w:w="108" w:type="dxa"/>
            </w:tcMar>
            <w:vAlign w:val="center"/>
          </w:tcPr>
          <w:p w14:paraId="4042F3B1">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p>
        </w:tc>
        <w:tc>
          <w:tcPr>
            <w:tcW w:w="473" w:type="dxa"/>
            <w:tcMar>
              <w:top w:w="0" w:type="dxa"/>
              <w:left w:w="108" w:type="dxa"/>
              <w:bottom w:w="0" w:type="dxa"/>
              <w:right w:w="108" w:type="dxa"/>
            </w:tcMar>
            <w:vAlign w:val="center"/>
          </w:tcPr>
          <w:p w14:paraId="293F7536">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单位</w:t>
            </w:r>
          </w:p>
        </w:tc>
        <w:tc>
          <w:tcPr>
            <w:tcW w:w="1103" w:type="dxa"/>
            <w:tcMar>
              <w:top w:w="0" w:type="dxa"/>
              <w:left w:w="108" w:type="dxa"/>
              <w:bottom w:w="0" w:type="dxa"/>
              <w:right w:w="108" w:type="dxa"/>
            </w:tcMar>
            <w:vAlign w:val="center"/>
          </w:tcPr>
          <w:p w14:paraId="4F993FE2">
            <w:pPr>
              <w:widowControl/>
              <w:spacing w:before="60" w:after="60" w:line="240" w:lineRule="exact"/>
              <w:ind w:left="60" w:right="60"/>
              <w:jc w:val="center"/>
              <w:rPr>
                <w:rFonts w:hint="eastAsia" w:ascii="宋体" w:hAnsi="宋体" w:eastAsia="宋体" w:cs="宋体"/>
                <w:b/>
                <w:strike w:val="0"/>
                <w:color w:val="auto"/>
                <w:kern w:val="0"/>
                <w:sz w:val="18"/>
                <w:szCs w:val="18"/>
                <w:highlight w:val="none"/>
                <w:lang w:val="en-US" w:eastAsia="zh-CN"/>
              </w:rPr>
            </w:pPr>
            <w:r>
              <w:rPr>
                <w:rFonts w:hint="eastAsia" w:ascii="宋体" w:hAnsi="宋体" w:eastAsia="宋体" w:cs="宋体"/>
                <w:b/>
                <w:strike w:val="0"/>
                <w:color w:val="auto"/>
                <w:kern w:val="0"/>
                <w:sz w:val="18"/>
                <w:szCs w:val="18"/>
                <w:highlight w:val="none"/>
                <w:lang w:val="en-US" w:eastAsia="zh-CN"/>
              </w:rPr>
              <w:t>标项</w:t>
            </w:r>
            <w:r>
              <w:rPr>
                <w:rFonts w:hint="eastAsia" w:ascii="宋体" w:hAnsi="宋体" w:eastAsia="宋体" w:cs="宋体"/>
                <w:b/>
                <w:strike w:val="0"/>
                <w:color w:val="auto"/>
                <w:kern w:val="0"/>
                <w:sz w:val="18"/>
                <w:szCs w:val="18"/>
                <w:highlight w:val="none"/>
              </w:rPr>
              <w:t>预算金额（万元</w:t>
            </w:r>
            <w:r>
              <w:rPr>
                <w:rFonts w:hint="eastAsia" w:ascii="宋体" w:hAnsi="宋体" w:eastAsia="宋体" w:cs="宋体"/>
                <w:b/>
                <w:strike w:val="0"/>
                <w:color w:val="auto"/>
                <w:kern w:val="0"/>
                <w:sz w:val="18"/>
                <w:szCs w:val="18"/>
                <w:highlight w:val="none"/>
                <w:lang w:val="en-US" w:eastAsia="zh-CN"/>
              </w:rPr>
              <w:t>/年</w:t>
            </w:r>
            <w:r>
              <w:rPr>
                <w:rFonts w:hint="eastAsia" w:ascii="宋体" w:hAnsi="宋体" w:eastAsia="宋体" w:cs="宋体"/>
                <w:b/>
                <w:strike w:val="0"/>
                <w:color w:val="auto"/>
                <w:kern w:val="0"/>
                <w:sz w:val="18"/>
                <w:szCs w:val="18"/>
                <w:highlight w:val="none"/>
              </w:rPr>
              <w:t>）</w:t>
            </w:r>
          </w:p>
        </w:tc>
        <w:tc>
          <w:tcPr>
            <w:tcW w:w="1280" w:type="dxa"/>
            <w:tcMar>
              <w:top w:w="0" w:type="dxa"/>
              <w:left w:w="108" w:type="dxa"/>
              <w:bottom w:w="0" w:type="dxa"/>
              <w:right w:w="108" w:type="dxa"/>
            </w:tcMar>
            <w:vAlign w:val="center"/>
          </w:tcPr>
          <w:p w14:paraId="1683D7D1">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年承销费率最高限价</w:t>
            </w:r>
          </w:p>
        </w:tc>
        <w:tc>
          <w:tcPr>
            <w:tcW w:w="4032" w:type="dxa"/>
            <w:tcMar>
              <w:top w:w="0" w:type="dxa"/>
              <w:left w:w="108" w:type="dxa"/>
              <w:bottom w:w="0" w:type="dxa"/>
              <w:right w:w="108" w:type="dxa"/>
            </w:tcMar>
            <w:vAlign w:val="center"/>
          </w:tcPr>
          <w:p w14:paraId="59F5095D">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1E4F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Mar>
              <w:top w:w="0" w:type="dxa"/>
              <w:left w:w="108" w:type="dxa"/>
              <w:bottom w:w="0" w:type="dxa"/>
              <w:right w:w="108" w:type="dxa"/>
            </w:tcMar>
            <w:vAlign w:val="center"/>
          </w:tcPr>
          <w:p w14:paraId="3FA492A7">
            <w:pPr>
              <w:widowControl/>
              <w:spacing w:before="60" w:after="60" w:line="240" w:lineRule="exact"/>
              <w:jc w:val="center"/>
              <w:rPr>
                <w:rFonts w:hint="default"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1</w:t>
            </w:r>
          </w:p>
        </w:tc>
        <w:tc>
          <w:tcPr>
            <w:tcW w:w="1210" w:type="dxa"/>
            <w:tcMar>
              <w:top w:w="0" w:type="dxa"/>
              <w:left w:w="108" w:type="dxa"/>
              <w:bottom w:w="0" w:type="dxa"/>
              <w:right w:w="108" w:type="dxa"/>
            </w:tcMar>
            <w:vAlign w:val="center"/>
          </w:tcPr>
          <w:p w14:paraId="0E2BBB83">
            <w:pPr>
              <w:widowControl/>
              <w:spacing w:before="60" w:after="60" w:line="240" w:lineRule="exact"/>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SA"/>
              </w:rPr>
              <w:t>30亿元永续中期票据承销服务</w:t>
            </w:r>
          </w:p>
        </w:tc>
        <w:tc>
          <w:tcPr>
            <w:tcW w:w="449" w:type="dxa"/>
            <w:tcMar>
              <w:top w:w="0" w:type="dxa"/>
              <w:left w:w="108" w:type="dxa"/>
              <w:bottom w:w="0" w:type="dxa"/>
              <w:right w:w="108" w:type="dxa"/>
            </w:tcMar>
            <w:vAlign w:val="center"/>
          </w:tcPr>
          <w:p w14:paraId="5C15C992">
            <w:pPr>
              <w:widowControl/>
              <w:spacing w:before="60" w:after="60" w:line="240" w:lineRule="exact"/>
              <w:jc w:val="center"/>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rPr>
              <w:t>1</w:t>
            </w:r>
          </w:p>
        </w:tc>
        <w:tc>
          <w:tcPr>
            <w:tcW w:w="473" w:type="dxa"/>
            <w:tcMar>
              <w:top w:w="0" w:type="dxa"/>
              <w:left w:w="108" w:type="dxa"/>
              <w:bottom w:w="0" w:type="dxa"/>
              <w:right w:w="108" w:type="dxa"/>
            </w:tcMar>
            <w:vAlign w:val="center"/>
          </w:tcPr>
          <w:p w14:paraId="422B8C42">
            <w:pPr>
              <w:widowControl/>
              <w:spacing w:before="60" w:after="60" w:line="24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项</w:t>
            </w:r>
          </w:p>
        </w:tc>
        <w:tc>
          <w:tcPr>
            <w:tcW w:w="1103" w:type="dxa"/>
            <w:tcMar>
              <w:top w:w="0" w:type="dxa"/>
              <w:left w:w="108" w:type="dxa"/>
              <w:bottom w:w="0" w:type="dxa"/>
              <w:right w:w="108" w:type="dxa"/>
            </w:tcMar>
            <w:vAlign w:val="center"/>
          </w:tcPr>
          <w:p w14:paraId="1F218F9E">
            <w:pPr>
              <w:widowControl/>
              <w:spacing w:before="60" w:after="60" w:line="240" w:lineRule="exact"/>
              <w:jc w:val="center"/>
              <w:rPr>
                <w:rFonts w:hint="default" w:ascii="宋体" w:hAnsi="宋体" w:eastAsia="宋体" w:cs="宋体"/>
                <w:bCs/>
                <w:strike w:val="0"/>
                <w:color w:val="auto"/>
                <w:kern w:val="0"/>
                <w:sz w:val="18"/>
                <w:szCs w:val="18"/>
                <w:highlight w:val="none"/>
                <w:lang w:val="en-US" w:eastAsia="zh-CN" w:bidi="ar-SA"/>
              </w:rPr>
            </w:pPr>
            <w:r>
              <w:rPr>
                <w:rFonts w:hint="eastAsia" w:ascii="宋体" w:hAnsi="宋体" w:eastAsia="宋体" w:cs="宋体"/>
                <w:bCs/>
                <w:strike w:val="0"/>
                <w:color w:val="auto"/>
                <w:kern w:val="0"/>
                <w:sz w:val="18"/>
                <w:szCs w:val="18"/>
                <w:highlight w:val="none"/>
                <w:lang w:val="en-US" w:eastAsia="zh-CN" w:bidi="ar-SA"/>
              </w:rPr>
              <w:t>240</w:t>
            </w:r>
          </w:p>
        </w:tc>
        <w:tc>
          <w:tcPr>
            <w:tcW w:w="1280" w:type="dxa"/>
            <w:tcMar>
              <w:top w:w="0" w:type="dxa"/>
              <w:left w:w="108" w:type="dxa"/>
              <w:bottom w:w="0" w:type="dxa"/>
              <w:right w:w="108" w:type="dxa"/>
            </w:tcMar>
            <w:vAlign w:val="center"/>
          </w:tcPr>
          <w:p w14:paraId="05B3EBC1">
            <w:pPr>
              <w:widowControl/>
              <w:spacing w:before="60" w:after="60" w:line="240" w:lineRule="exact"/>
              <w:ind w:left="60" w:right="60"/>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kern w:val="0"/>
                <w:sz w:val="18"/>
                <w:szCs w:val="18"/>
                <w:highlight w:val="none"/>
                <w:lang w:eastAsia="zh-CN"/>
              </w:rPr>
              <w:t>0.08%（即8BP）</w:t>
            </w:r>
          </w:p>
        </w:tc>
        <w:tc>
          <w:tcPr>
            <w:tcW w:w="4032" w:type="dxa"/>
            <w:tcMar>
              <w:top w:w="0" w:type="dxa"/>
              <w:left w:w="108" w:type="dxa"/>
              <w:bottom w:w="0" w:type="dxa"/>
              <w:right w:w="108" w:type="dxa"/>
            </w:tcMar>
            <w:vAlign w:val="center"/>
          </w:tcPr>
          <w:p w14:paraId="45B265BC">
            <w:pPr>
              <w:widowControl/>
              <w:spacing w:before="60" w:after="60"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拟注册发行不超过30亿元的永续中期票据，注册基础期限不超过3年（不超过3+N），结合市场情况分期发行，本项目选取最多不超过5名中标人，具体详见采购文件第四部分。</w:t>
            </w:r>
          </w:p>
        </w:tc>
      </w:tr>
    </w:tbl>
    <w:p w14:paraId="5070A671">
      <w:pPr>
        <w:widowControl/>
        <w:spacing w:before="60" w:after="60" w:line="280" w:lineRule="exact"/>
        <w:ind w:right="60"/>
        <w:jc w:val="left"/>
        <w:rPr>
          <w:rFonts w:hint="eastAsia" w:ascii="宋体" w:hAnsi="宋体" w:eastAsia="宋体" w:cs="宋体"/>
          <w:b/>
          <w:bCs w:val="0"/>
          <w:color w:val="auto"/>
          <w:kern w:val="0"/>
          <w:szCs w:val="21"/>
          <w:highlight w:val="none"/>
        </w:rPr>
      </w:pPr>
      <w:bookmarkStart w:id="3" w:name="B09_招标内容"/>
      <w:bookmarkEnd w:id="3"/>
      <w:r>
        <w:rPr>
          <w:rFonts w:hint="eastAsia" w:ascii="宋体" w:hAnsi="宋体" w:eastAsia="宋体" w:cs="宋体"/>
          <w:b/>
          <w:bCs w:val="0"/>
          <w:color w:val="auto"/>
          <w:kern w:val="0"/>
          <w:szCs w:val="21"/>
          <w:highlight w:val="none"/>
        </w:rPr>
        <w:t>五、投标人资格要求：</w:t>
      </w:r>
    </w:p>
    <w:p w14:paraId="1F3DAAF9">
      <w:pPr>
        <w:widowControl/>
        <w:spacing w:line="280" w:lineRule="exact"/>
        <w:ind w:firstLine="420" w:firstLineChars="200"/>
        <w:jc w:val="lef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符合《</w:t>
      </w:r>
      <w:r>
        <w:rPr>
          <w:rFonts w:hint="eastAsia" w:ascii="宋体" w:hAnsi="宋体" w:eastAsia="宋体" w:cs="宋体"/>
          <w:kern w:val="0"/>
          <w:szCs w:val="21"/>
          <w:highlight w:val="none"/>
          <w:lang w:eastAsia="zh-CN"/>
        </w:rPr>
        <w:t>温州市市属国有企业采购管理办法</w:t>
      </w:r>
      <w:r>
        <w:rPr>
          <w:rFonts w:hint="eastAsia" w:ascii="宋体" w:hAnsi="宋体" w:eastAsia="宋体" w:cs="宋体"/>
          <w:kern w:val="0"/>
          <w:szCs w:val="21"/>
          <w:highlight w:val="none"/>
        </w:rPr>
        <w:t>》</w:t>
      </w:r>
      <w:r>
        <w:rPr>
          <w:rFonts w:hint="eastAsia" w:ascii="宋体" w:hAnsi="宋体" w:eastAsia="宋体" w:cs="宋体"/>
          <w:kern w:val="0"/>
          <w:szCs w:val="21"/>
          <w:highlight w:val="none"/>
          <w:shd w:val="clear" w:color="auto" w:fill="auto"/>
          <w:lang w:eastAsia="zh-CN"/>
        </w:rPr>
        <w:t>（温国资委〔2024〕第51号）第十八条</w:t>
      </w:r>
      <w:r>
        <w:rPr>
          <w:rFonts w:hint="eastAsia" w:ascii="宋体" w:hAnsi="宋体" w:eastAsia="宋体" w:cs="宋体"/>
          <w:kern w:val="0"/>
          <w:szCs w:val="21"/>
          <w:highlight w:val="none"/>
          <w:shd w:val="clear" w:color="auto" w:fill="auto"/>
        </w:rPr>
        <w:t>对投标人参加温州市国有企业采购活动应当具备的基本资格条件；</w:t>
      </w:r>
    </w:p>
    <w:p w14:paraId="0C502C72">
      <w:pPr>
        <w:widowControl/>
        <w:spacing w:line="2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具有中国银行间市场交易商协会认定的主承销资（如投标人为全国性企业所设立的区域性分支机构的，则提交总公司的相关债券承销业务的资格证明文件，同时提供总公司（总机构）授权文件或提供省级机构（一级机构）授权文件）；</w:t>
      </w:r>
    </w:p>
    <w:p w14:paraId="7E342F22">
      <w:pPr>
        <w:widowControl/>
        <w:spacing w:line="2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3、截至投标截止时间，</w:t>
      </w:r>
      <w:r>
        <w:rPr>
          <w:rFonts w:hint="eastAsia" w:ascii="宋体" w:hAnsi="宋体" w:eastAsia="宋体" w:cs="宋体"/>
          <w:szCs w:val="21"/>
          <w:highlight w:val="none"/>
        </w:rPr>
        <w:t>投标人未被“信用中国”网(www.creditchina.gov.cn)列入失信被执行人、重大税收违法案件失信主体名单；</w:t>
      </w:r>
    </w:p>
    <w:p w14:paraId="6FFAA2BD">
      <w:pPr>
        <w:widowControl/>
        <w:spacing w:line="2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，不得同时参加本项目投标活动，</w:t>
      </w:r>
      <w:r>
        <w:rPr>
          <w:rFonts w:hint="eastAsia" w:ascii="宋体" w:hAnsi="宋体" w:eastAsia="宋体" w:cs="宋体"/>
          <w:color w:val="auto"/>
          <w:kern w:val="0"/>
          <w:szCs w:val="21"/>
          <w:highlight w:val="none"/>
        </w:rPr>
        <w:t>违反该款规定的，相关投标均无效；</w:t>
      </w:r>
    </w:p>
    <w:p w14:paraId="64C76AEC">
      <w:pPr>
        <w:widowControl/>
        <w:spacing w:before="0" w:after="0" w:line="280" w:lineRule="exact"/>
        <w:ind w:right="0" w:firstLine="420" w:firstLineChars="200"/>
        <w:jc w:val="left"/>
        <w:rPr>
          <w:rFonts w:hint="default" w:ascii="宋体" w:hAnsi="宋体" w:eastAsia="宋体" w:cs="宋体"/>
          <w:bCs w:val="0"/>
          <w:color w:val="auto"/>
          <w:kern w:val="2"/>
          <w:szCs w:val="21"/>
          <w:highlight w:val="none"/>
          <w:lang w:val="en-US" w:eastAsia="zh-CN"/>
        </w:rPr>
      </w:pPr>
      <w:r>
        <w:rPr>
          <w:rFonts w:hint="eastAsia" w:ascii="宋体" w:hAnsi="宋体" w:eastAsia="宋体" w:cs="宋体"/>
          <w:color w:val="auto"/>
          <w:szCs w:val="21"/>
          <w:highlight w:val="none"/>
          <w:lang w:eastAsia="zh-CN"/>
        </w:rPr>
        <w:t>5、本</w:t>
      </w:r>
      <w:r>
        <w:rPr>
          <w:rFonts w:hint="eastAsia" w:ascii="宋体" w:hAnsi="宋体" w:eastAsia="宋体" w:cs="宋体"/>
          <w:color w:val="auto"/>
          <w:szCs w:val="21"/>
          <w:highlight w:val="none"/>
          <w:lang w:val="en-US" w:eastAsia="zh-CN"/>
        </w:rPr>
        <w:t>项目不</w:t>
      </w:r>
      <w:r>
        <w:rPr>
          <w:rFonts w:hint="eastAsia" w:ascii="宋体" w:hAnsi="宋体" w:eastAsia="宋体" w:cs="宋体"/>
          <w:color w:val="auto"/>
          <w:szCs w:val="21"/>
          <w:highlight w:val="none"/>
          <w:lang w:eastAsia="zh-CN"/>
        </w:rPr>
        <w:t>接受联合体投标。</w:t>
      </w:r>
    </w:p>
    <w:p w14:paraId="5505CB49">
      <w:pPr>
        <w:widowControl/>
        <w:spacing w:before="60" w:after="60" w:line="280" w:lineRule="exact"/>
        <w:ind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六、</w:t>
      </w:r>
      <w:r>
        <w:rPr>
          <w:rFonts w:hint="eastAsia" w:ascii="宋体" w:hAnsi="宋体" w:eastAsia="宋体" w:cs="宋体"/>
          <w:b/>
          <w:bCs w:val="0"/>
          <w:kern w:val="0"/>
          <w:szCs w:val="21"/>
          <w:highlight w:val="none"/>
          <w:lang w:val="en-US" w:eastAsia="zh-CN"/>
        </w:rPr>
        <w:t>获取</w:t>
      </w:r>
      <w:r>
        <w:rPr>
          <w:rFonts w:hint="eastAsia" w:ascii="宋体" w:hAnsi="宋体" w:eastAsia="宋体" w:cs="宋体"/>
          <w:b/>
          <w:bCs w:val="0"/>
          <w:kern w:val="0"/>
          <w:szCs w:val="21"/>
          <w:highlight w:val="none"/>
        </w:rPr>
        <w:t>采购文件时间及地点：</w:t>
      </w:r>
    </w:p>
    <w:p w14:paraId="103C7EE0">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1、报名时间及采购文件发售时间：公告发布之日起至投标截止时间止（08：30-11：30，14：30-17：00，节假日除外，未购买采购文件的潜在投标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拒绝参加投标）。</w:t>
      </w:r>
    </w:p>
    <w:p w14:paraId="78ED808D">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2、购领采购文件地点：</w:t>
      </w:r>
    </w:p>
    <w:p w14:paraId="587B414E">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（1）乐采云平台（https://www.lecaiyun.com）；</w:t>
      </w:r>
    </w:p>
    <w:p w14:paraId="5E14D015">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（2）供应商网上报名操作指南：“乐采云-注册-供应商注册”（https://middle-lcy.lecaiyun.com/luban/registry/promotion?utm=luban.luban-PC-55609.387-pc-self-banner-new-front.d2001.886f5af0534611efa282f378895b071f）。</w:t>
      </w:r>
    </w:p>
    <w:p w14:paraId="40352860">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3、采购文件获取方式：潜在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登陆乐采云平台，在线申请获取采购文件（进入“项目采购”应用，在获取采购文件菜单中选择项目，申请获取采购文件。仅需浏览采购文件的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潜在投标人</w:t>
      </w:r>
      <w:r>
        <w:rPr>
          <w:rFonts w:hint="eastAsia" w:ascii="宋体" w:hAnsi="宋体" w:eastAsia="宋体" w:cs="宋体"/>
          <w:color w:val="000000" w:themeColor="text1"/>
          <w:kern w:val="0"/>
          <w:szCs w:val="21"/>
          <w:highlight w:val="none"/>
          <w14:textFill>
            <w14:solidFill>
              <w14:schemeClr w14:val="tx1"/>
            </w14:solidFill>
          </w14:textFill>
        </w:rPr>
        <w:t>可点击“游客，浏览采购文件”直接下载采购文件浏览）。</w:t>
      </w:r>
    </w:p>
    <w:p w14:paraId="2ACA319F">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获取采购文件时须提交的文件资料：</w:t>
      </w:r>
      <w:r>
        <w:rPr>
          <w:rFonts w:hint="eastAsia" w:ascii="宋体" w:hAnsi="宋体" w:eastAsia="宋体" w:cs="宋体"/>
          <w:color w:val="000000" w:themeColor="text1"/>
          <w:kern w:val="0"/>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Cs w:val="21"/>
          <w:highlight w:val="none"/>
          <w14:textFill>
            <w14:solidFill>
              <w14:schemeClr w14:val="tx1"/>
            </w14:solidFill>
          </w14:textFill>
        </w:rPr>
        <w:t>。</w:t>
      </w:r>
    </w:p>
    <w:p w14:paraId="0C55D0F1">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5、提示：采购公告附件内的采购文件（或采购需求）仅供阅览使用，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只有在“乐采云平台”完成获取采购文件申请并下载了采购文件后才视作依法获取采购文件（法律法规所指的供应商获取采购文件时间以供应商完成获取采购文件申请后下载采购文件的时间为准）。</w:t>
      </w:r>
    </w:p>
    <w:p w14:paraId="5995DC68">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注：请</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按上述要求获取采购文件，如未在“乐采云”系统内完成相关流程，引起的投标无效，责任自负。</w:t>
      </w:r>
    </w:p>
    <w:p w14:paraId="24E097B8">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6、采购文件售价：人民币500元整（售后不退），购买标书及注意事项：</w:t>
      </w:r>
    </w:p>
    <w:p w14:paraId="198CA399">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网上报名后，请将标书购买费汇入代理公司账户（缴纳报名费后将缴费截图、可以拷贝的开票信息等资料发代理机构电子邮箱1826066763@qq.com）并马上联系采购代理公司审核，标书款汇入账户信息：</w:t>
      </w:r>
    </w:p>
    <w:p w14:paraId="6990A705">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单位名称：浙江国际招投标有限公司</w:t>
      </w:r>
    </w:p>
    <w:p w14:paraId="632CE208">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开户银行：工商银行杭州市武林支行</w:t>
      </w:r>
    </w:p>
    <w:p w14:paraId="760A19A1">
      <w:pPr>
        <w:widowControl/>
        <w:wordWrap w:val="0"/>
        <w:spacing w:line="2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    号：1202021209906782015</w:t>
      </w:r>
    </w:p>
    <w:p w14:paraId="64A9E45D">
      <w:pPr>
        <w:widowControl/>
        <w:spacing w:before="60" w:after="60" w:line="280" w:lineRule="exact"/>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七、投标截止时间：</w:t>
      </w:r>
      <w:bookmarkStart w:id="4" w:name="B23_谈判响应文件提交截止日期"/>
      <w:bookmarkEnd w:id="4"/>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16</w:t>
      </w:r>
      <w:r>
        <w:rPr>
          <w:rFonts w:hint="eastAsia" w:ascii="宋体" w:hAnsi="宋体" w:eastAsia="宋体" w:cs="宋体"/>
          <w:bCs/>
          <w:color w:val="0000FF"/>
          <w:kern w:val="0"/>
          <w:szCs w:val="21"/>
          <w:highlight w:val="none"/>
        </w:rPr>
        <w:t>日9时30分(北京时间，下同)</w:t>
      </w:r>
      <w:r>
        <w:rPr>
          <w:rFonts w:hint="eastAsia" w:ascii="宋体" w:hAnsi="宋体" w:eastAsia="宋体" w:cs="宋体"/>
          <w:bCs/>
          <w:kern w:val="0"/>
          <w:szCs w:val="21"/>
          <w:highlight w:val="none"/>
        </w:rPr>
        <w:t>。</w:t>
      </w:r>
    </w:p>
    <w:p w14:paraId="2D23BE18">
      <w:pPr>
        <w:widowControl/>
        <w:spacing w:before="60" w:after="60" w:line="280" w:lineRule="exact"/>
        <w:ind w:left="578" w:leftChars="29" w:right="60" w:hanging="517" w:hangingChars="245"/>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八、投标文件提交地点：</w:t>
      </w:r>
      <w:r>
        <w:rPr>
          <w:rFonts w:hint="eastAsia" w:ascii="宋体" w:hAnsi="宋体" w:eastAsia="宋体" w:cs="宋体"/>
          <w:bCs/>
          <w:kern w:val="0"/>
          <w:szCs w:val="21"/>
          <w:highlight w:val="none"/>
        </w:rPr>
        <w:t>温州市政务服务管理中心开标区 (温州市鹿城区会展路1268号温州市民中心A座3楼公共资源交易专区)（详见当天大厅大屏幕）。</w:t>
      </w:r>
    </w:p>
    <w:p w14:paraId="3740EE4E">
      <w:pPr>
        <w:widowControl/>
        <w:spacing w:before="60" w:after="60" w:line="280" w:lineRule="exact"/>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九、开标时间：</w:t>
      </w:r>
      <w:bookmarkStart w:id="5" w:name="B26_谈判时间日期"/>
      <w:bookmarkEnd w:id="5"/>
      <w:r>
        <w:rPr>
          <w:rFonts w:hint="eastAsia" w:ascii="宋体" w:hAnsi="宋体" w:eastAsia="宋体" w:cs="宋体"/>
          <w:bCs/>
          <w:kern w:val="0"/>
          <w:szCs w:val="21"/>
          <w:highlight w:val="none"/>
        </w:rPr>
        <w:t>同投标截止时间。</w:t>
      </w:r>
    </w:p>
    <w:p w14:paraId="7E67C636">
      <w:pPr>
        <w:widowControl/>
        <w:spacing w:before="60" w:after="60" w:line="280" w:lineRule="exact"/>
        <w:ind w:left="578" w:leftChars="29" w:right="60" w:hanging="517" w:hangingChars="245"/>
        <w:jc w:val="left"/>
        <w:rPr>
          <w:rFonts w:hint="eastAsia" w:ascii="宋体" w:hAnsi="宋体" w:eastAsia="宋体" w:cs="宋体"/>
          <w:szCs w:val="21"/>
          <w:highlight w:val="none"/>
          <w:shd w:val="clear" w:color="auto" w:fill="FFFFFF"/>
        </w:rPr>
      </w:pPr>
      <w:r>
        <w:rPr>
          <w:rFonts w:hint="eastAsia" w:ascii="宋体" w:hAnsi="宋体" w:eastAsia="宋体" w:cs="宋体"/>
          <w:b/>
          <w:bCs w:val="0"/>
          <w:kern w:val="0"/>
          <w:szCs w:val="21"/>
          <w:highlight w:val="none"/>
        </w:rPr>
        <w:t>十、开标地点：</w:t>
      </w:r>
      <w:r>
        <w:rPr>
          <w:rFonts w:hint="eastAsia" w:ascii="宋体" w:hAnsi="宋体" w:eastAsia="宋体" w:cs="宋体"/>
          <w:bCs/>
          <w:kern w:val="0"/>
          <w:szCs w:val="21"/>
          <w:highlight w:val="none"/>
        </w:rPr>
        <w:t>温州市政务服务管理中心开标区 (温州市鹿城区会展路1268号温州市民中心A座3楼公共资源交易专区)（详见当天大厅大屏幕）</w:t>
      </w:r>
      <w:r>
        <w:rPr>
          <w:rFonts w:hint="eastAsia" w:ascii="宋体" w:hAnsi="宋体" w:eastAsia="宋体" w:cs="宋体"/>
          <w:szCs w:val="21"/>
          <w:highlight w:val="none"/>
          <w:shd w:val="clear" w:color="auto" w:fill="FFFFFF"/>
        </w:rPr>
        <w:t>。</w:t>
      </w:r>
    </w:p>
    <w:p w14:paraId="11DA762F">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十一、投标保证金及交付方式：</w:t>
      </w:r>
    </w:p>
    <w:p w14:paraId="66AD91BC">
      <w:pPr>
        <w:widowControl/>
        <w:spacing w:before="60" w:after="60" w:line="280" w:lineRule="exact"/>
        <w:ind w:right="62" w:firstLine="420" w:firstLineChars="200"/>
        <w:jc w:val="left"/>
        <w:rPr>
          <w:rFonts w:hint="eastAsia" w:ascii="宋体" w:hAnsi="宋体" w:eastAsia="宋体" w:cs="宋体"/>
          <w:b w:val="0"/>
          <w:bCs w:val="0"/>
          <w:color w:val="auto"/>
          <w:kern w:val="0"/>
          <w:szCs w:val="21"/>
          <w:highlight w:val="none"/>
          <w:u w:val="single"/>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color w:val="0000FF"/>
          <w:kern w:val="0"/>
          <w:szCs w:val="21"/>
          <w:highlight w:val="none"/>
          <w:lang w:val="en-US" w:eastAsia="zh-CN"/>
        </w:rPr>
        <w:t>2</w:t>
      </w:r>
      <w:r>
        <w:rPr>
          <w:rFonts w:hint="eastAsia" w:ascii="宋体" w:hAnsi="宋体" w:eastAsia="宋体" w:cs="宋体"/>
          <w:color w:val="0000FF"/>
          <w:kern w:val="0"/>
          <w:szCs w:val="21"/>
          <w:highlight w:val="none"/>
        </w:rPr>
        <w:t>0000元整</w:t>
      </w:r>
      <w:r>
        <w:rPr>
          <w:rFonts w:hint="eastAsia" w:ascii="宋体" w:hAnsi="宋体" w:eastAsia="宋体" w:cs="宋体"/>
          <w:kern w:val="0"/>
          <w:szCs w:val="21"/>
          <w:highlight w:val="none"/>
        </w:rPr>
        <w:t>，采用银行转账形</w:t>
      </w:r>
      <w:r>
        <w:rPr>
          <w:rFonts w:hint="eastAsia" w:ascii="宋体" w:hAnsi="宋体" w:eastAsia="宋体" w:cs="宋体"/>
          <w:highlight w:val="none"/>
        </w:rPr>
        <w:t>，</w:t>
      </w:r>
      <w:r>
        <w:rPr>
          <w:rFonts w:hint="eastAsia" w:ascii="宋体" w:hAnsi="宋体" w:eastAsia="宋体" w:cs="宋体"/>
          <w:b w:val="0"/>
          <w:bCs w:val="0"/>
          <w:color w:val="auto"/>
          <w:kern w:val="0"/>
          <w:szCs w:val="21"/>
          <w:highlight w:val="none"/>
          <w:u w:val="single"/>
        </w:rPr>
        <w:t>投标保证金要求从</w:t>
      </w:r>
      <w:r>
        <w:rPr>
          <w:rFonts w:hint="eastAsia" w:ascii="宋体" w:hAnsi="宋体" w:eastAsia="宋体" w:cs="宋体"/>
          <w:b w:val="0"/>
          <w:bCs w:val="0"/>
          <w:color w:val="auto"/>
          <w:kern w:val="0"/>
          <w:szCs w:val="21"/>
          <w:highlight w:val="none"/>
          <w:u w:val="single"/>
          <w:lang w:eastAsia="zh-CN"/>
        </w:rPr>
        <w:t>投标</w:t>
      </w:r>
      <w:r>
        <w:rPr>
          <w:rFonts w:hint="eastAsia" w:ascii="宋体" w:hAnsi="宋体" w:eastAsia="宋体" w:cs="宋体"/>
          <w:b w:val="0"/>
          <w:bCs w:val="0"/>
          <w:color w:val="auto"/>
          <w:kern w:val="0"/>
          <w:szCs w:val="21"/>
          <w:highlight w:val="none"/>
          <w:u w:val="single"/>
          <w:lang w:val="en-US" w:eastAsia="zh-CN"/>
        </w:rPr>
        <w:t>人</w:t>
      </w:r>
      <w:r>
        <w:rPr>
          <w:rFonts w:hint="eastAsia" w:ascii="宋体" w:hAnsi="宋体" w:eastAsia="宋体" w:cs="宋体"/>
          <w:b w:val="0"/>
          <w:bCs w:val="0"/>
          <w:color w:val="auto"/>
          <w:kern w:val="0"/>
          <w:szCs w:val="21"/>
          <w:highlight w:val="none"/>
          <w:u w:val="single"/>
        </w:rPr>
        <w:t>的银行账号汇出，保证金缴纳时间以到账时间为准（考虑到承销机构的特殊性，如投标人为特定行业的全国性企业所设立的区域性分支机构的，则可以按温州地区分支机构或省内分支机构汇入）。</w:t>
      </w:r>
    </w:p>
    <w:p w14:paraId="7713E2AB">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保证金缴纳截止时间：与投标截止时间相同。</w:t>
      </w:r>
    </w:p>
    <w:p w14:paraId="2D1D4AEA">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保证金缴纳账户信息：与标书款汇入账户信息相同。</w:t>
      </w:r>
    </w:p>
    <w:bookmarkEnd w:id="7"/>
    <w:bookmarkEnd w:id="8"/>
    <w:p w14:paraId="535AC788">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十二、其他事项：</w:t>
      </w:r>
    </w:p>
    <w:p w14:paraId="48F9897D">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rPr>
        <w:t>1、</w:t>
      </w:r>
      <w:r>
        <w:rPr>
          <w:rFonts w:hint="eastAsia" w:ascii="宋体" w:hAnsi="宋体" w:eastAsia="宋体" w:cs="宋体"/>
          <w:bCs/>
          <w:color w:val="auto"/>
          <w:kern w:val="0"/>
          <w:szCs w:val="21"/>
          <w:highlight w:val="none"/>
          <w:u w:val="single"/>
          <w:lang w:eastAsia="zh-CN"/>
        </w:rPr>
        <w:t>投标人</w:t>
      </w:r>
      <w:r>
        <w:rPr>
          <w:rFonts w:hint="eastAsia" w:ascii="宋体" w:hAnsi="宋体" w:eastAsia="宋体" w:cs="宋体"/>
          <w:bCs/>
          <w:color w:val="auto"/>
          <w:kern w:val="0"/>
          <w:szCs w:val="21"/>
          <w:highlight w:val="none"/>
          <w:u w:val="single"/>
        </w:rPr>
        <w:t>认为采购文件使自己的权益受到损害的，可以自采购公告发出之日（</w:t>
      </w:r>
      <w:r>
        <w:rPr>
          <w:rFonts w:hint="eastAsia" w:ascii="宋体" w:hAnsi="宋体" w:eastAsia="宋体" w:cs="宋体"/>
          <w:bCs/>
          <w:color w:val="auto"/>
          <w:kern w:val="0"/>
          <w:szCs w:val="21"/>
          <w:highlight w:val="none"/>
          <w:u w:val="single"/>
          <w:lang w:val="en-US" w:eastAsia="zh-CN"/>
        </w:rPr>
        <w:t>采购公告发布</w:t>
      </w:r>
      <w:r>
        <w:rPr>
          <w:rFonts w:hint="eastAsia" w:ascii="宋体" w:hAnsi="宋体" w:eastAsia="宋体" w:cs="宋体"/>
          <w:bCs/>
          <w:color w:val="auto"/>
          <w:kern w:val="0"/>
          <w:szCs w:val="21"/>
          <w:highlight w:val="none"/>
          <w:u w:val="single"/>
        </w:rPr>
        <w:t>当天不算）起6日内，以书面形式向采购人和采购代理机构提出质疑。</w:t>
      </w:r>
    </w:p>
    <w:p w14:paraId="1F7022D7">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2</w:t>
      </w:r>
      <w:r>
        <w:rPr>
          <w:rFonts w:hint="eastAsia" w:ascii="宋体" w:hAnsi="宋体" w:eastAsia="宋体" w:cs="宋体"/>
          <w:bCs/>
          <w:kern w:val="0"/>
          <w:szCs w:val="21"/>
          <w:u w:val="single"/>
        </w:rPr>
        <w:t>、质疑</w:t>
      </w:r>
      <w:r>
        <w:rPr>
          <w:rFonts w:hint="eastAsia" w:ascii="宋体" w:hAnsi="宋体" w:eastAsia="宋体" w:cs="宋体"/>
          <w:bCs/>
          <w:kern w:val="0"/>
          <w:szCs w:val="21"/>
          <w:u w:val="single"/>
          <w:lang w:eastAsia="zh-CN"/>
        </w:rPr>
        <w:t>投标人</w:t>
      </w:r>
      <w:r>
        <w:rPr>
          <w:rFonts w:hint="eastAsia" w:ascii="宋体" w:hAnsi="宋体" w:eastAsia="宋体" w:cs="宋体"/>
          <w:bCs/>
          <w:kern w:val="0"/>
          <w:szCs w:val="21"/>
          <w:u w:val="single"/>
        </w:rPr>
        <w:t>对采购人、采购代理机构的答复不满意或者采购人、采购代理机构未在规定的时间内作出答复的，可以在答复期满后15个工作日内向</w:t>
      </w:r>
      <w:r>
        <w:rPr>
          <w:rFonts w:hint="eastAsia" w:ascii="宋体" w:hAnsi="宋体" w:eastAsia="宋体" w:cs="宋体"/>
          <w:highlight w:val="none"/>
          <w:lang w:eastAsia="zh-CN"/>
        </w:rPr>
        <w:t>温州市交通发展集团有限公司</w:t>
      </w:r>
      <w:r>
        <w:rPr>
          <w:rFonts w:hint="eastAsia" w:ascii="宋体" w:hAnsi="宋体" w:eastAsia="宋体" w:cs="宋体"/>
          <w:bCs/>
          <w:kern w:val="0"/>
          <w:szCs w:val="21"/>
          <w:u w:val="single"/>
        </w:rPr>
        <w:t>投诉。</w:t>
      </w:r>
    </w:p>
    <w:p w14:paraId="29971A29">
      <w:pPr>
        <w:widowControl/>
        <w:spacing w:before="60" w:after="60" w:line="280" w:lineRule="exact"/>
        <w:ind w:right="62" w:firstLine="420" w:firstLineChars="200"/>
        <w:jc w:val="left"/>
        <w:rPr>
          <w:rFonts w:hint="eastAsia" w:ascii="宋体" w:hAnsi="宋体" w:eastAsia="宋体" w:cs="宋体"/>
          <w:bCs/>
          <w:kern w:val="0"/>
          <w:szCs w:val="21"/>
          <w:u w:val="single"/>
        </w:rPr>
      </w:pPr>
      <w:r>
        <w:rPr>
          <w:rFonts w:hint="eastAsia" w:ascii="宋体" w:hAnsi="宋体" w:eastAsia="宋体" w:cs="宋体"/>
          <w:bCs/>
          <w:kern w:val="0"/>
          <w:szCs w:val="21"/>
          <w:u w:val="single"/>
          <w:lang w:val="en-US" w:eastAsia="zh-CN"/>
        </w:rPr>
        <w:t>3</w:t>
      </w:r>
      <w:r>
        <w:rPr>
          <w:rFonts w:hint="eastAsia" w:ascii="宋体" w:hAnsi="宋体" w:eastAsia="宋体" w:cs="宋体"/>
          <w:bCs/>
          <w:kern w:val="0"/>
          <w:szCs w:val="21"/>
          <w:u w:val="single"/>
        </w:rPr>
        <w:t>、</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 w:val="21"/>
          <w:szCs w:val="21"/>
          <w:u w:val="single"/>
          <w:lang w:val="en-US" w:eastAsia="zh-CN"/>
        </w:rPr>
        <w:t>会</w:t>
      </w:r>
      <w:r>
        <w:rPr>
          <w:rFonts w:hint="eastAsia" w:ascii="宋体" w:hAnsi="宋体" w:eastAsia="宋体" w:cs="宋体"/>
          <w:bCs/>
          <w:kern w:val="0"/>
          <w:szCs w:val="21"/>
          <w:u w:val="single"/>
        </w:rPr>
        <w:t>负责对投标人反映的企业本部及所属企业在采购活动中出现的违法违规问题进行</w:t>
      </w:r>
      <w:r>
        <w:rPr>
          <w:rFonts w:hint="eastAsia" w:ascii="宋体" w:hAnsi="宋体" w:eastAsia="宋体" w:cs="宋体"/>
          <w:bCs/>
          <w:kern w:val="0"/>
          <w:szCs w:val="21"/>
          <w:u w:val="single"/>
          <w:lang w:val="en-US" w:eastAsia="zh-CN"/>
        </w:rPr>
        <w:t>投诉</w:t>
      </w:r>
      <w:r>
        <w:rPr>
          <w:rFonts w:hint="eastAsia" w:ascii="宋体" w:hAnsi="宋体" w:eastAsia="宋体" w:cs="宋体"/>
          <w:bCs/>
          <w:kern w:val="0"/>
          <w:szCs w:val="21"/>
          <w:u w:val="single"/>
        </w:rPr>
        <w:t>回复。投标人认为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 w:val="21"/>
          <w:szCs w:val="21"/>
          <w:u w:val="single"/>
          <w:lang w:val="en-US" w:eastAsia="zh-CN"/>
        </w:rPr>
        <w:t>会</w:t>
      </w:r>
      <w:r>
        <w:rPr>
          <w:rFonts w:hint="eastAsia" w:ascii="宋体" w:hAnsi="宋体" w:eastAsia="宋体" w:cs="宋体"/>
          <w:bCs/>
          <w:kern w:val="0"/>
          <w:szCs w:val="21"/>
          <w:u w:val="single"/>
          <w:lang w:val="en-US" w:eastAsia="zh-CN"/>
        </w:rPr>
        <w:t>投诉</w:t>
      </w:r>
      <w:r>
        <w:rPr>
          <w:rFonts w:hint="eastAsia" w:ascii="宋体" w:hAnsi="宋体" w:eastAsia="宋体" w:cs="宋体"/>
          <w:bCs/>
          <w:kern w:val="0"/>
          <w:szCs w:val="21"/>
          <w:u w:val="single"/>
        </w:rPr>
        <w:t>回复处理结果不合法的，可以采购人或采购代理机构为对象依法向人民法院提起诉讼。</w:t>
      </w:r>
    </w:p>
    <w:p w14:paraId="1C3FE6EA">
      <w:pPr>
        <w:widowControl/>
        <w:spacing w:before="60" w:after="60" w:line="280" w:lineRule="exact"/>
        <w:ind w:right="62" w:firstLine="420" w:firstLineChars="200"/>
        <w:jc w:val="left"/>
        <w:rPr>
          <w:rFonts w:hint="eastAsia" w:ascii="宋体" w:hAnsi="宋体" w:eastAsia="宋体" w:cs="宋体"/>
          <w:bCs/>
          <w:kern w:val="0"/>
          <w:szCs w:val="21"/>
        </w:rPr>
      </w:pPr>
      <w:r>
        <w:rPr>
          <w:rFonts w:hint="eastAsia" w:ascii="宋体" w:hAnsi="宋体" w:eastAsia="宋体" w:cs="宋体"/>
          <w:bCs/>
          <w:kern w:val="0"/>
          <w:szCs w:val="21"/>
          <w:lang w:val="en-US" w:eastAsia="zh-CN"/>
        </w:rPr>
        <w:t>4</w:t>
      </w:r>
      <w:r>
        <w:rPr>
          <w:rFonts w:hint="eastAsia" w:ascii="宋体" w:hAnsi="宋体" w:eastAsia="宋体" w:cs="宋体"/>
          <w:bCs/>
          <w:kern w:val="0"/>
          <w:szCs w:val="21"/>
        </w:rPr>
        <w:t>、采购公告附件的采购文件仅供阅览使用，未按照本公告规定的方式获取采购文件的潜在</w:t>
      </w:r>
      <w:r>
        <w:rPr>
          <w:rFonts w:hint="eastAsia" w:ascii="宋体" w:hAnsi="宋体" w:eastAsia="宋体" w:cs="宋体"/>
          <w:bCs/>
          <w:kern w:val="0"/>
          <w:szCs w:val="21"/>
          <w:lang w:eastAsia="zh-CN"/>
        </w:rPr>
        <w:t>投标人</w:t>
      </w:r>
      <w:r>
        <w:rPr>
          <w:rFonts w:hint="eastAsia" w:ascii="宋体" w:hAnsi="宋体" w:eastAsia="宋体" w:cs="宋体"/>
          <w:bCs/>
          <w:kern w:val="0"/>
          <w:szCs w:val="21"/>
        </w:rPr>
        <w:t>提起的质疑，采购人及采购组织机构将不予受理、</w:t>
      </w:r>
      <w:r>
        <w:rPr>
          <w:rFonts w:hint="eastAsia" w:ascii="宋体" w:hAnsi="宋体" w:eastAsia="宋体" w:cs="宋体"/>
          <w:bCs/>
          <w:kern w:val="0"/>
          <w:szCs w:val="21"/>
          <w:lang w:val="en-US" w:eastAsia="zh-CN"/>
        </w:rPr>
        <w:t>不予</w:t>
      </w:r>
      <w:r>
        <w:rPr>
          <w:rFonts w:hint="eastAsia" w:ascii="宋体" w:hAnsi="宋体" w:eastAsia="宋体" w:cs="宋体"/>
          <w:bCs/>
          <w:kern w:val="0"/>
          <w:szCs w:val="21"/>
        </w:rPr>
        <w:t>答复。</w:t>
      </w:r>
    </w:p>
    <w:p w14:paraId="2DB3D5E0">
      <w:pPr>
        <w:widowControl/>
        <w:spacing w:before="60" w:after="60" w:line="280" w:lineRule="exact"/>
        <w:ind w:right="62" w:firstLine="420" w:firstLineChars="200"/>
        <w:jc w:val="left"/>
        <w:rPr>
          <w:rFonts w:hint="eastAsia" w:ascii="宋体" w:hAnsi="宋体" w:eastAsia="宋体" w:cs="宋体"/>
          <w:bCs/>
          <w:color w:val="auto"/>
          <w:kern w:val="0"/>
          <w:szCs w:val="21"/>
        </w:rPr>
      </w:pPr>
      <w:r>
        <w:rPr>
          <w:rFonts w:hint="eastAsia" w:ascii="宋体" w:hAnsi="宋体" w:eastAsia="宋体" w:cs="宋体"/>
          <w:bCs/>
          <w:kern w:val="0"/>
          <w:szCs w:val="21"/>
          <w:lang w:val="en-US" w:eastAsia="zh-CN"/>
        </w:rPr>
        <w:t>5</w:t>
      </w:r>
      <w:r>
        <w:rPr>
          <w:rFonts w:hint="eastAsia" w:ascii="宋体" w:hAnsi="宋体" w:eastAsia="宋体" w:cs="宋体"/>
          <w:bCs/>
          <w:kern w:val="0"/>
          <w:szCs w:val="21"/>
        </w:rPr>
        <w:t>、</w:t>
      </w:r>
      <w:r>
        <w:rPr>
          <w:rFonts w:hint="eastAsia" w:ascii="宋体" w:hAnsi="宋体" w:eastAsia="宋体" w:cs="宋体"/>
          <w:bCs/>
          <w:kern w:val="0"/>
          <w:szCs w:val="21"/>
          <w:lang w:eastAsia="zh-CN"/>
        </w:rPr>
        <w:t>投标人</w:t>
      </w:r>
      <w:r>
        <w:rPr>
          <w:rFonts w:hint="eastAsia" w:ascii="宋体" w:hAnsi="宋体" w:eastAsia="宋体" w:cs="宋体"/>
          <w:bCs/>
          <w:kern w:val="0"/>
          <w:szCs w:val="21"/>
        </w:rPr>
        <w:t>如对采购文</w:t>
      </w:r>
      <w:r>
        <w:rPr>
          <w:rFonts w:hint="eastAsia" w:ascii="宋体" w:hAnsi="宋体" w:eastAsia="宋体" w:cs="宋体"/>
          <w:bCs/>
          <w:color w:val="auto"/>
          <w:kern w:val="0"/>
          <w:szCs w:val="21"/>
        </w:rPr>
        <w:t>件有疑问应按采购文件规定的询疑截止时间前提出，逾期提出的，采购组织机构可以不予受理、答复。</w:t>
      </w:r>
    </w:p>
    <w:p w14:paraId="55948DC6">
      <w:pPr>
        <w:widowControl/>
        <w:spacing w:before="60" w:after="60" w:line="280" w:lineRule="exact"/>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十三、联系方式</w:t>
      </w:r>
    </w:p>
    <w:p w14:paraId="7E99CB16">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温州市交通发展集团有限公司</w:t>
      </w:r>
    </w:p>
    <w:p w14:paraId="25EAE968">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温州市鹿城区车站大道669号尚品商务楼8楼</w:t>
      </w:r>
    </w:p>
    <w:p w14:paraId="2F185E44">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eastAsia="zh-CN"/>
        </w:rPr>
        <w:t>陈先生</w:t>
      </w:r>
      <w:r>
        <w:rPr>
          <w:rFonts w:hint="eastAsia" w:ascii="宋体" w:hAnsi="宋体" w:eastAsia="宋体" w:cs="宋体"/>
          <w:highlight w:val="none"/>
        </w:rPr>
        <w:t>，联系电话：</w:t>
      </w:r>
      <w:r>
        <w:rPr>
          <w:rFonts w:hint="eastAsia" w:ascii="宋体" w:hAnsi="宋体" w:eastAsia="宋体" w:cs="宋体"/>
          <w:highlight w:val="none"/>
          <w:lang w:eastAsia="zh-CN"/>
        </w:rPr>
        <w:t>0577-</w:t>
      </w:r>
      <w:r>
        <w:rPr>
          <w:rFonts w:hint="eastAsia" w:ascii="宋体" w:hAnsi="宋体" w:eastAsia="宋体" w:cs="宋体"/>
          <w:highlight w:val="none"/>
          <w:lang w:val="en-US" w:eastAsia="zh-CN"/>
        </w:rPr>
        <w:t>88605530</w:t>
      </w:r>
    </w:p>
    <w:p w14:paraId="619BF87C">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3F6C8AC6">
      <w:pPr>
        <w:widowControl/>
        <w:spacing w:before="60" w:after="60" w:line="280" w:lineRule="exact"/>
        <w:ind w:left="62" w:right="62"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联系人：冯先生、</w:t>
      </w:r>
      <w:r>
        <w:rPr>
          <w:rFonts w:hint="eastAsia" w:ascii="宋体" w:hAnsi="宋体" w:eastAsia="宋体" w:cs="宋体"/>
          <w:highlight w:val="none"/>
          <w:lang w:val="en-US" w:eastAsia="zh-CN"/>
        </w:rPr>
        <w:t>周群峰</w:t>
      </w:r>
    </w:p>
    <w:p w14:paraId="5B14C64D">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018D7BF6">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3AA8FBE7">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仁信大厦1412室（温州市鹿城区南汇街道法派路与牛山北路交叉口西北50米吴桥路）</w:t>
      </w:r>
    </w:p>
    <w:p w14:paraId="655E9823">
      <w:pPr>
        <w:widowControl/>
        <w:spacing w:before="60" w:after="60" w:line="280" w:lineRule="exact"/>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6A886FED">
      <w:pPr>
        <w:widowControl/>
        <w:spacing w:before="60" w:after="60" w:line="280" w:lineRule="exact"/>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14:paraId="245E9F6F">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温州市交通发展集团有限公司</w:t>
      </w:r>
      <w:r>
        <w:rPr>
          <w:rFonts w:hint="eastAsia" w:ascii="宋体" w:hAnsi="宋体" w:eastAsia="宋体" w:cs="宋体"/>
          <w:bCs/>
          <w:kern w:val="0"/>
          <w:szCs w:val="21"/>
          <w:highlight w:val="none"/>
        </w:rPr>
        <w:t xml:space="preserve"> </w:t>
      </w:r>
    </w:p>
    <w:p w14:paraId="0D72F2BF">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w:t>
      </w:r>
    </w:p>
    <w:p w14:paraId="16C0D68F">
      <w:pPr>
        <w:widowControl/>
        <w:spacing w:before="60" w:after="60" w:line="280" w:lineRule="exact"/>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12</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01</w:t>
      </w:r>
      <w:r>
        <w:rPr>
          <w:rFonts w:hint="eastAsia" w:ascii="宋体" w:hAnsi="宋体" w:eastAsia="宋体" w:cs="宋体"/>
          <w:color w:val="0000FF"/>
          <w:kern w:val="0"/>
          <w:szCs w:val="21"/>
          <w:highlight w:val="none"/>
        </w:rPr>
        <w:t>日</w:t>
      </w:r>
    </w:p>
    <w:p w14:paraId="1E63A556">
      <w:pPr>
        <w:jc w:val="center"/>
        <w:rPr>
          <w:rFonts w:hint="eastAsia" w:ascii="宋体" w:hAnsi="宋体" w:eastAsia="宋体" w:cs="宋体"/>
          <w:sz w:val="24"/>
          <w:highlight w:val="none"/>
        </w:rPr>
      </w:pPr>
      <w:bookmarkStart w:id="9" w:name="_Toc491780522"/>
    </w:p>
    <w:p w14:paraId="49EA2092">
      <w:pPr>
        <w:jc w:val="center"/>
        <w:rPr>
          <w:rFonts w:hint="eastAsia" w:ascii="宋体" w:hAnsi="宋体" w:eastAsia="宋体" w:cs="宋体"/>
          <w:sz w:val="24"/>
          <w:highlight w:val="none"/>
        </w:rPr>
      </w:pPr>
      <w:r>
        <w:rPr>
          <w:rFonts w:hint="eastAsia" w:ascii="宋体" w:hAnsi="宋体" w:eastAsia="宋体" w:cs="宋体"/>
          <w:b/>
          <w:bCs/>
          <w:sz w:val="24"/>
          <w:highlight w:val="none"/>
          <w:lang w:eastAsia="zh-CN"/>
        </w:rPr>
        <w:t>温州市交通发展集团有限公司</w:t>
      </w:r>
      <w:r>
        <w:rPr>
          <w:rFonts w:hint="eastAsia" w:ascii="宋体" w:hAnsi="宋体" w:eastAsia="宋体" w:cs="宋体"/>
          <w:b/>
          <w:bCs/>
          <w:sz w:val="24"/>
          <w:highlight w:val="none"/>
        </w:rPr>
        <w:t>关于</w:t>
      </w:r>
      <w:r>
        <w:rPr>
          <w:rFonts w:hint="eastAsia" w:ascii="宋体" w:hAnsi="宋体" w:eastAsia="宋体" w:cs="宋体"/>
          <w:b/>
          <w:bCs/>
          <w:sz w:val="24"/>
          <w:highlight w:val="none"/>
          <w:lang w:val="en-US" w:eastAsia="zh-CN"/>
        </w:rPr>
        <w:t>30亿元永续中期票据承销服务</w:t>
      </w:r>
      <w:r>
        <w:rPr>
          <w:rFonts w:hint="eastAsia" w:ascii="宋体" w:hAnsi="宋体" w:eastAsia="宋体" w:cs="宋体"/>
          <w:b/>
          <w:bCs/>
          <w:sz w:val="24"/>
          <w:highlight w:val="none"/>
        </w:rPr>
        <w:t>项目的征求意见公示</w:t>
      </w:r>
      <w:bookmarkEnd w:id="9"/>
    </w:p>
    <w:p w14:paraId="1B4D752E">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浙江国际招投标有限公司受</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val="en-US" w:eastAsia="zh-CN"/>
        </w:rPr>
        <w:t>30亿元永续中期票据承销服务</w:t>
      </w:r>
      <w:r>
        <w:rPr>
          <w:rFonts w:hint="eastAsia" w:ascii="宋体" w:hAnsi="宋体" w:eastAsia="宋体" w:cs="宋体"/>
          <w:bCs/>
          <w:kern w:val="0"/>
          <w:szCs w:val="21"/>
          <w:highlight w:val="none"/>
        </w:rPr>
        <w:t>以公开招标方式进行采购。现将本项目采购文件公布如下（详见附件），并公开征求投标人及专家意见。</w:t>
      </w:r>
    </w:p>
    <w:p w14:paraId="10FDA692">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14:paraId="29F61B67">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14:paraId="10D5110C">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2、投标人资格条件是否具有明显倾向性和歧视性；</w:t>
      </w:r>
    </w:p>
    <w:p w14:paraId="47F3BD77">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14:paraId="269E5F0E">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14:paraId="62D22D54">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各投标人及专家提出修改理由和建议的，请于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仁信大厦1412室（温州市鹿城区南汇街道法派路与牛山北路交叉口西北50米吴桥路）</w:t>
      </w:r>
      <w:r>
        <w:rPr>
          <w:rFonts w:hint="eastAsia" w:ascii="宋体" w:hAnsi="宋体" w:eastAsia="宋体" w:cs="宋体"/>
          <w:bCs/>
          <w:kern w:val="0"/>
          <w:szCs w:val="21"/>
          <w:highlight w:val="none"/>
        </w:rPr>
        <w:t>采购代理公司，或先将扫描件及电子版发送至邮箱1826066763@qq.com，并同时将该原件书面寄至浙江国际招投标有限公司。</w:t>
      </w:r>
    </w:p>
    <w:p w14:paraId="0E25F584">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联系人：冯先生，联系电话：13857723185。</w:t>
      </w:r>
    </w:p>
    <w:p w14:paraId="210302BB">
      <w:pPr>
        <w:widowControl/>
        <w:spacing w:before="60" w:after="60" w:line="280" w:lineRule="exact"/>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14:paraId="670D7651">
      <w:pPr>
        <w:widowControl/>
        <w:spacing w:before="60" w:after="60" w:line="280" w:lineRule="exact"/>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14:paraId="358CF3FC">
      <w:pPr>
        <w:widowControl/>
        <w:spacing w:before="60" w:after="60" w:line="280" w:lineRule="exact"/>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温州市交通发展集团有限公司</w:t>
      </w:r>
    </w:p>
    <w:p w14:paraId="53F0BA3A">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浙江国际招投标有限公司</w:t>
      </w:r>
    </w:p>
    <w:p w14:paraId="4136A703">
      <w:pPr>
        <w:widowControl/>
        <w:spacing w:before="60" w:after="60" w:line="280" w:lineRule="exact"/>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01</w:t>
      </w:r>
      <w:r>
        <w:rPr>
          <w:rFonts w:hint="eastAsia" w:ascii="宋体" w:hAnsi="宋体" w:eastAsia="宋体" w:cs="宋体"/>
          <w:bCs/>
          <w:color w:val="0000FF"/>
          <w:kern w:val="0"/>
          <w:szCs w:val="21"/>
          <w:highlight w:val="none"/>
        </w:rPr>
        <w:t>日</w:t>
      </w:r>
    </w:p>
    <w:bookmarkEnd w:id="2"/>
    <w:p w14:paraId="633F9B6E">
      <w:pP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7489886"/>
      <w:bookmarkStart w:id="11" w:name="_Toc227056845"/>
      <w:bookmarkStart w:id="12" w:name="_Toc491780523"/>
      <w:bookmarkStart w:id="13" w:name="_Toc215415529"/>
      <w:bookmarkStart w:id="14" w:name="_Toc227057032"/>
      <w:bookmarkStart w:id="15" w:name="_Toc223933220"/>
      <w:bookmarkStart w:id="16" w:name="_Toc218041725"/>
      <w:bookmarkStart w:id="17" w:name="_Toc223717603"/>
      <w:bookmarkStart w:id="18" w:name="_Toc219538612"/>
      <w:bookmarkStart w:id="19" w:name="_Toc216667819"/>
      <w:bookmarkStart w:id="20" w:name="_Toc217460684"/>
    </w:p>
    <w:p w14:paraId="0C77B18E">
      <w:pPr>
        <w:widowControl/>
        <w:spacing w:before="60" w:after="60"/>
        <w:ind w:left="62" w:right="62" w:firstLine="720" w:firstLineChars="20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7050E657">
      <w:pPr>
        <w:spacing w:before="120" w:beforeLines="50" w:after="120" w:afterLines="50"/>
        <w:jc w:val="center"/>
        <w:rPr>
          <w:rFonts w:hint="eastAsia" w:ascii="宋体" w:hAnsi="宋体" w:eastAsia="宋体" w:cs="宋体"/>
          <w:b/>
          <w:sz w:val="28"/>
          <w:szCs w:val="28"/>
          <w:highlight w:val="none"/>
        </w:rPr>
      </w:pPr>
      <w:bookmarkStart w:id="21" w:name="_Toc401243876"/>
      <w:bookmarkStart w:id="22" w:name="_Toc433729304"/>
      <w:bookmarkStart w:id="23" w:name="_Toc227489887"/>
      <w:bookmarkStart w:id="24" w:name="_Toc219538613"/>
      <w:bookmarkStart w:id="25" w:name="_Toc227056846"/>
      <w:bookmarkStart w:id="26" w:name="_Toc216667820"/>
      <w:bookmarkStart w:id="27" w:name="_Toc215415530"/>
      <w:bookmarkStart w:id="28" w:name="_Toc223717604"/>
      <w:bookmarkStart w:id="29" w:name="_Toc223933221"/>
      <w:bookmarkStart w:id="30" w:name="_Toc227057033"/>
      <w:bookmarkStart w:id="31" w:name="_Toc217460685"/>
      <w:bookmarkStart w:id="32" w:name="_Toc218041726"/>
      <w:r>
        <w:rPr>
          <w:rFonts w:hint="eastAsia" w:ascii="宋体" w:hAnsi="宋体" w:eastAsia="宋体" w:cs="宋体"/>
          <w:b/>
          <w:sz w:val="28"/>
          <w:szCs w:val="28"/>
          <w:highlight w:val="none"/>
        </w:rPr>
        <w:t>投标人须知前附表</w:t>
      </w:r>
      <w:bookmarkEnd w:id="21"/>
      <w:bookmarkEnd w:id="22"/>
    </w:p>
    <w:tbl>
      <w:tblPr>
        <w:tblStyle w:val="28"/>
        <w:tblW w:w="0" w:type="auto"/>
        <w:jc w:val="center"/>
        <w:tblLayout w:type="fixed"/>
        <w:tblCellMar>
          <w:top w:w="0" w:type="dxa"/>
          <w:left w:w="108" w:type="dxa"/>
          <w:bottom w:w="0" w:type="dxa"/>
          <w:right w:w="108" w:type="dxa"/>
        </w:tblCellMar>
      </w:tblPr>
      <w:tblGrid>
        <w:gridCol w:w="836"/>
        <w:gridCol w:w="1624"/>
        <w:gridCol w:w="6528"/>
      </w:tblGrid>
      <w:tr w14:paraId="67370B1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CD53FAC">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6D5444C5">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755260D5">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705D7A4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0275E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4F3FC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53F301BB">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30亿元永续中期票据承销服务</w:t>
            </w:r>
          </w:p>
        </w:tc>
      </w:tr>
      <w:tr w14:paraId="53545BA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E4A35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5571A4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14:paraId="1C0481B8">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WGSS-JFJT-X-2025001</w:t>
            </w:r>
          </w:p>
        </w:tc>
      </w:tr>
      <w:tr w14:paraId="3107329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BC5D29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743E5F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28525DED">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温州市交通发展集团有限公司</w:t>
            </w:r>
          </w:p>
          <w:p w14:paraId="39631225">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温州市鹿城区车站大道669号尚品商务楼8楼</w:t>
            </w:r>
          </w:p>
          <w:p w14:paraId="3A202A3D">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eastAsia="zh-CN"/>
              </w:rPr>
              <w:t>陈先生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0577-88605530</w:t>
            </w:r>
          </w:p>
        </w:tc>
      </w:tr>
      <w:tr w14:paraId="3571B4B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E8CCC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40C7C7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1DC24CE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代理机构名称：浙江国际招投标有限公司</w:t>
            </w:r>
          </w:p>
          <w:p w14:paraId="085A1798">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仁信大厦1412室（温州市鹿城区南汇街道法派路与牛山北路交叉口西北50米吴桥路）</w:t>
            </w:r>
          </w:p>
          <w:p w14:paraId="48009E51">
            <w:pPr>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联系人：冯先生</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周群峰</w:t>
            </w:r>
          </w:p>
          <w:p w14:paraId="3C13583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14:paraId="3B2C5A1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555917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038F3C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570EDAB2">
            <w:pPr>
              <w:ind w:firstLine="360" w:firstLineChars="200"/>
              <w:rPr>
                <w:rFonts w:hint="eastAsia" w:ascii="宋体" w:hAnsi="宋体" w:eastAsia="宋体" w:cs="宋体"/>
                <w:color w:val="0000FF"/>
                <w:kern w:val="0"/>
                <w:sz w:val="18"/>
                <w:szCs w:val="18"/>
                <w:highlight w:val="none"/>
              </w:rPr>
            </w:pPr>
            <w:r>
              <w:rPr>
                <w:rFonts w:hint="eastAsia" w:ascii="宋体" w:hAnsi="宋体" w:eastAsia="宋体" w:cs="宋体"/>
                <w:color w:val="auto"/>
                <w:kern w:val="2"/>
                <w:sz w:val="18"/>
                <w:szCs w:val="18"/>
                <w:highlight w:val="none"/>
                <w:lang w:val="en-US" w:eastAsia="zh-CN" w:bidi="ar-SA"/>
              </w:rPr>
              <w:t>拟注册发行不超过30亿元的永续中期票据，注册基础期限不超过3年（不超过3+N），结合市场情况分期发行，</w:t>
            </w:r>
            <w:r>
              <w:rPr>
                <w:rFonts w:hint="eastAsia" w:ascii="宋体" w:hAnsi="宋体" w:eastAsia="宋体" w:cs="宋体"/>
                <w:color w:val="0000FF"/>
                <w:kern w:val="0"/>
                <w:sz w:val="18"/>
                <w:szCs w:val="18"/>
                <w:highlight w:val="none"/>
              </w:rPr>
              <w:t>本项目选取</w:t>
            </w:r>
            <w:r>
              <w:rPr>
                <w:rFonts w:hint="eastAsia" w:ascii="宋体" w:hAnsi="宋体" w:eastAsia="宋体" w:cs="宋体"/>
                <w:color w:val="0000FF"/>
                <w:kern w:val="0"/>
                <w:sz w:val="18"/>
                <w:szCs w:val="18"/>
                <w:highlight w:val="none"/>
                <w:lang w:val="en-US" w:eastAsia="zh-CN"/>
              </w:rPr>
              <w:t>最多不超过5</w:t>
            </w:r>
            <w:r>
              <w:rPr>
                <w:rFonts w:hint="eastAsia" w:ascii="宋体" w:hAnsi="宋体" w:eastAsia="宋体" w:cs="宋体"/>
                <w:color w:val="0000FF"/>
                <w:kern w:val="0"/>
                <w:sz w:val="18"/>
                <w:szCs w:val="18"/>
                <w:highlight w:val="none"/>
              </w:rPr>
              <w:t>名中标</w:t>
            </w:r>
            <w:r>
              <w:rPr>
                <w:rFonts w:hint="eastAsia" w:ascii="宋体" w:hAnsi="宋体" w:eastAsia="宋体" w:cs="宋体"/>
                <w:color w:val="0000FF"/>
                <w:kern w:val="0"/>
                <w:sz w:val="18"/>
                <w:szCs w:val="18"/>
                <w:highlight w:val="none"/>
                <w:lang w:val="en-US" w:eastAsia="zh-CN"/>
              </w:rPr>
              <w:t>人，</w:t>
            </w:r>
            <w:r>
              <w:rPr>
                <w:rFonts w:hint="eastAsia" w:ascii="宋体" w:hAnsi="宋体" w:eastAsia="宋体" w:cs="宋体"/>
                <w:color w:val="auto"/>
                <w:kern w:val="2"/>
                <w:sz w:val="18"/>
                <w:szCs w:val="18"/>
                <w:highlight w:val="none"/>
                <w:lang w:val="en-US" w:eastAsia="zh-CN" w:bidi="ar-SA"/>
              </w:rPr>
              <w:t>具体详见采购文件第四部分。</w:t>
            </w:r>
          </w:p>
        </w:tc>
      </w:tr>
      <w:tr w14:paraId="0F327725">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2E6FA8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D82ECEA">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年承销费率最高限价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35CC14B6">
            <w:pPr>
              <w:spacing w:line="240" w:lineRule="exact"/>
              <w:rPr>
                <w:rFonts w:hint="eastAsia" w:ascii="宋体" w:hAnsi="宋体" w:eastAsia="宋体" w:cs="宋体"/>
                <w:b/>
                <w:kern w:val="0"/>
                <w:sz w:val="18"/>
                <w:szCs w:val="18"/>
                <w:highlight w:val="none"/>
                <w:u w:val="single"/>
              </w:rPr>
            </w:pPr>
            <w:r>
              <w:rPr>
                <w:rFonts w:hint="eastAsia" w:ascii="宋体" w:hAnsi="宋体" w:eastAsia="宋体" w:cs="宋体"/>
                <w:b/>
                <w:kern w:val="0"/>
                <w:sz w:val="18"/>
                <w:szCs w:val="18"/>
                <w:highlight w:val="none"/>
                <w:u w:val="single"/>
              </w:rPr>
              <w:t>项目采购预算为人民币</w:t>
            </w:r>
            <w:r>
              <w:rPr>
                <w:rFonts w:hint="eastAsia" w:ascii="宋体" w:hAnsi="宋体" w:eastAsia="宋体" w:cs="宋体"/>
                <w:b/>
                <w:kern w:val="0"/>
                <w:sz w:val="18"/>
                <w:szCs w:val="18"/>
                <w:highlight w:val="none"/>
                <w:u w:val="single"/>
                <w:lang w:val="en-US" w:eastAsia="zh-CN"/>
              </w:rPr>
              <w:t>240</w:t>
            </w:r>
            <w:r>
              <w:rPr>
                <w:rFonts w:hint="eastAsia" w:ascii="宋体" w:hAnsi="宋体" w:eastAsia="宋体" w:cs="宋体"/>
                <w:b/>
                <w:kern w:val="0"/>
                <w:sz w:val="18"/>
                <w:szCs w:val="18"/>
                <w:highlight w:val="none"/>
                <w:u w:val="single"/>
              </w:rPr>
              <w:t>万元</w:t>
            </w:r>
            <w:r>
              <w:rPr>
                <w:rFonts w:hint="eastAsia" w:ascii="宋体" w:hAnsi="宋体" w:eastAsia="宋体" w:cs="宋体"/>
                <w:b/>
                <w:kern w:val="0"/>
                <w:sz w:val="18"/>
                <w:szCs w:val="18"/>
                <w:highlight w:val="none"/>
                <w:u w:val="single"/>
                <w:lang w:val="en-US" w:eastAsia="zh-CN"/>
              </w:rPr>
              <w:t>/年</w:t>
            </w:r>
            <w:r>
              <w:rPr>
                <w:rFonts w:hint="eastAsia" w:ascii="宋体" w:hAnsi="宋体" w:eastAsia="宋体" w:cs="宋体"/>
                <w:b/>
                <w:kern w:val="0"/>
                <w:sz w:val="18"/>
                <w:szCs w:val="18"/>
                <w:highlight w:val="none"/>
                <w:u w:val="single"/>
                <w:lang w:eastAsia="zh-CN"/>
              </w:rPr>
              <w:t>，</w:t>
            </w:r>
            <w:r>
              <w:rPr>
                <w:rFonts w:hint="eastAsia" w:ascii="宋体" w:hAnsi="宋体" w:eastAsia="宋体" w:cs="宋体"/>
                <w:b/>
                <w:kern w:val="0"/>
                <w:sz w:val="18"/>
                <w:szCs w:val="18"/>
                <w:highlight w:val="none"/>
                <w:u w:val="single"/>
              </w:rPr>
              <w:t>年承销费率最高限价</w:t>
            </w:r>
            <w:r>
              <w:rPr>
                <w:rFonts w:hint="eastAsia" w:ascii="宋体" w:hAnsi="宋体" w:eastAsia="宋体" w:cs="宋体"/>
                <w:b/>
                <w:kern w:val="0"/>
                <w:sz w:val="18"/>
                <w:szCs w:val="18"/>
                <w:highlight w:val="none"/>
                <w:u w:val="single"/>
                <w:lang w:eastAsia="zh-CN"/>
              </w:rPr>
              <w:t>0.08%（即8BP）</w:t>
            </w:r>
            <w:r>
              <w:rPr>
                <w:rFonts w:hint="eastAsia" w:ascii="宋体" w:hAnsi="宋体" w:eastAsia="宋体" w:cs="宋体"/>
                <w:b/>
                <w:kern w:val="0"/>
                <w:sz w:val="18"/>
                <w:szCs w:val="18"/>
                <w:highlight w:val="none"/>
                <w:u w:val="single"/>
              </w:rPr>
              <w:t>，投标年承销费率报价超过</w:t>
            </w:r>
            <w:r>
              <w:rPr>
                <w:rFonts w:hint="eastAsia" w:ascii="宋体" w:hAnsi="宋体" w:eastAsia="宋体" w:cs="宋体"/>
                <w:b/>
                <w:kern w:val="0"/>
                <w:sz w:val="18"/>
                <w:szCs w:val="18"/>
                <w:highlight w:val="none"/>
                <w:u w:val="single"/>
                <w:lang w:eastAsia="zh-CN"/>
              </w:rPr>
              <w:t>0.08%（即8BP）</w:t>
            </w:r>
            <w:r>
              <w:rPr>
                <w:rFonts w:hint="eastAsia" w:ascii="宋体" w:hAnsi="宋体" w:eastAsia="宋体" w:cs="宋体"/>
                <w:b/>
                <w:kern w:val="0"/>
                <w:sz w:val="18"/>
                <w:szCs w:val="18"/>
                <w:highlight w:val="none"/>
                <w:u w:val="single"/>
              </w:rPr>
              <w:t>的，作无效标处理。</w:t>
            </w:r>
          </w:p>
        </w:tc>
      </w:tr>
      <w:tr w14:paraId="5234221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D96693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FF8BA0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10E0F388">
            <w:pPr>
              <w:spacing w:line="240" w:lineRule="exact"/>
              <w:rPr>
                <w:rFonts w:hint="eastAsia" w:ascii="宋体" w:hAnsi="宋体" w:eastAsia="宋体" w:cs="宋体"/>
                <w:b/>
                <w:bCs/>
                <w:strike/>
                <w:kern w:val="0"/>
                <w:sz w:val="18"/>
                <w:szCs w:val="18"/>
                <w:highlight w:val="none"/>
              </w:rPr>
            </w:pPr>
            <w:r>
              <w:rPr>
                <w:rFonts w:hint="eastAsia" w:ascii="宋体" w:hAnsi="宋体" w:eastAsia="宋体" w:cs="宋体"/>
                <w:b/>
                <w:bCs/>
                <w:kern w:val="0"/>
                <w:sz w:val="18"/>
                <w:szCs w:val="18"/>
                <w:highlight w:val="none"/>
              </w:rPr>
              <w:t>见采购公告中的要求</w:t>
            </w:r>
          </w:p>
          <w:p w14:paraId="50AF805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金融、保险、通讯等特定行业的全国性企业所设立的区域性分支机构，如果已经依法办理了工商、税务和社保登记手续，需提供总公司（总机构）授权文件或提供省级机构（一级机构）授权文件（如分支机构已是直属总机构的一级机构，则无需再提供授权书），如无明显确定为省级机构（一级机构）需提供相关证明。</w:t>
            </w:r>
          </w:p>
        </w:tc>
      </w:tr>
      <w:tr w14:paraId="612137F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28738E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8949D7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1983553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浙江政府采购网、温州国企采购平台及</w:t>
            </w:r>
            <w:r>
              <w:rPr>
                <w:rFonts w:hint="eastAsia" w:ascii="宋体" w:hAnsi="宋体" w:eastAsia="宋体" w:cs="宋体"/>
                <w:kern w:val="0"/>
                <w:sz w:val="18"/>
                <w:szCs w:val="18"/>
                <w:highlight w:val="none"/>
                <w:lang w:val="en-US" w:eastAsia="zh-CN"/>
              </w:rPr>
              <w:t>采购人</w:t>
            </w:r>
            <w:r>
              <w:rPr>
                <w:rFonts w:hint="eastAsia" w:ascii="宋体" w:hAnsi="宋体" w:eastAsia="宋体" w:cs="宋体"/>
                <w:kern w:val="0"/>
                <w:sz w:val="18"/>
                <w:szCs w:val="18"/>
                <w:highlight w:val="none"/>
              </w:rPr>
              <w:t>集团官网。</w:t>
            </w:r>
          </w:p>
        </w:tc>
      </w:tr>
      <w:tr w14:paraId="60EEFBA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263AB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A58D03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94C2BD7">
            <w:pPr>
              <w:spacing w:line="240" w:lineRule="exact"/>
              <w:rPr>
                <w:rFonts w:hint="eastAsia" w:ascii="宋体" w:hAnsi="宋体" w:eastAsia="宋体" w:cs="宋体"/>
                <w:b/>
                <w:kern w:val="0"/>
                <w:sz w:val="18"/>
                <w:szCs w:val="18"/>
                <w:highlight w:val="none"/>
              </w:rPr>
            </w:pPr>
            <w:r>
              <w:rPr>
                <w:rFonts w:hint="eastAsia" w:ascii="宋体" w:hAnsi="宋体" w:eastAsia="宋体" w:cs="宋体"/>
                <w:b/>
                <w:bCs w:val="0"/>
                <w:kern w:val="0"/>
                <w:sz w:val="18"/>
                <w:szCs w:val="18"/>
                <w:highlight w:val="none"/>
                <w:lang w:val="en-US" w:eastAsia="zh-CN"/>
              </w:rPr>
              <w:t>本项目接受联合体投标，具体详</w:t>
            </w:r>
            <w:r>
              <w:rPr>
                <w:rFonts w:hint="eastAsia" w:ascii="宋体" w:hAnsi="宋体" w:eastAsia="宋体" w:cs="宋体"/>
                <w:b/>
                <w:bCs w:val="0"/>
                <w:kern w:val="0"/>
                <w:sz w:val="18"/>
                <w:szCs w:val="18"/>
                <w:highlight w:val="none"/>
              </w:rPr>
              <w:t>见采购公告中的要求</w:t>
            </w:r>
          </w:p>
        </w:tc>
      </w:tr>
      <w:tr w14:paraId="1589499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AD8407">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76A09D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00E0394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bookmarkStart w:id="221" w:name="_GoBack"/>
            <w:bookmarkEnd w:id="221"/>
          </w:p>
        </w:tc>
      </w:tr>
      <w:tr w14:paraId="7E8C53B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11B261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00976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75A13EE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14:paraId="1947DD3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8EE73D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5219E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255F96F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询疑截止时间：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12</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06</w:t>
            </w:r>
            <w:r>
              <w:rPr>
                <w:rFonts w:hint="eastAsia" w:ascii="宋体" w:hAnsi="宋体" w:eastAsia="宋体" w:cs="宋体"/>
                <w:color w:val="0000FF"/>
                <w:kern w:val="0"/>
                <w:sz w:val="18"/>
                <w:szCs w:val="18"/>
                <w:highlight w:val="none"/>
              </w:rPr>
              <w:t>日1</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时00分前</w:t>
            </w:r>
          </w:p>
          <w:p w14:paraId="75C4838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询疑文件提交：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4"/>
                <w:rFonts w:hint="eastAsia" w:ascii="宋体" w:hAnsi="宋体" w:eastAsia="宋体" w:cs="宋体"/>
                <w:color w:val="auto"/>
                <w:kern w:val="0"/>
                <w:sz w:val="18"/>
                <w:szCs w:val="18"/>
                <w:highlight w:val="none"/>
              </w:rPr>
              <w:t>澄清文件加盖公章后以扫描件发送至邮箱1826066763@qq.com</w:t>
            </w:r>
            <w:r>
              <w:rPr>
                <w:rStyle w:val="34"/>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14:paraId="468830B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E9F42A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CB99CB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451392D9">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14:paraId="7330CC5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EB7D3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10AE06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5081187E">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14:paraId="2C0CB21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FBBA4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E15932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3FD9B41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人在评标结束前予以澄清、说明或补正，不接受要求进行的，评标委员会有权做无效标处理，详见第一部分投标人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14:paraId="18D8089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E31016">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6E3BA5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5183728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14:paraId="660242F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39B57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2BB920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5097C8AC">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14:paraId="7F501FB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91BA5F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E3613A4">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00D83BB4">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提供技术资信标一式七份，正本一份，副本六份；</w:t>
            </w:r>
          </w:p>
          <w:p w14:paraId="6CFDA144">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提供商务（报价）标一式七份，正本一份，副本六份；</w:t>
            </w:r>
          </w:p>
        </w:tc>
      </w:tr>
      <w:tr w14:paraId="534D3954">
        <w:tblPrEx>
          <w:tblCellMar>
            <w:top w:w="0" w:type="dxa"/>
            <w:left w:w="108" w:type="dxa"/>
            <w:bottom w:w="0" w:type="dxa"/>
            <w:right w:w="108" w:type="dxa"/>
          </w:tblCellMar>
        </w:tblPrEx>
        <w:trPr>
          <w:trHeight w:val="17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05F89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E47DB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0C54F6D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5</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12</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16</w:t>
            </w:r>
            <w:r>
              <w:rPr>
                <w:rFonts w:hint="eastAsia" w:ascii="宋体" w:hAnsi="宋体" w:eastAsia="宋体" w:cs="宋体"/>
                <w:b/>
                <w:bCs/>
                <w:color w:val="0000FF"/>
                <w:kern w:val="0"/>
                <w:sz w:val="18"/>
                <w:szCs w:val="18"/>
                <w:highlight w:val="none"/>
              </w:rPr>
              <w:t>日9时30分</w:t>
            </w:r>
          </w:p>
          <w:p w14:paraId="6D852AE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递交地点：温州市政务服务管理中心收标区 (温州市鹿城区会展路1268号温州市民中心A座3楼公共资源交易专区)（详见当天大厅大屏幕）</w:t>
            </w:r>
          </w:p>
        </w:tc>
      </w:tr>
      <w:tr w14:paraId="36C04A8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62941E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956AAB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7726384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0D0BB49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657758B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开标地点：温州市政务服务管理中心收标区 (温州市鹿城区会展路1268号温州市民中心A座3楼公共资源交易专区)（详见当天大厅大屏幕）</w:t>
            </w:r>
          </w:p>
        </w:tc>
      </w:tr>
      <w:tr w14:paraId="6A3E37E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02CFBC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E91C6B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07A9009">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795C5AB4">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2.公布在投标截止时间前递交投标文件的投标人名称，并点名确认投标人是否派授权代表到场；</w:t>
            </w:r>
          </w:p>
          <w:p w14:paraId="286CC79A">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723C5C59">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4.密封情况检查：由投标人或其推选的代表检查投标文件密封情况；</w:t>
            </w:r>
          </w:p>
          <w:p w14:paraId="2F4FECD2">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5.开标顺序：同时开启技术资信部分投标文件、商务（报价）文件；</w:t>
            </w:r>
            <w:r>
              <w:rPr>
                <w:rFonts w:hint="eastAsia" w:ascii="宋体" w:hAnsi="宋体" w:eastAsia="宋体" w:cs="宋体"/>
                <w:bCs/>
                <w:sz w:val="18"/>
                <w:szCs w:val="18"/>
                <w:highlight w:val="none"/>
              </w:rPr>
              <w:t>宣读“开标一览表”中包括投标报价等内容。</w:t>
            </w:r>
          </w:p>
          <w:p w14:paraId="20AF34D7">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6.确认开标结果：投标人授权代表对开标记录进行当场校核及勘误，并签字确认；并同时由记录人、核对人当场签字确认。</w:t>
            </w:r>
          </w:p>
          <w:p w14:paraId="4EB2F949">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5D0BC146">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8.投标人授权代表未参加开标会议；未到场签字确认的，不影响开标，评标过程，视同认可开标结果；事后不得对采购相关人员、开标过程和开标结果提出异议。</w:t>
            </w:r>
          </w:p>
        </w:tc>
      </w:tr>
      <w:tr w14:paraId="04F0425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4AA69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1083A6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7A1D11E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4730DE7C">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0101D1B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395362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1CB7AD7">
            <w:pPr>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rPr>
              <w:t>确定中标人</w:t>
            </w:r>
            <w:r>
              <w:rPr>
                <w:rFonts w:hint="eastAsia" w:ascii="宋体" w:hAnsi="宋体" w:eastAsia="宋体" w:cs="宋体"/>
                <w:b/>
                <w:bCs/>
                <w:color w:val="auto"/>
                <w:kern w:val="0"/>
                <w:sz w:val="18"/>
                <w:szCs w:val="18"/>
                <w:highlight w:val="none"/>
                <w:lang w:val="en-US" w:eastAsia="zh-CN"/>
              </w:rPr>
              <w:t>原则</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1F2BE51E">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评标委员会依据法律、法规及采购文件有关规定在有效投标人的综合得分由高到低进行排序（综合得分相同的，按投标报价由低到高进行排序；综合得分且投标报价相同的，由评标委员会抽签决定排序。），确定中标入围候选人数量，并向采购人推荐，具体规则如下：</w:t>
            </w:r>
          </w:p>
          <w:p w14:paraId="649200E3">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1.1 如有效投标人 ≤ </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家时，本项目作废标处理。</w:t>
            </w:r>
          </w:p>
          <w:p w14:paraId="083E613C">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 如有效投标人等于</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名投标人推荐为中标入围候选人。</w:t>
            </w:r>
          </w:p>
          <w:p w14:paraId="68C21757">
            <w:pPr>
              <w:ind w:firstLine="36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1.3如有效投标人</w:t>
            </w:r>
            <w:r>
              <w:rPr>
                <w:rFonts w:hint="eastAsia" w:ascii="宋体" w:hAnsi="宋体" w:eastAsia="宋体" w:cs="宋体"/>
                <w:color w:val="auto"/>
                <w:sz w:val="18"/>
                <w:szCs w:val="18"/>
                <w:highlight w:val="none"/>
                <w:lang w:val="en-US" w:eastAsia="zh-CN"/>
              </w:rPr>
              <w:t>等于6</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名投标人推荐为中标入围候选人。</w:t>
            </w:r>
          </w:p>
          <w:p w14:paraId="7378E65A">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如有效投标人≥</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家时，按综合得分由高到低排序取前</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名投标人推荐为中标入围候选人。</w:t>
            </w:r>
          </w:p>
          <w:p w14:paraId="4BEADE3A">
            <w:pPr>
              <w:ind w:firstLine="361"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2、采购人根据评标委员会的意见，</w:t>
            </w:r>
            <w:r>
              <w:rPr>
                <w:rFonts w:hint="eastAsia" w:ascii="宋体" w:hAnsi="宋体" w:eastAsia="宋体" w:cs="宋体"/>
                <w:b/>
                <w:bCs/>
                <w:color w:val="auto"/>
                <w:sz w:val="18"/>
                <w:szCs w:val="18"/>
                <w:highlight w:val="none"/>
                <w:lang w:val="en-US" w:eastAsia="zh-CN"/>
              </w:rPr>
              <w:t>确定全部中标入围候选人为</w:t>
            </w:r>
            <w:r>
              <w:rPr>
                <w:rFonts w:hint="eastAsia" w:ascii="宋体" w:hAnsi="宋体" w:eastAsia="宋体" w:cs="宋体"/>
                <w:b/>
                <w:bCs/>
                <w:color w:val="auto"/>
                <w:sz w:val="18"/>
                <w:szCs w:val="18"/>
                <w:highlight w:val="none"/>
              </w:rPr>
              <w:t>中标</w:t>
            </w:r>
            <w:r>
              <w:rPr>
                <w:rFonts w:hint="eastAsia" w:ascii="宋体" w:hAnsi="宋体" w:eastAsia="宋体" w:cs="宋体"/>
                <w:b/>
                <w:bCs/>
                <w:color w:val="auto"/>
                <w:sz w:val="18"/>
                <w:szCs w:val="18"/>
                <w:highlight w:val="none"/>
                <w:lang w:val="en-US" w:eastAsia="zh-CN"/>
              </w:rPr>
              <w:t>入围</w:t>
            </w:r>
            <w:r>
              <w:rPr>
                <w:rFonts w:hint="eastAsia" w:ascii="宋体" w:hAnsi="宋体" w:eastAsia="宋体" w:cs="宋体"/>
                <w:b/>
                <w:bCs/>
                <w:color w:val="auto"/>
                <w:sz w:val="18"/>
                <w:szCs w:val="18"/>
                <w:highlight w:val="none"/>
              </w:rPr>
              <w:t>人：</w:t>
            </w:r>
          </w:p>
          <w:p w14:paraId="2F63F736">
            <w:pPr>
              <w:ind w:firstLine="360" w:firstLineChars="2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若有中标入围候选人放弃中标；因不可抗力提出不能履行合同；或未能在规定时间内与采购人签订合同的；或者经质疑，经审查后，确因中标入围候选人在本次采购活动中存在违法违规行为或其他原因使质疑成立的，采购人将取消该中标入围候选人中标入围资格，如</w:t>
            </w:r>
            <w:r>
              <w:rPr>
                <w:rFonts w:hint="eastAsia" w:ascii="宋体" w:hAnsi="宋体" w:eastAsia="宋体" w:cs="宋体"/>
                <w:color w:val="auto"/>
                <w:sz w:val="18"/>
                <w:szCs w:val="18"/>
                <w:highlight w:val="none"/>
                <w:lang w:val="en-US" w:eastAsia="zh-CN"/>
              </w:rPr>
              <w:t>最终</w:t>
            </w:r>
            <w:r>
              <w:rPr>
                <w:rFonts w:hint="eastAsia" w:ascii="宋体" w:hAnsi="宋体" w:eastAsia="宋体" w:cs="宋体"/>
                <w:color w:val="auto"/>
                <w:sz w:val="18"/>
                <w:szCs w:val="18"/>
                <w:highlight w:val="none"/>
              </w:rPr>
              <w:t>有效中标入围人</w:t>
            </w:r>
            <w:r>
              <w:rPr>
                <w:rFonts w:hint="eastAsia" w:ascii="宋体" w:hAnsi="宋体" w:eastAsia="宋体" w:cs="宋体"/>
                <w:color w:val="auto"/>
                <w:sz w:val="18"/>
                <w:szCs w:val="18"/>
                <w:highlight w:val="none"/>
                <w:lang w:val="en-US" w:eastAsia="zh-CN"/>
              </w:rPr>
              <w:t>少于2家</w:t>
            </w:r>
            <w:r>
              <w:rPr>
                <w:rFonts w:hint="eastAsia" w:ascii="宋体" w:hAnsi="宋体" w:eastAsia="宋体" w:cs="宋体"/>
                <w:color w:val="auto"/>
                <w:sz w:val="18"/>
                <w:szCs w:val="18"/>
                <w:highlight w:val="none"/>
              </w:rPr>
              <w:t>的，宣布本次采购失败，重新组织采购。</w:t>
            </w:r>
          </w:p>
        </w:tc>
      </w:tr>
      <w:tr w14:paraId="38D840EA">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83F73C4">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DACA77E">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219E9124">
            <w:pPr>
              <w:widowControl/>
              <w:jc w:val="left"/>
              <w:rPr>
                <w:rFonts w:hint="eastAsia" w:ascii="宋体" w:hAnsi="宋体" w:eastAsia="宋体" w:cs="宋体"/>
                <w:b/>
                <w:color w:val="auto"/>
                <w:sz w:val="18"/>
                <w:szCs w:val="18"/>
                <w:highlight w:val="none"/>
                <w:u w:val="single"/>
                <w:lang w:val="en-US" w:eastAsia="zh-CN"/>
              </w:rPr>
            </w:pPr>
            <w:r>
              <w:rPr>
                <w:rFonts w:hint="eastAsia" w:ascii="宋体" w:hAnsi="宋体" w:eastAsia="宋体" w:cs="宋体"/>
                <w:b/>
                <w:color w:val="auto"/>
                <w:sz w:val="18"/>
                <w:szCs w:val="18"/>
                <w:highlight w:val="none"/>
                <w:u w:val="single"/>
                <w:lang w:val="en-US" w:eastAsia="zh-CN"/>
              </w:rPr>
              <w:t>本项目不需要履约担保</w:t>
            </w:r>
          </w:p>
        </w:tc>
      </w:tr>
      <w:tr w14:paraId="44C23AF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FF05ED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01EC44">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0CC5BF0F">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0A0EACCD">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（2）合同签订后，中标人应在2个工作日内将合同扫描件电子版发给采购代理机构，由采购代理机构负责备案。邮箱：1826066763@qq.com。</w:t>
            </w:r>
          </w:p>
        </w:tc>
      </w:tr>
      <w:tr w14:paraId="041F360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6A5CB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C98D3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352F643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1、采购文件、采购公告中如有前后不一致的，一律以本“投标人须知前附表”为准；</w:t>
            </w:r>
          </w:p>
          <w:p w14:paraId="0F0E64A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6FE0A68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1ED36760">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14:paraId="07DFD8E2">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14:paraId="5A8E33D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40D78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A8130FC">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6694B393">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如发现采购文件中存在含糊不清的，请在规定的答疑截止时间前向采购人、采购代理书面提出，逾期不得再对采购文件的条款提出疑问。</w:t>
            </w:r>
          </w:p>
        </w:tc>
      </w:tr>
      <w:tr w14:paraId="6C906079">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7E9B136B">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2B56AAEB">
      <w:pPr>
        <w:spacing w:before="120" w:beforeLines="50" w:after="120"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17091B83">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117379B2">
      <w:pPr>
        <w:numPr>
          <w:ilvl w:val="0"/>
          <w:numId w:val="3"/>
        </w:numPr>
        <w:tabs>
          <w:tab w:val="left" w:pos="525"/>
          <w:tab w:val="left" w:pos="900"/>
        </w:tabs>
        <w:wordWrap w:val="0"/>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温国资委【2024】51号）等有关法律、法规组织和实施的。1.本项目采购公告同时在浙江政府采购网（https://zfcg.czt.zj.gov.cn/）、温州国企采购平台（https://wzgzw-cg.zhengcaiyun.cn/home.html）和温州市交通发展集团有限公司网https://www.wzjfjt.cn/）（以下简称“项目采购公告发布的网站”）发布。</w:t>
      </w:r>
    </w:p>
    <w:p w14:paraId="2692ACC9">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57BFE35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5533802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4D95BBF4">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指全权代表投标人参加投标活动并签署投标文件的人。如果投标人代表不是法定代表人（负责人），须持有《法定代表人（负责人）授权书》。</w:t>
      </w:r>
    </w:p>
    <w:p w14:paraId="446D525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2983CB0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7875870B">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0EE1C14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0DB91583">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6B751950">
      <w:pPr>
        <w:spacing w:before="120" w:beforeLines="50" w:after="120" w:afterLines="50"/>
        <w:jc w:val="center"/>
        <w:rPr>
          <w:rFonts w:hint="eastAsia" w:ascii="宋体" w:hAnsi="宋体" w:eastAsia="宋体" w:cs="宋体"/>
          <w:b/>
          <w:sz w:val="28"/>
          <w:szCs w:val="28"/>
          <w:highlight w:val="none"/>
        </w:rPr>
      </w:pPr>
      <w:bookmarkStart w:id="33" w:name="_Toc216667821"/>
      <w:bookmarkStart w:id="34" w:name="_Toc204491318"/>
      <w:bookmarkStart w:id="35" w:name="_Toc227056847"/>
      <w:bookmarkStart w:id="36" w:name="_Toc217460686"/>
      <w:bookmarkStart w:id="37" w:name="_Toc209332634"/>
      <w:bookmarkStart w:id="38" w:name="_Toc218041727"/>
      <w:bookmarkStart w:id="39" w:name="_Toc205004969"/>
      <w:bookmarkStart w:id="40" w:name="_Toc205877558"/>
      <w:bookmarkStart w:id="41" w:name="_Toc227489888"/>
      <w:bookmarkStart w:id="42" w:name="_Toc209251128"/>
      <w:bookmarkStart w:id="43" w:name="_Toc210879709"/>
      <w:bookmarkStart w:id="44" w:name="_Toc205703103"/>
      <w:bookmarkStart w:id="45" w:name="_Toc209250720"/>
      <w:bookmarkStart w:id="46" w:name="_Toc219538614"/>
      <w:bookmarkStart w:id="47" w:name="_Toc223933222"/>
      <w:bookmarkStart w:id="48" w:name="_Toc223717605"/>
      <w:bookmarkStart w:id="49" w:name="_Toc207609182"/>
      <w:bookmarkStart w:id="50" w:name="_Toc204578576"/>
      <w:bookmarkStart w:id="51" w:name="_Toc209261366"/>
      <w:bookmarkStart w:id="52" w:name="_Toc209261433"/>
      <w:bookmarkStart w:id="53" w:name="_Toc227057034"/>
      <w:bookmarkStart w:id="54" w:name="_Toc205877453"/>
      <w:bookmarkStart w:id="55" w:name="_Toc215415531"/>
      <w:bookmarkStart w:id="56" w:name="_Toc214365791"/>
      <w:bookmarkStart w:id="57" w:name="_Toc205005287"/>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862EEA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49566F6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06672717">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询疑截止期后的疑问将不予受理、答复。如果采购文件答疑期内未收到有关疑问，视为投标人完全同意采购文件所有条款，且对于采购文件相关表述以及未尽事宜如有争议，以采购人解释为准。</w:t>
      </w:r>
    </w:p>
    <w:p w14:paraId="4E5C340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23D9F9C8">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8.1  </w:t>
      </w:r>
      <w:r>
        <w:rPr>
          <w:rFonts w:hint="eastAsia" w:ascii="宋体" w:hAnsi="宋体" w:eastAsia="宋体" w:cs="宋体"/>
          <w:sz w:val="22"/>
        </w:rPr>
        <w:t>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311A250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2DB736B8">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3A88A77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6571D17B">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在采购文件规定的答疑截止时间后，经采购人及采购机构同意购买采购文件的投标人不得对采购文件及其补充文件提出澄清答疑要求。</w:t>
      </w:r>
    </w:p>
    <w:p w14:paraId="1202628E">
      <w:pPr>
        <w:spacing w:before="120" w:beforeLines="50" w:after="120" w:afterLines="50"/>
        <w:jc w:val="center"/>
        <w:rPr>
          <w:rFonts w:hint="eastAsia" w:ascii="宋体" w:hAnsi="宋体" w:eastAsia="宋体" w:cs="宋体"/>
          <w:b/>
          <w:sz w:val="28"/>
          <w:szCs w:val="28"/>
          <w:highlight w:val="none"/>
        </w:rPr>
      </w:pPr>
      <w:bookmarkStart w:id="58" w:name="_Toc216667822"/>
      <w:bookmarkStart w:id="59" w:name="_Toc204578577"/>
      <w:bookmarkStart w:id="60" w:name="_Toc215415532"/>
      <w:bookmarkStart w:id="61" w:name="_Toc223933223"/>
      <w:bookmarkStart w:id="62" w:name="_Toc210879710"/>
      <w:bookmarkStart w:id="63" w:name="_Toc205703104"/>
      <w:bookmarkStart w:id="64" w:name="_Toc217460687"/>
      <w:bookmarkStart w:id="65" w:name="_Toc218041728"/>
      <w:bookmarkStart w:id="66" w:name="_Toc209261434"/>
      <w:bookmarkStart w:id="67" w:name="_Toc209250721"/>
      <w:bookmarkStart w:id="68" w:name="_Toc227489889"/>
      <w:bookmarkStart w:id="69" w:name="_Toc219538615"/>
      <w:bookmarkStart w:id="70" w:name="_Toc209261367"/>
      <w:bookmarkStart w:id="71" w:name="_Toc207609183"/>
      <w:bookmarkStart w:id="72" w:name="_Toc205005288"/>
      <w:bookmarkStart w:id="73" w:name="_Toc205877454"/>
      <w:bookmarkStart w:id="74" w:name="_Toc227057035"/>
      <w:bookmarkStart w:id="75" w:name="_Toc227056848"/>
      <w:bookmarkStart w:id="76" w:name="_Toc205004970"/>
      <w:bookmarkStart w:id="77" w:name="_Toc205877559"/>
      <w:bookmarkStart w:id="78" w:name="_Toc223717606"/>
      <w:bookmarkStart w:id="79" w:name="_Toc204491319"/>
      <w:bookmarkStart w:id="80" w:name="_Toc209332635"/>
      <w:bookmarkStart w:id="81" w:name="_Toc214365792"/>
      <w:bookmarkStart w:id="82" w:name="_Toc209251129"/>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125C2C">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183980C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11F4180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5FA92B35">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5B90210D">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14:paraId="224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D2D0A60">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303" w:type="dxa"/>
            <w:vAlign w:val="center"/>
          </w:tcPr>
          <w:p w14:paraId="25EDC73A">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924" w:type="dxa"/>
            <w:vAlign w:val="center"/>
          </w:tcPr>
          <w:p w14:paraId="2EB9BB95">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360C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9389D6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303" w:type="dxa"/>
            <w:vAlign w:val="center"/>
          </w:tcPr>
          <w:p w14:paraId="58D16CAE">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924" w:type="dxa"/>
            <w:vAlign w:val="center"/>
          </w:tcPr>
          <w:p w14:paraId="684076A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247D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7A8D01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303" w:type="dxa"/>
            <w:vAlign w:val="center"/>
          </w:tcPr>
          <w:p w14:paraId="19562283">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924" w:type="dxa"/>
            <w:vAlign w:val="center"/>
          </w:tcPr>
          <w:p w14:paraId="2DA7144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4546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CCF1743">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14:paraId="79F2086D">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924" w:type="dxa"/>
            <w:vAlign w:val="center"/>
          </w:tcPr>
          <w:p w14:paraId="659B366C">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附件三</w:t>
            </w:r>
          </w:p>
        </w:tc>
      </w:tr>
      <w:tr w14:paraId="07DD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56AB5D3">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（1）</w:t>
            </w:r>
          </w:p>
        </w:tc>
        <w:tc>
          <w:tcPr>
            <w:tcW w:w="7303" w:type="dxa"/>
            <w:vAlign w:val="center"/>
          </w:tcPr>
          <w:p w14:paraId="4E6CC643">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法定代表人（负责人）授权书（授权代表参加投标时提供）</w:t>
            </w:r>
          </w:p>
        </w:tc>
        <w:tc>
          <w:tcPr>
            <w:tcW w:w="924" w:type="dxa"/>
            <w:vAlign w:val="center"/>
          </w:tcPr>
          <w:p w14:paraId="6961584C">
            <w:pPr>
              <w:jc w:val="center"/>
              <w:rPr>
                <w:rFonts w:hint="eastAsia" w:ascii="宋体" w:hAnsi="宋体" w:eastAsia="宋体" w:cs="宋体"/>
                <w:sz w:val="18"/>
                <w:szCs w:val="18"/>
                <w:highlight w:val="none"/>
                <w:u w:val="single"/>
              </w:rPr>
            </w:pPr>
          </w:p>
        </w:tc>
      </w:tr>
      <w:tr w14:paraId="6E35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80BBD52">
            <w:pPr>
              <w:jc w:val="center"/>
              <w:rPr>
                <w:rFonts w:hint="eastAsia" w:ascii="宋体" w:hAnsi="宋体" w:eastAsia="宋体" w:cs="宋体"/>
                <w:sz w:val="18"/>
                <w:szCs w:val="18"/>
                <w:highlight w:val="none"/>
                <w:u w:val="single"/>
              </w:rPr>
            </w:pPr>
          </w:p>
        </w:tc>
        <w:tc>
          <w:tcPr>
            <w:tcW w:w="7303" w:type="dxa"/>
            <w:vAlign w:val="center"/>
          </w:tcPr>
          <w:p w14:paraId="6E5AFE76">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法定代表人（负责人）资格证明书</w:t>
            </w:r>
          </w:p>
        </w:tc>
        <w:tc>
          <w:tcPr>
            <w:tcW w:w="924" w:type="dxa"/>
            <w:vAlign w:val="center"/>
          </w:tcPr>
          <w:p w14:paraId="43850B20">
            <w:pPr>
              <w:jc w:val="center"/>
              <w:rPr>
                <w:rFonts w:hint="eastAsia" w:ascii="宋体" w:hAnsi="宋体" w:eastAsia="宋体" w:cs="宋体"/>
                <w:sz w:val="18"/>
                <w:szCs w:val="18"/>
                <w:highlight w:val="none"/>
                <w:u w:val="single"/>
              </w:rPr>
            </w:pPr>
          </w:p>
        </w:tc>
      </w:tr>
      <w:tr w14:paraId="2BE0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F537054">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（2）</w:t>
            </w:r>
          </w:p>
        </w:tc>
        <w:tc>
          <w:tcPr>
            <w:tcW w:w="7303" w:type="dxa"/>
            <w:vAlign w:val="center"/>
          </w:tcPr>
          <w:p w14:paraId="722ABB0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p w14:paraId="79CB135F">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24" w:type="dxa"/>
            <w:vAlign w:val="center"/>
          </w:tcPr>
          <w:p w14:paraId="0280F569">
            <w:pPr>
              <w:jc w:val="center"/>
              <w:rPr>
                <w:rFonts w:hint="eastAsia" w:ascii="宋体" w:hAnsi="宋体" w:eastAsia="宋体" w:cs="宋体"/>
                <w:sz w:val="18"/>
                <w:szCs w:val="18"/>
                <w:highlight w:val="none"/>
                <w:u w:val="single"/>
              </w:rPr>
            </w:pPr>
          </w:p>
        </w:tc>
      </w:tr>
      <w:tr w14:paraId="3458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DB1583F">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14:paraId="0F588B77">
            <w:pPr>
              <w:widowControl/>
              <w:spacing w:line="280" w:lineRule="exact"/>
              <w:jc w:val="left"/>
              <w:rPr>
                <w:rFonts w:hint="eastAsia" w:ascii="宋体" w:hAnsi="宋体" w:eastAsia="宋体" w:cs="宋体"/>
                <w:bCs w:val="0"/>
                <w:strike w:val="0"/>
                <w:dstrike w:val="0"/>
                <w:kern w:val="2"/>
                <w:sz w:val="18"/>
                <w:szCs w:val="18"/>
                <w:highlight w:val="none"/>
                <w:u w:val="single"/>
                <w:lang w:val="en-US" w:eastAsia="zh-CN"/>
              </w:rPr>
            </w:pPr>
            <w:r>
              <w:rPr>
                <w:rFonts w:hint="eastAsia" w:ascii="宋体" w:hAnsi="宋体" w:eastAsia="宋体" w:cs="宋体"/>
                <w:strike w:val="0"/>
                <w:dstrike w:val="0"/>
                <w:sz w:val="18"/>
                <w:szCs w:val="18"/>
                <w:highlight w:val="none"/>
                <w:u w:val="single"/>
                <w:lang w:eastAsia="zh-CN"/>
              </w:rPr>
              <w:t>行业监管部门认定的债券承销业务资格的证明文件</w:t>
            </w:r>
            <w:r>
              <w:rPr>
                <w:rFonts w:hint="eastAsia" w:ascii="宋体" w:hAnsi="宋体" w:eastAsia="宋体" w:cs="宋体"/>
                <w:bCs w:val="0"/>
                <w:strike w:val="0"/>
                <w:dstrike w:val="0"/>
                <w:kern w:val="2"/>
                <w:sz w:val="18"/>
                <w:szCs w:val="18"/>
                <w:highlight w:val="none"/>
                <w:u w:val="single"/>
                <w:lang w:val="en-US" w:eastAsia="zh-CN"/>
              </w:rPr>
              <w:t>（复印件加盖单位公章）</w:t>
            </w:r>
          </w:p>
          <w:p w14:paraId="7908EA57">
            <w:pPr>
              <w:widowControl/>
              <w:spacing w:line="280" w:lineRule="exact"/>
              <w:jc w:val="left"/>
              <w:rPr>
                <w:rFonts w:hint="eastAsia" w:ascii="宋体" w:hAnsi="宋体" w:eastAsia="宋体" w:cs="宋体"/>
                <w:bCs w:val="0"/>
                <w:strike w:val="0"/>
                <w:dstrike w:val="0"/>
                <w:kern w:val="2"/>
                <w:sz w:val="18"/>
                <w:szCs w:val="18"/>
                <w:highlight w:val="none"/>
                <w:u w:val="single"/>
                <w:lang w:val="en-US" w:eastAsia="zh-CN"/>
              </w:rPr>
            </w:pPr>
            <w:r>
              <w:rPr>
                <w:rFonts w:hint="eastAsia" w:ascii="宋体" w:hAnsi="宋体" w:eastAsia="宋体" w:cs="宋体"/>
                <w:bCs w:val="0"/>
                <w:strike w:val="0"/>
                <w:dstrike w:val="0"/>
                <w:kern w:val="2"/>
                <w:sz w:val="18"/>
                <w:szCs w:val="18"/>
                <w:highlight w:val="none"/>
                <w:u w:val="single"/>
                <w:lang w:val="en-US" w:eastAsia="zh-CN"/>
              </w:rPr>
              <w:t>如投标人为全国性企业所设立的区域性分支机构的，则提交总公司的相关债券承销业务的资格证明文件复印件加盖单位公章，同时提供总公司（总机构）授权文件或提供省级机构（一级机构）授权文件。</w:t>
            </w:r>
          </w:p>
        </w:tc>
        <w:tc>
          <w:tcPr>
            <w:tcW w:w="924" w:type="dxa"/>
            <w:vAlign w:val="center"/>
          </w:tcPr>
          <w:p w14:paraId="2D736152">
            <w:pPr>
              <w:jc w:val="center"/>
              <w:rPr>
                <w:rFonts w:hint="eastAsia" w:ascii="宋体" w:hAnsi="宋体" w:eastAsia="宋体" w:cs="宋体"/>
                <w:sz w:val="18"/>
                <w:szCs w:val="18"/>
                <w:highlight w:val="none"/>
                <w:u w:val="single"/>
              </w:rPr>
            </w:pPr>
          </w:p>
        </w:tc>
      </w:tr>
      <w:tr w14:paraId="16A2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CFA7FB0">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（4）</w:t>
            </w:r>
          </w:p>
        </w:tc>
        <w:tc>
          <w:tcPr>
            <w:tcW w:w="7303" w:type="dxa"/>
            <w:vAlign w:val="center"/>
          </w:tcPr>
          <w:p w14:paraId="1515881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投标声明书</w:t>
            </w:r>
          </w:p>
        </w:tc>
        <w:tc>
          <w:tcPr>
            <w:tcW w:w="924" w:type="dxa"/>
            <w:vAlign w:val="center"/>
          </w:tcPr>
          <w:p w14:paraId="02AEDBBC">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附件四</w:t>
            </w:r>
          </w:p>
        </w:tc>
      </w:tr>
      <w:tr w14:paraId="52E7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C232E24">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a</w:t>
            </w:r>
          </w:p>
        </w:tc>
        <w:tc>
          <w:tcPr>
            <w:tcW w:w="7303" w:type="dxa"/>
            <w:vAlign w:val="center"/>
          </w:tcPr>
          <w:p w14:paraId="7DCFE0CD">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924" w:type="dxa"/>
            <w:vAlign w:val="center"/>
          </w:tcPr>
          <w:p w14:paraId="0F5E60A2">
            <w:pPr>
              <w:jc w:val="center"/>
              <w:rPr>
                <w:rFonts w:hint="eastAsia" w:ascii="宋体" w:hAnsi="宋体" w:eastAsia="宋体" w:cs="宋体"/>
                <w:sz w:val="18"/>
                <w:szCs w:val="18"/>
                <w:highlight w:val="none"/>
                <w:u w:val="single"/>
              </w:rPr>
            </w:pPr>
          </w:p>
        </w:tc>
      </w:tr>
      <w:tr w14:paraId="00AC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AA560F9">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b</w:t>
            </w:r>
          </w:p>
        </w:tc>
        <w:tc>
          <w:tcPr>
            <w:tcW w:w="7303" w:type="dxa"/>
            <w:vAlign w:val="center"/>
          </w:tcPr>
          <w:p w14:paraId="537A0C2F">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14:paraId="33901E38">
            <w:pPr>
              <w:jc w:val="center"/>
              <w:rPr>
                <w:rFonts w:hint="eastAsia" w:ascii="宋体" w:hAnsi="宋体" w:eastAsia="宋体" w:cs="宋体"/>
                <w:sz w:val="18"/>
                <w:szCs w:val="18"/>
                <w:highlight w:val="none"/>
                <w:u w:val="single"/>
              </w:rPr>
            </w:pPr>
          </w:p>
        </w:tc>
      </w:tr>
      <w:tr w14:paraId="1B7A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34CE8D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7303" w:type="dxa"/>
            <w:vAlign w:val="center"/>
          </w:tcPr>
          <w:p w14:paraId="2B6AC21E">
            <w:pPr>
              <w:rPr>
                <w:rFonts w:hint="eastAsia" w:ascii="宋体" w:hAnsi="宋体" w:eastAsia="宋体" w:cs="宋体"/>
                <w:sz w:val="18"/>
                <w:szCs w:val="18"/>
                <w:highlight w:val="none"/>
              </w:rPr>
            </w:pPr>
            <w:r>
              <w:rPr>
                <w:rFonts w:hint="eastAsia" w:ascii="宋体" w:hAnsi="宋体" w:eastAsia="宋体" w:cs="宋体"/>
                <w:sz w:val="18"/>
                <w:szCs w:val="18"/>
                <w:highlight w:val="none"/>
              </w:rPr>
              <w:t>拟投入本项目的服务团队人员配置表</w:t>
            </w:r>
          </w:p>
        </w:tc>
        <w:tc>
          <w:tcPr>
            <w:tcW w:w="924" w:type="dxa"/>
            <w:shd w:val="clear" w:color="auto" w:fill="auto"/>
            <w:vAlign w:val="center"/>
          </w:tcPr>
          <w:p w14:paraId="046A663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附件五</w:t>
            </w:r>
          </w:p>
        </w:tc>
      </w:tr>
      <w:tr w14:paraId="3058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453E772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w:t>
            </w:r>
          </w:p>
        </w:tc>
        <w:tc>
          <w:tcPr>
            <w:tcW w:w="7303" w:type="dxa"/>
            <w:shd w:val="clear" w:color="auto" w:fill="auto"/>
            <w:vAlign w:val="center"/>
          </w:tcPr>
          <w:p w14:paraId="209A19FF">
            <w:pP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中标年承销费率承诺函</w:t>
            </w:r>
          </w:p>
        </w:tc>
        <w:tc>
          <w:tcPr>
            <w:tcW w:w="924" w:type="dxa"/>
            <w:shd w:val="clear" w:color="auto" w:fill="auto"/>
            <w:vAlign w:val="center"/>
          </w:tcPr>
          <w:p w14:paraId="189ACFBD">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14:paraId="659F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5C73E7A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7303" w:type="dxa"/>
            <w:vAlign w:val="center"/>
          </w:tcPr>
          <w:p w14:paraId="3F2A8CE7">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包销承诺函</w:t>
            </w:r>
          </w:p>
        </w:tc>
        <w:tc>
          <w:tcPr>
            <w:tcW w:w="924" w:type="dxa"/>
            <w:vAlign w:val="center"/>
          </w:tcPr>
          <w:p w14:paraId="3799220E">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附件七</w:t>
            </w:r>
          </w:p>
        </w:tc>
      </w:tr>
      <w:tr w14:paraId="5CAE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D53D402">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303" w:type="dxa"/>
            <w:vAlign w:val="center"/>
          </w:tcPr>
          <w:p w14:paraId="2A4E0588">
            <w:pPr>
              <w:rPr>
                <w:rFonts w:hint="eastAsia" w:ascii="宋体" w:hAnsi="宋体" w:eastAsia="宋体" w:cs="宋体"/>
                <w:sz w:val="18"/>
                <w:szCs w:val="18"/>
                <w:highlight w:val="none"/>
              </w:rPr>
            </w:pPr>
            <w:r>
              <w:rPr>
                <w:rFonts w:hint="eastAsia" w:ascii="宋体" w:hAnsi="宋体" w:eastAsia="宋体" w:cs="宋体"/>
                <w:sz w:val="18"/>
                <w:szCs w:val="18"/>
                <w:highlight w:val="none"/>
              </w:rPr>
              <w:t>根据采购文件中的采购内容及要求以及技术资信评分项目逐项编制，需编制目录索引，注明评分细则项目所在投标文件页码。）</w:t>
            </w:r>
          </w:p>
          <w:p w14:paraId="6359EB80">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本文件《第三部分  附件》附件中未提供格式的，可自行拟定格式，否则视为未提供。</w:t>
            </w:r>
          </w:p>
        </w:tc>
        <w:tc>
          <w:tcPr>
            <w:tcW w:w="924" w:type="dxa"/>
            <w:vAlign w:val="center"/>
          </w:tcPr>
          <w:p w14:paraId="2935AA1D">
            <w:pPr>
              <w:jc w:val="center"/>
              <w:rPr>
                <w:rFonts w:hint="eastAsia" w:ascii="宋体" w:hAnsi="宋体" w:eastAsia="宋体" w:cs="宋体"/>
                <w:kern w:val="2"/>
                <w:sz w:val="18"/>
                <w:szCs w:val="18"/>
                <w:highlight w:val="none"/>
                <w:lang w:val="en-US" w:eastAsia="zh-CN" w:bidi="ar-SA"/>
              </w:rPr>
            </w:pPr>
          </w:p>
        </w:tc>
      </w:tr>
      <w:tr w14:paraId="2DDB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EB19E9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8</w:t>
            </w:r>
          </w:p>
        </w:tc>
        <w:tc>
          <w:tcPr>
            <w:tcW w:w="0" w:type="auto"/>
            <w:vAlign w:val="center"/>
          </w:tcPr>
          <w:p w14:paraId="5B579966">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投标人公司简介以及认为需要提供的其他相关资料</w:t>
            </w:r>
          </w:p>
        </w:tc>
        <w:tc>
          <w:tcPr>
            <w:tcW w:w="0" w:type="auto"/>
            <w:vAlign w:val="center"/>
          </w:tcPr>
          <w:p w14:paraId="486F9FA2">
            <w:pPr>
              <w:jc w:val="center"/>
              <w:rPr>
                <w:rFonts w:hint="eastAsia" w:ascii="宋体" w:hAnsi="宋体" w:eastAsia="宋体" w:cs="宋体"/>
                <w:kern w:val="2"/>
                <w:sz w:val="18"/>
                <w:szCs w:val="18"/>
                <w:highlight w:val="none"/>
                <w:lang w:val="en-US" w:eastAsia="zh-CN" w:bidi="ar-SA"/>
              </w:rPr>
            </w:pPr>
          </w:p>
        </w:tc>
      </w:tr>
    </w:tbl>
    <w:p w14:paraId="57B2E062">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084B6273">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1）投标人可根据采购文件中的采购内容及要求以及技术资信评分表，提供投标人认为需要提供的文件和资料。</w:t>
      </w:r>
    </w:p>
    <w:p w14:paraId="761129F3">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w:t>
      </w:r>
      <w:r>
        <w:rPr>
          <w:rFonts w:hint="eastAsia" w:ascii="宋体" w:hAnsi="宋体" w:eastAsia="宋体" w:cs="宋体"/>
          <w:b/>
          <w:bCs/>
          <w:sz w:val="22"/>
          <w:highlight w:val="none"/>
          <w:u w:val="single"/>
        </w:rPr>
        <w:t>以上所需的各种证书、证件、证明、执照等若系复印件，须在复印件上加盖投标人有效的公章</w:t>
      </w:r>
      <w:r>
        <w:rPr>
          <w:rFonts w:hint="eastAsia" w:ascii="宋体" w:hAnsi="宋体" w:eastAsia="宋体" w:cs="宋体"/>
          <w:sz w:val="22"/>
          <w:highlight w:val="none"/>
        </w:rPr>
        <w:t>。</w:t>
      </w:r>
    </w:p>
    <w:p w14:paraId="469A8EFE">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3）投标人的投标文件必须按照采购文件要求制作。</w:t>
      </w:r>
    </w:p>
    <w:p w14:paraId="7A96C137">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7838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2F024E1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2E35482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156293B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218F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622B3A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6569A361">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77E721B8">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八</w:t>
            </w:r>
          </w:p>
        </w:tc>
      </w:tr>
      <w:tr w14:paraId="093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6DAE6F2A">
            <w:pPr>
              <w:jc w:val="center"/>
              <w:rPr>
                <w:rFonts w:hint="eastAsia" w:ascii="宋体" w:hAnsi="宋体" w:eastAsia="宋体" w:cs="宋体"/>
                <w:sz w:val="18"/>
                <w:szCs w:val="18"/>
                <w:highlight w:val="none"/>
              </w:rPr>
            </w:pPr>
          </w:p>
        </w:tc>
        <w:tc>
          <w:tcPr>
            <w:tcW w:w="6323" w:type="dxa"/>
            <w:vAlign w:val="center"/>
          </w:tcPr>
          <w:p w14:paraId="3A45BD7E">
            <w:pPr>
              <w:rPr>
                <w:rFonts w:hint="eastAsia" w:ascii="宋体" w:hAnsi="宋体" w:eastAsia="宋体" w:cs="宋体"/>
                <w:sz w:val="18"/>
                <w:szCs w:val="18"/>
                <w:highlight w:val="none"/>
              </w:rPr>
            </w:pPr>
          </w:p>
        </w:tc>
        <w:tc>
          <w:tcPr>
            <w:tcW w:w="1496" w:type="dxa"/>
            <w:vAlign w:val="center"/>
          </w:tcPr>
          <w:p w14:paraId="3AB4638E">
            <w:pPr>
              <w:jc w:val="center"/>
              <w:rPr>
                <w:rFonts w:hint="eastAsia" w:ascii="宋体" w:hAnsi="宋体" w:eastAsia="宋体" w:cs="宋体"/>
                <w:sz w:val="18"/>
                <w:szCs w:val="18"/>
                <w:highlight w:val="none"/>
              </w:rPr>
            </w:pPr>
          </w:p>
        </w:tc>
      </w:tr>
    </w:tbl>
    <w:p w14:paraId="02023405">
      <w:pPr>
        <w:rPr>
          <w:rFonts w:hint="eastAsia" w:ascii="宋体" w:hAnsi="宋体" w:eastAsia="宋体" w:cs="宋体"/>
          <w:b/>
          <w:sz w:val="22"/>
          <w:highlight w:val="none"/>
        </w:rPr>
      </w:pPr>
    </w:p>
    <w:p w14:paraId="370A6DFB">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1B10AB22">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绝。</w:t>
      </w:r>
    </w:p>
    <w:p w14:paraId="59F2C1DA">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17C5A50B">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14:paraId="40E92F20">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7C9BE2CA">
      <w:pPr>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 xml:space="preserve">12.1 </w:t>
      </w:r>
      <w:r>
        <w:rPr>
          <w:rFonts w:hint="eastAsia" w:ascii="宋体" w:hAnsi="宋体" w:eastAsia="宋体" w:cs="宋体"/>
          <w:b/>
          <w:bCs/>
          <w:sz w:val="22"/>
          <w:highlight w:val="none"/>
          <w:u w:val="single"/>
        </w:rPr>
        <w:t>▲本项目要求投标人以年承销费率进行报价，以基点（BP）为单位，年承销费率在合同执行过程中不予调整</w:t>
      </w:r>
      <w:r>
        <w:rPr>
          <w:rFonts w:hint="eastAsia" w:ascii="宋体" w:hAnsi="宋体" w:eastAsia="宋体" w:cs="宋体"/>
          <w:b/>
          <w:bCs/>
          <w:sz w:val="22"/>
          <w:highlight w:val="none"/>
        </w:rPr>
        <w:t>。</w:t>
      </w:r>
    </w:p>
    <w:p w14:paraId="70CF8010">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 xml:space="preserve">12.2 </w:t>
      </w:r>
      <w:r>
        <w:rPr>
          <w:rFonts w:hint="eastAsia" w:ascii="宋体" w:hAnsi="宋体" w:eastAsia="宋体" w:cs="宋体"/>
          <w:b/>
          <w:bCs/>
          <w:sz w:val="22"/>
          <w:highlight w:val="none"/>
          <w:lang w:val="en-US" w:eastAsia="zh-CN"/>
        </w:rPr>
        <w:t xml:space="preserve"> </w:t>
      </w:r>
      <w:r>
        <w:rPr>
          <w:rFonts w:hint="eastAsia" w:ascii="宋体" w:hAnsi="宋体" w:eastAsia="宋体" w:cs="宋体"/>
          <w:b/>
          <w:bCs/>
          <w:sz w:val="22"/>
          <w:highlight w:val="none"/>
          <w:lang w:eastAsia="zh-CN"/>
        </w:rPr>
        <w:t>投标人</w:t>
      </w:r>
      <w:r>
        <w:rPr>
          <w:rFonts w:hint="eastAsia" w:ascii="宋体" w:hAnsi="宋体" w:eastAsia="宋体" w:cs="宋体"/>
          <w:b/>
          <w:bCs/>
          <w:sz w:val="22"/>
          <w:highlight w:val="none"/>
        </w:rPr>
        <w:t>认为为完成本采购文件规定的承包内容所需发生的直接成本、间接成本、利润、税金、政策性文件规定的费用等一切费用均应计入投标报价；凡未列入的，将被认为均已包含在总报价中，今后不得以任何理由追加或调整。投标报价应包括采购代理服务费。</w:t>
      </w:r>
    </w:p>
    <w:p w14:paraId="2A8B4C2A">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w:t>
      </w:r>
      <w:r>
        <w:rPr>
          <w:rFonts w:hint="eastAsia" w:ascii="宋体" w:hAnsi="宋体" w:eastAsia="宋体" w:cs="宋体"/>
          <w:b/>
          <w:bCs/>
          <w:sz w:val="22"/>
          <w:highlight w:val="none"/>
          <w:lang w:val="en-US" w:eastAsia="zh-CN"/>
        </w:rPr>
        <w:t>3</w:t>
      </w:r>
      <w:r>
        <w:rPr>
          <w:rFonts w:hint="eastAsia" w:ascii="宋体" w:hAnsi="宋体" w:eastAsia="宋体" w:cs="宋体"/>
          <w:b/>
          <w:bCs/>
          <w:sz w:val="22"/>
          <w:highlight w:val="none"/>
        </w:rPr>
        <w:t xml:space="preserve"> 投标人必须按附件中的开标一览表（均统一格式）内容填写报价，并由法定代表人（负责人）或投标人代表签署。</w:t>
      </w:r>
    </w:p>
    <w:p w14:paraId="18A90934">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 xml:space="preserve"> </w:t>
      </w:r>
      <w:r>
        <w:rPr>
          <w:rFonts w:hint="eastAsia" w:ascii="宋体" w:hAnsi="宋体" w:eastAsia="宋体" w:cs="宋体"/>
          <w:b/>
          <w:bCs/>
          <w:sz w:val="22"/>
          <w:highlight w:val="none"/>
        </w:rPr>
        <w:t>采购人不接受任何选择报价，本项目只允许一个报价。</w:t>
      </w:r>
    </w:p>
    <w:p w14:paraId="730E3797">
      <w:pPr>
        <w:tabs>
          <w:tab w:val="left" w:pos="-180"/>
          <w:tab w:val="left" w:pos="180"/>
          <w:tab w:val="left" w:pos="360"/>
        </w:tabs>
        <w:ind w:left="552" w:hanging="552" w:hangingChars="250"/>
        <w:rPr>
          <w:rFonts w:hint="eastAsia" w:ascii="宋体" w:hAnsi="宋体" w:eastAsia="宋体" w:cs="宋体"/>
          <w:b/>
          <w:sz w:val="22"/>
          <w:highlight w:val="none"/>
        </w:rPr>
      </w:pPr>
      <w:r>
        <w:rPr>
          <w:rFonts w:hint="eastAsia" w:ascii="宋体" w:hAnsi="宋体" w:eastAsia="宋体" w:cs="宋体"/>
          <w:b/>
          <w:sz w:val="22"/>
          <w:highlight w:val="none"/>
        </w:rPr>
        <w:t>12.</w:t>
      </w:r>
      <w:r>
        <w:rPr>
          <w:rFonts w:hint="eastAsia" w:ascii="宋体" w:hAnsi="宋体" w:eastAsia="宋体" w:cs="宋体"/>
          <w:b/>
          <w:sz w:val="22"/>
          <w:highlight w:val="none"/>
          <w:lang w:val="en-US" w:eastAsia="zh-CN"/>
        </w:rPr>
        <w:t xml:space="preserve">5 </w:t>
      </w:r>
      <w:r>
        <w:rPr>
          <w:rFonts w:hint="eastAsia" w:ascii="宋体" w:hAnsi="宋体" w:eastAsia="宋体" w:cs="宋体"/>
          <w:b/>
          <w:sz w:val="22"/>
          <w:highlight w:val="none"/>
        </w:rPr>
        <w:t>投标人依据市场行情和自身情况自由竞价。</w:t>
      </w:r>
    </w:p>
    <w:p w14:paraId="6E0AB27F">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w:t>
      </w:r>
      <w:r>
        <w:rPr>
          <w:rFonts w:hint="eastAsia" w:ascii="宋体" w:hAnsi="宋体" w:eastAsia="宋体" w:cs="宋体"/>
          <w:sz w:val="22"/>
          <w:highlight w:val="none"/>
          <w:lang w:val="en-US" w:eastAsia="zh-CN"/>
        </w:rPr>
        <w:t>6</w:t>
      </w:r>
      <w:r>
        <w:rPr>
          <w:rFonts w:hint="eastAsia" w:ascii="宋体" w:hAnsi="宋体" w:eastAsia="宋体" w:cs="宋体"/>
          <w:sz w:val="22"/>
          <w:highlight w:val="none"/>
        </w:rPr>
        <w:t xml:space="preserve"> </w:t>
      </w:r>
      <w:r>
        <w:rPr>
          <w:rFonts w:hint="eastAsia" w:ascii="宋体" w:hAnsi="宋体" w:eastAsia="宋体" w:cs="宋体"/>
          <w:b/>
          <w:bCs/>
          <w:sz w:val="22"/>
          <w:highlight w:val="none"/>
        </w:rPr>
        <w:t>最低报价不作为中标的保证。</w:t>
      </w:r>
    </w:p>
    <w:p w14:paraId="75B53619">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14:paraId="7759C62C">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14:paraId="6572D5AB">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14:paraId="39D6295D">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p>
    <w:p w14:paraId="193A5889">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14:paraId="563417C4">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14:paraId="3EBE5433">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14:paraId="740A7284">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投标人在投标文件中提供虚假资料，经评标委员会确认属实的；</w:t>
      </w:r>
    </w:p>
    <w:p w14:paraId="6A3E4DD6">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经国企采购监督管理部门审查认定投标人有违反《</w:t>
      </w:r>
      <w:r>
        <w:rPr>
          <w:rFonts w:hint="eastAsia" w:ascii="宋体" w:hAnsi="宋体" w:eastAsia="宋体" w:cs="宋体"/>
          <w:sz w:val="22"/>
          <w:highlight w:val="none"/>
          <w:lang w:eastAsia="zh-CN"/>
        </w:rPr>
        <w:t>温州市市属国有企业采购管理办法</w:t>
      </w:r>
      <w:r>
        <w:rPr>
          <w:rFonts w:hint="eastAsia" w:ascii="宋体" w:hAnsi="宋体" w:eastAsia="宋体" w:cs="宋体"/>
          <w:sz w:val="22"/>
          <w:highlight w:val="none"/>
        </w:rPr>
        <w:t>》</w:t>
      </w:r>
      <w:r>
        <w:rPr>
          <w:rFonts w:hint="eastAsia" w:ascii="宋体" w:hAnsi="宋体" w:eastAsia="宋体" w:cs="宋体"/>
          <w:sz w:val="22"/>
          <w:highlight w:val="none"/>
          <w:shd w:val="clear" w:color="auto" w:fill="auto"/>
        </w:rPr>
        <w:t>（</w:t>
      </w:r>
      <w:r>
        <w:rPr>
          <w:rFonts w:hint="eastAsia" w:ascii="宋体" w:hAnsi="宋体" w:eastAsia="宋体" w:cs="宋体"/>
          <w:sz w:val="22"/>
          <w:highlight w:val="none"/>
          <w:shd w:val="clear" w:color="auto" w:fill="auto"/>
          <w:lang w:eastAsia="zh-CN"/>
        </w:rPr>
        <w:t>温国资委〔2024〕第51号</w:t>
      </w:r>
      <w:r>
        <w:rPr>
          <w:rFonts w:hint="eastAsia" w:ascii="宋体" w:hAnsi="宋体" w:eastAsia="宋体" w:cs="宋体"/>
          <w:sz w:val="22"/>
          <w:highlight w:val="none"/>
          <w:shd w:val="clear" w:color="auto" w:fill="auto"/>
        </w:rPr>
        <w:t>）</w:t>
      </w:r>
      <w:r>
        <w:rPr>
          <w:rFonts w:hint="eastAsia" w:ascii="宋体" w:hAnsi="宋体" w:eastAsia="宋体" w:cs="宋体"/>
          <w:sz w:val="22"/>
          <w:highlight w:val="none"/>
        </w:rPr>
        <w:t>等有关法律法规的行为。</w:t>
      </w:r>
    </w:p>
    <w:p w14:paraId="33A137A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1CC20BEC">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7C4602C6">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3E1431EF">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6E2A9BF">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0AE60695">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七份的投标文件，分别装订成册。其中正本一份、副本六份，每套投标文件的封面应清楚标明“正本”或“副本”字样，若“正本”与“副本”不符，以“正本”为准。</w:t>
      </w:r>
    </w:p>
    <w:p w14:paraId="5D85B782">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投标文件的正本必须打印或用不褪色的墨水书写，并由法定代表人（负责人）或其授权代表签署，副本可用正本的复印件。</w:t>
      </w:r>
    </w:p>
    <w:p w14:paraId="75CCF6A6">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7FE6536C">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7074D59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7973CD00">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封口处贴上封条，启封处加盖投标单位公章并由法定代表人（负责人）或其授权代表签字。</w:t>
      </w:r>
      <w:r>
        <w:rPr>
          <w:rFonts w:hint="eastAsia" w:ascii="宋体" w:hAnsi="宋体" w:eastAsia="宋体" w:cs="宋体"/>
          <w:b/>
          <w:sz w:val="22"/>
          <w:highlight w:val="none"/>
        </w:rPr>
        <w:t>封皮上写明投标项目名称、</w:t>
      </w:r>
      <w:r>
        <w:rPr>
          <w:rFonts w:hint="eastAsia" w:ascii="宋体" w:hAnsi="宋体" w:eastAsia="宋体" w:cs="宋体"/>
          <w:b/>
          <w:sz w:val="22"/>
          <w:highlight w:val="none"/>
          <w:lang w:eastAsia="zh-CN"/>
        </w:rPr>
        <w:t>项目</w:t>
      </w:r>
      <w:r>
        <w:rPr>
          <w:rFonts w:hint="eastAsia" w:ascii="宋体" w:hAnsi="宋体" w:eastAsia="宋体" w:cs="宋体"/>
          <w:b/>
          <w:sz w:val="22"/>
          <w:highlight w:val="none"/>
        </w:rPr>
        <w:t>编号，并注明“开标时启封”字样。</w:t>
      </w:r>
    </w:p>
    <w:p w14:paraId="0E47F25D">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72A313FE">
      <w:pPr>
        <w:numPr>
          <w:ilvl w:val="1"/>
          <w:numId w:val="7"/>
        </w:numPr>
        <w:tabs>
          <w:tab w:val="left" w:pos="525"/>
        </w:tabs>
        <w:ind w:left="525" w:hanging="525"/>
        <w:rPr>
          <w:rFonts w:hint="eastAsia" w:ascii="宋体" w:hAnsi="宋体" w:eastAsia="宋体" w:cs="宋体"/>
        </w:rPr>
      </w:pPr>
      <w:r>
        <w:rPr>
          <w:rFonts w:hint="eastAsia" w:ascii="宋体" w:hAnsi="宋体" w:eastAsia="宋体" w:cs="宋体"/>
          <w:b/>
          <w:bCs/>
          <w:sz w:val="22"/>
        </w:rPr>
        <w:t>为了落实节约能源，保护环境</w:t>
      </w:r>
      <w:bookmarkStart w:id="83" w:name="_Hlk20129971"/>
      <w:r>
        <w:rPr>
          <w:rFonts w:hint="eastAsia" w:ascii="宋体" w:hAnsi="宋体" w:eastAsia="宋体" w:cs="宋体"/>
          <w:b/>
          <w:bCs/>
          <w:sz w:val="22"/>
        </w:rPr>
        <w:t>的政策</w:t>
      </w:r>
      <w:bookmarkEnd w:id="83"/>
      <w:r>
        <w:rPr>
          <w:rFonts w:hint="eastAsia" w:ascii="宋体" w:hAnsi="宋体" w:eastAsia="宋体" w:cs="宋体"/>
          <w:b/>
          <w:bCs/>
          <w:sz w:val="22"/>
        </w:rPr>
        <w:t>，建议投标文件双面打印，并根据采购文件的要求进行制作，内容简洁明了，编排合理有序，与采购文件内容无关或不符合采购文件要求的资料不要编入投标文件。</w:t>
      </w:r>
    </w:p>
    <w:p w14:paraId="1BDA27D7">
      <w:pPr>
        <w:numPr>
          <w:ilvl w:val="-1"/>
          <w:numId w:val="0"/>
        </w:numPr>
        <w:tabs>
          <w:tab w:val="left" w:pos="525"/>
        </w:tabs>
        <w:ind w:left="0" w:firstLine="0"/>
        <w:rPr>
          <w:rFonts w:hint="eastAsia" w:ascii="宋体" w:hAnsi="宋体" w:eastAsia="宋体" w:cs="宋体"/>
          <w:sz w:val="22"/>
          <w:highlight w:val="none"/>
        </w:rPr>
      </w:pPr>
    </w:p>
    <w:p w14:paraId="0EC302A4">
      <w:pPr>
        <w:spacing w:before="120" w:beforeLines="50" w:after="120" w:afterLines="50"/>
        <w:jc w:val="center"/>
        <w:rPr>
          <w:rFonts w:hint="eastAsia" w:ascii="宋体" w:hAnsi="宋体" w:eastAsia="宋体" w:cs="宋体"/>
          <w:b/>
          <w:sz w:val="28"/>
          <w:szCs w:val="28"/>
          <w:highlight w:val="none"/>
        </w:rPr>
      </w:pPr>
      <w:bookmarkStart w:id="84" w:name="_Toc209251130"/>
      <w:bookmarkStart w:id="85" w:name="_Toc205005289"/>
      <w:bookmarkStart w:id="86" w:name="_Toc205703105"/>
      <w:bookmarkStart w:id="87" w:name="_Toc205877455"/>
      <w:bookmarkStart w:id="88" w:name="_Toc209250722"/>
      <w:bookmarkStart w:id="89" w:name="_Toc204491320"/>
      <w:bookmarkStart w:id="90" w:name="_Toc227057036"/>
      <w:bookmarkStart w:id="91" w:name="_Toc209332636"/>
      <w:bookmarkStart w:id="92" w:name="_Toc209261435"/>
      <w:bookmarkStart w:id="93" w:name="_Toc227489890"/>
      <w:bookmarkStart w:id="94" w:name="_Toc227056849"/>
      <w:bookmarkStart w:id="95" w:name="_Toc209261368"/>
      <w:bookmarkStart w:id="96" w:name="_Toc218041729"/>
      <w:bookmarkStart w:id="97" w:name="_Toc214365793"/>
      <w:bookmarkStart w:id="98" w:name="_Toc216667823"/>
      <w:bookmarkStart w:id="99" w:name="_Toc223933224"/>
      <w:bookmarkStart w:id="100" w:name="_Toc215415533"/>
      <w:bookmarkStart w:id="101" w:name="_Toc205004971"/>
      <w:bookmarkStart w:id="102" w:name="_Toc204578578"/>
      <w:bookmarkStart w:id="103" w:name="_Toc217460688"/>
      <w:bookmarkStart w:id="104" w:name="_Toc223717607"/>
      <w:bookmarkStart w:id="105" w:name="_Toc219538616"/>
      <w:bookmarkStart w:id="106" w:name="_Toc207609184"/>
      <w:bookmarkStart w:id="107" w:name="_Toc205877560"/>
      <w:bookmarkStart w:id="108" w:name="_Toc210879711"/>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93E2942">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11736B56">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26952E1A">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286A4234">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投标保证金缴纳到账凭证；</w:t>
      </w:r>
    </w:p>
    <w:p w14:paraId="082612D6">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3490DFF9">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法定代表人（负责人）委派投标人代表的，需提交法定代表人（负责人）授权书（原件）（若投标人代表为法定代表人（负责人）只需提交法定代表人（负责人）身份证明）（如密封在投标文件技术资信标中，在技术资信标开启后经评标委员会查验符合要求亦为有效）。</w:t>
      </w:r>
    </w:p>
    <w:p w14:paraId="28AC4089">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61CA38D6">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14:paraId="4091D995">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14:paraId="641D9FDF">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14:paraId="6CE4B16A">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21A77636">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39602338">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471DB4C9">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未按要求密封或未装订的投标文件及由于包装不妥</w:t>
      </w:r>
      <w:r>
        <w:rPr>
          <w:rFonts w:hint="eastAsia" w:ascii="宋体" w:hAnsi="宋体" w:eastAsia="宋体" w:cs="宋体"/>
          <w:bCs/>
          <w:sz w:val="22"/>
          <w:highlight w:val="none"/>
          <w:u w:val="single"/>
          <w:lang w:val="en-US" w:eastAsia="zh-CN"/>
        </w:rPr>
        <w:t>致使</w:t>
      </w:r>
      <w:r>
        <w:rPr>
          <w:rFonts w:hint="eastAsia" w:ascii="宋体" w:hAnsi="宋体" w:eastAsia="宋体" w:cs="宋体"/>
          <w:bCs/>
          <w:sz w:val="22"/>
          <w:highlight w:val="none"/>
          <w:u w:val="single"/>
        </w:rPr>
        <w:t>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w:t>
      </w:r>
      <w:r>
        <w:rPr>
          <w:rFonts w:hint="eastAsia" w:ascii="宋体" w:hAnsi="宋体" w:eastAsia="宋体" w:cs="宋体"/>
          <w:bCs/>
          <w:sz w:val="22"/>
          <w:highlight w:val="none"/>
          <w:u w:val="single"/>
          <w:lang w:val="en-US" w:eastAsia="zh-CN"/>
        </w:rPr>
        <w:t>未形成有效密封的</w:t>
      </w:r>
      <w:r>
        <w:rPr>
          <w:rFonts w:hint="eastAsia" w:ascii="宋体" w:hAnsi="宋体" w:eastAsia="宋体" w:cs="宋体"/>
          <w:bCs/>
          <w:sz w:val="22"/>
          <w:highlight w:val="none"/>
          <w:u w:val="single"/>
        </w:rPr>
        <w:t>投标文件；</w:t>
      </w:r>
    </w:p>
    <w:p w14:paraId="45CDF30F">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257BB57C">
      <w:pPr>
        <w:spacing w:before="120" w:beforeLines="50" w:after="120" w:afterLines="50"/>
        <w:jc w:val="center"/>
        <w:rPr>
          <w:rFonts w:hint="eastAsia" w:ascii="宋体" w:hAnsi="宋体" w:eastAsia="宋体" w:cs="宋体"/>
          <w:b/>
          <w:sz w:val="28"/>
          <w:szCs w:val="28"/>
          <w:highlight w:val="none"/>
        </w:rPr>
      </w:pPr>
      <w:bookmarkStart w:id="109" w:name="_Toc219538617"/>
      <w:bookmarkStart w:id="110" w:name="_Toc205877456"/>
      <w:bookmarkStart w:id="111" w:name="_Toc205005290"/>
      <w:bookmarkStart w:id="112" w:name="_Toc227056850"/>
      <w:bookmarkStart w:id="113" w:name="_Toc209332637"/>
      <w:bookmarkStart w:id="114" w:name="_Toc218041730"/>
      <w:bookmarkStart w:id="115" w:name="_Toc205877561"/>
      <w:bookmarkStart w:id="116" w:name="_Toc214365794"/>
      <w:bookmarkStart w:id="117" w:name="_Toc209251131"/>
      <w:bookmarkStart w:id="118" w:name="_Toc223933225"/>
      <w:bookmarkStart w:id="119" w:name="_Toc227057037"/>
      <w:bookmarkStart w:id="120" w:name="_Toc215415534"/>
      <w:bookmarkStart w:id="121" w:name="_Toc223717608"/>
      <w:bookmarkStart w:id="122" w:name="_Toc216667824"/>
      <w:bookmarkStart w:id="123" w:name="_Toc205004972"/>
      <w:bookmarkStart w:id="124" w:name="_Toc217460689"/>
      <w:bookmarkStart w:id="125" w:name="_Toc209261369"/>
      <w:bookmarkStart w:id="126" w:name="_Toc209250723"/>
      <w:bookmarkStart w:id="127" w:name="_Toc205703106"/>
      <w:bookmarkStart w:id="128" w:name="_Toc227489891"/>
      <w:bookmarkStart w:id="129" w:name="_Toc204578579"/>
      <w:bookmarkStart w:id="130" w:name="_Toc210879712"/>
      <w:bookmarkStart w:id="131" w:name="_Toc204491321"/>
      <w:bookmarkStart w:id="132" w:name="_Toc209261436"/>
      <w:bookmarkStart w:id="133" w:name="_Toc207609185"/>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0A6131C">
      <w:pPr>
        <w:numPr>
          <w:ilvl w:val="0"/>
          <w:numId w:val="3"/>
        </w:numPr>
        <w:tabs>
          <w:tab w:val="left" w:pos="525"/>
          <w:tab w:val="left" w:pos="900"/>
        </w:tabs>
        <w:ind w:left="525" w:hanging="525"/>
        <w:rPr>
          <w:rFonts w:hint="eastAsia" w:ascii="宋体" w:hAnsi="宋体" w:eastAsia="宋体" w:cs="宋体"/>
          <w:sz w:val="22"/>
          <w:highlight w:val="none"/>
        </w:rPr>
      </w:pPr>
      <w:bookmarkStart w:id="134" w:name="_Toc214365795"/>
      <w:bookmarkStart w:id="135" w:name="_Toc205877457"/>
      <w:bookmarkStart w:id="136" w:name="_Toc205005291"/>
      <w:bookmarkStart w:id="137" w:name="_Toc205877562"/>
      <w:bookmarkStart w:id="138" w:name="_Toc219538618"/>
      <w:bookmarkStart w:id="139" w:name="_Toc223933226"/>
      <w:bookmarkStart w:id="140" w:name="_Toc215415535"/>
      <w:bookmarkStart w:id="141" w:name="_Toc218041731"/>
      <w:bookmarkStart w:id="142" w:name="_Toc209332638"/>
      <w:bookmarkStart w:id="143" w:name="_Toc227057038"/>
      <w:bookmarkStart w:id="144" w:name="_Toc204578580"/>
      <w:bookmarkStart w:id="145" w:name="_Toc205004973"/>
      <w:bookmarkStart w:id="146" w:name="_Toc204491322"/>
      <w:bookmarkStart w:id="147" w:name="_Toc209250724"/>
      <w:bookmarkStart w:id="148" w:name="_Toc209261437"/>
      <w:bookmarkStart w:id="149" w:name="_Toc227056851"/>
      <w:bookmarkStart w:id="150" w:name="_Toc227489892"/>
      <w:bookmarkStart w:id="151" w:name="_Toc207609186"/>
      <w:bookmarkStart w:id="152" w:name="_Toc223717609"/>
      <w:bookmarkStart w:id="153" w:name="_Toc210879713"/>
      <w:bookmarkStart w:id="154" w:name="_Toc209251132"/>
      <w:bookmarkStart w:id="155" w:name="_Toc205703107"/>
      <w:bookmarkStart w:id="156" w:name="_Toc209261370"/>
      <w:bookmarkStart w:id="157" w:name="_Toc217460690"/>
      <w:bookmarkStart w:id="158" w:name="_Toc216667825"/>
      <w:r>
        <w:rPr>
          <w:rFonts w:hint="eastAsia" w:ascii="宋体" w:hAnsi="宋体" w:eastAsia="宋体" w:cs="宋体"/>
          <w:sz w:val="22"/>
          <w:highlight w:val="none"/>
        </w:rPr>
        <w:t>评标委员会</w:t>
      </w:r>
    </w:p>
    <w:p w14:paraId="5CC42F1A">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18F5715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6633B680">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743939E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73695AF2">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42727DE0">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0631958D">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公布在投标截止时间前递交投标文件的投标人名称，并点名确认投标人是否派授权代表到场；</w:t>
      </w:r>
    </w:p>
    <w:p w14:paraId="31A40F42">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2C51A9F2">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密封情况检查：由投标人或其推选的代表检查投标文件密封情况；</w:t>
      </w:r>
    </w:p>
    <w:p w14:paraId="1323B2E3">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开标顺序：同时开启技术资信部分投标文件、开启商务（报价）文件；</w:t>
      </w:r>
    </w:p>
    <w:p w14:paraId="1E23B94C">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确认开标结果：投标人授权代表对开标书面记录进行当场校核及勘误，并签字确认；并同时由记录人、核对人当场签字确认。</w:t>
      </w:r>
    </w:p>
    <w:p w14:paraId="38EC4252">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7934EC64">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投标人授权代表未参加开标会议；未到场签字确认的，不影响开标，评标过程，视同认可开标结果；事后不得对采购相关人员、开标过程和开标结果提出异议。</w:t>
      </w:r>
    </w:p>
    <w:p w14:paraId="69ECBC2C">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13C20086">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7E00FED0">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w:t>
      </w:r>
      <w:r>
        <w:rPr>
          <w:rFonts w:hint="eastAsia" w:ascii="宋体" w:hAnsi="宋体" w:eastAsia="宋体" w:cs="宋体"/>
          <w:bCs/>
          <w:color w:val="auto"/>
          <w:sz w:val="22"/>
          <w:highlight w:val="none"/>
        </w:rPr>
        <w:t>件的规定，评标委员会对各投标人进行资格性审查，资格性审查内容包括但不仅限于审查随投标文件一同提交的法定代表人（负责人）授权书（原件）、投标代表人有效身份证件、投标保证金缴纳凭证，以及投标文件所提交证明材料是否能证明符合本项目对投标人资格的实质</w:t>
      </w:r>
      <w:r>
        <w:rPr>
          <w:rFonts w:hint="eastAsia" w:ascii="宋体" w:hAnsi="宋体" w:eastAsia="宋体" w:cs="宋体"/>
          <w:bCs/>
          <w:sz w:val="22"/>
          <w:highlight w:val="none"/>
        </w:rPr>
        <w:t>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24BE7D7B">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▲审查不合格的投标文件将作无效标处理</w:t>
      </w:r>
      <w:r>
        <w:rPr>
          <w:rFonts w:hint="eastAsia" w:ascii="宋体" w:hAnsi="宋体" w:eastAsia="宋体" w:cs="宋体"/>
          <w:bCs/>
          <w:sz w:val="22"/>
          <w:highlight w:val="none"/>
        </w:rPr>
        <w:t>。</w:t>
      </w:r>
    </w:p>
    <w:p w14:paraId="5BC20E0F">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▲通过资格性审查与符合性审查的技术资信标由评委进行综合评审，审查确认未通过的投标文件将作无效标处理，其技术资信标不再进行后续评审。</w:t>
      </w:r>
    </w:p>
    <w:p w14:paraId="213FA029">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28EFE980">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投标文件未按要求（非实质性条款除外）加盖单位公章、无法定代表人（负责人）或其授权代表签字或盖章的；</w:t>
      </w:r>
    </w:p>
    <w:p w14:paraId="05BA0DEF">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3EAE633B">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授权代表参加投标没有法定代表人（负责人）合法、有效委托的；</w:t>
      </w:r>
    </w:p>
    <w:p w14:paraId="63E7E1F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48765104">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5CB043FF">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未实质性响应采购文件中加“▲”同时加下划线条款的；</w:t>
      </w:r>
    </w:p>
    <w:p w14:paraId="1886ACAD">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投标年承销费率报价超过采购最高限价的；</w:t>
      </w:r>
    </w:p>
    <w:p w14:paraId="7FA8A87E">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05FCC5BD">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5837F7E2">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3E9A8188">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color w:val="C00000"/>
          <w:kern w:val="0"/>
          <w:sz w:val="22"/>
          <w:highlight w:val="none"/>
          <w:u w:val="single"/>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5A60C0E3">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2）除22.4条款以外，出现其它明显不符合服务内容要求、服务标准要求</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6FF9551B">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w:t>
      </w:r>
    </w:p>
    <w:p w14:paraId="541C2267">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2F746AD1">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有下列情形之一的，视为投标人串通投标，其投标无效</w:t>
      </w:r>
      <w:r>
        <w:rPr>
          <w:rFonts w:hint="eastAsia" w:ascii="宋体" w:hAnsi="宋体" w:eastAsia="宋体" w:cs="宋体"/>
          <w:kern w:val="0"/>
          <w:sz w:val="22"/>
          <w:highlight w:val="none"/>
        </w:rPr>
        <w:t>：</w:t>
      </w:r>
    </w:p>
    <w:p w14:paraId="64010FF4">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1)不同投标人的投标文件由同一单位或者个人编制；</w:t>
      </w:r>
    </w:p>
    <w:p w14:paraId="0CAC8444">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2)不同投标人委托同一单位或者个人办理投标事宜；</w:t>
      </w:r>
    </w:p>
    <w:p w14:paraId="17A2F069">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3)不同投标人的投标文件载明的项目管理成员或者联系人员为同一人；</w:t>
      </w:r>
    </w:p>
    <w:p w14:paraId="43D91357">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4）不同投标人的投标文件异常一致或者投标报价呈规律性差异；</w:t>
      </w:r>
    </w:p>
    <w:p w14:paraId="47A3FF56">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5）不同投标人的投标文件相互混装；</w:t>
      </w:r>
    </w:p>
    <w:p w14:paraId="0F08D67C">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6）不同投标人的投标保证金从同一单位或者个人的账户转出。</w:t>
      </w:r>
    </w:p>
    <w:p w14:paraId="7EB80432">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5BCE2D31">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44E62940">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6FD63D06">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同时出现两种不一致的，按照前款规定的顺序修正（前款优先顺序为1）→2））。</w:t>
      </w:r>
    </w:p>
    <w:p w14:paraId="3E931AAA">
      <w:pPr>
        <w:tabs>
          <w:tab w:val="left" w:pos="735"/>
        </w:tabs>
        <w:ind w:left="420"/>
        <w:rPr>
          <w:rFonts w:hint="eastAsia" w:ascii="宋体" w:hAnsi="宋体" w:eastAsia="宋体" w:cs="宋体"/>
          <w:sz w:val="22"/>
          <w:highlight w:val="none"/>
        </w:rPr>
      </w:pPr>
      <w:r>
        <w:rPr>
          <w:rFonts w:hint="eastAsia" w:ascii="宋体" w:hAnsi="宋体" w:eastAsia="宋体" w:cs="宋体"/>
          <w:b/>
          <w:bCs/>
          <w:sz w:val="22"/>
          <w:highlight w:val="none"/>
        </w:rPr>
        <w:t>修正后的报价按照本投标须知第23.1条的规定经投标人确认后产生约束力，投标人不确认的，其投标无效。</w:t>
      </w:r>
    </w:p>
    <w:p w14:paraId="7319059B">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3BE58047">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14:paraId="1A8D522B">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14:paraId="710D4B69">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14:paraId="033644FC">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1CED6456">
      <w:pPr>
        <w:numPr>
          <w:ilvl w:val="1"/>
          <w:numId w:val="12"/>
        </w:numPr>
        <w:tabs>
          <w:tab w:val="left" w:pos="525"/>
        </w:tabs>
        <w:ind w:left="525" w:hanging="525"/>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bCs/>
          <w:color w:val="auto"/>
          <w:sz w:val="22"/>
          <w:highlight w:val="none"/>
          <w:u w:val="single"/>
        </w:rPr>
        <w:t>▲如果</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的年承销费率报价超出</w:t>
      </w:r>
      <w:r>
        <w:rPr>
          <w:rFonts w:hint="eastAsia" w:ascii="宋体" w:hAnsi="宋体" w:eastAsia="宋体" w:cs="宋体"/>
          <w:b/>
          <w:bCs/>
          <w:color w:val="auto"/>
          <w:sz w:val="22"/>
          <w:highlight w:val="none"/>
          <w:u w:val="single"/>
          <w:lang w:val="en-US" w:eastAsia="zh-CN"/>
        </w:rPr>
        <w:t>最高</w:t>
      </w:r>
      <w:r>
        <w:rPr>
          <w:rFonts w:hint="eastAsia" w:ascii="宋体" w:hAnsi="宋体" w:eastAsia="宋体" w:cs="宋体"/>
          <w:b/>
          <w:bCs/>
          <w:color w:val="auto"/>
          <w:sz w:val="22"/>
          <w:highlight w:val="none"/>
          <w:u w:val="single"/>
        </w:rPr>
        <w:t>预算，则该</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的报价作无效标处理。本次采购如果所有</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的年承销费率报价均超出采</w:t>
      </w:r>
      <w:r>
        <w:rPr>
          <w:rFonts w:hint="eastAsia" w:ascii="宋体" w:hAnsi="宋体" w:eastAsia="宋体" w:cs="宋体"/>
          <w:b/>
          <w:bCs/>
          <w:color w:val="auto"/>
          <w:sz w:val="22"/>
          <w:highlight w:val="none"/>
          <w:u w:val="single"/>
          <w:lang w:val="en-US" w:eastAsia="zh-CN"/>
        </w:rPr>
        <w:t>最高</w:t>
      </w:r>
      <w:r>
        <w:rPr>
          <w:rFonts w:hint="eastAsia" w:ascii="宋体" w:hAnsi="宋体" w:eastAsia="宋体" w:cs="宋体"/>
          <w:b/>
          <w:bCs/>
          <w:color w:val="auto"/>
          <w:sz w:val="22"/>
          <w:highlight w:val="none"/>
          <w:u w:val="single"/>
        </w:rPr>
        <w:t>预算，则本采购项目做废标处理。</w:t>
      </w:r>
    </w:p>
    <w:p w14:paraId="6E34239B">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投标文件的澄清</w:t>
      </w:r>
    </w:p>
    <w:p w14:paraId="7CEC5C61">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color w:val="auto"/>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负责人）或其授权代表签署，但澄清内容不得</w:t>
      </w:r>
      <w:r>
        <w:rPr>
          <w:rFonts w:hint="eastAsia" w:ascii="宋体" w:hAnsi="宋体" w:eastAsia="宋体" w:cs="宋体"/>
          <w:sz w:val="22"/>
          <w:highlight w:val="none"/>
        </w:rPr>
        <w:t>超出投标文件的范围或者改变投标文件的实质性内容。</w:t>
      </w:r>
      <w:r>
        <w:rPr>
          <w:rFonts w:hint="eastAsia" w:ascii="宋体" w:hAnsi="宋体" w:eastAsia="宋体" w:cs="宋体"/>
          <w:b/>
          <w:bCs/>
          <w:color w:val="auto"/>
          <w:sz w:val="22"/>
          <w:highlight w:val="none"/>
          <w:u w:val="singl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rPr>
        <w:t>。</w:t>
      </w:r>
    </w:p>
    <w:p w14:paraId="536598E1">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color w:val="auto"/>
          <w:sz w:val="22"/>
          <w:highlight w:val="none"/>
          <w:u w:val="single"/>
        </w:rPr>
        <w:t>▲</w:t>
      </w:r>
      <w:r>
        <w:rPr>
          <w:rFonts w:hint="eastAsia" w:ascii="宋体" w:hAnsi="宋体" w:eastAsia="宋体" w:cs="宋体"/>
          <w:b/>
          <w:bCs/>
          <w:sz w:val="22"/>
          <w:highlight w:val="none"/>
          <w:u w:val="single"/>
        </w:rPr>
        <w:t>经澄清后，若偏差仍存在，且不可接受，评标委员会有权认定其为“没有实质性响应采购文件要求”，其投标不进入下一步评审</w:t>
      </w:r>
      <w:r>
        <w:rPr>
          <w:rFonts w:hint="eastAsia" w:ascii="宋体" w:hAnsi="宋体" w:eastAsia="宋体" w:cs="宋体"/>
          <w:sz w:val="22"/>
          <w:highlight w:val="none"/>
        </w:rPr>
        <w:t>。</w:t>
      </w:r>
    </w:p>
    <w:p w14:paraId="2B5FB80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12E43A57">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bCs/>
          <w:sz w:val="22"/>
        </w:rPr>
        <w:t>确定中标候选人细则详见采购文件第五部分“</w:t>
      </w:r>
      <w:r>
        <w:rPr>
          <w:rFonts w:hint="eastAsia" w:ascii="宋体" w:hAnsi="宋体" w:eastAsia="宋体" w:cs="宋体"/>
          <w:b/>
          <w:bCs/>
          <w:sz w:val="22"/>
        </w:rPr>
        <w:t>评标原则及方法</w:t>
      </w:r>
      <w:r>
        <w:rPr>
          <w:rFonts w:hint="eastAsia" w:ascii="宋体" w:hAnsi="宋体" w:eastAsia="宋体" w:cs="宋体"/>
          <w:bCs/>
          <w:sz w:val="22"/>
        </w:rPr>
        <w:t>”</w:t>
      </w:r>
      <w:r>
        <w:rPr>
          <w:rFonts w:hint="eastAsia" w:ascii="宋体" w:hAnsi="宋体" w:eastAsia="宋体" w:cs="宋体"/>
          <w:sz w:val="22"/>
        </w:rPr>
        <w:t>。</w:t>
      </w:r>
      <w:r>
        <w:rPr>
          <w:rFonts w:hint="eastAsia" w:ascii="宋体" w:hAnsi="宋体" w:eastAsia="宋体" w:cs="宋体"/>
          <w:sz w:val="22"/>
          <w:highlight w:val="none"/>
        </w:rPr>
        <w:t>。</w:t>
      </w:r>
    </w:p>
    <w:p w14:paraId="577DBB08">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采购人、采购代理机构及评标委员会不向落标的投标人解释落标原因，也不公布评标过程中的相关细节。</w:t>
      </w:r>
    </w:p>
    <w:p w14:paraId="2BA1C316">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5E920C27">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w:t>
      </w:r>
      <w:r>
        <w:rPr>
          <w:rFonts w:hint="eastAsia" w:ascii="宋体" w:hAnsi="宋体" w:eastAsia="宋体" w:cs="宋体"/>
          <w:bCs/>
          <w:szCs w:val="21"/>
          <w:highlight w:val="none"/>
          <w:lang w:val="en-US" w:eastAsia="zh-CN"/>
        </w:rPr>
        <w:t>采购文件</w:t>
      </w:r>
      <w:r>
        <w:rPr>
          <w:rFonts w:hint="eastAsia" w:ascii="宋体" w:hAnsi="宋体" w:eastAsia="宋体" w:cs="宋体"/>
          <w:bCs/>
          <w:szCs w:val="21"/>
          <w:highlight w:val="none"/>
        </w:rPr>
        <w:t>规定的数量的作废标处理，根据</w:t>
      </w:r>
      <w:r>
        <w:rPr>
          <w:rFonts w:hint="eastAsia" w:ascii="宋体" w:hAnsi="宋体" w:eastAsia="宋体" w:cs="宋体"/>
          <w:bCs/>
          <w:szCs w:val="21"/>
          <w:highlight w:val="none"/>
          <w:lang w:eastAsia="zh-CN"/>
        </w:rPr>
        <w:t>《温州市市属国有企业采购管理办法》（温国资委【2024】51号）</w:t>
      </w:r>
      <w:r>
        <w:rPr>
          <w:rFonts w:hint="eastAsia" w:ascii="宋体" w:hAnsi="宋体" w:eastAsia="宋体" w:cs="宋体"/>
          <w:bCs/>
          <w:szCs w:val="21"/>
          <w:highlight w:val="none"/>
        </w:rPr>
        <w:t>相关条款规定，采购人将重新组织采购。</w:t>
      </w:r>
    </w:p>
    <w:p w14:paraId="3D76D49C">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w:t>
      </w:r>
      <w:r>
        <w:rPr>
          <w:rFonts w:hint="eastAsia" w:ascii="宋体" w:hAnsi="宋体" w:eastAsia="宋体" w:cs="宋体"/>
          <w:bCs/>
          <w:szCs w:val="21"/>
          <w:highlight w:val="none"/>
          <w:lang w:eastAsia="zh-CN"/>
        </w:rPr>
        <w:t>投标人</w:t>
      </w:r>
      <w:r>
        <w:rPr>
          <w:rFonts w:hint="eastAsia" w:ascii="宋体" w:hAnsi="宋体" w:eastAsia="宋体" w:cs="宋体"/>
          <w:bCs/>
          <w:szCs w:val="21"/>
          <w:highlight w:val="none"/>
        </w:rPr>
        <w:t>不足</w:t>
      </w:r>
      <w:r>
        <w:rPr>
          <w:rFonts w:hint="eastAsia" w:ascii="宋体" w:hAnsi="宋体" w:eastAsia="宋体" w:cs="宋体"/>
          <w:bCs/>
          <w:szCs w:val="21"/>
          <w:highlight w:val="none"/>
          <w:lang w:val="en-US" w:eastAsia="zh-CN"/>
        </w:rPr>
        <w:t>规定</w:t>
      </w:r>
      <w:r>
        <w:rPr>
          <w:rFonts w:hint="eastAsia" w:ascii="宋体" w:hAnsi="宋体" w:eastAsia="宋体" w:cs="宋体"/>
          <w:bCs/>
          <w:szCs w:val="21"/>
          <w:highlight w:val="none"/>
        </w:rPr>
        <w:t>的</w:t>
      </w:r>
      <w:r>
        <w:rPr>
          <w:rFonts w:hint="eastAsia" w:ascii="宋体" w:hAnsi="宋体" w:eastAsia="宋体" w:cs="宋体"/>
          <w:bCs/>
          <w:szCs w:val="21"/>
          <w:highlight w:val="none"/>
          <w:lang w:val="en-US" w:eastAsia="zh-CN"/>
        </w:rPr>
        <w:t>数量</w:t>
      </w:r>
      <w:r>
        <w:rPr>
          <w:rFonts w:hint="eastAsia" w:ascii="宋体" w:hAnsi="宋体" w:eastAsia="宋体" w:cs="宋体"/>
          <w:bCs/>
          <w:szCs w:val="21"/>
          <w:highlight w:val="none"/>
        </w:rPr>
        <w:t>情形，采购人可根据实际情况决定本项目继续按原有采购方式继续进行采购活动或转变采购方式或废标。</w:t>
      </w:r>
    </w:p>
    <w:p w14:paraId="2E31479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w:t>
      </w:r>
      <w:r>
        <w:rPr>
          <w:rFonts w:hint="eastAsia" w:ascii="宋体" w:hAnsi="宋体" w:eastAsia="宋体" w:cs="宋体"/>
          <w:bCs/>
          <w:sz w:val="22"/>
          <w:highlight w:val="none"/>
        </w:rPr>
        <w:t>第五部分“</w:t>
      </w:r>
      <w:r>
        <w:rPr>
          <w:rFonts w:hint="eastAsia" w:ascii="宋体" w:hAnsi="宋体" w:eastAsia="宋体" w:cs="宋体"/>
          <w:b/>
          <w:bCs/>
          <w:sz w:val="22"/>
          <w:highlight w:val="none"/>
        </w:rPr>
        <w:t>评标原则及方法</w:t>
      </w:r>
      <w:r>
        <w:rPr>
          <w:rFonts w:hint="eastAsia" w:ascii="宋体" w:hAnsi="宋体" w:eastAsia="宋体" w:cs="宋体"/>
          <w:bCs/>
          <w:sz w:val="22"/>
          <w:highlight w:val="none"/>
        </w:rPr>
        <w:t>”</w:t>
      </w:r>
      <w:r>
        <w:rPr>
          <w:rFonts w:hint="eastAsia" w:ascii="宋体" w:hAnsi="宋体" w:eastAsia="宋体" w:cs="宋体"/>
          <w:sz w:val="22"/>
          <w:highlight w:val="none"/>
        </w:rPr>
        <w:t>。</w:t>
      </w:r>
    </w:p>
    <w:p w14:paraId="5C66956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4CAAE3BE">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1715457">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w:t>
      </w:r>
      <w:r>
        <w:rPr>
          <w:rFonts w:hint="eastAsia" w:ascii="宋体" w:hAnsi="宋体" w:eastAsia="宋体" w:cs="宋体"/>
          <w:bCs/>
          <w:sz w:val="22"/>
          <w:highlight w:val="none"/>
          <w:lang w:eastAsia="zh-CN"/>
        </w:rPr>
        <w:t>中标人</w:t>
      </w:r>
    </w:p>
    <w:p w14:paraId="475E2EF9">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w:t>
      </w:r>
    </w:p>
    <w:p w14:paraId="391F7C15">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lang w:eastAsia="zh-CN"/>
        </w:rPr>
        <w:t>中标人</w:t>
      </w:r>
      <w:r>
        <w:rPr>
          <w:rFonts w:hint="eastAsia" w:ascii="宋体" w:hAnsi="宋体" w:eastAsia="宋体" w:cs="宋体"/>
          <w:bCs/>
          <w:sz w:val="22"/>
          <w:highlight w:val="none"/>
        </w:rPr>
        <w:t>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公告中标结果，中标公告期限为3日。</w:t>
      </w:r>
    </w:p>
    <w:p w14:paraId="4ECF880C">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期内以书面形式向采购人署名提出质疑，但需对质疑内容的真实性承担法律责任。提出质疑的投标供应商应当是参与所质疑项目采购活动的投标供应商，投标供应商提出质疑应当提交质疑函和必要的证明材料。质疑投标供应商对采购人、采购代理机构的答复不满意或者采购人、采购代理机构未在规定的时间内作出答复的，可以在答复期满后15个工作日内向温州市交通发展集团有限公司</w:t>
      </w:r>
      <w:r>
        <w:rPr>
          <w:rFonts w:hint="eastAsia" w:ascii="宋体" w:hAnsi="宋体" w:eastAsia="宋体" w:cs="宋体"/>
          <w:b/>
          <w:bCs/>
          <w:color w:val="auto"/>
          <w:sz w:val="22"/>
          <w:u w:val="single"/>
        </w:rPr>
        <w:t>纪检监察室</w:t>
      </w:r>
      <w:r>
        <w:rPr>
          <w:rFonts w:hint="eastAsia" w:ascii="宋体" w:hAnsi="宋体" w:eastAsia="宋体" w:cs="宋体"/>
          <w:b/>
          <w:bCs/>
          <w:sz w:val="22"/>
          <w:highlight w:val="none"/>
          <w:u w:val="single"/>
        </w:rPr>
        <w:t>投诉。</w:t>
      </w:r>
    </w:p>
    <w:p w14:paraId="2530958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1221009A">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中标投标人应当在收到中标通知书之日起30日内与采购人签订合同。中标投标人未经采购人许可，在规定时间内未到采购人处与采购人签订合同，则视为拒签合同。</w:t>
      </w:r>
    </w:p>
    <w:p w14:paraId="3D41F76A">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采购文件、中标投标人的投标文件及投标修改文件、评标过程中有关澄清文件及经双方签字的询标纪要（承诺）和中标通知书均作为合同附件。</w:t>
      </w:r>
    </w:p>
    <w:p w14:paraId="2E3C3F1D">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拒签合同的责任</w:t>
      </w:r>
    </w:p>
    <w:p w14:paraId="281C0161">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投标人在规定时间内（30日历天）借故否认已经承诺的条件、拒签合同，以投标违约处理，其投标保证金不予退回，并赔偿采购人由此造成的直接经济损失；采购人重新组织采购的，所需费用由原中标投标人承担。</w:t>
      </w:r>
    </w:p>
    <w:p w14:paraId="6E158A3C">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中标人须在合同签订后二个工作日内提交一份合同文本向采购代理机构备案，否则会影响投标保证金的退付。</w:t>
      </w:r>
    </w:p>
    <w:p w14:paraId="47189F71">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履约担保：</w:t>
      </w:r>
      <w:r>
        <w:rPr>
          <w:rFonts w:hint="eastAsia" w:ascii="宋体" w:hAnsi="宋体" w:eastAsia="宋体" w:cs="宋体"/>
          <w:bCs/>
          <w:sz w:val="22"/>
          <w:highlight w:val="none"/>
          <w:lang w:val="en-US" w:eastAsia="zh-CN"/>
        </w:rPr>
        <w:t>本项目不需要履约担保。</w:t>
      </w:r>
    </w:p>
    <w:p w14:paraId="54941110">
      <w:pPr>
        <w:numPr>
          <w:ilvl w:val="0"/>
          <w:numId w:val="3"/>
        </w:numPr>
        <w:tabs>
          <w:tab w:val="left" w:pos="540"/>
          <w:tab w:val="left" w:pos="900"/>
        </w:tabs>
        <w:ind w:left="525" w:hanging="525"/>
        <w:rPr>
          <w:rFonts w:hint="eastAsia" w:ascii="宋体" w:hAnsi="宋体" w:eastAsia="宋体" w:cs="宋体"/>
          <w:bCs/>
          <w:sz w:val="22"/>
          <w:highlight w:val="none"/>
          <w:shd w:val="clear" w:color="auto" w:fill="FFFF00"/>
        </w:rPr>
      </w:pPr>
      <w:r>
        <w:rPr>
          <w:rFonts w:hint="eastAsia" w:ascii="宋体" w:hAnsi="宋体" w:eastAsia="宋体" w:cs="宋体"/>
          <w:bCs/>
          <w:sz w:val="22"/>
          <w:highlight w:val="none"/>
        </w:rPr>
        <w:t>采购代理服务费</w:t>
      </w:r>
    </w:p>
    <w:p w14:paraId="7072B192">
      <w:pPr>
        <w:wordWrap w:val="0"/>
        <w:ind w:left="538" w:leftChars="256"/>
        <w:rPr>
          <w:rFonts w:hint="eastAsia" w:ascii="宋体" w:hAnsi="宋体" w:eastAsia="宋体" w:cs="宋体"/>
          <w:bCs/>
          <w:sz w:val="22"/>
          <w:highlight w:val="none"/>
        </w:rPr>
      </w:pPr>
      <w:bookmarkStart w:id="159" w:name="_Toc218041732"/>
      <w:bookmarkStart w:id="160" w:name="_Toc215415536"/>
      <w:bookmarkStart w:id="161" w:name="_Toc223717610"/>
      <w:bookmarkStart w:id="162" w:name="_Toc217460691"/>
      <w:bookmarkStart w:id="163" w:name="_Toc219538619"/>
      <w:bookmarkStart w:id="164" w:name="_Toc227057039"/>
      <w:bookmarkStart w:id="165" w:name="_Toc216667826"/>
      <w:bookmarkStart w:id="166" w:name="_Toc227489893"/>
      <w:bookmarkStart w:id="167" w:name="_Toc223933227"/>
      <w:bookmarkStart w:id="168" w:name="_Toc227056852"/>
      <w:r>
        <w:rPr>
          <w:rFonts w:hint="eastAsia" w:ascii="宋体" w:hAnsi="宋体" w:eastAsia="宋体" w:cs="宋体"/>
          <w:bCs/>
          <w:sz w:val="22"/>
          <w:highlight w:val="none"/>
        </w:rPr>
        <w:t>本次采购，采购代理服务费为人民币</w:t>
      </w:r>
      <w:r>
        <w:rPr>
          <w:rFonts w:hint="eastAsia" w:ascii="宋体" w:hAnsi="宋体" w:eastAsia="宋体" w:cs="宋体"/>
          <w:bCs/>
          <w:sz w:val="22"/>
          <w:highlight w:val="none"/>
          <w:lang w:val="en-US" w:eastAsia="zh-CN"/>
        </w:rPr>
        <w:t>贰万捌仟</w:t>
      </w:r>
      <w:r>
        <w:rPr>
          <w:rFonts w:hint="eastAsia" w:ascii="宋体" w:hAnsi="宋体" w:eastAsia="宋体" w:cs="宋体"/>
          <w:bCs/>
          <w:sz w:val="22"/>
          <w:highlight w:val="none"/>
        </w:rPr>
        <w:t>元整（¥</w:t>
      </w:r>
      <w:r>
        <w:rPr>
          <w:rFonts w:hint="eastAsia" w:ascii="宋体" w:hAnsi="宋体" w:eastAsia="宋体" w:cs="宋体"/>
          <w:bCs/>
          <w:sz w:val="22"/>
          <w:highlight w:val="none"/>
          <w:lang w:val="en-US" w:eastAsia="zh-CN"/>
        </w:rPr>
        <w:t>280</w:t>
      </w:r>
      <w:r>
        <w:rPr>
          <w:rFonts w:hint="eastAsia" w:ascii="宋体" w:hAnsi="宋体" w:eastAsia="宋体" w:cs="宋体"/>
          <w:bCs/>
          <w:sz w:val="22"/>
          <w:highlight w:val="none"/>
        </w:rPr>
        <w:t>00元），</w:t>
      </w:r>
      <w:r>
        <w:rPr>
          <w:rFonts w:hint="eastAsia" w:ascii="宋体" w:hAnsi="宋体" w:eastAsia="宋体" w:cs="宋体"/>
          <w:bCs/>
          <w:sz w:val="22"/>
          <w:highlight w:val="none"/>
          <w:lang w:val="en-US" w:eastAsia="zh-CN"/>
        </w:rPr>
        <w:t>其中综合得分排名第一的牵头主承销商10000元，其余18000元由</w:t>
      </w:r>
      <w:r>
        <w:rPr>
          <w:rFonts w:hint="eastAsia" w:ascii="宋体" w:hAnsi="宋体" w:eastAsia="宋体" w:cs="宋体"/>
          <w:bCs/>
          <w:sz w:val="22"/>
          <w:highlight w:val="none"/>
        </w:rPr>
        <w:t>各中标入围供应商均摊，并在领取中标通知书前支付给采购代理机构，采购代理服务费包含在投标总价中（报价不需要单列）。代理服务费汇入以下账号：</w:t>
      </w:r>
    </w:p>
    <w:p w14:paraId="77438603">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开户名称：浙江国际招投标有限公司</w:t>
      </w:r>
    </w:p>
    <w:p w14:paraId="615B44E6">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开户银行：工商银行杭州市武林支行</w:t>
      </w:r>
    </w:p>
    <w:p w14:paraId="5089A153">
      <w:pPr>
        <w:ind w:left="538" w:leftChars="256" w:firstLine="440" w:firstLineChars="200"/>
        <w:rPr>
          <w:rFonts w:hint="eastAsia" w:ascii="宋体" w:hAnsi="宋体" w:eastAsia="宋体" w:cs="宋体"/>
          <w:bCs/>
          <w:sz w:val="22"/>
          <w:highlight w:val="none"/>
        </w:rPr>
      </w:pPr>
      <w:r>
        <w:rPr>
          <w:rFonts w:hint="eastAsia" w:ascii="宋体" w:hAnsi="宋体" w:eastAsia="宋体" w:cs="宋体"/>
          <w:bCs/>
          <w:sz w:val="22"/>
          <w:highlight w:val="none"/>
        </w:rPr>
        <w:t>开户账号：1202021209906782015</w:t>
      </w:r>
    </w:p>
    <w:p w14:paraId="048D3D9D">
      <w:pPr>
        <w:ind w:left="538" w:leftChars="256"/>
        <w:rPr>
          <w:rFonts w:hint="eastAsia" w:ascii="宋体" w:hAnsi="宋体" w:eastAsia="宋体" w:cs="宋体"/>
          <w:bCs/>
          <w:highlight w:val="none"/>
        </w:rPr>
      </w:pPr>
      <w:r>
        <w:rPr>
          <w:rFonts w:hint="eastAsia" w:ascii="宋体" w:hAnsi="宋体" w:eastAsia="宋体" w:cs="宋体"/>
          <w:bCs/>
          <w:sz w:val="22"/>
          <w:highlight w:val="none"/>
        </w:rPr>
        <w:t>采购代理服务费可以是现金、支票或汇票。</w:t>
      </w:r>
    </w:p>
    <w:p w14:paraId="6B7A6221">
      <w:pPr>
        <w:numPr>
          <w:ilvl w:val="0"/>
          <w:numId w:val="3"/>
        </w:numPr>
        <w:tabs>
          <w:tab w:val="left" w:pos="540"/>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乐采云</w:t>
      </w:r>
      <w:r>
        <w:rPr>
          <w:rFonts w:hint="eastAsia" w:ascii="宋体" w:hAnsi="宋体" w:eastAsia="宋体" w:cs="宋体"/>
          <w:b/>
          <w:sz w:val="22"/>
          <w:highlight w:val="none"/>
          <w:lang w:val="en-US" w:eastAsia="zh-CN"/>
        </w:rPr>
        <w:t>国企采购平台项目</w:t>
      </w:r>
      <w:r>
        <w:rPr>
          <w:rFonts w:hint="eastAsia" w:ascii="宋体" w:hAnsi="宋体" w:eastAsia="宋体" w:cs="宋体"/>
          <w:b/>
          <w:sz w:val="22"/>
          <w:highlight w:val="none"/>
        </w:rPr>
        <w:t>技术服务费：</w:t>
      </w:r>
    </w:p>
    <w:p w14:paraId="0AF81985">
      <w:pPr>
        <w:numPr>
          <w:ilvl w:val="0"/>
          <w:numId w:val="0"/>
        </w:numPr>
        <w:tabs>
          <w:tab w:val="left" w:pos="540"/>
        </w:tabs>
        <w:ind w:left="660" w:leftChars="0" w:hanging="660" w:hangingChars="3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32.1 本次国企采购平台项目采购平台费用由</w:t>
      </w:r>
      <w:r>
        <w:rPr>
          <w:rFonts w:hint="eastAsia" w:ascii="宋体" w:hAnsi="宋体" w:eastAsia="宋体" w:cs="宋体"/>
          <w:b w:val="0"/>
          <w:bCs/>
          <w:sz w:val="22"/>
          <w:szCs w:val="22"/>
          <w:highlight w:val="none"/>
          <w:lang w:eastAsia="zh-CN"/>
        </w:rPr>
        <w:t>中标人</w:t>
      </w:r>
      <w:r>
        <w:rPr>
          <w:rFonts w:hint="eastAsia" w:ascii="宋体" w:hAnsi="宋体" w:eastAsia="宋体" w:cs="宋体"/>
          <w:b w:val="0"/>
          <w:bCs/>
          <w:sz w:val="22"/>
          <w:szCs w:val="22"/>
          <w:highlight w:val="none"/>
        </w:rPr>
        <w:t>在中标结果公示后支付该项目的技术服务费。</w:t>
      </w:r>
    </w:p>
    <w:p w14:paraId="747C815A">
      <w:pPr>
        <w:keepNext w:val="0"/>
        <w:keepLines w:val="0"/>
        <w:pageBreakBefore w:val="0"/>
        <w:widowControl w:val="0"/>
        <w:numPr>
          <w:ilvl w:val="0"/>
          <w:numId w:val="0"/>
        </w:numPr>
        <w:tabs>
          <w:tab w:val="left" w:pos="540"/>
        </w:tabs>
        <w:kinsoku/>
        <w:wordWrap w:val="0"/>
        <w:overflowPunct/>
        <w:topLinePunct w:val="0"/>
        <w:autoSpaceDE/>
        <w:autoSpaceDN/>
        <w:bidi w:val="0"/>
        <w:adjustRightInd/>
        <w:snapToGrid/>
        <w:ind w:left="660" w:leftChars="0" w:hanging="660" w:hangingChars="3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32.2  收费标准链接：https://www.lecaiyun.com/helpcenter/document#/document/detail?siteCode=lecaiyun&amp;manualId=2061&amp;topicId=8625；收费标准如下图（具体以系统实际收费为准）</w:t>
      </w:r>
    </w:p>
    <w:p w14:paraId="34393F72">
      <w:pPr>
        <w:wordWrap w:val="0"/>
        <w:rPr>
          <w:rFonts w:hint="eastAsia" w:ascii="宋体" w:hAnsi="宋体" w:eastAsia="宋体" w:cs="宋体"/>
          <w:b/>
          <w:sz w:val="22"/>
          <w:highlight w:val="none"/>
        </w:rPr>
      </w:pPr>
      <w:r>
        <w:rPr>
          <w:rFonts w:hint="eastAsia" w:ascii="宋体" w:hAnsi="宋体" w:eastAsia="宋体" w:cs="宋体"/>
        </w:rPr>
        <w:drawing>
          <wp:inline distT="0" distB="0" distL="114300" distR="114300">
            <wp:extent cx="4601210" cy="2273300"/>
            <wp:effectExtent l="0" t="0" r="127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01210" cy="2273300"/>
                    </a:xfrm>
                    <a:prstGeom prst="rect">
                      <a:avLst/>
                    </a:prstGeom>
                    <a:noFill/>
                    <a:ln>
                      <a:noFill/>
                    </a:ln>
                  </pic:spPr>
                </pic:pic>
              </a:graphicData>
            </a:graphic>
          </wp:inline>
        </w:drawing>
      </w:r>
    </w:p>
    <w:p w14:paraId="06E6DFE6">
      <w:pPr>
        <w:keepNext w:val="0"/>
        <w:keepLines w:val="0"/>
        <w:pageBreakBefore w:val="0"/>
        <w:widowControl w:val="0"/>
        <w:numPr>
          <w:ilvl w:val="0"/>
          <w:numId w:val="0"/>
        </w:numPr>
        <w:tabs>
          <w:tab w:val="left" w:pos="540"/>
        </w:tabs>
        <w:kinsoku/>
        <w:wordWrap w:val="0"/>
        <w:overflowPunct/>
        <w:topLinePunct w:val="0"/>
        <w:autoSpaceDE/>
        <w:autoSpaceDN/>
        <w:bidi w:val="0"/>
        <w:adjustRightInd/>
        <w:snapToGrid/>
        <w:ind w:left="440" w:leftChars="0" w:hanging="440" w:hangingChars="200"/>
        <w:textAlignment w:val="auto"/>
        <w:rPr>
          <w:rFonts w:hint="eastAsia" w:ascii="宋体" w:hAnsi="宋体" w:eastAsia="宋体" w:cs="宋体"/>
          <w:b/>
          <w:sz w:val="22"/>
          <w:highlight w:val="none"/>
        </w:rPr>
      </w:pPr>
      <w:r>
        <w:rPr>
          <w:rFonts w:hint="eastAsia" w:ascii="宋体" w:hAnsi="宋体" w:eastAsia="宋体" w:cs="宋体"/>
          <w:b w:val="0"/>
          <w:bCs/>
          <w:sz w:val="22"/>
          <w:highlight w:val="none"/>
          <w:lang w:val="en-US" w:eastAsia="zh-CN"/>
        </w:rPr>
        <w:t>32.3</w:t>
      </w:r>
      <w:r>
        <w:rPr>
          <w:rFonts w:hint="eastAsia" w:ascii="宋体" w:hAnsi="宋体" w:eastAsia="宋体" w:cs="宋体"/>
          <w:b w:val="0"/>
          <w:bCs/>
          <w:sz w:val="22"/>
          <w:highlight w:val="none"/>
        </w:rPr>
        <w:t>根据乐采云2023年9月6日发布的乐采云国企采购平台项目采购收费标准（温州市市属国企区）规定，本项目为不涉及具体金额的采购项目，技术服务费800元/件。由</w:t>
      </w:r>
      <w:r>
        <w:rPr>
          <w:rFonts w:hint="eastAsia" w:ascii="宋体" w:hAnsi="宋体" w:eastAsia="宋体" w:cs="宋体"/>
          <w:b w:val="0"/>
          <w:bCs/>
          <w:sz w:val="22"/>
          <w:highlight w:val="none"/>
          <w:lang w:val="en-US" w:eastAsia="zh-CN"/>
        </w:rPr>
        <w:t>中标人</w:t>
      </w:r>
      <w:r>
        <w:rPr>
          <w:rFonts w:hint="eastAsia" w:ascii="宋体" w:hAnsi="宋体" w:eastAsia="宋体" w:cs="宋体"/>
          <w:b w:val="0"/>
          <w:bCs/>
          <w:sz w:val="22"/>
          <w:highlight w:val="none"/>
        </w:rPr>
        <w:t>于中标结果公示后支付该项目的技术服务费。各供应商投标总报价须包含该乐采云技术服务费。</w:t>
      </w:r>
    </w:p>
    <w:p w14:paraId="00020095">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b w:val="0"/>
          <w:bCs/>
          <w:sz w:val="22"/>
          <w:highlight w:val="none"/>
        </w:rPr>
        <w:t>采购文件的解释权均属于采购人</w:t>
      </w:r>
      <w:r>
        <w:rPr>
          <w:rFonts w:hint="eastAsia" w:ascii="宋体" w:hAnsi="宋体" w:eastAsia="宋体" w:cs="宋体"/>
          <w:sz w:val="22"/>
          <w:highlight w:val="none"/>
        </w:rPr>
        <w:t>和浙江国际招投标有限公司。</w:t>
      </w:r>
    </w:p>
    <w:p w14:paraId="0BC20978">
      <w:pPr>
        <w:spacing w:before="120" w:beforeLines="50" w:after="120" w:afterLines="50"/>
        <w:jc w:val="center"/>
        <w:rPr>
          <w:rFonts w:hint="eastAsia" w:ascii="宋体" w:hAnsi="宋体" w:eastAsia="宋体" w:cs="宋体"/>
          <w:b/>
          <w:sz w:val="28"/>
          <w:szCs w:val="28"/>
          <w:highlight w:val="none"/>
        </w:rPr>
      </w:pPr>
    </w:p>
    <w:p w14:paraId="57198D4C">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七、 质疑与投诉</w:t>
      </w:r>
    </w:p>
    <w:p w14:paraId="7F17B903">
      <w:pPr>
        <w:tabs>
          <w:tab w:val="left" w:pos="210"/>
        </w:tabs>
        <w:snapToGrid w:val="0"/>
        <w:ind w:left="400"/>
        <w:jc w:val="left"/>
        <w:outlineLvl w:val="2"/>
        <w:rPr>
          <w:rFonts w:hint="eastAsia" w:ascii="宋体" w:hAnsi="宋体" w:eastAsia="宋体" w:cs="宋体"/>
          <w:b/>
          <w:sz w:val="22"/>
          <w:szCs w:val="22"/>
          <w:highlight w:val="none"/>
          <w:lang w:val="zh-CN"/>
        </w:rPr>
      </w:pPr>
      <w:r>
        <w:rPr>
          <w:rFonts w:hint="eastAsia" w:ascii="宋体" w:hAnsi="宋体" w:eastAsia="宋体" w:cs="宋体"/>
          <w:b/>
          <w:sz w:val="22"/>
          <w:szCs w:val="22"/>
          <w:highlight w:val="none"/>
        </w:rPr>
        <w:t>1</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lang w:val="zh-CN"/>
        </w:rPr>
        <w:t>供应商质疑</w:t>
      </w:r>
    </w:p>
    <w:p w14:paraId="126B41D0">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1.1</w:t>
      </w:r>
      <w:r>
        <w:rPr>
          <w:rFonts w:hint="eastAsia" w:ascii="宋体" w:hAnsi="宋体" w:eastAsia="宋体" w:cs="宋体"/>
          <w:bCs/>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5121978E">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3071DEEB">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sz w:val="22"/>
          <w:highlight w:val="none"/>
          <w:lang w:val="en-US" w:eastAsia="zh-CN"/>
        </w:rPr>
        <w:t>1）对采购文件提出质疑</w:t>
      </w:r>
      <w:r>
        <w:rPr>
          <w:rFonts w:hint="eastAsia" w:ascii="宋体" w:hAnsi="宋体" w:eastAsia="宋体" w:cs="宋体"/>
          <w:bCs/>
          <w:color w:val="auto"/>
          <w:sz w:val="22"/>
          <w:highlight w:val="none"/>
          <w:lang w:val="en-US" w:eastAsia="zh-CN"/>
        </w:rPr>
        <w:t>的，</w:t>
      </w:r>
      <w:r>
        <w:rPr>
          <w:rFonts w:hint="eastAsia" w:ascii="宋体" w:hAnsi="宋体" w:eastAsia="宋体" w:cs="宋体"/>
          <w:bCs/>
          <w:color w:val="auto"/>
          <w:sz w:val="22"/>
          <w:highlight w:val="none"/>
          <w:u w:val="none"/>
          <w:lang w:val="en-US" w:eastAsia="zh-CN"/>
        </w:rPr>
        <w:t>质疑期限为</w:t>
      </w:r>
      <w:r>
        <w:rPr>
          <w:rFonts w:hint="eastAsia" w:ascii="宋体" w:hAnsi="宋体" w:eastAsia="宋体" w:cs="宋体"/>
          <w:bCs/>
          <w:color w:val="auto"/>
          <w:kern w:val="0"/>
          <w:szCs w:val="21"/>
          <w:highlight w:val="none"/>
          <w:u w:val="none"/>
        </w:rPr>
        <w:t>自采购公告发出之日（</w:t>
      </w:r>
      <w:r>
        <w:rPr>
          <w:rFonts w:hint="eastAsia" w:ascii="宋体" w:hAnsi="宋体" w:eastAsia="宋体" w:cs="宋体"/>
          <w:bCs/>
          <w:color w:val="auto"/>
          <w:kern w:val="0"/>
          <w:szCs w:val="21"/>
          <w:highlight w:val="none"/>
          <w:u w:val="none"/>
          <w:lang w:val="en-US" w:eastAsia="zh-CN"/>
        </w:rPr>
        <w:t>采购公告发布</w:t>
      </w:r>
      <w:r>
        <w:rPr>
          <w:rFonts w:hint="eastAsia" w:ascii="宋体" w:hAnsi="宋体" w:eastAsia="宋体" w:cs="宋体"/>
          <w:bCs/>
          <w:color w:val="auto"/>
          <w:kern w:val="0"/>
          <w:szCs w:val="21"/>
          <w:highlight w:val="none"/>
          <w:u w:val="none"/>
        </w:rPr>
        <w:t>当天不算）起6日内，以书面形式向采购人和采购代理机构提出质疑</w:t>
      </w:r>
      <w:r>
        <w:rPr>
          <w:rFonts w:hint="eastAsia" w:ascii="宋体" w:hAnsi="宋体" w:eastAsia="宋体" w:cs="宋体"/>
          <w:bCs/>
          <w:sz w:val="22"/>
          <w:highlight w:val="none"/>
          <w:lang w:val="en-US" w:eastAsia="zh-CN"/>
        </w:rPr>
        <w:t>。</w:t>
      </w:r>
    </w:p>
    <w:p w14:paraId="7D46B874">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69581227">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040AE106">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w:t>
      </w:r>
      <w:r>
        <w:rPr>
          <w:rFonts w:hint="eastAsia" w:ascii="宋体" w:hAnsi="宋体" w:eastAsia="宋体" w:cs="宋体"/>
          <w:bCs/>
          <w:sz w:val="22"/>
          <w:szCs w:val="22"/>
          <w:highlight w:val="none"/>
          <w:lang w:val="zh-CN"/>
        </w:rPr>
        <w:t>人及联系电话；</w:t>
      </w:r>
    </w:p>
    <w:p w14:paraId="7ADD7BA2">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lang w:val="zh-CN"/>
        </w:rPr>
        <w:t>质疑项目的名称、编号；</w:t>
      </w:r>
    </w:p>
    <w:p w14:paraId="212AEB0C">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3）</w:t>
      </w:r>
      <w:r>
        <w:rPr>
          <w:rFonts w:hint="eastAsia" w:ascii="宋体" w:hAnsi="宋体" w:eastAsia="宋体" w:cs="宋体"/>
          <w:bCs/>
          <w:sz w:val="22"/>
          <w:szCs w:val="22"/>
          <w:highlight w:val="none"/>
          <w:lang w:val="zh-CN"/>
        </w:rPr>
        <w:t>具体、明确的质疑事项和与质疑事项相关的请求；</w:t>
      </w:r>
    </w:p>
    <w:p w14:paraId="2269116D">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4）</w:t>
      </w:r>
      <w:r>
        <w:rPr>
          <w:rFonts w:hint="eastAsia" w:ascii="宋体" w:hAnsi="宋体" w:eastAsia="宋体" w:cs="宋体"/>
          <w:bCs/>
          <w:sz w:val="22"/>
          <w:szCs w:val="22"/>
          <w:highlight w:val="none"/>
          <w:lang w:val="zh-CN"/>
        </w:rPr>
        <w:t>事实依据；</w:t>
      </w:r>
    </w:p>
    <w:p w14:paraId="0D3B6DF0">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val="zh-CN"/>
        </w:rPr>
        <w:t>必要的法律依据；</w:t>
      </w:r>
    </w:p>
    <w:p w14:paraId="4FF3E05B">
      <w:pPr>
        <w:numPr>
          <w:ilvl w:val="0"/>
          <w:numId w:val="0"/>
        </w:numPr>
        <w:tabs>
          <w:tab w:val="left" w:pos="210"/>
          <w:tab w:val="left" w:pos="1050"/>
        </w:tabs>
        <w:snapToGrid w:val="0"/>
        <w:ind w:left="402" w:leftChars="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lang w:val="zh-CN"/>
        </w:rPr>
        <w:t>提出质疑的日期。</w:t>
      </w:r>
    </w:p>
    <w:p w14:paraId="767831B7">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zh-CN"/>
        </w:rPr>
        <w:t>供应商提交的质疑函需一式三份。供应商为自然人的，应当由本人签字；供应商为法人或者其他组织的，应当由法定代表人（负责人）、主要负责人，或者其授权代表签字或者盖章，并加盖公章。</w:t>
      </w:r>
    </w:p>
    <w:p w14:paraId="14799D2B">
      <w:pPr>
        <w:tabs>
          <w:tab w:val="left" w:pos="210"/>
        </w:tabs>
        <w:wordWrap w:val="0"/>
        <w:snapToGrid w:val="0"/>
        <w:ind w:firstLine="440" w:firstLineChars="200"/>
        <w:jc w:val="left"/>
        <w:outlineLvl w:val="2"/>
        <w:rPr>
          <w:rFonts w:hint="eastAsia" w:ascii="宋体" w:hAnsi="宋体" w:eastAsia="宋体" w:cs="宋体"/>
          <w:b w:val="0"/>
          <w:bCs/>
          <w:sz w:val="22"/>
          <w:szCs w:val="22"/>
          <w:highlight w:val="none"/>
          <w:u w:val="none"/>
          <w:lang w:val="zh-CN"/>
        </w:rPr>
      </w:pPr>
      <w:r>
        <w:rPr>
          <w:rFonts w:hint="eastAsia" w:ascii="宋体" w:hAnsi="宋体" w:eastAsia="宋体" w:cs="宋体"/>
          <w:b w:val="0"/>
          <w:bCs/>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739A8C3B">
      <w:pPr>
        <w:tabs>
          <w:tab w:val="left" w:pos="210"/>
          <w:tab w:val="left" w:pos="840"/>
        </w:tabs>
        <w:snapToGrid w:val="0"/>
        <w:ind w:firstLine="442" w:firstLineChars="200"/>
        <w:jc w:val="left"/>
        <w:outlineLvl w:val="2"/>
        <w:rPr>
          <w:rFonts w:hint="eastAsia" w:ascii="宋体" w:hAnsi="宋体" w:eastAsia="宋体" w:cs="宋体"/>
          <w:b/>
          <w:sz w:val="22"/>
          <w:szCs w:val="22"/>
          <w:highlight w:val="none"/>
          <w:u w:val="single"/>
          <w:lang w:val="zh-CN"/>
        </w:rPr>
      </w:pPr>
      <w:r>
        <w:rPr>
          <w:rFonts w:hint="eastAsia" w:ascii="宋体" w:hAnsi="宋体" w:eastAsia="宋体" w:cs="宋体"/>
          <w:b/>
          <w:sz w:val="22"/>
          <w:szCs w:val="22"/>
          <w:highlight w:val="none"/>
          <w:u w:val="single"/>
          <w:lang w:val="en-US" w:eastAsia="zh-CN"/>
        </w:rPr>
        <w:t>1.4</w:t>
      </w:r>
      <w:r>
        <w:rPr>
          <w:rFonts w:hint="eastAsia" w:ascii="宋体" w:hAnsi="宋体" w:eastAsia="宋体" w:cs="宋体"/>
          <w:b/>
          <w:sz w:val="22"/>
          <w:szCs w:val="22"/>
          <w:highlight w:val="none"/>
          <w:u w:val="single"/>
          <w:lang w:val="zh-CN"/>
        </w:rPr>
        <w:t>对同一采购程序环节的质疑</w:t>
      </w:r>
      <w:r>
        <w:rPr>
          <w:rFonts w:hint="eastAsia" w:ascii="宋体" w:hAnsi="宋体" w:eastAsia="宋体" w:cs="宋体"/>
          <w:b/>
          <w:sz w:val="22"/>
          <w:szCs w:val="22"/>
          <w:highlight w:val="none"/>
          <w:u w:val="single"/>
        </w:rPr>
        <w:t>时</w:t>
      </w:r>
      <w:r>
        <w:rPr>
          <w:rFonts w:hint="eastAsia" w:ascii="宋体" w:hAnsi="宋体" w:eastAsia="宋体" w:cs="宋体"/>
          <w:b/>
          <w:sz w:val="22"/>
          <w:szCs w:val="22"/>
          <w:highlight w:val="none"/>
          <w:u w:val="single"/>
          <w:lang w:val="zh-CN"/>
        </w:rPr>
        <w:t>，供应商须在法定质疑期内一次性提出，</w:t>
      </w:r>
      <w:r>
        <w:rPr>
          <w:rFonts w:hint="eastAsia" w:ascii="宋体" w:hAnsi="宋体" w:eastAsia="宋体" w:cs="宋体"/>
          <w:b/>
          <w:sz w:val="22"/>
          <w:highlight w:val="none"/>
          <w:u w:val="single"/>
          <w:lang w:val="zh-CN"/>
        </w:rPr>
        <w:t>已经提出过质疑的投标供应商在质疑期内不能提出新的质疑。</w:t>
      </w:r>
    </w:p>
    <w:p w14:paraId="1F5F9F36">
      <w:pPr>
        <w:tabs>
          <w:tab w:val="left" w:pos="210"/>
          <w:tab w:val="left" w:pos="84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1.5</w:t>
      </w:r>
      <w:r>
        <w:rPr>
          <w:rFonts w:hint="eastAsia" w:ascii="宋体" w:hAnsi="宋体" w:eastAsia="宋体" w:cs="宋体"/>
          <w:bCs/>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06C03D7A">
      <w:pPr>
        <w:tabs>
          <w:tab w:val="left" w:pos="210"/>
          <w:tab w:val="left" w:pos="84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1.6</w:t>
      </w:r>
      <w:r>
        <w:rPr>
          <w:rFonts w:hint="eastAsia" w:ascii="宋体" w:hAnsi="宋体" w:eastAsia="宋体" w:cs="宋体"/>
          <w:bCs/>
          <w:sz w:val="22"/>
          <w:szCs w:val="22"/>
          <w:highlight w:val="none"/>
          <w:lang w:val="zh-CN"/>
        </w:rPr>
        <w:t>采购人或者采购代理机构应当在收到供应商的书面质疑后七个工作日内作出答复，但答复的内容不得涉及商业秘密。</w:t>
      </w:r>
    </w:p>
    <w:p w14:paraId="5155FB5A">
      <w:pPr>
        <w:tabs>
          <w:tab w:val="left" w:pos="210"/>
        </w:tabs>
        <w:snapToGrid w:val="0"/>
        <w:ind w:firstLine="442" w:firstLineChars="200"/>
        <w:jc w:val="left"/>
        <w:outlineLvl w:val="2"/>
        <w:rPr>
          <w:rFonts w:hint="eastAsia" w:ascii="宋体" w:hAnsi="宋体" w:eastAsia="宋体" w:cs="宋体"/>
          <w:b/>
          <w:sz w:val="22"/>
          <w:szCs w:val="22"/>
          <w:highlight w:val="none"/>
          <w:lang w:val="zh-CN"/>
        </w:rPr>
      </w:pPr>
      <w:r>
        <w:rPr>
          <w:rFonts w:hint="eastAsia" w:ascii="宋体" w:hAnsi="宋体" w:eastAsia="宋体" w:cs="宋体"/>
          <w:b/>
          <w:sz w:val="22"/>
          <w:szCs w:val="22"/>
          <w:highlight w:val="none"/>
        </w:rPr>
        <w:t>2</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lang w:val="zh-CN"/>
        </w:rPr>
        <w:t>供应商投诉</w:t>
      </w:r>
    </w:p>
    <w:p w14:paraId="4B52D6A0">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2.1</w:t>
      </w:r>
      <w:r>
        <w:rPr>
          <w:rFonts w:hint="eastAsia" w:ascii="宋体" w:hAnsi="宋体" w:eastAsia="宋体" w:cs="宋体"/>
          <w:bCs/>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sz w:val="22"/>
          <w:szCs w:val="22"/>
          <w:highlight w:val="none"/>
        </w:rPr>
        <w:t>15</w:t>
      </w:r>
      <w:r>
        <w:rPr>
          <w:rFonts w:hint="eastAsia" w:ascii="宋体" w:hAnsi="宋体" w:eastAsia="宋体" w:cs="宋体"/>
          <w:bCs/>
          <w:sz w:val="22"/>
          <w:szCs w:val="22"/>
          <w:highlight w:val="none"/>
          <w:lang w:val="zh-CN"/>
        </w:rPr>
        <w:t>个工作日内向温州市城市建设发展集团有限公司</w:t>
      </w:r>
      <w:r>
        <w:rPr>
          <w:rFonts w:hint="eastAsia" w:ascii="宋体" w:hAnsi="宋体" w:eastAsia="宋体" w:cs="宋体"/>
          <w:bCs/>
          <w:sz w:val="22"/>
          <w:szCs w:val="22"/>
          <w:highlight w:val="none"/>
          <w:lang w:val="zh-CN" w:eastAsia="zh-CN"/>
        </w:rPr>
        <w:t>采购管理委员会</w:t>
      </w:r>
      <w:r>
        <w:rPr>
          <w:rFonts w:hint="eastAsia" w:ascii="宋体" w:hAnsi="宋体" w:eastAsia="宋体" w:cs="宋体"/>
          <w:bCs/>
          <w:sz w:val="22"/>
          <w:szCs w:val="22"/>
          <w:highlight w:val="none"/>
          <w:lang w:val="zh-CN"/>
        </w:rPr>
        <w:t>投诉。</w:t>
      </w:r>
    </w:p>
    <w:p w14:paraId="4116A16C">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2</w:t>
      </w:r>
      <w:r>
        <w:rPr>
          <w:rFonts w:hint="eastAsia" w:ascii="宋体" w:hAnsi="宋体" w:eastAsia="宋体" w:cs="宋体"/>
          <w:bCs/>
          <w:sz w:val="22"/>
          <w:szCs w:val="22"/>
          <w:highlight w:val="none"/>
          <w:lang w:val="zh-CN"/>
        </w:rPr>
        <w:t>供应商投诉的事项不得超出已质疑事项的范围，基于质疑答复内容提出的投诉事项除外。</w:t>
      </w:r>
    </w:p>
    <w:p w14:paraId="00CE4DC9">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2.3</w:t>
      </w:r>
      <w:r>
        <w:rPr>
          <w:rFonts w:hint="eastAsia" w:ascii="宋体" w:hAnsi="宋体" w:eastAsia="宋体" w:cs="宋体"/>
          <w:bCs/>
          <w:sz w:val="22"/>
          <w:szCs w:val="22"/>
          <w:highlight w:val="none"/>
          <w:lang w:val="zh-CN"/>
        </w:rPr>
        <w:t>供应商投诉应当有明确的请求和必要的证明材料。</w:t>
      </w:r>
    </w:p>
    <w:p w14:paraId="5BDC43B4">
      <w:pPr>
        <w:tabs>
          <w:tab w:val="left" w:pos="210"/>
        </w:tabs>
        <w:snapToGrid w:val="0"/>
        <w:ind w:firstLine="440" w:firstLineChars="200"/>
        <w:jc w:val="left"/>
        <w:outlineLvl w:val="2"/>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2.4</w:t>
      </w:r>
      <w:r>
        <w:rPr>
          <w:rFonts w:hint="eastAsia" w:ascii="宋体" w:hAnsi="宋体" w:eastAsia="宋体" w:cs="宋体"/>
          <w:bCs/>
          <w:sz w:val="22"/>
          <w:szCs w:val="22"/>
          <w:highlight w:val="none"/>
          <w:lang w:val="zh-CN"/>
        </w:rPr>
        <w:t>以联合体形式参加采购活动的，其投诉应当由组成联合体的所有供应商共同提出。</w:t>
      </w:r>
    </w:p>
    <w:p w14:paraId="207BBAF7">
      <w:pPr>
        <w:ind w:firstLine="440" w:firstLineChars="200"/>
        <w:rPr>
          <w:rFonts w:hint="eastAsia" w:ascii="宋体" w:hAnsi="宋体" w:eastAsia="宋体" w:cs="宋体"/>
          <w:bCs/>
          <w:sz w:val="22"/>
          <w:szCs w:val="22"/>
          <w:highlight w:val="none"/>
          <w:lang w:val="zh-CN"/>
        </w:rPr>
      </w:pPr>
      <w:r>
        <w:rPr>
          <w:rFonts w:hint="eastAsia" w:ascii="宋体" w:hAnsi="宋体" w:eastAsia="宋体" w:cs="宋体"/>
          <w:bCs/>
          <w:sz w:val="22"/>
          <w:szCs w:val="22"/>
          <w:highlight w:val="none"/>
          <w:lang w:val="en-US" w:eastAsia="zh-CN"/>
        </w:rPr>
        <w:t>2.5投诉供应商认为投诉回复处理结果不合法的，可以依法向采购人所在地人民法院提起诉讼。投诉供应商</w:t>
      </w:r>
      <w:r>
        <w:rPr>
          <w:rFonts w:hint="eastAsia" w:ascii="宋体" w:hAnsi="宋体" w:eastAsia="宋体" w:cs="宋体"/>
          <w:bCs/>
          <w:sz w:val="22"/>
          <w:szCs w:val="22"/>
          <w:highlight w:val="none"/>
          <w:lang w:val="zh-CN"/>
        </w:rPr>
        <w:t>对投诉的真实性负责，恶意投诉将承当相应的法律责任和民事责任。</w:t>
      </w:r>
    </w:p>
    <w:p w14:paraId="416FDFE5">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3.投诉处理过程中，有下列情形之一的，采购监管部门应当驳回投诉：</w:t>
      </w:r>
    </w:p>
    <w:p w14:paraId="70010110">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21918EA8">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3523ECD9">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0309B6D2">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32813326">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40106C85">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4509B6BE">
      <w:pPr>
        <w:numPr>
          <w:ilvl w:val="0"/>
          <w:numId w:val="0"/>
        </w:numPr>
        <w:tabs>
          <w:tab w:val="left" w:pos="210"/>
        </w:tabs>
        <w:snapToGrid w:val="0"/>
        <w:spacing w:line="240" w:lineRule="auto"/>
        <w:ind w:firstLine="440" w:firstLineChars="20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.2如有发现不实的质疑或投诉（包括但不限于未提供证据、证据与质疑或投诉内容无关联、虚假证据等），采购人有权视其为不实的质疑投诉，同时保留对外公布的权利</w:t>
      </w:r>
      <w:r>
        <w:rPr>
          <w:rFonts w:hint="eastAsia" w:ascii="宋体" w:hAnsi="宋体" w:eastAsia="宋体" w:cs="宋体"/>
          <w:bCs/>
          <w:sz w:val="22"/>
          <w:szCs w:val="22"/>
          <w:highlight w:val="none"/>
          <w:lang w:val="zh-CN"/>
        </w:rPr>
        <w:t>。</w:t>
      </w:r>
    </w:p>
    <w:p w14:paraId="71AEA910">
      <w:pPr>
        <w:keepNext/>
        <w:spacing w:before="240"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bookmarkStart w:id="169" w:name="_Toc491780524"/>
      <w:r>
        <w:rPr>
          <w:rFonts w:hint="eastAsia" w:ascii="宋体" w:hAnsi="宋体" w:eastAsia="宋体" w:cs="宋体"/>
          <w:b/>
          <w:bCs/>
          <w:sz w:val="36"/>
          <w:szCs w:val="36"/>
          <w:highlight w:val="none"/>
        </w:rPr>
        <w:t>第二部分 合同条款</w:t>
      </w:r>
      <w:bookmarkEnd w:id="169"/>
    </w:p>
    <w:bookmarkEnd w:id="159"/>
    <w:bookmarkEnd w:id="160"/>
    <w:bookmarkEnd w:id="161"/>
    <w:bookmarkEnd w:id="162"/>
    <w:bookmarkEnd w:id="163"/>
    <w:bookmarkEnd w:id="164"/>
    <w:bookmarkEnd w:id="165"/>
    <w:bookmarkEnd w:id="166"/>
    <w:bookmarkEnd w:id="167"/>
    <w:bookmarkEnd w:id="168"/>
    <w:p w14:paraId="549BC1A0">
      <w:pPr>
        <w:jc w:val="center"/>
        <w:rPr>
          <w:rFonts w:hint="eastAsia" w:ascii="宋体" w:hAnsi="宋体" w:eastAsia="宋体" w:cs="宋体"/>
          <w:szCs w:val="21"/>
          <w:highlight w:val="none"/>
        </w:rPr>
      </w:pPr>
      <w:bookmarkStart w:id="170" w:name="_Toc218041733"/>
      <w:bookmarkStart w:id="171" w:name="_Toc217460692"/>
      <w:bookmarkStart w:id="172" w:name="_Toc227057040"/>
      <w:bookmarkStart w:id="173" w:name="_Toc219538620"/>
      <w:bookmarkStart w:id="174" w:name="_Toc215415537"/>
      <w:bookmarkStart w:id="175" w:name="_Toc216667827"/>
      <w:bookmarkStart w:id="176" w:name="_Toc227489894"/>
      <w:bookmarkStart w:id="177" w:name="_Toc223717611"/>
      <w:bookmarkStart w:id="178" w:name="_Toc223933228"/>
      <w:bookmarkStart w:id="179" w:name="_Toc227056853"/>
      <w:bookmarkStart w:id="180" w:name="_Toc227489895"/>
      <w:bookmarkStart w:id="181" w:name="_Toc219538621"/>
      <w:bookmarkStart w:id="182" w:name="_Toc215415538"/>
      <w:bookmarkStart w:id="183" w:name="_Toc223717612"/>
      <w:bookmarkStart w:id="184" w:name="_Toc216667828"/>
      <w:bookmarkStart w:id="185" w:name="_Toc227056854"/>
      <w:bookmarkStart w:id="186" w:name="_Toc223933229"/>
      <w:bookmarkStart w:id="187" w:name="_Toc218041734"/>
      <w:bookmarkStart w:id="188" w:name="_Toc227057041"/>
      <w:bookmarkStart w:id="189" w:name="_Toc217460693"/>
    </w:p>
    <w:p w14:paraId="0E02645D">
      <w:pPr>
        <w:pStyle w:val="5"/>
        <w:rPr>
          <w:rFonts w:hint="eastAsia" w:ascii="宋体" w:hAnsi="宋体" w:eastAsia="宋体" w:cs="宋体"/>
          <w:sz w:val="30"/>
          <w:szCs w:val="30"/>
          <w:highlight w:val="none"/>
        </w:rPr>
      </w:pPr>
    </w:p>
    <w:p w14:paraId="0CE63B28">
      <w:pPr>
        <w:spacing w:before="100" w:beforeAutospacing="1" w:after="100" w:afterAutospacing="1"/>
        <w:outlineLvl w:val="0"/>
        <w:rPr>
          <w:rFonts w:hint="eastAsia" w:ascii="宋体" w:hAnsi="宋体" w:eastAsia="宋体" w:cs="宋体"/>
          <w:color w:val="auto"/>
          <w:sz w:val="22"/>
          <w:lang w:val="en-US" w:eastAsia="zh-CN"/>
        </w:rPr>
      </w:pPr>
      <w:r>
        <w:rPr>
          <w:rFonts w:hint="eastAsia" w:ascii="宋体" w:hAnsi="宋体" w:eastAsia="宋体" w:cs="宋体"/>
          <w:b/>
          <w:bCs/>
          <w:color w:val="auto"/>
          <w:sz w:val="36"/>
          <w:szCs w:val="36"/>
        </w:rPr>
        <w:t>一、承销服务合作协议</w:t>
      </w:r>
    </w:p>
    <w:p w14:paraId="4C0528D3">
      <w:pPr>
        <w:spacing w:before="100" w:beforeAutospacing="1" w:after="100" w:afterAutospacing="1"/>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二、承销协议</w:t>
      </w:r>
    </w:p>
    <w:p w14:paraId="65485C81">
      <w:pPr>
        <w:spacing w:before="100" w:beforeAutospacing="1" w:after="100" w:afterAutospacing="1"/>
        <w:ind w:firstLine="2200" w:firstLineChars="1000"/>
        <w:outlineLvl w:val="0"/>
        <w:rPr>
          <w:rFonts w:hint="eastAsia" w:ascii="宋体" w:hAnsi="宋体" w:eastAsia="宋体" w:cs="宋体"/>
          <w:color w:val="auto"/>
          <w:sz w:val="22"/>
        </w:rPr>
      </w:pPr>
    </w:p>
    <w:p w14:paraId="1A6B3D7C">
      <w:pPr>
        <w:rPr>
          <w:rFonts w:hint="eastAsia" w:ascii="宋体" w:hAnsi="宋体" w:eastAsia="宋体" w:cs="宋体"/>
          <w:color w:val="auto"/>
          <w:sz w:val="22"/>
        </w:rPr>
      </w:pPr>
    </w:p>
    <w:p w14:paraId="2A3A834C">
      <w:pPr>
        <w:spacing w:before="156" w:after="156"/>
        <w:jc w:val="center"/>
        <w:rPr>
          <w:rFonts w:hint="eastAsia" w:ascii="宋体" w:hAnsi="宋体" w:eastAsia="宋体" w:cs="宋体"/>
          <w:color w:val="auto"/>
          <w:spacing w:val="-2"/>
          <w:sz w:val="48"/>
          <w:szCs w:val="48"/>
        </w:rPr>
      </w:pPr>
    </w:p>
    <w:p w14:paraId="4943EE8F">
      <w:pPr>
        <w:spacing w:before="156" w:after="156"/>
        <w:jc w:val="center"/>
        <w:rPr>
          <w:rFonts w:hint="eastAsia" w:ascii="宋体" w:hAnsi="宋体" w:eastAsia="宋体" w:cs="宋体"/>
          <w:color w:val="auto"/>
          <w:spacing w:val="-2"/>
          <w:sz w:val="48"/>
          <w:szCs w:val="48"/>
        </w:rPr>
      </w:pPr>
    </w:p>
    <w:p w14:paraId="4E8E5AF1">
      <w:pPr>
        <w:spacing w:before="156" w:after="156"/>
        <w:jc w:val="center"/>
        <w:rPr>
          <w:rFonts w:hint="eastAsia" w:ascii="宋体" w:hAnsi="宋体" w:eastAsia="宋体" w:cs="宋体"/>
          <w:color w:val="auto"/>
          <w:spacing w:val="-2"/>
          <w:sz w:val="48"/>
          <w:szCs w:val="48"/>
        </w:rPr>
      </w:pPr>
    </w:p>
    <w:p w14:paraId="25F35C1C">
      <w:pPr>
        <w:spacing w:before="156" w:after="156"/>
        <w:jc w:val="center"/>
        <w:rPr>
          <w:rFonts w:hint="eastAsia" w:ascii="宋体" w:hAnsi="宋体" w:eastAsia="宋体" w:cs="宋体"/>
          <w:color w:val="auto"/>
          <w:spacing w:val="-2"/>
          <w:sz w:val="48"/>
          <w:szCs w:val="48"/>
        </w:rPr>
      </w:pPr>
    </w:p>
    <w:p w14:paraId="3253DAEF">
      <w:pPr>
        <w:spacing w:before="156" w:after="156"/>
        <w:jc w:val="center"/>
        <w:rPr>
          <w:rFonts w:hint="eastAsia" w:ascii="宋体" w:hAnsi="宋体" w:eastAsia="宋体" w:cs="宋体"/>
          <w:color w:val="auto"/>
          <w:spacing w:val="-2"/>
          <w:sz w:val="48"/>
          <w:szCs w:val="48"/>
        </w:rPr>
      </w:pPr>
    </w:p>
    <w:p w14:paraId="21D69833">
      <w:pPr>
        <w:spacing w:before="156" w:after="156"/>
        <w:jc w:val="center"/>
        <w:rPr>
          <w:rFonts w:hint="eastAsia" w:ascii="宋体" w:hAnsi="宋体" w:eastAsia="宋体" w:cs="宋体"/>
          <w:color w:val="auto"/>
          <w:spacing w:val="-2"/>
          <w:sz w:val="48"/>
          <w:szCs w:val="48"/>
        </w:rPr>
      </w:pPr>
    </w:p>
    <w:p w14:paraId="0D5B99ED">
      <w:pPr>
        <w:spacing w:before="156" w:after="156"/>
        <w:jc w:val="center"/>
        <w:rPr>
          <w:rFonts w:hint="eastAsia" w:ascii="宋体" w:hAnsi="宋体" w:eastAsia="宋体" w:cs="宋体"/>
          <w:color w:val="auto"/>
          <w:spacing w:val="-2"/>
          <w:sz w:val="48"/>
          <w:szCs w:val="48"/>
        </w:rPr>
      </w:pPr>
    </w:p>
    <w:p w14:paraId="358DA117">
      <w:pPr>
        <w:spacing w:before="156" w:after="156"/>
        <w:jc w:val="center"/>
        <w:rPr>
          <w:rFonts w:hint="eastAsia" w:ascii="宋体" w:hAnsi="宋体" w:eastAsia="宋体" w:cs="宋体"/>
          <w:color w:val="auto"/>
          <w:spacing w:val="-2"/>
          <w:sz w:val="48"/>
          <w:szCs w:val="48"/>
        </w:rPr>
      </w:pPr>
    </w:p>
    <w:p w14:paraId="1F3A1D25">
      <w:pPr>
        <w:spacing w:before="156" w:after="156"/>
        <w:jc w:val="center"/>
        <w:rPr>
          <w:rFonts w:hint="eastAsia" w:ascii="宋体" w:hAnsi="宋体" w:eastAsia="宋体" w:cs="宋体"/>
          <w:color w:val="auto"/>
          <w:spacing w:val="-2"/>
          <w:sz w:val="48"/>
          <w:szCs w:val="48"/>
        </w:rPr>
      </w:pPr>
    </w:p>
    <w:p w14:paraId="4FD286BE">
      <w:pPr>
        <w:spacing w:before="156" w:after="156"/>
        <w:jc w:val="center"/>
        <w:rPr>
          <w:rFonts w:hint="eastAsia" w:ascii="宋体" w:hAnsi="宋体" w:eastAsia="宋体" w:cs="宋体"/>
          <w:color w:val="auto"/>
          <w:spacing w:val="-2"/>
          <w:sz w:val="48"/>
          <w:szCs w:val="48"/>
        </w:rPr>
      </w:pPr>
    </w:p>
    <w:p w14:paraId="26BB2C6F">
      <w:pPr>
        <w:spacing w:before="156" w:after="156"/>
        <w:jc w:val="center"/>
        <w:rPr>
          <w:rFonts w:hint="eastAsia" w:ascii="宋体" w:hAnsi="宋体" w:eastAsia="宋体" w:cs="宋体"/>
          <w:color w:val="auto"/>
          <w:spacing w:val="-2"/>
          <w:sz w:val="48"/>
          <w:szCs w:val="48"/>
        </w:rPr>
      </w:pPr>
    </w:p>
    <w:p w14:paraId="11F0CFA2">
      <w:pPr>
        <w:numPr>
          <w:ilvl w:val="0"/>
          <w:numId w:val="21"/>
        </w:numPr>
        <w:spacing w:before="156" w:after="156" w:line="24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rPr>
        <w:br w:type="page"/>
      </w:r>
      <w:r>
        <w:rPr>
          <w:rFonts w:hint="eastAsia" w:ascii="宋体" w:hAnsi="宋体" w:eastAsia="宋体" w:cs="宋体"/>
          <w:b/>
          <w:bCs/>
          <w:color w:val="auto"/>
          <w:sz w:val="36"/>
          <w:szCs w:val="36"/>
        </w:rPr>
        <w:t>承销服务合作协议</w:t>
      </w:r>
    </w:p>
    <w:p w14:paraId="22060985">
      <w:pPr>
        <w:spacing w:before="156" w:after="156"/>
        <w:ind w:firstLine="411" w:firstLineChars="187"/>
        <w:rPr>
          <w:rFonts w:hint="eastAsia" w:ascii="宋体" w:hAnsi="宋体" w:eastAsia="宋体" w:cs="宋体"/>
          <w:sz w:val="22"/>
          <w:highlight w:val="none"/>
        </w:rPr>
      </w:pPr>
      <w:r>
        <w:rPr>
          <w:rFonts w:hint="eastAsia" w:ascii="宋体" w:hAnsi="宋体" w:eastAsia="宋体" w:cs="宋体"/>
          <w:sz w:val="22"/>
          <w:highlight w:val="none"/>
        </w:rPr>
        <w:t>甲方：</w:t>
      </w: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，作为“发行方”；</w:t>
      </w:r>
    </w:p>
    <w:p w14:paraId="3E100584">
      <w:pPr>
        <w:wordWrap w:val="0"/>
        <w:spacing w:before="156" w:after="156"/>
        <w:ind w:firstLine="411" w:firstLineChars="187"/>
        <w:rPr>
          <w:rFonts w:hint="eastAsia" w:ascii="宋体" w:hAnsi="宋体" w:eastAsia="宋体" w:cs="宋体"/>
          <w:sz w:val="22"/>
          <w:highlight w:val="none"/>
          <w:lang w:eastAsia="zh-CN"/>
        </w:rPr>
      </w:pPr>
      <w:r>
        <w:rPr>
          <w:rFonts w:hint="eastAsia" w:ascii="宋体" w:hAnsi="宋体" w:eastAsia="宋体" w:cs="宋体"/>
          <w:sz w:val="22"/>
          <w:highlight w:val="none"/>
        </w:rPr>
        <w:t>乙方（</w:t>
      </w:r>
      <w:r>
        <w:rPr>
          <w:rFonts w:hint="eastAsia" w:ascii="宋体" w:hAnsi="宋体" w:eastAsia="宋体" w:cs="宋体"/>
          <w:sz w:val="22"/>
          <w:highlight w:val="none"/>
          <w:u w:val="single"/>
        </w:rPr>
        <w:t>30亿元永续中期票据承销服务</w:t>
      </w:r>
      <w:r>
        <w:rPr>
          <w:rFonts w:hint="eastAsia" w:ascii="宋体" w:hAnsi="宋体" w:eastAsia="宋体" w:cs="宋体"/>
          <w:sz w:val="22"/>
          <w:highlight w:val="none"/>
          <w:u w:val="none"/>
          <w:lang w:val="en-US" w:eastAsia="zh-CN"/>
        </w:rPr>
        <w:t>项目综合得分排名第一名</w:t>
      </w:r>
      <w:r>
        <w:rPr>
          <w:rFonts w:hint="eastAsia" w:ascii="宋体" w:hAnsi="宋体" w:eastAsia="宋体" w:cs="宋体"/>
          <w:sz w:val="22"/>
          <w:highlight w:val="none"/>
          <w:u w:val="none"/>
        </w:rPr>
        <w:t>中</w:t>
      </w:r>
      <w:r>
        <w:rPr>
          <w:rFonts w:hint="eastAsia" w:ascii="宋体" w:hAnsi="宋体" w:eastAsia="宋体" w:cs="宋体"/>
          <w:sz w:val="22"/>
          <w:highlight w:val="none"/>
        </w:rPr>
        <w:t>标</w:t>
      </w:r>
      <w:r>
        <w:rPr>
          <w:rFonts w:hint="eastAsia" w:ascii="宋体" w:hAnsi="宋体" w:eastAsia="宋体" w:cs="宋体"/>
          <w:sz w:val="22"/>
          <w:highlight w:val="none"/>
          <w:lang w:val="en-US" w:eastAsia="zh-CN"/>
        </w:rPr>
        <w:t>入围</w:t>
      </w:r>
      <w:r>
        <w:rPr>
          <w:rFonts w:hint="eastAsia" w:ascii="宋体" w:hAnsi="宋体" w:eastAsia="宋体" w:cs="宋体"/>
          <w:sz w:val="22"/>
          <w:highlight w:val="none"/>
        </w:rPr>
        <w:t>人）：</w:t>
      </w:r>
      <w:r>
        <w:rPr>
          <w:rFonts w:hint="eastAsia" w:ascii="宋体" w:hAnsi="宋体" w:eastAsia="宋体" w:cs="宋体"/>
          <w:sz w:val="22"/>
          <w:highlight w:val="none"/>
          <w:u w:val="single"/>
          <w:lang w:val="en-US" w:eastAsia="zh-CN"/>
        </w:rPr>
        <w:t xml:space="preserve">                 </w:t>
      </w:r>
      <w:r>
        <w:rPr>
          <w:rFonts w:hint="eastAsia" w:ascii="宋体" w:hAnsi="宋体" w:eastAsia="宋体" w:cs="宋体"/>
          <w:sz w:val="22"/>
          <w:highlight w:val="none"/>
          <w:u w:val="none"/>
          <w:lang w:val="en-US" w:eastAsia="zh-CN"/>
        </w:rPr>
        <w:t>，</w:t>
      </w:r>
      <w:r>
        <w:rPr>
          <w:rFonts w:hint="eastAsia" w:ascii="宋体" w:hAnsi="宋体" w:eastAsia="宋体" w:cs="宋体"/>
          <w:sz w:val="22"/>
          <w:highlight w:val="none"/>
        </w:rPr>
        <w:t>作为项目</w:t>
      </w:r>
      <w:r>
        <w:rPr>
          <w:rFonts w:hint="eastAsia" w:ascii="宋体" w:hAnsi="宋体" w:eastAsia="宋体" w:cs="宋体"/>
          <w:b/>
          <w:bCs/>
          <w:color w:val="auto"/>
          <w:sz w:val="22"/>
          <w:highlight w:val="none"/>
          <w:lang w:val="en-US" w:eastAsia="zh-CN"/>
        </w:rPr>
        <w:t>所有各</w:t>
      </w:r>
      <w:r>
        <w:rPr>
          <w:rFonts w:hint="eastAsia" w:ascii="宋体" w:hAnsi="宋体" w:eastAsia="宋体" w:cs="宋体"/>
          <w:b/>
          <w:bCs/>
          <w:color w:val="auto"/>
          <w:sz w:val="22"/>
          <w:highlight w:val="none"/>
          <w:u w:val="none"/>
          <w:lang w:val="en-US" w:eastAsia="zh-CN"/>
        </w:rPr>
        <w:t>期</w:t>
      </w:r>
      <w:r>
        <w:rPr>
          <w:rFonts w:hint="eastAsia" w:ascii="宋体" w:hAnsi="宋体" w:eastAsia="宋体" w:cs="宋体"/>
          <w:sz w:val="22"/>
          <w:highlight w:val="none"/>
        </w:rPr>
        <w:t>发行的牵头主承销商</w:t>
      </w:r>
      <w:r>
        <w:rPr>
          <w:rFonts w:hint="eastAsia" w:ascii="宋体" w:hAnsi="宋体" w:eastAsia="宋体" w:cs="宋体"/>
          <w:sz w:val="22"/>
          <w:highlight w:val="none"/>
          <w:lang w:eastAsia="zh-CN"/>
        </w:rPr>
        <w:t>；</w:t>
      </w:r>
    </w:p>
    <w:p w14:paraId="03BB109E">
      <w:pPr>
        <w:wordWrap w:val="0"/>
        <w:spacing w:before="156" w:after="156"/>
        <w:ind w:firstLine="411" w:firstLineChars="187"/>
        <w:rPr>
          <w:rFonts w:hint="eastAsia" w:ascii="宋体" w:hAnsi="宋体" w:eastAsia="宋体" w:cs="宋体"/>
          <w:sz w:val="22"/>
        </w:rPr>
      </w:pPr>
      <w:r>
        <w:rPr>
          <w:rFonts w:hint="eastAsia" w:ascii="宋体" w:hAnsi="宋体" w:eastAsia="宋体" w:cs="宋体"/>
          <w:sz w:val="22"/>
          <w:highlight w:val="none"/>
        </w:rPr>
        <w:t>丙</w:t>
      </w:r>
      <w:r>
        <w:rPr>
          <w:rFonts w:hint="eastAsia" w:ascii="宋体" w:hAnsi="宋体" w:eastAsia="宋体" w:cs="宋体"/>
          <w:sz w:val="22"/>
          <w:highlight w:val="none"/>
          <w:lang w:val="en-US" w:eastAsia="zh-CN"/>
        </w:rPr>
        <w:t>1</w:t>
      </w:r>
      <w:r>
        <w:rPr>
          <w:rFonts w:hint="eastAsia" w:ascii="宋体" w:hAnsi="宋体" w:eastAsia="宋体" w:cs="宋体"/>
          <w:sz w:val="22"/>
          <w:highlight w:val="none"/>
        </w:rPr>
        <w:t>方（</w:t>
      </w:r>
      <w:r>
        <w:rPr>
          <w:rFonts w:hint="eastAsia" w:ascii="宋体" w:hAnsi="宋体" w:eastAsia="宋体" w:cs="宋体"/>
          <w:sz w:val="22"/>
          <w:highlight w:val="none"/>
          <w:u w:val="single"/>
        </w:rPr>
        <w:t>30亿元永续中期票据承销服务项目综合得分排名第</w:t>
      </w:r>
      <w:r>
        <w:rPr>
          <w:rFonts w:hint="eastAsia" w:ascii="宋体" w:hAnsi="宋体" w:eastAsia="宋体" w:cs="宋体"/>
          <w:sz w:val="22"/>
          <w:highlight w:val="none"/>
          <w:u w:val="single"/>
          <w:lang w:val="en-US" w:eastAsia="zh-CN"/>
        </w:rPr>
        <w:t>二</w:t>
      </w:r>
      <w:r>
        <w:rPr>
          <w:rFonts w:hint="eastAsia" w:ascii="宋体" w:hAnsi="宋体" w:eastAsia="宋体" w:cs="宋体"/>
          <w:sz w:val="22"/>
          <w:highlight w:val="none"/>
          <w:u w:val="single"/>
        </w:rPr>
        <w:t>名</w:t>
      </w:r>
      <w:r>
        <w:rPr>
          <w:rFonts w:hint="eastAsia" w:ascii="宋体" w:hAnsi="宋体" w:eastAsia="宋体" w:cs="宋体"/>
          <w:sz w:val="22"/>
          <w:highlight w:val="none"/>
        </w:rPr>
        <w:t>中标入围人）：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u w:val="single"/>
          <w:lang w:val="en-US" w:eastAsia="zh-CN"/>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none"/>
          <w:lang w:eastAsia="zh-CN"/>
        </w:rPr>
        <w:t>，</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1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14:paraId="26B02985">
      <w:pPr>
        <w:wordWrap w:val="0"/>
        <w:spacing w:before="156" w:after="156"/>
        <w:ind w:firstLine="408"/>
        <w:rPr>
          <w:rFonts w:hint="eastAsia" w:ascii="宋体" w:hAnsi="宋体" w:eastAsia="宋体" w:cs="宋体"/>
          <w:sz w:val="22"/>
        </w:rPr>
      </w:pPr>
      <w:r>
        <w:rPr>
          <w:rFonts w:hint="eastAsia" w:ascii="宋体" w:hAnsi="宋体" w:eastAsia="宋体" w:cs="宋体"/>
          <w:sz w:val="22"/>
        </w:rPr>
        <w:t>丙</w:t>
      </w:r>
      <w:r>
        <w:rPr>
          <w:rFonts w:hint="eastAsia" w:ascii="宋体" w:hAnsi="宋体" w:eastAsia="宋体" w:cs="宋体"/>
          <w:sz w:val="22"/>
          <w:lang w:val="en-US" w:eastAsia="zh-CN"/>
        </w:rPr>
        <w:t>2</w:t>
      </w:r>
      <w:r>
        <w:rPr>
          <w:rFonts w:hint="eastAsia" w:ascii="宋体" w:hAnsi="宋体" w:eastAsia="宋体" w:cs="宋体"/>
          <w:sz w:val="22"/>
        </w:rPr>
        <w:t>方（</w:t>
      </w:r>
      <w:r>
        <w:rPr>
          <w:rFonts w:hint="eastAsia" w:ascii="宋体" w:hAnsi="宋体" w:eastAsia="宋体" w:cs="宋体"/>
          <w:sz w:val="22"/>
          <w:u w:val="single"/>
        </w:rPr>
        <w:t>30亿元永续中期票据承销服务项目综合得分排名第</w:t>
      </w:r>
      <w:r>
        <w:rPr>
          <w:rFonts w:hint="eastAsia" w:ascii="宋体" w:hAnsi="宋体" w:eastAsia="宋体" w:cs="宋体"/>
          <w:sz w:val="22"/>
          <w:u w:val="single"/>
          <w:lang w:val="en-US" w:eastAsia="zh-CN"/>
        </w:rPr>
        <w:t>三</w:t>
      </w:r>
      <w:r>
        <w:rPr>
          <w:rFonts w:hint="eastAsia" w:ascii="宋体" w:hAnsi="宋体" w:eastAsia="宋体" w:cs="宋体"/>
          <w:sz w:val="22"/>
          <w:u w:val="single"/>
        </w:rPr>
        <w:t>名</w:t>
      </w:r>
      <w:r>
        <w:rPr>
          <w:rFonts w:hint="eastAsia" w:ascii="宋体" w:hAnsi="宋体" w:eastAsia="宋体" w:cs="宋体"/>
          <w:sz w:val="22"/>
        </w:rPr>
        <w:t>中标入围人）：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none"/>
          <w:lang w:eastAsia="zh-CN"/>
        </w:rPr>
        <w:t>，</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2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14:paraId="39C60FC9">
      <w:pPr>
        <w:wordWrap w:val="0"/>
        <w:spacing w:before="156" w:after="156"/>
        <w:ind w:firstLine="408"/>
        <w:rPr>
          <w:rFonts w:hint="eastAsia" w:ascii="宋体" w:hAnsi="宋体" w:eastAsia="宋体" w:cs="宋体"/>
          <w:color w:val="auto"/>
          <w:sz w:val="22"/>
          <w:lang w:val="en-US" w:eastAsia="zh-CN"/>
        </w:rPr>
      </w:pPr>
      <w:r>
        <w:rPr>
          <w:rFonts w:hint="default" w:ascii="Arial" w:hAnsi="Arial" w:eastAsia="宋体" w:cs="Arial"/>
          <w:color w:val="auto"/>
          <w:sz w:val="22"/>
          <w:lang w:val="en-US" w:eastAsia="zh-CN"/>
        </w:rPr>
        <w:t>……</w:t>
      </w:r>
    </w:p>
    <w:p w14:paraId="1D36F903">
      <w:pPr>
        <w:wordWrap w:val="0"/>
        <w:spacing w:before="156" w:after="156"/>
        <w:ind w:firstLine="408"/>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丙n方</w:t>
      </w:r>
      <w:r>
        <w:rPr>
          <w:rFonts w:hint="eastAsia" w:ascii="宋体" w:hAnsi="宋体" w:eastAsia="宋体" w:cs="宋体"/>
          <w:sz w:val="22"/>
        </w:rPr>
        <w:t>（</w:t>
      </w:r>
      <w:r>
        <w:rPr>
          <w:rFonts w:hint="eastAsia" w:ascii="宋体" w:hAnsi="宋体" w:eastAsia="宋体" w:cs="宋体"/>
          <w:sz w:val="22"/>
          <w:u w:val="single"/>
        </w:rPr>
        <w:t>30亿元永续中期票据承销服务项目综合得分排名第</w:t>
      </w:r>
      <w:r>
        <w:rPr>
          <w:rFonts w:hint="eastAsia" w:ascii="宋体" w:hAnsi="宋体" w:eastAsia="宋体" w:cs="宋体"/>
          <w:sz w:val="22"/>
          <w:u w:val="single"/>
          <w:lang w:val="en-US" w:eastAsia="zh-CN"/>
        </w:rPr>
        <w:t>n+1五</w:t>
      </w:r>
      <w:r>
        <w:rPr>
          <w:rFonts w:hint="eastAsia" w:ascii="宋体" w:hAnsi="宋体" w:eastAsia="宋体" w:cs="宋体"/>
          <w:sz w:val="22"/>
          <w:u w:val="single"/>
        </w:rPr>
        <w:t>名</w:t>
      </w:r>
      <w:r>
        <w:rPr>
          <w:rFonts w:hint="eastAsia" w:ascii="宋体" w:hAnsi="宋体" w:eastAsia="宋体" w:cs="宋体"/>
          <w:sz w:val="22"/>
        </w:rPr>
        <w:t>中标入围人）：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none"/>
          <w:lang w:eastAsia="zh-CN"/>
        </w:rPr>
        <w:t>，</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n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r>
        <w:rPr>
          <w:rFonts w:hint="eastAsia" w:ascii="宋体" w:hAnsi="宋体" w:eastAsia="宋体" w:cs="宋体"/>
          <w:sz w:val="22"/>
          <w:lang w:eastAsia="zh-CN"/>
        </w:rPr>
        <w:t>。</w:t>
      </w:r>
    </w:p>
    <w:p w14:paraId="35573C89">
      <w:pPr>
        <w:wordWrap w:val="0"/>
        <w:spacing w:before="156" w:after="156"/>
        <w:ind w:firstLine="408"/>
        <w:rPr>
          <w:rFonts w:hint="eastAsia" w:ascii="宋体" w:hAnsi="宋体" w:eastAsia="宋体" w:cs="宋体"/>
          <w:color w:val="auto"/>
          <w:sz w:val="22"/>
        </w:rPr>
      </w:pPr>
    </w:p>
    <w:p w14:paraId="282B5019">
      <w:pPr>
        <w:wordWrap w:val="0"/>
        <w:spacing w:before="156" w:after="156"/>
        <w:ind w:firstLine="408"/>
        <w:rPr>
          <w:rFonts w:hint="eastAsia" w:ascii="宋体" w:hAnsi="宋体" w:eastAsia="宋体" w:cs="宋体"/>
          <w:color w:val="auto"/>
          <w:sz w:val="22"/>
          <w:highlight w:val="none"/>
        </w:rPr>
      </w:pPr>
      <w:r>
        <w:rPr>
          <w:rFonts w:hint="eastAsia" w:ascii="宋体" w:hAnsi="宋体" w:eastAsia="宋体" w:cs="宋体"/>
          <w:color w:val="auto"/>
          <w:sz w:val="22"/>
          <w:highlight w:val="none"/>
        </w:rPr>
        <w:t>根据《中华人民共和国民法典》等有关法律法规精神，发行方经过公开招标的采购方式确定：乙方为</w:t>
      </w:r>
      <w:r>
        <w:rPr>
          <w:rFonts w:hint="eastAsia" w:ascii="宋体" w:hAnsi="宋体" w:eastAsia="宋体" w:cs="宋体"/>
          <w:color w:val="auto"/>
          <w:sz w:val="22"/>
          <w:highlight w:val="none"/>
          <w:lang w:eastAsia="zh-CN"/>
        </w:rPr>
        <w:t>温州市交发集团30亿元</w:t>
      </w:r>
      <w:r>
        <w:rPr>
          <w:rFonts w:hint="eastAsia" w:ascii="宋体" w:hAnsi="宋体" w:eastAsia="宋体" w:cs="宋体"/>
          <w:color w:val="auto"/>
          <w:sz w:val="22"/>
          <w:highlight w:val="none"/>
          <w:lang w:val="en-US" w:eastAsia="zh-CN"/>
        </w:rPr>
        <w:t>永续</w:t>
      </w:r>
      <w:r>
        <w:rPr>
          <w:rFonts w:hint="eastAsia" w:ascii="宋体" w:hAnsi="宋体" w:eastAsia="宋体" w:cs="宋体"/>
          <w:color w:val="auto"/>
          <w:sz w:val="22"/>
          <w:highlight w:val="none"/>
          <w:lang w:eastAsia="zh-CN"/>
        </w:rPr>
        <w:t>中期票据承销服务</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各期中期票据发行的</w:t>
      </w:r>
      <w:r>
        <w:rPr>
          <w:rFonts w:hint="eastAsia" w:ascii="宋体" w:hAnsi="宋体" w:eastAsia="宋体" w:cs="宋体"/>
          <w:color w:val="auto"/>
          <w:sz w:val="22"/>
          <w:highlight w:val="none"/>
        </w:rPr>
        <w:t>牵头主承销商，丙</w:t>
      </w:r>
      <w:r>
        <w:rPr>
          <w:rFonts w:hint="eastAsia" w:ascii="宋体" w:hAnsi="宋体" w:eastAsia="宋体" w:cs="宋体"/>
          <w:color w:val="auto"/>
          <w:sz w:val="22"/>
          <w:highlight w:val="none"/>
          <w:lang w:val="en-US" w:eastAsia="zh-CN"/>
        </w:rPr>
        <w:t>n</w:t>
      </w:r>
      <w:r>
        <w:rPr>
          <w:rFonts w:hint="eastAsia" w:ascii="宋体" w:hAnsi="宋体" w:eastAsia="宋体" w:cs="宋体"/>
          <w:color w:val="auto"/>
          <w:sz w:val="22"/>
          <w:highlight w:val="none"/>
        </w:rPr>
        <w:t>方为项目</w:t>
      </w:r>
      <w:r>
        <w:rPr>
          <w:rFonts w:hint="eastAsia" w:ascii="宋体" w:hAnsi="宋体" w:eastAsia="宋体" w:cs="宋体"/>
          <w:color w:val="auto"/>
          <w:sz w:val="22"/>
          <w:highlight w:val="none"/>
          <w:lang w:val="en-US" w:eastAsia="zh-CN"/>
        </w:rPr>
        <w:t>各期</w:t>
      </w:r>
      <w:r>
        <w:rPr>
          <w:rFonts w:hint="eastAsia" w:ascii="宋体" w:hAnsi="宋体" w:eastAsia="宋体" w:cs="宋体"/>
          <w:color w:val="auto"/>
          <w:sz w:val="22"/>
          <w:highlight w:val="none"/>
        </w:rPr>
        <w:t>联席主承销商</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n=1～4其中的一个整数数值，每期发行主承销商数量原则上不超过2个，各丙方发行期数确定详见本承销服务合作协议第3条第5）款中的规定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w:t>
      </w:r>
    </w:p>
    <w:p w14:paraId="6394AEF0">
      <w:pPr>
        <w:spacing w:before="156" w:after="156"/>
        <w:ind w:firstLine="411"/>
        <w:rPr>
          <w:rFonts w:hint="eastAsia" w:ascii="宋体" w:hAnsi="宋体" w:eastAsia="宋体" w:cs="宋体"/>
          <w:b/>
          <w:bCs/>
          <w:color w:val="auto"/>
          <w:sz w:val="22"/>
        </w:rPr>
      </w:pPr>
      <w:r>
        <w:rPr>
          <w:rFonts w:hint="eastAsia" w:ascii="宋体" w:hAnsi="宋体" w:eastAsia="宋体" w:cs="宋体"/>
          <w:b/>
          <w:bCs/>
          <w:color w:val="auto"/>
          <w:sz w:val="22"/>
        </w:rPr>
        <w:t>三方经协商达成以下条款：</w:t>
      </w:r>
    </w:p>
    <w:p w14:paraId="201E92AD">
      <w:pPr>
        <w:pStyle w:val="23"/>
        <w:spacing w:before="156" w:after="156"/>
        <w:ind w:left="0" w:leftChars="0" w:firstLine="442" w:firstLineChars="200"/>
        <w:rPr>
          <w:rFonts w:hint="eastAsia" w:ascii="宋体" w:hAnsi="宋体" w:eastAsia="宋体" w:cs="宋体"/>
          <w:sz w:val="22"/>
          <w:szCs w:val="22"/>
        </w:rPr>
      </w:pPr>
      <w:r>
        <w:rPr>
          <w:rFonts w:hint="eastAsia" w:ascii="宋体" w:hAnsi="宋体" w:eastAsia="宋体" w:cs="宋体"/>
          <w:b/>
          <w:color w:val="auto"/>
          <w:sz w:val="22"/>
          <w:szCs w:val="22"/>
        </w:rPr>
        <w:t>1.基于主承销商</w:t>
      </w:r>
      <w:r>
        <w:rPr>
          <w:rFonts w:hint="eastAsia" w:ascii="宋体" w:hAnsi="宋体" w:eastAsia="宋体" w:cs="宋体"/>
          <w:color w:val="auto"/>
          <w:sz w:val="22"/>
          <w:szCs w:val="22"/>
        </w:rPr>
        <w:t>就本协议项下</w:t>
      </w:r>
      <w:r>
        <w:rPr>
          <w:rFonts w:hint="eastAsia" w:ascii="宋体" w:hAnsi="宋体" w:eastAsia="宋体" w:cs="宋体"/>
          <w:color w:val="auto"/>
          <w:sz w:val="22"/>
          <w:szCs w:val="22"/>
          <w:u w:val="single"/>
          <w:lang w:val="en-US" w:eastAsia="zh-CN"/>
        </w:rPr>
        <w:t xml:space="preserve">  某期中期票据  </w:t>
      </w:r>
      <w:r>
        <w:rPr>
          <w:rFonts w:hint="eastAsia" w:ascii="宋体" w:hAnsi="宋体" w:eastAsia="宋体" w:cs="宋体"/>
          <w:color w:val="auto"/>
          <w:sz w:val="22"/>
          <w:szCs w:val="22"/>
        </w:rPr>
        <w:t>发行为发行方提供的承销服务，发行成</w:t>
      </w:r>
      <w:r>
        <w:rPr>
          <w:rFonts w:hint="eastAsia" w:ascii="宋体" w:hAnsi="宋体" w:eastAsia="宋体" w:cs="宋体"/>
          <w:sz w:val="22"/>
          <w:szCs w:val="22"/>
        </w:rPr>
        <w:t>功后，每期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u w:val="single"/>
        </w:rPr>
        <w:t>中期票据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承销费由簿记管理人在缴款日从募集资金中一次性扣收。承销费计算方式如下：</w:t>
      </w:r>
    </w:p>
    <w:p w14:paraId="5DD645A7">
      <w:pPr>
        <w:pStyle w:val="23"/>
        <w:spacing w:before="156" w:after="156"/>
        <w:rPr>
          <w:rFonts w:hint="eastAsia" w:ascii="宋体" w:hAnsi="宋体" w:eastAsia="宋体" w:cs="宋体"/>
          <w:sz w:val="22"/>
          <w:szCs w:val="22"/>
        </w:rPr>
      </w:pPr>
      <w:r>
        <w:rPr>
          <w:rFonts w:hint="eastAsia" w:ascii="宋体" w:hAnsi="宋体" w:eastAsia="宋体" w:cs="宋体"/>
          <w:sz w:val="22"/>
          <w:szCs w:val="22"/>
        </w:rPr>
        <w:t>承销费 ＝ 当期债务融资工具发行面值总额×</w:t>
      </w:r>
      <w:r>
        <w:rPr>
          <w:rFonts w:hint="eastAsia" w:ascii="宋体" w:hAnsi="宋体" w:eastAsia="宋体" w:cs="宋体"/>
          <w:sz w:val="22"/>
          <w:szCs w:val="22"/>
          <w:highlight w:val="none"/>
        </w:rPr>
        <w:t>年</w:t>
      </w:r>
      <w:r>
        <w:rPr>
          <w:rFonts w:hint="eastAsia" w:ascii="宋体" w:hAnsi="宋体" w:eastAsia="宋体" w:cs="宋体"/>
          <w:sz w:val="22"/>
          <w:szCs w:val="22"/>
        </w:rPr>
        <w:t>承销费率×发行期限（天）/365。</w:t>
      </w:r>
    </w:p>
    <w:p w14:paraId="5903E6A7">
      <w:pPr>
        <w:pStyle w:val="23"/>
        <w:spacing w:before="156" w:after="156"/>
        <w:rPr>
          <w:rFonts w:hint="eastAsia" w:ascii="宋体" w:hAnsi="宋体" w:eastAsia="宋体" w:cs="宋体"/>
          <w:sz w:val="22"/>
          <w:szCs w:val="22"/>
        </w:rPr>
      </w:pPr>
      <w:r>
        <w:rPr>
          <w:rFonts w:hint="eastAsia" w:ascii="宋体" w:hAnsi="宋体" w:eastAsia="宋体" w:cs="宋体"/>
          <w:sz w:val="22"/>
          <w:szCs w:val="22"/>
        </w:rPr>
        <w:t>本协议项下债务融资工具年承销费率为：</w:t>
      </w:r>
    </w:p>
    <w:p w14:paraId="0CA9EB30">
      <w:pPr>
        <w:pStyle w:val="23"/>
        <w:spacing w:before="156" w:after="156"/>
        <w:rPr>
          <w:rFonts w:hint="eastAsia" w:ascii="宋体" w:hAnsi="宋体" w:eastAsia="宋体" w:cs="宋体"/>
          <w:sz w:val="22"/>
          <w:szCs w:val="22"/>
          <w:lang w:eastAsia="zh-CN"/>
        </w:rPr>
      </w:pPr>
      <w:r>
        <w:rPr>
          <w:rFonts w:hint="eastAsia" w:ascii="宋体" w:hAnsi="宋体" w:eastAsia="宋体" w:cs="宋体"/>
          <w:sz w:val="22"/>
          <w:szCs w:val="22"/>
        </w:rPr>
        <w:t>乙方</w:t>
      </w:r>
      <w:r>
        <w:rPr>
          <w:rFonts w:hint="eastAsia" w:ascii="宋体" w:hAnsi="宋体" w:eastAsia="宋体" w:cs="宋体"/>
          <w:sz w:val="22"/>
          <w:szCs w:val="22"/>
          <w:lang w:eastAsia="zh-CN"/>
        </w:rPr>
        <w:t>：</w:t>
      </w:r>
      <w:r>
        <w:rPr>
          <w:rFonts w:hint="eastAsia" w:ascii="宋体" w:hAnsi="宋体" w:eastAsia="宋体" w:cs="宋体"/>
          <w:sz w:val="22"/>
          <w:szCs w:val="22"/>
        </w:rPr>
        <w:t>______%</w:t>
      </w:r>
      <w:r>
        <w:rPr>
          <w:rFonts w:hint="eastAsia" w:ascii="宋体" w:hAnsi="宋体" w:eastAsia="宋体" w:cs="宋体"/>
          <w:sz w:val="22"/>
          <w:szCs w:val="22"/>
          <w:lang w:eastAsia="zh-CN"/>
        </w:rPr>
        <w:t>；</w:t>
      </w:r>
    </w:p>
    <w:p w14:paraId="2709CCAF">
      <w:pPr>
        <w:pStyle w:val="23"/>
        <w:spacing w:before="156" w:after="156"/>
        <w:rPr>
          <w:rFonts w:hint="eastAsia" w:ascii="宋体" w:hAnsi="宋体" w:eastAsia="宋体" w:cs="宋体"/>
          <w:sz w:val="22"/>
          <w:szCs w:val="22"/>
        </w:rPr>
      </w:pPr>
      <w:r>
        <w:rPr>
          <w:rFonts w:hint="eastAsia" w:ascii="宋体" w:hAnsi="宋体" w:eastAsia="宋体" w:cs="宋体"/>
          <w:sz w:val="22"/>
          <w:szCs w:val="22"/>
        </w:rPr>
        <w:t>丙</w:t>
      </w:r>
      <w:r>
        <w:rPr>
          <w:rFonts w:hint="eastAsia" w:ascii="宋体" w:hAnsi="宋体" w:eastAsia="宋体" w:cs="宋体"/>
          <w:sz w:val="22"/>
          <w:szCs w:val="22"/>
          <w:lang w:val="en-US" w:eastAsia="zh-CN"/>
        </w:rPr>
        <w:t>1</w:t>
      </w:r>
      <w:r>
        <w:rPr>
          <w:rFonts w:hint="eastAsia" w:ascii="宋体" w:hAnsi="宋体" w:eastAsia="宋体" w:cs="宋体"/>
          <w:sz w:val="22"/>
          <w:szCs w:val="22"/>
        </w:rPr>
        <w:t>方：______%；</w:t>
      </w:r>
    </w:p>
    <w:p w14:paraId="3094D68C">
      <w:pPr>
        <w:pStyle w:val="23"/>
        <w:spacing w:before="156" w:after="156"/>
        <w:rPr>
          <w:rFonts w:hint="eastAsia" w:ascii="宋体" w:hAnsi="宋体" w:eastAsia="宋体" w:cs="宋体"/>
          <w:sz w:val="22"/>
          <w:szCs w:val="22"/>
        </w:rPr>
      </w:pPr>
      <w:r>
        <w:rPr>
          <w:rFonts w:hint="eastAsia" w:ascii="宋体" w:hAnsi="宋体" w:eastAsia="宋体" w:cs="宋体"/>
          <w:sz w:val="22"/>
          <w:szCs w:val="22"/>
        </w:rPr>
        <w:t>丙</w:t>
      </w:r>
      <w:r>
        <w:rPr>
          <w:rFonts w:hint="eastAsia" w:ascii="宋体" w:hAnsi="宋体" w:eastAsia="宋体" w:cs="宋体"/>
          <w:sz w:val="22"/>
          <w:szCs w:val="22"/>
          <w:lang w:val="en-US" w:eastAsia="zh-CN"/>
        </w:rPr>
        <w:t>2</w:t>
      </w:r>
      <w:r>
        <w:rPr>
          <w:rFonts w:hint="eastAsia" w:ascii="宋体" w:hAnsi="宋体" w:eastAsia="宋体" w:cs="宋体"/>
          <w:sz w:val="22"/>
          <w:szCs w:val="22"/>
        </w:rPr>
        <w:t>方：______%；</w:t>
      </w:r>
    </w:p>
    <w:p w14:paraId="1B5C0553">
      <w:pPr>
        <w:pStyle w:val="23"/>
        <w:spacing w:before="156" w:after="156"/>
        <w:rPr>
          <w:rFonts w:hint="eastAsia" w:ascii="宋体" w:hAnsi="宋体" w:eastAsia="宋体" w:cs="宋体"/>
          <w:sz w:val="22"/>
          <w:szCs w:val="22"/>
        </w:rPr>
      </w:pPr>
      <w:r>
        <w:rPr>
          <w:rFonts w:hint="eastAsia" w:ascii="宋体" w:hAnsi="宋体" w:eastAsia="宋体" w:cs="宋体"/>
          <w:sz w:val="22"/>
          <w:szCs w:val="22"/>
        </w:rPr>
        <w:t>……</w:t>
      </w:r>
    </w:p>
    <w:p w14:paraId="40AEAEDF">
      <w:pPr>
        <w:pStyle w:val="23"/>
        <w:spacing w:before="156" w:after="156"/>
        <w:rPr>
          <w:rFonts w:hint="eastAsia" w:ascii="宋体" w:hAnsi="宋体" w:eastAsia="宋体" w:cs="宋体"/>
          <w:sz w:val="22"/>
          <w:szCs w:val="22"/>
        </w:rPr>
      </w:pPr>
      <w:r>
        <w:rPr>
          <w:rFonts w:hint="eastAsia" w:ascii="宋体" w:hAnsi="宋体" w:eastAsia="宋体" w:cs="宋体"/>
          <w:sz w:val="22"/>
          <w:szCs w:val="22"/>
        </w:rPr>
        <w:t>丙</w:t>
      </w:r>
      <w:r>
        <w:rPr>
          <w:rFonts w:hint="eastAsia" w:ascii="宋体" w:hAnsi="宋体" w:eastAsia="宋体" w:cs="宋体"/>
          <w:sz w:val="22"/>
          <w:szCs w:val="22"/>
          <w:lang w:val="en-US" w:eastAsia="zh-CN"/>
        </w:rPr>
        <w:t>n</w:t>
      </w:r>
      <w:r>
        <w:rPr>
          <w:rFonts w:hint="eastAsia" w:ascii="宋体" w:hAnsi="宋体" w:eastAsia="宋体" w:cs="宋体"/>
          <w:sz w:val="22"/>
          <w:szCs w:val="22"/>
        </w:rPr>
        <w:t>方：______%</w:t>
      </w:r>
    </w:p>
    <w:p w14:paraId="31B22A33">
      <w:pPr>
        <w:spacing w:before="156" w:after="156"/>
        <w:ind w:firstLine="442" w:firstLineChars="200"/>
        <w:rPr>
          <w:rFonts w:hint="eastAsia" w:ascii="宋体" w:hAnsi="宋体" w:eastAsia="宋体" w:cs="宋体"/>
          <w:b/>
          <w:sz w:val="22"/>
        </w:rPr>
      </w:pPr>
      <w:r>
        <w:rPr>
          <w:rFonts w:hint="eastAsia" w:ascii="宋体" w:hAnsi="宋体" w:eastAsia="宋体" w:cs="宋体"/>
          <w:b/>
          <w:sz w:val="22"/>
        </w:rPr>
        <w:t>2.增值税特别约定</w:t>
      </w:r>
    </w:p>
    <w:p w14:paraId="524B02FB">
      <w:pPr>
        <w:spacing w:before="156" w:after="156"/>
        <w:ind w:firstLine="411"/>
        <w:rPr>
          <w:rFonts w:hint="eastAsia" w:ascii="宋体" w:hAnsi="宋体" w:eastAsia="宋体" w:cs="宋体"/>
          <w:sz w:val="22"/>
        </w:rPr>
      </w:pPr>
      <w:r>
        <w:rPr>
          <w:rFonts w:hint="eastAsia" w:ascii="宋体" w:hAnsi="宋体" w:eastAsia="宋体" w:cs="宋体"/>
          <w:sz w:val="22"/>
        </w:rPr>
        <w:t>1）本合同项下发行方向主承销商支付的承销费为含税包干价格，在合同履行期间包干的含税总价不予调整。</w:t>
      </w:r>
    </w:p>
    <w:p w14:paraId="0A723A03">
      <w:pPr>
        <w:spacing w:before="156" w:after="156"/>
        <w:ind w:firstLine="411"/>
        <w:rPr>
          <w:rFonts w:hint="eastAsia" w:ascii="宋体" w:hAnsi="宋体" w:eastAsia="宋体" w:cs="宋体"/>
          <w:sz w:val="22"/>
        </w:rPr>
      </w:pPr>
      <w:r>
        <w:rPr>
          <w:rFonts w:hint="eastAsia" w:ascii="宋体" w:hAnsi="宋体" w:eastAsia="宋体" w:cs="宋体"/>
          <w:sz w:val="22"/>
        </w:rPr>
        <w:t>2）发行方要求主承销商开具增值税发票的，应先在主承销商处办理信息登记，登记信息包括发行方全称、纳税人识别号或社会信用代码、地址、电话、开户银行和账号。发行方应确保提供给主承销商的相关信息真实、准确和完整，并按照主承销商要求提供相关证明资料，具体要求由主承销商通过网点通知或网站公告等发布。</w:t>
      </w:r>
    </w:p>
    <w:p w14:paraId="1CEC00DB">
      <w:pPr>
        <w:spacing w:before="156" w:after="156"/>
        <w:ind w:firstLine="411"/>
        <w:rPr>
          <w:rFonts w:hint="eastAsia" w:ascii="宋体" w:hAnsi="宋体" w:eastAsia="宋体" w:cs="宋体"/>
          <w:sz w:val="22"/>
        </w:rPr>
      </w:pPr>
      <w:r>
        <w:rPr>
          <w:rFonts w:hint="eastAsia" w:ascii="宋体" w:hAnsi="宋体" w:eastAsia="宋体" w:cs="宋体"/>
          <w:sz w:val="22"/>
        </w:rPr>
        <w:t>3）发行方选择自行领取增值税发票的，需向主承销商提供加盖印章的授权委托书，指定领取人，并明确领取人身份证号等信息，由指定领取人凭身份证原件领取增值税发票；指定领取人发生变更的，发行方需重新向主承销商出具加盖印章的授权委托书。发行方选择邮寄方式收取增值税发票的，还应提供准确无误且可送达的邮寄信息；若邮寄信息发生变更的，应及时书面通知主承销商。</w:t>
      </w:r>
    </w:p>
    <w:p w14:paraId="515E4545">
      <w:pPr>
        <w:spacing w:before="156" w:after="156"/>
        <w:ind w:firstLine="411"/>
        <w:rPr>
          <w:rFonts w:hint="eastAsia" w:ascii="宋体" w:hAnsi="宋体" w:eastAsia="宋体" w:cs="宋体"/>
          <w:sz w:val="22"/>
        </w:rPr>
      </w:pPr>
      <w:r>
        <w:rPr>
          <w:rFonts w:hint="eastAsia" w:ascii="宋体" w:hAnsi="宋体" w:eastAsia="宋体" w:cs="宋体"/>
          <w:sz w:val="22"/>
        </w:rPr>
        <w:t>4）因自然灾害、政府行为、社会异常事件等不可抗力或税务机关原因导致主承销商不能及时开具增值税发票的，主承销商有权延迟开票，并不承担任何责任。</w:t>
      </w:r>
    </w:p>
    <w:p w14:paraId="21956C28">
      <w:pPr>
        <w:spacing w:before="156" w:after="156"/>
        <w:ind w:firstLine="411"/>
        <w:rPr>
          <w:rFonts w:hint="eastAsia" w:ascii="宋体" w:hAnsi="宋体" w:eastAsia="宋体" w:cs="宋体"/>
          <w:sz w:val="22"/>
        </w:rPr>
      </w:pPr>
      <w:r>
        <w:rPr>
          <w:rFonts w:hint="eastAsia" w:ascii="宋体" w:hAnsi="宋体" w:eastAsia="宋体" w:cs="宋体"/>
          <w:sz w:val="22"/>
        </w:rPr>
        <w:t>5）增值税发票被发行方收到后发生发票丢失、破损或逾期等非主承销商原因，导致发行方无法收到增值税发票相应联次或逾期无法抵扣的，主承销商不负责赔偿发行方相关经济损失。</w:t>
      </w:r>
    </w:p>
    <w:p w14:paraId="3E6C0234">
      <w:pPr>
        <w:spacing w:before="156" w:after="156"/>
        <w:ind w:firstLine="411"/>
        <w:rPr>
          <w:rFonts w:hint="eastAsia" w:ascii="宋体" w:hAnsi="宋体" w:eastAsia="宋体" w:cs="宋体"/>
          <w:sz w:val="22"/>
        </w:rPr>
      </w:pPr>
      <w:r>
        <w:rPr>
          <w:rFonts w:hint="eastAsia" w:ascii="宋体" w:hAnsi="宋体" w:eastAsia="宋体" w:cs="宋体"/>
          <w:sz w:val="22"/>
        </w:rPr>
        <w:t>6）由于发生销售退回，应税服务中止或开票有误，抵扣联、发票联均无法认证等情形，需要开具增值税红字专用发票的，根据相关法律、法规及政策性文件规定需要由发行方向税务机关提交《开具红字增值税专用发票信息表》的，应由发行方向税务机关提交《开具红字增值税专用发票信息表》，待税务机关审核并通知主承销商后，主承销商开具红字增值税专用发票。</w:t>
      </w:r>
    </w:p>
    <w:p w14:paraId="1677C12A">
      <w:pPr>
        <w:spacing w:before="156" w:after="156"/>
        <w:ind w:firstLine="411"/>
        <w:rPr>
          <w:rFonts w:hint="eastAsia" w:ascii="宋体" w:hAnsi="宋体" w:eastAsia="宋体" w:cs="宋体"/>
          <w:b/>
          <w:sz w:val="22"/>
        </w:rPr>
      </w:pPr>
      <w:r>
        <w:rPr>
          <w:rFonts w:hint="eastAsia" w:ascii="宋体" w:hAnsi="宋体" w:eastAsia="宋体" w:cs="宋体"/>
          <w:b/>
          <w:sz w:val="22"/>
        </w:rPr>
        <w:t>3.主承销商确定及签约方式</w:t>
      </w:r>
    </w:p>
    <w:p w14:paraId="6247EBB2">
      <w:pPr>
        <w:spacing w:before="156" w:after="156"/>
        <w:ind w:firstLine="41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实际中标费率：</w:t>
      </w:r>
    </w:p>
    <w:p w14:paraId="1361536B">
      <w:pPr>
        <w:spacing w:before="156" w:after="156"/>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lang w:val="en-US" w:eastAsia="zh-CN"/>
        </w:rPr>
        <w:t>1）本次中期票据各期发行工作由综合得分排名第一名中标入围人作为各期牵头主承销商与当期相关联席主承销商共同完成，年承销费率按采购文件附件六“中标承销费率承诺函”执行；</w:t>
      </w:r>
    </w:p>
    <w:p w14:paraId="4B455F09">
      <w:pPr>
        <w:spacing w:before="156" w:after="156"/>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r>
        <w:rPr>
          <w:rFonts w:hint="eastAsia" w:ascii="宋体" w:hAnsi="宋体" w:eastAsia="宋体" w:cs="宋体"/>
          <w:bCs/>
          <w:color w:val="auto"/>
          <w:sz w:val="22"/>
          <w:highlight w:val="none"/>
        </w:rPr>
        <w:t>各主承销商在本次</w:t>
      </w:r>
      <w:r>
        <w:rPr>
          <w:rFonts w:hint="eastAsia" w:ascii="宋体" w:hAnsi="宋体" w:eastAsia="宋体" w:cs="宋体"/>
          <w:bCs/>
          <w:color w:val="auto"/>
          <w:sz w:val="22"/>
          <w:highlight w:val="none"/>
          <w:u w:val="single"/>
          <w:lang w:val="en-US" w:eastAsia="zh-CN"/>
        </w:rPr>
        <w:t xml:space="preserve"> </w:t>
      </w:r>
      <w:r>
        <w:rPr>
          <w:rFonts w:hint="eastAsia" w:ascii="宋体" w:hAnsi="宋体" w:eastAsia="宋体" w:cs="宋体"/>
          <w:sz w:val="22"/>
          <w:highlight w:val="none"/>
          <w:u w:val="single"/>
        </w:rPr>
        <w:t>中期票据</w:t>
      </w:r>
      <w:r>
        <w:rPr>
          <w:rFonts w:hint="eastAsia" w:ascii="宋体" w:hAnsi="宋体" w:eastAsia="宋体" w:cs="宋体"/>
          <w:bCs/>
          <w:color w:val="auto"/>
          <w:sz w:val="22"/>
          <w:highlight w:val="none"/>
          <w:u w:val="single"/>
          <w:lang w:val="en-US" w:eastAsia="zh-CN"/>
        </w:rPr>
        <w:t xml:space="preserve"> </w:t>
      </w:r>
      <w:r>
        <w:rPr>
          <w:rFonts w:hint="eastAsia" w:ascii="宋体" w:hAnsi="宋体" w:eastAsia="宋体" w:cs="宋体"/>
          <w:color w:val="auto"/>
          <w:sz w:val="22"/>
          <w:highlight w:val="none"/>
        </w:rPr>
        <w:t>各期发行前需提供不少于当期发行额度的授信</w:t>
      </w:r>
      <w:r>
        <w:rPr>
          <w:rFonts w:hint="eastAsia" w:ascii="宋体" w:hAnsi="宋体" w:eastAsia="宋体" w:cs="宋体"/>
          <w:bCs/>
          <w:color w:val="auto"/>
          <w:sz w:val="22"/>
          <w:highlight w:val="none"/>
        </w:rPr>
        <w:t>；</w:t>
      </w:r>
    </w:p>
    <w:p w14:paraId="1E1D380E">
      <w:pPr>
        <w:spacing w:before="156" w:after="156"/>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）发行方与</w:t>
      </w:r>
      <w:r>
        <w:rPr>
          <w:rFonts w:hint="eastAsia" w:ascii="宋体" w:hAnsi="宋体" w:eastAsia="宋体" w:cs="宋体"/>
          <w:color w:val="auto"/>
          <w:sz w:val="22"/>
          <w:highlight w:val="none"/>
          <w:lang w:val="en-US" w:eastAsia="zh-CN"/>
        </w:rPr>
        <w:t>各</w:t>
      </w:r>
      <w:r>
        <w:rPr>
          <w:rFonts w:hint="eastAsia" w:ascii="宋体" w:hAnsi="宋体" w:eastAsia="宋体" w:cs="宋体"/>
          <w:color w:val="auto"/>
          <w:sz w:val="22"/>
          <w:highlight w:val="none"/>
        </w:rPr>
        <w:t>牵头主承销商及各联席主承销商签订本合作协议，并</w:t>
      </w:r>
      <w:r>
        <w:rPr>
          <w:rFonts w:hint="eastAsia" w:ascii="宋体" w:hAnsi="宋体" w:eastAsia="宋体" w:cs="宋体"/>
          <w:color w:val="auto"/>
          <w:sz w:val="22"/>
          <w:highlight w:val="none"/>
          <w:lang w:val="en-US" w:eastAsia="zh-CN"/>
        </w:rPr>
        <w:t>在发行前</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lang w:val="en-US" w:eastAsia="zh-CN"/>
        </w:rPr>
        <w:t>各期</w:t>
      </w:r>
      <w:r>
        <w:rPr>
          <w:rFonts w:hint="eastAsia" w:ascii="宋体" w:hAnsi="宋体" w:eastAsia="宋体" w:cs="宋体"/>
          <w:color w:val="auto"/>
          <w:sz w:val="22"/>
          <w:highlight w:val="none"/>
        </w:rPr>
        <w:t>牵头主承销商及确定为其他各期</w:t>
      </w:r>
      <w:r>
        <w:rPr>
          <w:rFonts w:hint="eastAsia" w:ascii="宋体" w:hAnsi="宋体" w:eastAsia="宋体" w:cs="宋体"/>
          <w:color w:val="auto"/>
          <w:sz w:val="22"/>
          <w:highlight w:val="none"/>
          <w:lang w:val="en-US" w:eastAsia="zh-CN"/>
        </w:rPr>
        <w:t>联席</w:t>
      </w:r>
      <w:r>
        <w:rPr>
          <w:rFonts w:hint="eastAsia" w:ascii="宋体" w:hAnsi="宋体" w:eastAsia="宋体" w:cs="宋体"/>
          <w:color w:val="auto"/>
          <w:sz w:val="22"/>
          <w:highlight w:val="none"/>
        </w:rPr>
        <w:t>主承销商签订承销协议（2013版）。</w:t>
      </w:r>
    </w:p>
    <w:p w14:paraId="06D99413">
      <w:pPr>
        <w:spacing w:before="156" w:after="156"/>
        <w:ind w:firstLine="440" w:firstLineChars="200"/>
        <w:rPr>
          <w:rFonts w:hint="eastAsia" w:ascii="宋体" w:hAnsi="宋体" w:eastAsia="宋体" w:cs="宋体"/>
          <w:b w:val="0"/>
          <w:bCs w:val="0"/>
          <w:color w:val="auto"/>
          <w:sz w:val="22"/>
          <w:highlight w:val="none"/>
          <w:u w:val="single"/>
          <w:lang w:val="en-US" w:eastAsia="zh-CN"/>
        </w:rPr>
      </w:pPr>
      <w:r>
        <w:rPr>
          <w:rFonts w:hint="eastAsia" w:ascii="宋体" w:hAnsi="宋体" w:eastAsia="宋体" w:cs="宋体"/>
          <w:b w:val="0"/>
          <w:bCs w:val="0"/>
          <w:color w:val="auto"/>
          <w:sz w:val="22"/>
          <w:highlight w:val="none"/>
          <w:lang w:val="en-US" w:eastAsia="zh-CN"/>
        </w:rPr>
        <w:t>4）乙方、丙方发行期数、发行额度、承销发行份额比例：</w:t>
      </w:r>
      <w:r>
        <w:rPr>
          <w:rFonts w:hint="eastAsia" w:ascii="宋体" w:hAnsi="宋体" w:eastAsia="宋体" w:cs="宋体"/>
          <w:b w:val="0"/>
          <w:bCs w:val="0"/>
          <w:color w:val="auto"/>
          <w:sz w:val="22"/>
          <w:highlight w:val="none"/>
          <w:u w:val="single"/>
          <w:lang w:val="en-US" w:eastAsia="zh-CN"/>
        </w:rPr>
        <w:t xml:space="preserve"> </w:t>
      </w:r>
      <w:r>
        <w:rPr>
          <w:rFonts w:hint="eastAsia" w:ascii="宋体" w:hAnsi="宋体" w:eastAsia="宋体" w:cs="宋体"/>
          <w:b/>
          <w:bCs/>
          <w:color w:val="auto"/>
          <w:sz w:val="22"/>
          <w:highlight w:val="none"/>
          <w:u w:val="single"/>
          <w:lang w:val="en-US" w:eastAsia="zh-CN"/>
        </w:rPr>
        <w:t>乙方作为牵头主承销商，承销份额为当期发行规模的40%；依照本承销服务合作协议第3条规定确定的各期中期票据各期联席主承销商（丙方），承担该当期发行规模的60%（若主管部门对牵头主承销商承销份额有新规定，且本项目承销份额不符合新的规定要求，则按新规定执行，否则保持不变）</w:t>
      </w:r>
      <w:r>
        <w:rPr>
          <w:rFonts w:hint="eastAsia" w:ascii="宋体" w:hAnsi="宋体" w:eastAsia="宋体" w:cs="宋体"/>
          <w:b w:val="0"/>
          <w:bCs w:val="0"/>
          <w:color w:val="E7E6E6" w:themeColor="background2"/>
          <w:sz w:val="22"/>
          <w:highlight w:val="none"/>
          <w:u w:val="single"/>
          <w:lang w:val="en-US" w:eastAsia="zh-CN"/>
          <w14:textFill>
            <w14:solidFill>
              <w14:schemeClr w14:val="bg2"/>
            </w14:solidFill>
          </w14:textFill>
        </w:rPr>
        <w:t>。</w:t>
      </w:r>
      <w:r>
        <w:rPr>
          <w:rFonts w:hint="eastAsia" w:ascii="宋体" w:hAnsi="宋体" w:eastAsia="宋体" w:cs="宋体"/>
          <w:b w:val="0"/>
          <w:bCs w:val="0"/>
          <w:color w:val="FFC000" w:themeColor="accent4"/>
          <w:sz w:val="22"/>
          <w:highlight w:val="none"/>
          <w:u w:val="single"/>
          <w:lang w:val="en-US" w:eastAsia="zh-CN"/>
          <w14:textFill>
            <w14:solidFill>
              <w14:schemeClr w14:val="accent4"/>
            </w14:solidFill>
          </w14:textFill>
        </w:rPr>
        <w:t xml:space="preserve"> </w:t>
      </w:r>
    </w:p>
    <w:p w14:paraId="3AAB7340">
      <w:pPr>
        <w:spacing w:before="156" w:after="156"/>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5）各丙方发行期数的规定：</w:t>
      </w:r>
    </w:p>
    <w:p w14:paraId="70ED49D9">
      <w:pPr>
        <w:pStyle w:val="2"/>
        <w:ind w:firstLine="440" w:firstLineChars="200"/>
        <w:rPr>
          <w:rFonts w:hint="default"/>
          <w:lang w:val="en-US" w:eastAsia="zh-CN"/>
        </w:rPr>
      </w:pPr>
      <w:r>
        <w:rPr>
          <w:rFonts w:hint="eastAsia" w:ascii="宋体" w:hAnsi="宋体" w:eastAsia="宋体" w:cs="宋体"/>
          <w:sz w:val="22"/>
          <w:lang w:eastAsia="zh-CN"/>
        </w:rPr>
        <w:t>（</w:t>
      </w:r>
      <w:r>
        <w:rPr>
          <w:rFonts w:hint="eastAsia" w:ascii="宋体" w:hAnsi="宋体" w:eastAsia="宋体" w:cs="宋体"/>
          <w:sz w:val="22"/>
          <w:lang w:val="en-US" w:eastAsia="zh-CN"/>
        </w:rPr>
        <w:t>1</w:t>
      </w:r>
      <w:r>
        <w:rPr>
          <w:rFonts w:hint="eastAsia" w:ascii="宋体" w:hAnsi="宋体" w:eastAsia="宋体" w:cs="宋体"/>
          <w:sz w:val="22"/>
          <w:lang w:eastAsia="zh-CN"/>
        </w:rPr>
        <w:t>）</w:t>
      </w:r>
      <w:r>
        <w:rPr>
          <w:rFonts w:hint="eastAsia" w:ascii="宋体" w:hAnsi="宋体" w:eastAsia="宋体" w:cs="宋体"/>
          <w:sz w:val="22"/>
        </w:rPr>
        <w:t>丙</w:t>
      </w:r>
      <w:r>
        <w:rPr>
          <w:rFonts w:hint="eastAsia" w:ascii="宋体" w:hAnsi="宋体" w:eastAsia="宋体" w:cs="宋体"/>
          <w:sz w:val="22"/>
          <w:lang w:val="en-US" w:eastAsia="zh-CN"/>
        </w:rPr>
        <w:t>1</w:t>
      </w:r>
      <w:r>
        <w:rPr>
          <w:rFonts w:hint="eastAsia" w:ascii="宋体" w:hAnsi="宋体" w:eastAsia="宋体" w:cs="宋体"/>
          <w:sz w:val="22"/>
        </w:rPr>
        <w:t>方</w:t>
      </w:r>
      <w:r>
        <w:rPr>
          <w:rFonts w:hint="eastAsia" w:ascii="宋体" w:hAnsi="宋体" w:eastAsia="宋体" w:cs="宋体"/>
          <w:sz w:val="22"/>
          <w:lang w:val="en-US" w:eastAsia="zh-CN"/>
        </w:rPr>
        <w:t>为本项目</w:t>
      </w:r>
      <w:r>
        <w:rPr>
          <w:rFonts w:hint="eastAsia" w:ascii="宋体" w:hAnsi="宋体" w:eastAsia="宋体" w:cs="宋体"/>
          <w:sz w:val="22"/>
          <w:u w:val="single"/>
        </w:rPr>
        <w:t>综合得分排名第</w:t>
      </w:r>
      <w:r>
        <w:rPr>
          <w:rFonts w:hint="eastAsia" w:ascii="宋体" w:hAnsi="宋体" w:eastAsia="宋体" w:cs="宋体"/>
          <w:sz w:val="22"/>
          <w:u w:val="single"/>
          <w:lang w:val="en-US" w:eastAsia="zh-CN"/>
        </w:rPr>
        <w:t>2</w:t>
      </w:r>
      <w:r>
        <w:rPr>
          <w:rFonts w:hint="eastAsia" w:ascii="宋体" w:hAnsi="宋体" w:eastAsia="宋体" w:cs="宋体"/>
          <w:sz w:val="22"/>
          <w:u w:val="single"/>
        </w:rPr>
        <w:t>名</w:t>
      </w:r>
      <w:r>
        <w:rPr>
          <w:rFonts w:hint="eastAsia" w:ascii="宋体" w:hAnsi="宋体" w:eastAsia="宋体" w:cs="宋体"/>
          <w:sz w:val="22"/>
        </w:rPr>
        <w:t>中标入围人</w:t>
      </w:r>
      <w:r>
        <w:rPr>
          <w:rFonts w:hint="eastAsia" w:ascii="宋体" w:hAnsi="宋体" w:eastAsia="宋体" w:cs="宋体"/>
          <w:sz w:val="22"/>
          <w:lang w:eastAsia="zh-CN"/>
        </w:rPr>
        <w:t>，</w:t>
      </w:r>
      <w:r>
        <w:rPr>
          <w:rFonts w:hint="eastAsia" w:ascii="宋体" w:hAnsi="宋体" w:eastAsia="宋体" w:cs="宋体"/>
          <w:sz w:val="22"/>
          <w:lang w:val="en-US" w:eastAsia="zh-CN"/>
        </w:rPr>
        <w:t>丙</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1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14:paraId="1548402D">
      <w:pPr>
        <w:ind w:firstLine="440" w:firstLineChars="200"/>
        <w:rPr>
          <w:rFonts w:hint="eastAsia" w:ascii="宋体" w:hAnsi="宋体" w:eastAsia="宋体" w:cs="宋体"/>
          <w:b/>
          <w:bCs/>
          <w:strike w:val="0"/>
          <w:color w:val="auto"/>
          <w:sz w:val="22"/>
          <w:highlight w:val="yellow"/>
          <w:lang w:val="en-US" w:eastAsia="zh-CN"/>
        </w:rPr>
      </w:pPr>
      <w:r>
        <w:rPr>
          <w:rFonts w:hint="eastAsia" w:ascii="宋体" w:hAnsi="宋体" w:eastAsia="宋体" w:cs="宋体"/>
          <w:sz w:val="22"/>
          <w:lang w:eastAsia="zh-CN"/>
        </w:rPr>
        <w:t>（</w:t>
      </w:r>
      <w:r>
        <w:rPr>
          <w:rFonts w:hint="eastAsia" w:ascii="宋体" w:hAnsi="宋体" w:eastAsia="宋体" w:cs="宋体"/>
          <w:sz w:val="22"/>
          <w:lang w:val="en-US" w:eastAsia="zh-CN"/>
        </w:rPr>
        <w:t>2</w:t>
      </w:r>
      <w:r>
        <w:rPr>
          <w:rFonts w:hint="eastAsia" w:ascii="宋体" w:hAnsi="宋体" w:eastAsia="宋体" w:cs="宋体"/>
          <w:sz w:val="22"/>
          <w:lang w:eastAsia="zh-CN"/>
        </w:rPr>
        <w:t>）</w:t>
      </w:r>
      <w:r>
        <w:rPr>
          <w:rFonts w:hint="eastAsia" w:ascii="宋体" w:hAnsi="宋体" w:eastAsia="宋体" w:cs="宋体"/>
          <w:sz w:val="22"/>
        </w:rPr>
        <w:t>丙</w:t>
      </w:r>
      <w:r>
        <w:rPr>
          <w:rFonts w:hint="eastAsia" w:ascii="宋体" w:hAnsi="宋体" w:eastAsia="宋体" w:cs="宋体"/>
          <w:sz w:val="22"/>
          <w:lang w:val="en-US" w:eastAsia="zh-CN"/>
        </w:rPr>
        <w:t>2</w:t>
      </w:r>
      <w:r>
        <w:rPr>
          <w:rFonts w:hint="eastAsia" w:ascii="宋体" w:hAnsi="宋体" w:eastAsia="宋体" w:cs="宋体"/>
          <w:sz w:val="22"/>
        </w:rPr>
        <w:t>方</w:t>
      </w:r>
      <w:r>
        <w:rPr>
          <w:rFonts w:hint="eastAsia" w:ascii="宋体" w:hAnsi="宋体" w:eastAsia="宋体" w:cs="宋体"/>
          <w:sz w:val="22"/>
          <w:lang w:val="en-US" w:eastAsia="zh-CN"/>
        </w:rPr>
        <w:t>为本项目</w:t>
      </w:r>
      <w:r>
        <w:rPr>
          <w:rFonts w:hint="eastAsia" w:ascii="宋体" w:hAnsi="宋体" w:eastAsia="宋体" w:cs="宋体"/>
          <w:sz w:val="22"/>
          <w:u w:val="single"/>
        </w:rPr>
        <w:t>综合得分排名第</w:t>
      </w:r>
      <w:r>
        <w:rPr>
          <w:rFonts w:hint="eastAsia" w:ascii="宋体" w:hAnsi="宋体" w:eastAsia="宋体" w:cs="宋体"/>
          <w:sz w:val="22"/>
          <w:u w:val="single"/>
          <w:lang w:val="en-US" w:eastAsia="zh-CN"/>
        </w:rPr>
        <w:t>3</w:t>
      </w:r>
      <w:r>
        <w:rPr>
          <w:rFonts w:hint="eastAsia" w:ascii="宋体" w:hAnsi="宋体" w:eastAsia="宋体" w:cs="宋体"/>
          <w:sz w:val="22"/>
          <w:u w:val="single"/>
        </w:rPr>
        <w:t>名</w:t>
      </w:r>
      <w:r>
        <w:rPr>
          <w:rFonts w:hint="eastAsia" w:ascii="宋体" w:hAnsi="宋体" w:eastAsia="宋体" w:cs="宋体"/>
          <w:sz w:val="22"/>
        </w:rPr>
        <w:t>中标入围人</w:t>
      </w:r>
      <w:r>
        <w:rPr>
          <w:rFonts w:hint="eastAsia" w:ascii="宋体" w:hAnsi="宋体" w:eastAsia="宋体" w:cs="宋体"/>
          <w:sz w:val="22"/>
          <w:lang w:eastAsia="zh-CN"/>
        </w:rPr>
        <w:t>，</w:t>
      </w:r>
      <w:r>
        <w:rPr>
          <w:rFonts w:hint="eastAsia" w:ascii="宋体" w:hAnsi="宋体" w:eastAsia="宋体" w:cs="宋体"/>
          <w:sz w:val="22"/>
          <w:lang w:val="en-US" w:eastAsia="zh-CN"/>
        </w:rPr>
        <w:t>丙</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2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p>
    <w:p w14:paraId="19A9FD92">
      <w:pPr>
        <w:ind w:firstLine="440" w:firstLineChars="200"/>
        <w:rPr>
          <w:rFonts w:hint="eastAsia" w:ascii="宋体" w:hAnsi="宋体" w:eastAsia="宋体" w:cs="宋体"/>
          <w:sz w:val="22"/>
          <w:lang w:eastAsia="zh-CN"/>
        </w:rPr>
      </w:pPr>
      <w:r>
        <w:rPr>
          <w:rFonts w:hint="default" w:ascii="Arial" w:hAnsi="Arial" w:eastAsia="宋体" w:cs="Arial"/>
          <w:sz w:val="22"/>
          <w:lang w:eastAsia="zh-CN"/>
        </w:rPr>
        <w:t>……</w:t>
      </w:r>
    </w:p>
    <w:p w14:paraId="72C4FF85">
      <w:pPr>
        <w:ind w:firstLine="440" w:firstLineChars="200"/>
        <w:rPr>
          <w:rFonts w:hint="eastAsia" w:ascii="宋体" w:hAnsi="宋体" w:eastAsia="宋体" w:cs="宋体"/>
          <w:b/>
          <w:bCs/>
          <w:strike w:val="0"/>
          <w:color w:val="auto"/>
          <w:sz w:val="22"/>
          <w:highlight w:val="yellow"/>
          <w:lang w:val="en-US" w:eastAsia="zh-CN"/>
        </w:rPr>
      </w:pPr>
      <w:r>
        <w:rPr>
          <w:rFonts w:hint="eastAsia" w:ascii="宋体" w:hAnsi="宋体" w:eastAsia="宋体" w:cs="宋体"/>
          <w:sz w:val="22"/>
          <w:lang w:eastAsia="zh-CN"/>
        </w:rPr>
        <w:t>（</w:t>
      </w:r>
      <w:r>
        <w:rPr>
          <w:rFonts w:hint="eastAsia" w:ascii="宋体" w:hAnsi="宋体" w:eastAsia="宋体" w:cs="宋体"/>
          <w:sz w:val="22"/>
          <w:lang w:val="en-US" w:eastAsia="zh-CN"/>
        </w:rPr>
        <w:t>n</w:t>
      </w:r>
      <w:r>
        <w:rPr>
          <w:rFonts w:hint="eastAsia" w:ascii="宋体" w:hAnsi="宋体" w:eastAsia="宋体" w:cs="宋体"/>
          <w:sz w:val="22"/>
          <w:lang w:eastAsia="zh-CN"/>
        </w:rPr>
        <w:t>）</w:t>
      </w:r>
      <w:r>
        <w:rPr>
          <w:rFonts w:hint="eastAsia" w:ascii="宋体" w:hAnsi="宋体" w:eastAsia="宋体" w:cs="宋体"/>
          <w:sz w:val="22"/>
        </w:rPr>
        <w:t>丙</w:t>
      </w:r>
      <w:r>
        <w:rPr>
          <w:rFonts w:hint="eastAsia" w:ascii="宋体" w:hAnsi="宋体" w:eastAsia="宋体" w:cs="宋体"/>
          <w:sz w:val="22"/>
          <w:lang w:val="en-US" w:eastAsia="zh-CN"/>
        </w:rPr>
        <w:t>n</w:t>
      </w:r>
      <w:r>
        <w:rPr>
          <w:rFonts w:hint="eastAsia" w:ascii="宋体" w:hAnsi="宋体" w:eastAsia="宋体" w:cs="宋体"/>
          <w:sz w:val="22"/>
        </w:rPr>
        <w:t>方</w:t>
      </w:r>
      <w:r>
        <w:rPr>
          <w:rFonts w:hint="eastAsia" w:ascii="宋体" w:hAnsi="宋体" w:eastAsia="宋体" w:cs="宋体"/>
          <w:sz w:val="22"/>
          <w:lang w:val="en-US" w:eastAsia="zh-CN"/>
        </w:rPr>
        <w:t>为本项目</w:t>
      </w:r>
      <w:r>
        <w:rPr>
          <w:rFonts w:hint="eastAsia" w:ascii="宋体" w:hAnsi="宋体" w:eastAsia="宋体" w:cs="宋体"/>
          <w:sz w:val="22"/>
          <w:u w:val="single"/>
        </w:rPr>
        <w:t>综合得分排名第</w:t>
      </w:r>
      <w:r>
        <w:rPr>
          <w:rFonts w:hint="eastAsia" w:ascii="宋体" w:hAnsi="宋体" w:eastAsia="宋体" w:cs="宋体"/>
          <w:sz w:val="22"/>
          <w:u w:val="single"/>
          <w:lang w:val="en-US" w:eastAsia="zh-CN"/>
        </w:rPr>
        <w:t>n+1</w:t>
      </w:r>
      <w:r>
        <w:rPr>
          <w:rFonts w:hint="eastAsia" w:ascii="宋体" w:hAnsi="宋体" w:eastAsia="宋体" w:cs="宋体"/>
          <w:sz w:val="22"/>
          <w:u w:val="single"/>
        </w:rPr>
        <w:t>名</w:t>
      </w:r>
      <w:r>
        <w:rPr>
          <w:rFonts w:hint="eastAsia" w:ascii="宋体" w:hAnsi="宋体" w:eastAsia="宋体" w:cs="宋体"/>
          <w:sz w:val="22"/>
        </w:rPr>
        <w:t>中标入围人</w:t>
      </w:r>
      <w:r>
        <w:rPr>
          <w:rFonts w:hint="eastAsia" w:ascii="宋体" w:hAnsi="宋体" w:eastAsia="宋体" w:cs="宋体"/>
          <w:sz w:val="22"/>
          <w:lang w:eastAsia="zh-CN"/>
        </w:rPr>
        <w:t>，</w:t>
      </w:r>
      <w:r>
        <w:rPr>
          <w:rFonts w:hint="eastAsia" w:ascii="宋体" w:hAnsi="宋体" w:eastAsia="宋体" w:cs="宋体"/>
          <w:sz w:val="22"/>
          <w:lang w:val="en-US" w:eastAsia="zh-CN"/>
        </w:rPr>
        <w:t>丙</w:t>
      </w:r>
      <w:r>
        <w:rPr>
          <w:rFonts w:hint="eastAsia" w:ascii="宋体" w:hAnsi="宋体" w:eastAsia="宋体" w:cs="宋体"/>
          <w:sz w:val="22"/>
          <w:u w:val="none"/>
          <w:lang w:val="en-US" w:eastAsia="zh-CN"/>
        </w:rPr>
        <w:t>作</w:t>
      </w:r>
      <w:r>
        <w:rPr>
          <w:rFonts w:hint="eastAsia" w:ascii="宋体" w:hAnsi="宋体" w:eastAsia="宋体" w:cs="宋体"/>
          <w:sz w:val="22"/>
          <w:u w:val="none"/>
        </w:rPr>
        <w:t>为项目</w:t>
      </w:r>
      <w:r>
        <w:rPr>
          <w:rFonts w:hint="eastAsia" w:ascii="宋体" w:hAnsi="宋体" w:eastAsia="宋体" w:cs="宋体"/>
          <w:sz w:val="22"/>
          <w:u w:val="none"/>
          <w:lang w:val="en-US" w:eastAsia="zh-CN"/>
        </w:rPr>
        <w:t>第</w:t>
      </w:r>
      <w:r>
        <w:rPr>
          <w:rFonts w:hint="eastAsia" w:ascii="宋体" w:hAnsi="宋体" w:eastAsia="宋体" w:cs="宋体"/>
          <w:sz w:val="22"/>
          <w:u w:val="single"/>
          <w:lang w:val="en-US" w:eastAsia="zh-CN"/>
        </w:rPr>
        <w:t xml:space="preserve"> n </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r>
        <w:rPr>
          <w:rFonts w:hint="eastAsia" w:ascii="宋体" w:hAnsi="宋体" w:eastAsia="宋体" w:cs="宋体"/>
          <w:sz w:val="22"/>
          <w:lang w:eastAsia="zh-CN"/>
        </w:rPr>
        <w:t>；</w:t>
      </w:r>
    </w:p>
    <w:p w14:paraId="563627FE">
      <w:pPr>
        <w:ind w:firstLine="440" w:firstLineChars="200"/>
        <w:rPr>
          <w:rFonts w:hint="eastAsia" w:ascii="宋体" w:hAnsi="宋体" w:eastAsia="宋体" w:cs="宋体"/>
          <w:b/>
          <w:bCs/>
          <w:strike w:val="0"/>
          <w:color w:val="auto"/>
          <w:sz w:val="22"/>
          <w:highlight w:val="none"/>
          <w:lang w:val="en-US" w:eastAsia="zh-CN"/>
        </w:rPr>
      </w:pPr>
      <w:r>
        <w:rPr>
          <w:rFonts w:hint="eastAsia" w:ascii="宋体" w:hAnsi="宋体" w:eastAsia="宋体" w:cs="宋体"/>
          <w:color w:val="auto"/>
          <w:sz w:val="22"/>
          <w:lang w:val="en-US" w:eastAsia="zh-CN"/>
        </w:rPr>
        <w:t>（n+1）如有第n+1期及以上发行行为的，作为当</w:t>
      </w:r>
      <w:r>
        <w:rPr>
          <w:rFonts w:hint="eastAsia" w:ascii="宋体" w:hAnsi="宋体" w:eastAsia="宋体" w:cs="宋体"/>
          <w:sz w:val="22"/>
          <w:u w:val="none"/>
          <w:lang w:val="en-US" w:eastAsia="zh-CN"/>
        </w:rPr>
        <w:t>期发行的</w:t>
      </w:r>
      <w:r>
        <w:rPr>
          <w:rFonts w:hint="eastAsia" w:ascii="宋体" w:hAnsi="宋体" w:eastAsia="宋体" w:cs="宋体"/>
          <w:sz w:val="22"/>
          <w:u w:val="none"/>
        </w:rPr>
        <w:t>“</w:t>
      </w:r>
      <w:r>
        <w:rPr>
          <w:rFonts w:hint="eastAsia" w:ascii="宋体" w:hAnsi="宋体" w:eastAsia="宋体" w:cs="宋体"/>
          <w:sz w:val="22"/>
        </w:rPr>
        <w:t>联席主承销商”</w:t>
      </w:r>
      <w:r>
        <w:rPr>
          <w:rFonts w:hint="eastAsia" w:ascii="宋体" w:hAnsi="宋体" w:eastAsia="宋体" w:cs="宋体"/>
          <w:sz w:val="22"/>
          <w:lang w:val="en-US" w:eastAsia="zh-CN"/>
        </w:rPr>
        <w:t>的</w:t>
      </w:r>
      <w:r>
        <w:rPr>
          <w:rFonts w:hint="eastAsia" w:ascii="宋体" w:hAnsi="宋体" w:eastAsia="宋体" w:cs="宋体"/>
          <w:color w:val="auto"/>
          <w:sz w:val="22"/>
          <w:lang w:val="en-US" w:eastAsia="zh-CN"/>
        </w:rPr>
        <w:t>丙方，</w:t>
      </w:r>
      <w:r>
        <w:rPr>
          <w:rFonts w:hint="eastAsia" w:ascii="宋体" w:hAnsi="宋体" w:eastAsia="宋体" w:cs="宋体"/>
          <w:color w:val="auto"/>
          <w:sz w:val="22"/>
          <w:highlight w:val="none"/>
          <w:lang w:val="en-US" w:eastAsia="zh-CN"/>
        </w:rPr>
        <w:t>其</w:t>
      </w:r>
      <w:r>
        <w:rPr>
          <w:rFonts w:hint="eastAsia" w:ascii="宋体" w:hAnsi="宋体" w:eastAsia="宋体" w:cs="宋体"/>
          <w:sz w:val="22"/>
          <w:highlight w:val="none"/>
          <w:lang w:val="en-US" w:eastAsia="zh-CN"/>
        </w:rPr>
        <w:t>发行顺序按照上述丙方综合得分排名发行规则重复进行（例如丙1方为第n+1期，丙2方为第n+2期发行的“联席主承销商”）。</w:t>
      </w:r>
    </w:p>
    <w:p w14:paraId="38866AD5">
      <w:pPr>
        <w:spacing w:before="156" w:after="156"/>
        <w:ind w:firstLine="411" w:firstLineChars="0"/>
        <w:rPr>
          <w:rFonts w:hint="eastAsia" w:ascii="宋体" w:hAnsi="宋体" w:eastAsia="宋体" w:cs="宋体"/>
          <w:b/>
          <w:sz w:val="22"/>
          <w:szCs w:val="22"/>
        </w:rPr>
      </w:pPr>
      <w:r>
        <w:rPr>
          <w:rFonts w:hint="eastAsia" w:ascii="宋体" w:hAnsi="宋体" w:eastAsia="宋体" w:cs="宋体"/>
          <w:b/>
          <w:sz w:val="22"/>
          <w:szCs w:val="22"/>
          <w:lang w:val="en-US" w:eastAsia="zh-CN"/>
        </w:rPr>
        <w:t>4.</w:t>
      </w:r>
      <w:r>
        <w:rPr>
          <w:rFonts w:hint="eastAsia" w:ascii="宋体" w:hAnsi="宋体" w:eastAsia="宋体" w:cs="宋体"/>
          <w:b/>
          <w:sz w:val="22"/>
          <w:szCs w:val="22"/>
        </w:rPr>
        <w:t>发行要求</w:t>
      </w:r>
    </w:p>
    <w:p w14:paraId="5062AA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本次</w:t>
      </w:r>
      <w:r>
        <w:rPr>
          <w:rFonts w:hint="eastAsia" w:ascii="宋体" w:hAnsi="宋体" w:eastAsia="宋体" w:cs="宋体"/>
          <w:b/>
          <w:bCs/>
          <w:color w:val="auto"/>
          <w:szCs w:val="21"/>
          <w:highlight w:val="none"/>
          <w:u w:val="single"/>
          <w:lang w:val="en-US" w:eastAsia="zh-CN"/>
        </w:rPr>
        <w:t>中期票据</w:t>
      </w:r>
      <w:r>
        <w:rPr>
          <w:rFonts w:hint="eastAsia" w:ascii="宋体" w:hAnsi="宋体" w:eastAsia="宋体" w:cs="宋体"/>
          <w:b/>
          <w:bCs/>
          <w:color w:val="auto"/>
          <w:szCs w:val="21"/>
          <w:highlight w:val="none"/>
          <w:u w:val="single"/>
        </w:rPr>
        <w:t>注册工作由</w:t>
      </w:r>
      <w:r>
        <w:rPr>
          <w:rFonts w:hint="eastAsia" w:ascii="宋体" w:hAnsi="宋体" w:eastAsia="宋体" w:cs="宋体"/>
          <w:b/>
          <w:bCs/>
          <w:color w:val="auto"/>
          <w:szCs w:val="21"/>
          <w:highlight w:val="none"/>
          <w:u w:val="single"/>
          <w:lang w:val="en-US" w:eastAsia="zh-CN"/>
        </w:rPr>
        <w:t>各</w:t>
      </w:r>
      <w:r>
        <w:rPr>
          <w:rFonts w:hint="eastAsia" w:ascii="宋体" w:hAnsi="宋体" w:eastAsia="宋体" w:cs="宋体"/>
          <w:b/>
          <w:bCs/>
          <w:color w:val="auto"/>
          <w:szCs w:val="21"/>
          <w:highlight w:val="none"/>
          <w:u w:val="single"/>
        </w:rPr>
        <w:t>牵头主承销商负责，</w:t>
      </w:r>
      <w:r>
        <w:rPr>
          <w:rFonts w:hint="eastAsia" w:ascii="宋体" w:hAnsi="宋体" w:eastAsia="宋体" w:cs="宋体"/>
          <w:b/>
          <w:bCs/>
          <w:color w:val="auto"/>
          <w:sz w:val="22"/>
          <w:highlight w:val="none"/>
          <w:u w:val="single"/>
        </w:rPr>
        <w:t>须在承销协议签订生效</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 w:val="22"/>
          <w:highlight w:val="none"/>
          <w:u w:val="single"/>
          <w:lang w:val="en-US" w:eastAsia="zh-CN"/>
        </w:rPr>
        <w:t>收到采购人正式通知</w:t>
      </w:r>
      <w:r>
        <w:rPr>
          <w:rFonts w:hint="eastAsia" w:ascii="宋体" w:hAnsi="宋体" w:eastAsia="宋体" w:cs="宋体"/>
          <w:b/>
          <w:bCs/>
          <w:color w:val="auto"/>
          <w:sz w:val="22"/>
          <w:highlight w:val="none"/>
          <w:u w:val="single"/>
        </w:rPr>
        <w:t>后三个月内完成全部注册工作</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Cs w:val="21"/>
          <w:highlight w:val="none"/>
          <w:u w:val="single"/>
        </w:rPr>
        <w:t>否则采购人有权取消其牵头主承销商资格（因发行人原因推迟除外）</w:t>
      </w:r>
      <w:r>
        <w:rPr>
          <w:rFonts w:hint="eastAsia" w:ascii="宋体" w:hAnsi="宋体" w:eastAsia="宋体" w:cs="宋体"/>
          <w:color w:val="auto"/>
          <w:szCs w:val="21"/>
          <w:highlight w:val="none"/>
        </w:rPr>
        <w:t>。</w:t>
      </w:r>
    </w:p>
    <w:p w14:paraId="0787DC24">
      <w:pPr>
        <w:spacing w:before="156" w:after="156"/>
        <w:ind w:firstLine="411"/>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2各主承销商在本次中期票据</w:t>
      </w:r>
      <w:r>
        <w:rPr>
          <w:rFonts w:hint="eastAsia" w:ascii="宋体" w:hAnsi="宋体" w:eastAsia="宋体" w:cs="宋体"/>
          <w:color w:val="auto"/>
          <w:szCs w:val="21"/>
          <w:highlight w:val="none"/>
        </w:rPr>
        <w:t>各期发行前需提供不少于当期发行额度的授信。</w:t>
      </w:r>
    </w:p>
    <w:p w14:paraId="128EA619">
      <w:pPr>
        <w:spacing w:before="156" w:after="156"/>
        <w:ind w:firstLine="420" w:firstLineChars="200"/>
        <w:rPr>
          <w:rFonts w:hint="eastAsia" w:ascii="宋体" w:hAnsi="宋体" w:eastAsia="宋体" w:cs="宋体"/>
          <w:color w:val="auto"/>
          <w:sz w:val="22"/>
          <w:highlight w:val="none"/>
          <w:u w:val="single"/>
        </w:rPr>
      </w:pPr>
      <w:r>
        <w:rPr>
          <w:rFonts w:hint="eastAsia" w:ascii="宋体" w:hAnsi="宋体" w:eastAsia="宋体" w:cs="宋体"/>
          <w:strike w:val="0"/>
          <w:dstrike w:val="0"/>
          <w:color w:val="auto"/>
          <w:szCs w:val="21"/>
          <w:highlight w:val="none"/>
          <w:lang w:val="en-US" w:eastAsia="zh-CN"/>
        </w:rPr>
        <w:t>4.</w:t>
      </w:r>
      <w:r>
        <w:rPr>
          <w:rFonts w:hint="eastAsia" w:ascii="宋体" w:hAnsi="宋体" w:eastAsia="宋体" w:cs="宋体"/>
          <w:strike w:val="0"/>
          <w:dstrike w:val="0"/>
          <w:color w:val="auto"/>
          <w:szCs w:val="21"/>
          <w:highlight w:val="none"/>
        </w:rPr>
        <w:t>3</w:t>
      </w:r>
      <w:r>
        <w:rPr>
          <w:rFonts w:hint="eastAsia" w:ascii="宋体" w:hAnsi="宋体" w:eastAsia="宋体" w:cs="宋体"/>
          <w:strike w:val="0"/>
          <w:dstrike w:val="0"/>
          <w:color w:val="auto"/>
          <w:szCs w:val="21"/>
          <w:highlight w:val="none"/>
          <w:u w:val="none"/>
        </w:rPr>
        <w:t>本次银行间市场债务融资工具注册项下各期发行前，</w:t>
      </w:r>
      <w:r>
        <w:rPr>
          <w:rFonts w:hint="eastAsia" w:ascii="宋体" w:hAnsi="宋体" w:eastAsia="宋体" w:cs="宋体"/>
          <w:strike w:val="0"/>
          <w:dstrike w:val="0"/>
          <w:color w:val="auto"/>
          <w:szCs w:val="21"/>
          <w:highlight w:val="none"/>
          <w:u w:val="none"/>
          <w:lang w:val="en-US" w:eastAsia="zh-CN"/>
        </w:rPr>
        <w:t>当期中标承销商须向采购人</w:t>
      </w:r>
      <w:r>
        <w:rPr>
          <w:rFonts w:hint="eastAsia" w:ascii="宋体" w:hAnsi="宋体" w:eastAsia="宋体" w:cs="宋体"/>
          <w:strike w:val="0"/>
          <w:dstrike w:val="0"/>
          <w:color w:val="auto"/>
          <w:szCs w:val="21"/>
          <w:highlight w:val="none"/>
          <w:u w:val="none"/>
        </w:rPr>
        <w:t>报送</w:t>
      </w:r>
      <w:r>
        <w:rPr>
          <w:rFonts w:hint="eastAsia" w:ascii="宋体" w:hAnsi="宋体" w:eastAsia="宋体" w:cs="宋体"/>
          <w:strike w:val="0"/>
          <w:dstrike w:val="0"/>
          <w:color w:val="auto"/>
          <w:szCs w:val="21"/>
          <w:highlight w:val="none"/>
          <w:u w:val="none"/>
          <w:lang w:val="en-US" w:eastAsia="zh-CN"/>
        </w:rPr>
        <w:t>当期</w:t>
      </w:r>
      <w:r>
        <w:rPr>
          <w:rFonts w:hint="eastAsia" w:ascii="宋体" w:hAnsi="宋体" w:eastAsia="宋体" w:cs="宋体"/>
          <w:strike w:val="0"/>
          <w:dstrike w:val="0"/>
          <w:color w:val="auto"/>
          <w:szCs w:val="21"/>
          <w:highlight w:val="none"/>
          <w:u w:val="none"/>
        </w:rPr>
        <w:t>综合发</w:t>
      </w:r>
      <w:r>
        <w:rPr>
          <w:rFonts w:hint="eastAsia" w:ascii="宋体" w:hAnsi="宋体" w:eastAsia="宋体" w:cs="宋体"/>
          <w:strike w:val="0"/>
          <w:dstrike w:val="0"/>
          <w:color w:val="auto"/>
          <w:szCs w:val="21"/>
          <w:highlight w:val="none"/>
          <w:u w:val="none"/>
          <w:lang w:eastAsia="zh-CN"/>
        </w:rPr>
        <w:t>行方案（含价格</w:t>
      </w:r>
      <w:r>
        <w:rPr>
          <w:rFonts w:hint="eastAsia" w:ascii="宋体" w:hAnsi="宋体" w:eastAsia="宋体" w:cs="宋体"/>
          <w:strike w:val="0"/>
          <w:dstrike w:val="0"/>
          <w:color w:val="auto"/>
          <w:szCs w:val="21"/>
          <w:highlight w:val="none"/>
          <w:u w:val="none"/>
          <w:lang w:val="en-US" w:eastAsia="zh-CN"/>
        </w:rPr>
        <w:t>区间</w:t>
      </w:r>
      <w:r>
        <w:rPr>
          <w:rFonts w:hint="eastAsia" w:ascii="宋体" w:hAnsi="宋体" w:eastAsia="宋体" w:cs="宋体"/>
          <w:strike w:val="0"/>
          <w:dstrike w:val="0"/>
          <w:color w:val="auto"/>
          <w:szCs w:val="21"/>
          <w:highlight w:val="none"/>
          <w:u w:val="none"/>
          <w:lang w:eastAsia="zh-CN"/>
        </w:rPr>
        <w:t>、</w:t>
      </w:r>
      <w:r>
        <w:rPr>
          <w:rFonts w:hint="eastAsia" w:ascii="宋体" w:hAnsi="宋体" w:eastAsia="宋体" w:cs="宋体"/>
          <w:strike w:val="0"/>
          <w:dstrike w:val="0"/>
          <w:color w:val="auto"/>
          <w:szCs w:val="21"/>
          <w:highlight w:val="none"/>
          <w:u w:val="none"/>
          <w:lang w:val="en-US" w:eastAsia="zh-CN"/>
        </w:rPr>
        <w:t>发行</w:t>
      </w:r>
      <w:r>
        <w:rPr>
          <w:rFonts w:hint="eastAsia" w:ascii="宋体" w:hAnsi="宋体" w:eastAsia="宋体" w:cs="宋体"/>
          <w:strike w:val="0"/>
          <w:dstrike w:val="0"/>
          <w:color w:val="auto"/>
          <w:szCs w:val="21"/>
          <w:highlight w:val="none"/>
          <w:u w:val="none"/>
          <w:lang w:eastAsia="zh-CN"/>
        </w:rPr>
        <w:t>时间等），</w:t>
      </w:r>
      <w:r>
        <w:rPr>
          <w:rFonts w:hint="eastAsia" w:ascii="宋体" w:hAnsi="宋体" w:eastAsia="宋体" w:cs="宋体"/>
          <w:strike w:val="0"/>
          <w:dstrike w:val="0"/>
          <w:color w:val="auto"/>
          <w:szCs w:val="21"/>
          <w:highlight w:val="none"/>
          <w:u w:val="none"/>
          <w:lang w:val="en-US" w:eastAsia="zh-CN"/>
        </w:rPr>
        <w:t>原则上按当期各承销商最优</w:t>
      </w:r>
      <w:r>
        <w:rPr>
          <w:rFonts w:hint="eastAsia" w:ascii="宋体" w:hAnsi="宋体" w:eastAsia="宋体" w:cs="宋体"/>
          <w:color w:val="auto"/>
          <w:sz w:val="22"/>
          <w:highlight w:val="none"/>
          <w:u w:val="none"/>
        </w:rPr>
        <w:t>综合发行方案执行。</w:t>
      </w:r>
    </w:p>
    <w:p w14:paraId="7939300D">
      <w:pPr>
        <w:spacing w:before="156" w:after="156"/>
        <w:ind w:firstLine="411" w:firstLineChars="0"/>
        <w:rPr>
          <w:rFonts w:hint="eastAsia" w:ascii="宋体" w:hAnsi="宋体" w:eastAsia="宋体" w:cs="宋体"/>
          <w:color w:val="auto"/>
          <w:sz w:val="21"/>
          <w:highlight w:val="none"/>
        </w:rPr>
      </w:pPr>
      <w:r>
        <w:rPr>
          <w:rFonts w:hint="eastAsia" w:ascii="宋体" w:hAnsi="宋体" w:eastAsia="宋体" w:cs="宋体"/>
          <w:strike w:val="0"/>
          <w:dstrike w:val="0"/>
          <w:color w:val="auto"/>
          <w:szCs w:val="21"/>
          <w:highlight w:val="none"/>
          <w:lang w:val="en-US" w:eastAsia="zh-CN"/>
        </w:rPr>
        <w:t>4.4</w:t>
      </w:r>
      <w:r>
        <w:rPr>
          <w:rFonts w:hint="eastAsia" w:ascii="宋体" w:hAnsi="宋体" w:eastAsia="宋体" w:cs="宋体"/>
          <w:b/>
          <w:bCs/>
          <w:color w:val="auto"/>
          <w:sz w:val="22"/>
          <w:highlight w:val="none"/>
          <w:u w:val="single"/>
        </w:rPr>
        <w:t>乙方</w:t>
      </w:r>
      <w:r>
        <w:rPr>
          <w:rFonts w:hint="eastAsia" w:ascii="宋体" w:hAnsi="宋体" w:eastAsia="宋体" w:cs="宋体"/>
          <w:b/>
          <w:bCs/>
          <w:color w:val="auto"/>
          <w:sz w:val="22"/>
          <w:highlight w:val="none"/>
          <w:u w:val="single"/>
          <w:lang w:eastAsia="zh-CN"/>
        </w:rPr>
        <w:t>、</w:t>
      </w:r>
      <w:r>
        <w:rPr>
          <w:rFonts w:hint="eastAsia" w:ascii="宋体" w:hAnsi="宋体" w:eastAsia="宋体" w:cs="宋体"/>
          <w:b/>
          <w:bCs/>
          <w:color w:val="auto"/>
          <w:sz w:val="22"/>
          <w:highlight w:val="none"/>
          <w:u w:val="single"/>
          <w:lang w:val="en-US" w:eastAsia="zh-CN"/>
        </w:rPr>
        <w:t>各丙方的当期</w:t>
      </w:r>
      <w:r>
        <w:rPr>
          <w:rFonts w:hint="eastAsia" w:ascii="宋体" w:hAnsi="宋体" w:eastAsia="宋体" w:cs="宋体"/>
          <w:b/>
          <w:bCs/>
          <w:color w:val="auto"/>
          <w:sz w:val="22"/>
          <w:highlight w:val="none"/>
          <w:u w:val="single"/>
        </w:rPr>
        <w:t>综合发行方案（含价格区间、发行时间等）要</w:t>
      </w:r>
      <w:r>
        <w:rPr>
          <w:rFonts w:hint="eastAsia" w:ascii="宋体" w:hAnsi="宋体" w:eastAsia="宋体" w:cs="宋体"/>
          <w:b/>
          <w:bCs/>
          <w:color w:val="auto"/>
          <w:sz w:val="22"/>
          <w:highlight w:val="none"/>
          <w:u w:val="single"/>
          <w:lang w:val="en-US" w:eastAsia="zh-CN"/>
        </w:rPr>
        <w:t>保持一致</w:t>
      </w:r>
      <w:r>
        <w:rPr>
          <w:rFonts w:hint="eastAsia" w:ascii="宋体" w:hAnsi="宋体" w:eastAsia="宋体" w:cs="宋体"/>
          <w:b/>
          <w:bCs/>
          <w:color w:val="auto"/>
          <w:sz w:val="22"/>
          <w:highlight w:val="none"/>
          <w:u w:val="single"/>
        </w:rPr>
        <w:t>。</w:t>
      </w:r>
    </w:p>
    <w:p w14:paraId="7C70E609">
      <w:pPr>
        <w:spacing w:before="156" w:after="156"/>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5</w:t>
      </w:r>
      <w:r>
        <w:rPr>
          <w:rFonts w:hint="eastAsia" w:ascii="宋体" w:hAnsi="宋体" w:eastAsia="宋体" w:cs="宋体"/>
          <w:b/>
          <w:bCs/>
          <w:color w:val="auto"/>
          <w:sz w:val="22"/>
          <w:highlight w:val="none"/>
        </w:rPr>
        <w:t>.争议纠纷解决方式</w:t>
      </w:r>
    </w:p>
    <w:p w14:paraId="18AF5B0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三方同意，就本协议履行而发生的任何争议，在无法通过协商和调解方式解决的情况下，同意向温州仲裁委员会申请仲裁。</w:t>
      </w:r>
    </w:p>
    <w:p w14:paraId="4D264C2D">
      <w:pPr>
        <w:ind w:firstLine="440" w:firstLineChars="200"/>
        <w:rPr>
          <w:rFonts w:hint="eastAsia" w:ascii="宋体" w:hAnsi="宋体" w:eastAsia="宋体" w:cs="宋体"/>
          <w:color w:val="auto"/>
          <w:sz w:val="22"/>
          <w:szCs w:val="22"/>
          <w:highlight w:val="yellow"/>
        </w:rPr>
      </w:pPr>
      <w:r>
        <w:rPr>
          <w:rFonts w:hint="eastAsia" w:ascii="宋体" w:hAnsi="宋体" w:eastAsia="宋体" w:cs="宋体"/>
          <w:sz w:val="22"/>
          <w:lang w:val="en-US" w:eastAsia="zh-CN"/>
        </w:rPr>
        <w:t>6</w:t>
      </w:r>
      <w:r>
        <w:rPr>
          <w:rFonts w:hint="eastAsia" w:ascii="宋体" w:hAnsi="宋体" w:eastAsia="宋体" w:cs="宋体"/>
          <w:sz w:val="22"/>
        </w:rPr>
        <w:t>.本协议一式【  】份，甲方执【 】份，乙方、丙方各执【 】份，经双方法定代表人（或其授权代表人）签字或盖章并盖单位章后生效，每份具有同等法律效力。本协议与承销协议如有任何冲突，以本协议为准。未尽事宜，以承销协议为准。</w:t>
      </w:r>
    </w:p>
    <w:p w14:paraId="0A1B1B87">
      <w:pPr>
        <w:spacing w:before="156" w:after="156"/>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7.特别说明：</w:t>
      </w:r>
    </w:p>
    <w:p w14:paraId="28B48828">
      <w:pPr>
        <w:ind w:firstLine="440" w:firstLineChars="200"/>
        <w:rPr>
          <w:rFonts w:hint="default" w:ascii="宋体" w:hAnsi="宋体" w:eastAsia="宋体" w:cs="宋体"/>
          <w:color w:val="auto"/>
          <w:sz w:val="22"/>
          <w:szCs w:val="22"/>
          <w:lang w:val="en-US"/>
        </w:rPr>
      </w:pPr>
      <w:r>
        <w:rPr>
          <w:rFonts w:hint="eastAsia" w:ascii="宋体" w:hAnsi="宋体" w:eastAsia="宋体" w:cs="宋体"/>
          <w:color w:val="auto"/>
          <w:sz w:val="22"/>
          <w:szCs w:val="22"/>
          <w:highlight w:val="none"/>
          <w:lang w:val="en-US" w:eastAsia="zh-CN"/>
        </w:rPr>
        <w:t>如果中标承销商面临暂停牌照等影响承销资格等事项的，甲方有权取消其中标资格。甲方如未取得无异议函，则可补充选取排名靠后的备选中标承销商作为正式中标人，参与后续承销。</w:t>
      </w:r>
    </w:p>
    <w:p w14:paraId="5DDDAF6B">
      <w:pPr>
        <w:wordWrap/>
        <w:spacing w:before="0" w:line="240" w:lineRule="auto"/>
        <w:ind w:left="0" w:leftChars="0" w:right="0" w:firstLine="440" w:firstLineChars="200"/>
        <w:outlineLvl w:val="9"/>
        <w:rPr>
          <w:rFonts w:hint="eastAsia" w:ascii="宋体" w:hAnsi="宋体" w:eastAsia="宋体" w:cs="宋体"/>
          <w:bCs w:val="0"/>
          <w:color w:val="auto"/>
          <w:kern w:val="2"/>
          <w:sz w:val="22"/>
          <w:highlight w:val="none"/>
        </w:rPr>
      </w:pPr>
    </w:p>
    <w:p w14:paraId="1C2F37FC">
      <w:pPr>
        <w:wordWrap/>
        <w:spacing w:before="0" w:line="240" w:lineRule="auto"/>
        <w:ind w:left="0" w:leftChars="0" w:right="0"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bCs w:val="0"/>
          <w:color w:val="auto"/>
          <w:kern w:val="2"/>
          <w:sz w:val="22"/>
          <w:highlight w:val="none"/>
        </w:rPr>
        <w:t>附件1：国企采购项目廉政责任书</w:t>
      </w:r>
    </w:p>
    <w:p w14:paraId="1FE64AAC">
      <w:pPr>
        <w:spacing w:before="156" w:after="156" w:line="240" w:lineRule="auto"/>
        <w:rPr>
          <w:rFonts w:hint="eastAsia" w:ascii="宋体" w:hAnsi="宋体" w:eastAsia="宋体" w:cs="宋体"/>
          <w:color w:val="auto"/>
          <w:sz w:val="22"/>
          <w:szCs w:val="22"/>
          <w:highlight w:val="none"/>
          <w:lang w:val="en-US" w:eastAsia="zh-CN"/>
        </w:rPr>
      </w:pPr>
    </w:p>
    <w:p w14:paraId="32F98EC7">
      <w:pPr>
        <w:spacing w:before="0" w:after="0"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55D8F7E5">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w:t>
      </w:r>
      <w:r>
        <w:rPr>
          <w:rFonts w:hint="eastAsia" w:ascii="宋体" w:hAnsi="宋体" w:eastAsia="宋体" w:cs="宋体"/>
          <w:color w:val="auto"/>
          <w:sz w:val="22"/>
          <w:szCs w:val="22"/>
          <w:highlight w:val="none"/>
          <w:lang w:eastAsia="zh-CN"/>
        </w:rPr>
        <w:t>发行人</w:t>
      </w:r>
      <w:r>
        <w:rPr>
          <w:rFonts w:hint="eastAsia" w:ascii="宋体" w:hAnsi="宋体" w:eastAsia="宋体" w:cs="宋体"/>
          <w:color w:val="auto"/>
          <w:sz w:val="22"/>
          <w:szCs w:val="22"/>
          <w:highlight w:val="none"/>
        </w:rPr>
        <w:t>：温州市交通发展集团有限公司（</w:t>
      </w:r>
      <w:r>
        <w:rPr>
          <w:rFonts w:hint="eastAsia" w:ascii="宋体" w:hAnsi="宋体" w:eastAsia="宋体" w:cs="宋体"/>
          <w:color w:val="auto"/>
          <w:sz w:val="22"/>
          <w:szCs w:val="22"/>
          <w:highlight w:val="none"/>
          <w:lang w:val="en-US" w:eastAsia="zh-CN"/>
        </w:rPr>
        <w:t>盖</w:t>
      </w:r>
      <w:r>
        <w:rPr>
          <w:rFonts w:hint="eastAsia" w:ascii="宋体" w:hAnsi="宋体" w:eastAsia="宋体" w:cs="宋体"/>
          <w:color w:val="auto"/>
          <w:sz w:val="22"/>
          <w:szCs w:val="22"/>
          <w:highlight w:val="none"/>
        </w:rPr>
        <w:t>章）</w:t>
      </w:r>
    </w:p>
    <w:p w14:paraId="73EDB5F7">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法定代表人或授权代表人（签字</w:t>
      </w:r>
      <w:r>
        <w:rPr>
          <w:rFonts w:hint="eastAsia" w:ascii="宋体" w:hAnsi="宋体" w:eastAsia="宋体" w:cs="宋体"/>
          <w:color w:val="auto"/>
          <w:sz w:val="22"/>
          <w:szCs w:val="22"/>
          <w:highlight w:val="none"/>
          <w:lang w:val="en-US" w:eastAsia="zh-CN"/>
        </w:rPr>
        <w:t>或盖章</w:t>
      </w:r>
      <w:r>
        <w:rPr>
          <w:rFonts w:hint="eastAsia" w:ascii="宋体" w:hAnsi="宋体" w:eastAsia="宋体" w:cs="宋体"/>
          <w:color w:val="auto"/>
          <w:sz w:val="22"/>
          <w:szCs w:val="22"/>
          <w:highlight w:val="none"/>
        </w:rPr>
        <w:t>）</w:t>
      </w:r>
    </w:p>
    <w:p w14:paraId="5ABB97D7">
      <w:pPr>
        <w:spacing w:before="156" w:after="156"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日期：</w:t>
      </w:r>
    </w:p>
    <w:p w14:paraId="1FE584EB">
      <w:pPr>
        <w:spacing w:before="156" w:after="156" w:line="240" w:lineRule="auto"/>
        <w:rPr>
          <w:rFonts w:hint="eastAsia" w:ascii="宋体" w:hAnsi="宋体" w:eastAsia="宋体" w:cs="宋体"/>
          <w:color w:val="auto"/>
          <w:sz w:val="22"/>
          <w:szCs w:val="22"/>
          <w:highlight w:val="none"/>
          <w:lang w:eastAsia="zh-CN"/>
        </w:rPr>
      </w:pPr>
    </w:p>
    <w:p w14:paraId="546CD7E0">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盖</w:t>
      </w:r>
      <w:r>
        <w:rPr>
          <w:rFonts w:hint="eastAsia" w:ascii="宋体" w:hAnsi="宋体" w:eastAsia="宋体" w:cs="宋体"/>
          <w:color w:val="auto"/>
          <w:sz w:val="22"/>
          <w:szCs w:val="22"/>
          <w:highlight w:val="none"/>
        </w:rPr>
        <w:t>章）</w:t>
      </w:r>
    </w:p>
    <w:p w14:paraId="74558F9D">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法定代表人或授权代表人（签字</w:t>
      </w:r>
      <w:r>
        <w:rPr>
          <w:rFonts w:hint="eastAsia" w:ascii="宋体" w:hAnsi="宋体" w:eastAsia="宋体" w:cs="宋体"/>
          <w:color w:val="auto"/>
          <w:sz w:val="22"/>
          <w:szCs w:val="22"/>
          <w:highlight w:val="none"/>
          <w:lang w:val="en-US" w:eastAsia="zh-CN"/>
        </w:rPr>
        <w:t>或盖章</w:t>
      </w:r>
      <w:r>
        <w:rPr>
          <w:rFonts w:hint="eastAsia" w:ascii="宋体" w:hAnsi="宋体" w:eastAsia="宋体" w:cs="宋体"/>
          <w:color w:val="auto"/>
          <w:sz w:val="22"/>
          <w:szCs w:val="22"/>
          <w:highlight w:val="none"/>
        </w:rPr>
        <w:t>）</w:t>
      </w:r>
    </w:p>
    <w:p w14:paraId="67289FAF">
      <w:pPr>
        <w:numPr>
          <w:ilvl w:val="0"/>
          <w:numId w:val="0"/>
        </w:numPr>
        <w:spacing w:before="156" w:after="156" w:line="24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日期：</w:t>
      </w:r>
    </w:p>
    <w:p w14:paraId="0E061744">
      <w:pPr>
        <w:ind w:left="0" w:leftChars="0" w:firstLine="0" w:firstLineChars="0"/>
        <w:rPr>
          <w:rFonts w:hint="eastAsia" w:ascii="宋体" w:hAnsi="宋体" w:eastAsia="宋体" w:cs="宋体"/>
          <w:b/>
          <w:bCs/>
          <w:color w:val="auto"/>
          <w:sz w:val="22"/>
          <w:szCs w:val="22"/>
          <w:highlight w:val="none"/>
          <w:lang w:val="en-US" w:eastAsia="zh-CN"/>
        </w:rPr>
      </w:pPr>
    </w:p>
    <w:p w14:paraId="67C6DA99">
      <w:pPr>
        <w:ind w:left="0" w:leftChars="0" w:firstLine="0" w:firstLineChars="0"/>
        <w:rPr>
          <w:rFonts w:hint="eastAsia" w:ascii="宋体" w:hAnsi="宋体" w:eastAsia="宋体" w:cs="宋体"/>
          <w:b/>
          <w:bCs/>
          <w:color w:val="auto"/>
          <w:sz w:val="22"/>
          <w:szCs w:val="22"/>
          <w:highlight w:val="none"/>
          <w:lang w:val="en-US" w:eastAsia="zh-CN"/>
        </w:rPr>
      </w:pPr>
    </w:p>
    <w:p w14:paraId="2E6FE00B">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丙方</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盖</w:t>
      </w:r>
      <w:r>
        <w:rPr>
          <w:rFonts w:hint="eastAsia" w:ascii="宋体" w:hAnsi="宋体" w:eastAsia="宋体" w:cs="宋体"/>
          <w:color w:val="auto"/>
          <w:sz w:val="22"/>
          <w:szCs w:val="22"/>
          <w:highlight w:val="none"/>
        </w:rPr>
        <w:t>章）</w:t>
      </w:r>
    </w:p>
    <w:p w14:paraId="712AEBF4">
      <w:pPr>
        <w:spacing w:before="156" w:after="156"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法定代表人或授权代表人（签字</w:t>
      </w:r>
      <w:r>
        <w:rPr>
          <w:rFonts w:hint="eastAsia" w:ascii="宋体" w:hAnsi="宋体" w:eastAsia="宋体" w:cs="宋体"/>
          <w:color w:val="auto"/>
          <w:sz w:val="22"/>
          <w:szCs w:val="22"/>
          <w:highlight w:val="none"/>
          <w:lang w:val="en-US" w:eastAsia="zh-CN"/>
        </w:rPr>
        <w:t>或盖章</w:t>
      </w:r>
      <w:r>
        <w:rPr>
          <w:rFonts w:hint="eastAsia" w:ascii="宋体" w:hAnsi="宋体" w:eastAsia="宋体" w:cs="宋体"/>
          <w:color w:val="auto"/>
          <w:sz w:val="22"/>
          <w:szCs w:val="22"/>
          <w:highlight w:val="none"/>
        </w:rPr>
        <w:t>）</w:t>
      </w:r>
    </w:p>
    <w:p w14:paraId="29779616">
      <w:pPr>
        <w:ind w:left="0" w:leftChars="0" w:firstLine="0" w:firstLineChars="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日期：</w:t>
      </w:r>
    </w:p>
    <w:p w14:paraId="479F412F">
      <w:pPr>
        <w:ind w:left="0" w:leftChars="0" w:firstLine="0" w:firstLineChars="0"/>
        <w:rPr>
          <w:rFonts w:hint="eastAsia" w:ascii="宋体" w:hAnsi="宋体" w:eastAsia="宋体" w:cs="宋体"/>
          <w:color w:val="auto"/>
          <w:sz w:val="22"/>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本协议与承销协议如有任何冲突，以本协议为准。未尽事宜，以承销协议为准。</w:t>
      </w:r>
    </w:p>
    <w:p w14:paraId="370E75AC">
      <w:pPr>
        <w:autoSpaceDE w:val="0"/>
        <w:autoSpaceDN w:val="0"/>
        <w:adjustRightInd w:val="0"/>
        <w:outlineLvl w:val="1"/>
        <w:rPr>
          <w:rFonts w:hint="eastAsia" w:ascii="宋体" w:hAnsi="宋体" w:eastAsia="宋体" w:cs="宋体"/>
          <w:bCs/>
          <w:kern w:val="0"/>
          <w:sz w:val="28"/>
          <w:szCs w:val="28"/>
        </w:rPr>
      </w:pPr>
      <w:r>
        <w:rPr>
          <w:rFonts w:hint="eastAsia" w:ascii="宋体" w:hAnsi="宋体" w:eastAsia="宋体" w:cs="宋体"/>
          <w:color w:val="auto"/>
          <w:spacing w:val="-2"/>
          <w:sz w:val="48"/>
          <w:szCs w:val="48"/>
        </w:rPr>
        <w:br w:type="page"/>
      </w:r>
      <w:r>
        <w:rPr>
          <w:rFonts w:hint="eastAsia" w:ascii="宋体" w:hAnsi="宋体" w:eastAsia="宋体" w:cs="宋体"/>
          <w:bCs/>
          <w:kern w:val="0"/>
          <w:sz w:val="28"/>
          <w:szCs w:val="28"/>
        </w:rPr>
        <w:t>附件1：国企采购项目廉政责任书</w:t>
      </w:r>
    </w:p>
    <w:p w14:paraId="628E9489">
      <w:pPr>
        <w:autoSpaceDE w:val="0"/>
        <w:autoSpaceDN w:val="0"/>
        <w:adjustRightInd w:val="0"/>
        <w:jc w:val="center"/>
        <w:rPr>
          <w:rFonts w:hint="eastAsia" w:ascii="宋体" w:hAnsi="宋体" w:eastAsia="宋体" w:cs="宋体"/>
          <w:b/>
          <w:bCs/>
          <w:kern w:val="0"/>
          <w:sz w:val="28"/>
          <w:szCs w:val="28"/>
        </w:rPr>
      </w:pPr>
      <w:bookmarkStart w:id="190" w:name="_Toc11133_WPSOffice_Level2"/>
    </w:p>
    <w:p w14:paraId="0C231E67">
      <w:pPr>
        <w:autoSpaceDE w:val="0"/>
        <w:autoSpaceDN w:val="0"/>
        <w:adjustRightIn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国企采购项目廉政责任书</w:t>
      </w:r>
      <w:bookmarkEnd w:id="190"/>
    </w:p>
    <w:p w14:paraId="50AED195">
      <w:pPr>
        <w:adjustRightInd w:val="0"/>
        <w:ind w:firstLine="440" w:firstLineChars="200"/>
        <w:rPr>
          <w:rFonts w:hint="eastAsia" w:ascii="宋体" w:hAnsi="宋体" w:eastAsia="宋体" w:cs="宋体"/>
          <w:sz w:val="22"/>
        </w:rPr>
      </w:pPr>
    </w:p>
    <w:p w14:paraId="3524A2EE">
      <w:pPr>
        <w:adjustRightInd w:val="0"/>
        <w:ind w:firstLine="440" w:firstLineChars="200"/>
        <w:rPr>
          <w:rFonts w:hint="eastAsia" w:ascii="宋体" w:hAnsi="宋体" w:eastAsia="宋体" w:cs="宋体"/>
          <w:sz w:val="22"/>
        </w:rPr>
      </w:pPr>
      <w:r>
        <w:rPr>
          <w:rFonts w:hint="eastAsia" w:ascii="宋体" w:hAnsi="宋体" w:eastAsia="宋体" w:cs="宋体"/>
          <w:sz w:val="22"/>
        </w:rPr>
        <w:t xml:space="preserve">采购项目名称： </w:t>
      </w:r>
    </w:p>
    <w:p w14:paraId="52BE96CE">
      <w:pPr>
        <w:adjustRightInd w:val="0"/>
        <w:ind w:firstLine="440" w:firstLineChars="200"/>
        <w:rPr>
          <w:rFonts w:hint="eastAsia" w:ascii="宋体" w:hAnsi="宋体" w:eastAsia="宋体" w:cs="宋体"/>
          <w:sz w:val="22"/>
          <w:u w:val="single"/>
          <w:lang w:eastAsia="zh-CN"/>
        </w:rPr>
      </w:pPr>
      <w:r>
        <w:rPr>
          <w:rFonts w:hint="eastAsia" w:ascii="宋体" w:hAnsi="宋体" w:eastAsia="宋体" w:cs="宋体"/>
          <w:sz w:val="22"/>
        </w:rPr>
        <w:t>甲方：</w:t>
      </w:r>
      <w:r>
        <w:rPr>
          <w:rFonts w:hint="eastAsia" w:ascii="宋体" w:hAnsi="宋体" w:eastAsia="宋体" w:cs="宋体"/>
          <w:sz w:val="22"/>
          <w:u w:val="single"/>
          <w:lang w:eastAsia="zh-CN"/>
        </w:rPr>
        <w:t>温州市交通发展集团有限公司</w:t>
      </w:r>
    </w:p>
    <w:p w14:paraId="79EE5A46">
      <w:pPr>
        <w:adjustRightInd w:val="0"/>
        <w:ind w:firstLine="440" w:firstLineChars="200"/>
        <w:rPr>
          <w:rFonts w:hint="eastAsia" w:ascii="宋体" w:hAnsi="宋体" w:eastAsia="宋体" w:cs="宋体"/>
          <w:sz w:val="22"/>
        </w:rPr>
      </w:pPr>
    </w:p>
    <w:p w14:paraId="26E5CE19">
      <w:pPr>
        <w:adjustRightInd w:val="0"/>
        <w:ind w:firstLine="440" w:firstLineChars="200"/>
        <w:rPr>
          <w:rFonts w:hint="eastAsia" w:ascii="宋体" w:hAnsi="宋体" w:eastAsia="宋体" w:cs="宋体"/>
          <w:sz w:val="22"/>
          <w:u w:val="single"/>
        </w:rPr>
      </w:pPr>
      <w:r>
        <w:rPr>
          <w:rFonts w:hint="eastAsia" w:ascii="宋体" w:hAnsi="宋体" w:eastAsia="宋体" w:cs="宋体"/>
          <w:sz w:val="22"/>
        </w:rPr>
        <w:t>乙方：</w:t>
      </w:r>
      <w:r>
        <w:rPr>
          <w:rFonts w:hint="eastAsia" w:ascii="宋体" w:hAnsi="宋体" w:eastAsia="宋体" w:cs="宋体"/>
          <w:sz w:val="22"/>
          <w:u w:val="single"/>
        </w:rPr>
        <w:t xml:space="preserve">                          </w:t>
      </w:r>
    </w:p>
    <w:p w14:paraId="299BB42D">
      <w:pPr>
        <w:pStyle w:val="2"/>
        <w:ind w:firstLine="220"/>
        <w:rPr>
          <w:rFonts w:hint="eastAsia" w:ascii="宋体" w:hAnsi="宋体" w:eastAsia="宋体" w:cs="宋体"/>
          <w:sz w:val="22"/>
          <w:u w:val="single"/>
        </w:rPr>
      </w:pPr>
    </w:p>
    <w:p w14:paraId="78A8BA0B">
      <w:pPr>
        <w:pStyle w:val="2"/>
        <w:ind w:firstLine="440" w:firstLineChars="200"/>
        <w:rPr>
          <w:rFonts w:hint="eastAsia" w:ascii="宋体" w:hAnsi="宋体" w:eastAsia="宋体" w:cs="宋体"/>
        </w:rPr>
      </w:pPr>
      <w:r>
        <w:rPr>
          <w:rFonts w:hint="eastAsia" w:ascii="宋体" w:hAnsi="宋体" w:eastAsia="宋体" w:cs="宋体"/>
          <w:sz w:val="22"/>
          <w:u w:val="none"/>
        </w:rPr>
        <w:t>丙方：</w:t>
      </w:r>
      <w:r>
        <w:rPr>
          <w:rFonts w:hint="eastAsia" w:ascii="宋体" w:hAnsi="宋体" w:eastAsia="宋体" w:cs="宋体"/>
          <w:sz w:val="22"/>
          <w:u w:val="single"/>
        </w:rPr>
        <w:t xml:space="preserve">                           </w:t>
      </w:r>
    </w:p>
    <w:p w14:paraId="46D85F55">
      <w:pPr>
        <w:adjustRightInd w:val="0"/>
        <w:ind w:firstLine="440" w:firstLineChars="200"/>
        <w:rPr>
          <w:rFonts w:hint="eastAsia" w:ascii="宋体" w:hAnsi="宋体" w:eastAsia="宋体" w:cs="宋体"/>
          <w:sz w:val="22"/>
        </w:rPr>
      </w:pPr>
      <w:r>
        <w:rPr>
          <w:rFonts w:hint="eastAsia" w:ascii="宋体" w:hAnsi="宋体" w:eastAsia="宋体" w:cs="宋体"/>
          <w:sz w:val="22"/>
        </w:rPr>
        <w:t>为加强采购活动中的廉政建设，规范采购项目供需双方的各项活动，防止发生各种谋取不正当利益的违法违纪行为，保护国家、集体和当事人的合法权益，根据国家有关采购的法律法规和廉政建设责任制规定，特订立本廉政责任书。</w:t>
      </w:r>
    </w:p>
    <w:p w14:paraId="588AE0DC">
      <w:pPr>
        <w:rPr>
          <w:rFonts w:hint="eastAsia" w:ascii="宋体" w:hAnsi="宋体" w:eastAsia="宋体" w:cs="宋体"/>
          <w:b/>
          <w:bCs/>
          <w:sz w:val="22"/>
        </w:rPr>
      </w:pPr>
      <w:r>
        <w:rPr>
          <w:rFonts w:hint="eastAsia" w:ascii="宋体" w:hAnsi="宋体" w:eastAsia="宋体" w:cs="宋体"/>
          <w:sz w:val="22"/>
        </w:rPr>
        <w:t xml:space="preserve">    </w:t>
      </w:r>
      <w:r>
        <w:rPr>
          <w:rFonts w:hint="eastAsia" w:ascii="宋体" w:hAnsi="宋体" w:eastAsia="宋体" w:cs="宋体"/>
          <w:b/>
          <w:bCs/>
          <w:sz w:val="22"/>
        </w:rPr>
        <w:t>第一条  甲乙双方的责任</w:t>
      </w:r>
    </w:p>
    <w:p w14:paraId="55205B62">
      <w:pPr>
        <w:adjustRightInd w:val="0"/>
        <w:ind w:firstLine="440" w:firstLineChars="200"/>
        <w:rPr>
          <w:rFonts w:hint="eastAsia" w:ascii="宋体" w:hAnsi="宋体" w:eastAsia="宋体" w:cs="宋体"/>
          <w:sz w:val="22"/>
        </w:rPr>
      </w:pPr>
      <w:r>
        <w:rPr>
          <w:rFonts w:hint="eastAsia" w:ascii="宋体" w:hAnsi="宋体" w:eastAsia="宋体" w:cs="宋体"/>
          <w:sz w:val="22"/>
        </w:rPr>
        <w:t xml:space="preserve">(一)应严格遵守国家关于市场准入、项目招标投标、工程建设、施工安装和市场活动等有关法律、法规，相关政策，以及廉政建设的各项规定。 </w:t>
      </w:r>
    </w:p>
    <w:p w14:paraId="29340B1A">
      <w:pPr>
        <w:adjustRightInd w:val="0"/>
        <w:ind w:firstLine="440" w:firstLineChars="200"/>
        <w:rPr>
          <w:rFonts w:hint="eastAsia" w:ascii="宋体" w:hAnsi="宋体" w:eastAsia="宋体" w:cs="宋体"/>
          <w:sz w:val="22"/>
        </w:rPr>
      </w:pPr>
      <w:r>
        <w:rPr>
          <w:rFonts w:hint="eastAsia" w:ascii="宋体" w:hAnsi="宋体" w:eastAsia="宋体" w:cs="宋体"/>
          <w:sz w:val="22"/>
        </w:rPr>
        <w:t>(二)严格执行采购项目合同文件，自觉按合同办事。</w:t>
      </w:r>
    </w:p>
    <w:p w14:paraId="2E8463FC">
      <w:pPr>
        <w:adjustRightInd w:val="0"/>
        <w:ind w:firstLine="440" w:firstLineChars="200"/>
        <w:rPr>
          <w:rFonts w:hint="eastAsia" w:ascii="宋体" w:hAnsi="宋体" w:eastAsia="宋体" w:cs="宋体"/>
          <w:sz w:val="22"/>
        </w:rPr>
      </w:pPr>
      <w:r>
        <w:rPr>
          <w:rFonts w:hint="eastAsia" w:ascii="宋体" w:hAnsi="宋体" w:eastAsia="宋体" w:cs="宋体"/>
          <w:sz w:val="22"/>
        </w:rPr>
        <w:t>(三)业务活动必须坚持公开、公平、公正、诚信、透明的原则（除法律法规另有规定者外），不得为获取不正当的利益，损害国家、集体和对方利益，不得违反采购活动、供货安装的规章制度。</w:t>
      </w:r>
    </w:p>
    <w:p w14:paraId="0920E452">
      <w:pPr>
        <w:adjustRightInd w:val="0"/>
        <w:ind w:firstLine="440" w:firstLineChars="200"/>
        <w:rPr>
          <w:rFonts w:hint="eastAsia" w:ascii="宋体" w:hAnsi="宋体" w:eastAsia="宋体" w:cs="宋体"/>
          <w:sz w:val="22"/>
        </w:rPr>
      </w:pPr>
      <w:r>
        <w:rPr>
          <w:rFonts w:hint="eastAsia" w:ascii="宋体" w:hAnsi="宋体" w:eastAsia="宋体" w:cs="宋体"/>
          <w:sz w:val="22"/>
        </w:rPr>
        <w:t>(四)发现对方在业务活动中有违规、违纪、违法行为的，应及时提醒对方，情节严重的，应向其上级主管部门或纪检监察、司法等有关机关举报。</w:t>
      </w:r>
    </w:p>
    <w:p w14:paraId="510888FE">
      <w:pPr>
        <w:ind w:firstLine="435"/>
        <w:rPr>
          <w:rFonts w:hint="eastAsia" w:ascii="宋体" w:hAnsi="宋体" w:eastAsia="宋体" w:cs="宋体"/>
          <w:b/>
          <w:bCs/>
          <w:sz w:val="22"/>
        </w:rPr>
      </w:pPr>
      <w:r>
        <w:rPr>
          <w:rFonts w:hint="eastAsia" w:ascii="宋体" w:hAnsi="宋体" w:eastAsia="宋体" w:cs="宋体"/>
          <w:b/>
          <w:bCs/>
          <w:sz w:val="22"/>
        </w:rPr>
        <w:t>第二条  甲方的责任</w:t>
      </w:r>
    </w:p>
    <w:p w14:paraId="058AD641">
      <w:pPr>
        <w:adjustRightInd w:val="0"/>
        <w:ind w:firstLine="440" w:firstLineChars="200"/>
        <w:rPr>
          <w:rFonts w:hint="eastAsia" w:ascii="宋体" w:hAnsi="宋体" w:eastAsia="宋体" w:cs="宋体"/>
          <w:sz w:val="22"/>
        </w:rPr>
      </w:pPr>
      <w:r>
        <w:rPr>
          <w:rFonts w:hint="eastAsia" w:ascii="宋体" w:hAnsi="宋体" w:eastAsia="宋体" w:cs="宋体"/>
          <w:sz w:val="22"/>
        </w:rPr>
        <w:t>甲方的领导和从事该采购项目的工作人员，在采购活动的事前、事中、事后应遵守以下规定：</w:t>
      </w:r>
    </w:p>
    <w:p w14:paraId="23DF114C">
      <w:pPr>
        <w:adjustRightInd w:val="0"/>
        <w:ind w:firstLine="440" w:firstLineChars="200"/>
        <w:rPr>
          <w:rFonts w:hint="eastAsia" w:ascii="宋体" w:hAnsi="宋体" w:eastAsia="宋体" w:cs="宋体"/>
          <w:sz w:val="22"/>
        </w:rPr>
      </w:pPr>
      <w:r>
        <w:rPr>
          <w:rFonts w:hint="eastAsia" w:ascii="宋体" w:hAnsi="宋体" w:eastAsia="宋体" w:cs="宋体"/>
          <w:sz w:val="22"/>
        </w:rPr>
        <w:t>(一)不准向乙方、</w:t>
      </w:r>
      <w:r>
        <w:rPr>
          <w:rFonts w:hint="eastAsia" w:ascii="宋体" w:hAnsi="宋体" w:eastAsia="宋体" w:cs="宋体"/>
          <w:sz w:val="22"/>
          <w:lang w:eastAsia="zh-CN"/>
        </w:rPr>
        <w:t>丙方</w:t>
      </w:r>
      <w:r>
        <w:rPr>
          <w:rFonts w:hint="eastAsia" w:ascii="宋体" w:hAnsi="宋体" w:eastAsia="宋体" w:cs="宋体"/>
          <w:sz w:val="22"/>
        </w:rPr>
        <w:t>和相关单位索要或接受回扣、礼金、有价证券、贵重物品和好处费、感谢费等。</w:t>
      </w:r>
    </w:p>
    <w:p w14:paraId="5A16BFD7">
      <w:pPr>
        <w:adjustRightInd w:val="0"/>
        <w:ind w:firstLine="440" w:firstLineChars="200"/>
        <w:rPr>
          <w:rFonts w:hint="eastAsia" w:ascii="宋体" w:hAnsi="宋体" w:eastAsia="宋体" w:cs="宋体"/>
          <w:sz w:val="22"/>
        </w:rPr>
      </w:pPr>
      <w:r>
        <w:rPr>
          <w:rFonts w:hint="eastAsia" w:ascii="宋体" w:hAnsi="宋体" w:eastAsia="宋体" w:cs="宋体"/>
          <w:sz w:val="22"/>
        </w:rPr>
        <w:t>(二)不准在乙方、</w:t>
      </w:r>
      <w:r>
        <w:rPr>
          <w:rFonts w:hint="eastAsia" w:ascii="宋体" w:hAnsi="宋体" w:eastAsia="宋体" w:cs="宋体"/>
          <w:sz w:val="22"/>
          <w:lang w:eastAsia="zh-CN"/>
        </w:rPr>
        <w:t>丙方</w:t>
      </w:r>
      <w:r>
        <w:rPr>
          <w:rFonts w:hint="eastAsia" w:ascii="宋体" w:hAnsi="宋体" w:eastAsia="宋体" w:cs="宋体"/>
          <w:sz w:val="22"/>
        </w:rPr>
        <w:t>和相关单位报销任何应由甲方或个人支付的费用。</w:t>
      </w:r>
    </w:p>
    <w:p w14:paraId="5951355A">
      <w:pPr>
        <w:adjustRightInd w:val="0"/>
        <w:ind w:firstLine="440" w:firstLineChars="200"/>
        <w:rPr>
          <w:rFonts w:hint="eastAsia" w:ascii="宋体" w:hAnsi="宋体" w:eastAsia="宋体" w:cs="宋体"/>
          <w:sz w:val="22"/>
        </w:rPr>
      </w:pPr>
      <w:r>
        <w:rPr>
          <w:rFonts w:hint="eastAsia" w:ascii="宋体" w:hAnsi="宋体" w:eastAsia="宋体" w:cs="宋体"/>
          <w:sz w:val="22"/>
        </w:rPr>
        <w:t>(三)不准要求、暗示和接受乙方、</w:t>
      </w:r>
      <w:r>
        <w:rPr>
          <w:rFonts w:hint="eastAsia" w:ascii="宋体" w:hAnsi="宋体" w:eastAsia="宋体" w:cs="宋体"/>
          <w:sz w:val="22"/>
          <w:lang w:eastAsia="zh-CN"/>
        </w:rPr>
        <w:t>丙方</w:t>
      </w:r>
      <w:r>
        <w:rPr>
          <w:rFonts w:hint="eastAsia" w:ascii="宋体" w:hAnsi="宋体" w:eastAsia="宋体" w:cs="宋体"/>
          <w:sz w:val="22"/>
        </w:rPr>
        <w:t>和相关单位为个人装修住房、婚丧嫁娶、配偶子女的工作安排以及出国（境）、旅游等提供方便。</w:t>
      </w:r>
    </w:p>
    <w:p w14:paraId="141B8F39">
      <w:pPr>
        <w:adjustRightInd w:val="0"/>
        <w:ind w:firstLine="440" w:firstLineChars="200"/>
        <w:rPr>
          <w:rFonts w:hint="eastAsia" w:ascii="宋体" w:hAnsi="宋体" w:eastAsia="宋体" w:cs="宋体"/>
          <w:sz w:val="22"/>
        </w:rPr>
      </w:pPr>
      <w:r>
        <w:rPr>
          <w:rFonts w:hint="eastAsia" w:ascii="宋体" w:hAnsi="宋体" w:eastAsia="宋体" w:cs="宋体"/>
          <w:sz w:val="22"/>
        </w:rPr>
        <w:t>(四)不准参加有可能影响公正执行公务的乙方、</w:t>
      </w:r>
      <w:r>
        <w:rPr>
          <w:rFonts w:hint="eastAsia" w:ascii="宋体" w:hAnsi="宋体" w:eastAsia="宋体" w:cs="宋体"/>
          <w:sz w:val="22"/>
          <w:lang w:eastAsia="zh-CN"/>
        </w:rPr>
        <w:t>丙方</w:t>
      </w:r>
      <w:r>
        <w:rPr>
          <w:rFonts w:hint="eastAsia" w:ascii="宋体" w:hAnsi="宋体" w:eastAsia="宋体" w:cs="宋体"/>
          <w:sz w:val="22"/>
        </w:rPr>
        <w:t>和相关单位的宴请和健身、娱乐等活动。</w:t>
      </w:r>
    </w:p>
    <w:p w14:paraId="0E51DF1A">
      <w:pPr>
        <w:adjustRightInd w:val="0"/>
        <w:ind w:firstLine="440" w:firstLineChars="200"/>
        <w:rPr>
          <w:rFonts w:hint="eastAsia" w:ascii="宋体" w:hAnsi="宋体" w:eastAsia="宋体" w:cs="宋体"/>
          <w:sz w:val="22"/>
        </w:rPr>
      </w:pPr>
      <w:r>
        <w:rPr>
          <w:rFonts w:hint="eastAsia" w:ascii="宋体" w:hAnsi="宋体" w:eastAsia="宋体" w:cs="宋体"/>
          <w:sz w:val="22"/>
        </w:rPr>
        <w:t>(五)不准向乙方、</w:t>
      </w:r>
      <w:r>
        <w:rPr>
          <w:rFonts w:hint="eastAsia" w:ascii="宋体" w:hAnsi="宋体" w:eastAsia="宋体" w:cs="宋体"/>
          <w:sz w:val="22"/>
          <w:lang w:eastAsia="zh-CN"/>
        </w:rPr>
        <w:t>丙方</w:t>
      </w:r>
      <w:r>
        <w:rPr>
          <w:rFonts w:hint="eastAsia" w:ascii="宋体" w:hAnsi="宋体" w:eastAsia="宋体" w:cs="宋体"/>
          <w:sz w:val="22"/>
        </w:rPr>
        <w:t>介绍或为配偶、子女、亲属参与同甲方采购项目供货合同有关的设备、材料、分包、劳务等经济活动。不得以任何理由向乙方、</w:t>
      </w:r>
      <w:r>
        <w:rPr>
          <w:rFonts w:hint="eastAsia" w:ascii="宋体" w:hAnsi="宋体" w:eastAsia="宋体" w:cs="宋体"/>
          <w:sz w:val="22"/>
          <w:lang w:eastAsia="zh-CN"/>
        </w:rPr>
        <w:t>丙方</w:t>
      </w:r>
      <w:r>
        <w:rPr>
          <w:rFonts w:hint="eastAsia" w:ascii="宋体" w:hAnsi="宋体" w:eastAsia="宋体" w:cs="宋体"/>
          <w:sz w:val="22"/>
        </w:rPr>
        <w:t>和相关单位推荐分包单位和要求乙方、</w:t>
      </w:r>
      <w:r>
        <w:rPr>
          <w:rFonts w:hint="eastAsia" w:ascii="宋体" w:hAnsi="宋体" w:eastAsia="宋体" w:cs="宋体"/>
          <w:sz w:val="22"/>
          <w:lang w:eastAsia="zh-CN"/>
        </w:rPr>
        <w:t>丙方</w:t>
      </w:r>
      <w:r>
        <w:rPr>
          <w:rFonts w:hint="eastAsia" w:ascii="宋体" w:hAnsi="宋体" w:eastAsia="宋体" w:cs="宋体"/>
          <w:sz w:val="22"/>
        </w:rPr>
        <w:t>购买采购项目合同规定以外的材料、设备、服务等。</w:t>
      </w:r>
    </w:p>
    <w:p w14:paraId="09A8E6C9">
      <w:pPr>
        <w:ind w:firstLine="435"/>
        <w:rPr>
          <w:rFonts w:hint="eastAsia" w:ascii="宋体" w:hAnsi="宋体" w:eastAsia="宋体" w:cs="宋体"/>
          <w:b/>
          <w:bCs/>
          <w:sz w:val="22"/>
        </w:rPr>
      </w:pPr>
      <w:r>
        <w:rPr>
          <w:rFonts w:hint="eastAsia" w:ascii="宋体" w:hAnsi="宋体" w:eastAsia="宋体" w:cs="宋体"/>
          <w:b/>
          <w:bCs/>
          <w:sz w:val="22"/>
        </w:rPr>
        <w:t>第三条  乙方、</w:t>
      </w:r>
      <w:r>
        <w:rPr>
          <w:rFonts w:hint="eastAsia" w:ascii="宋体" w:hAnsi="宋体" w:eastAsia="宋体" w:cs="宋体"/>
          <w:b/>
          <w:bCs/>
          <w:sz w:val="22"/>
          <w:lang w:eastAsia="zh-CN"/>
        </w:rPr>
        <w:t>丙方</w:t>
      </w:r>
      <w:r>
        <w:rPr>
          <w:rFonts w:hint="eastAsia" w:ascii="宋体" w:hAnsi="宋体" w:eastAsia="宋体" w:cs="宋体"/>
          <w:b/>
          <w:bCs/>
          <w:sz w:val="22"/>
        </w:rPr>
        <w:t>的责任</w:t>
      </w:r>
    </w:p>
    <w:p w14:paraId="7D1FEF48">
      <w:pPr>
        <w:adjustRightInd w:val="0"/>
        <w:ind w:firstLine="440" w:firstLineChars="200"/>
        <w:rPr>
          <w:rFonts w:hint="eastAsia" w:ascii="宋体" w:hAnsi="宋体" w:eastAsia="宋体" w:cs="宋体"/>
          <w:sz w:val="22"/>
        </w:rPr>
      </w:pPr>
      <w:r>
        <w:rPr>
          <w:rFonts w:hint="eastAsia" w:ascii="宋体" w:hAnsi="宋体" w:eastAsia="宋体" w:cs="宋体"/>
          <w:sz w:val="22"/>
        </w:rPr>
        <w:t>应与甲方保持正常的业务交往，按照有关法律法规和程序开展业务工作，严格执行采购活动的有关方针、政策，尤其是有关国企采购活动的强制性标准和规范，并遵守以下规定：</w:t>
      </w:r>
    </w:p>
    <w:p w14:paraId="74B905A3">
      <w:pPr>
        <w:adjustRightInd w:val="0"/>
        <w:ind w:firstLine="440" w:firstLineChars="200"/>
        <w:rPr>
          <w:rFonts w:hint="eastAsia" w:ascii="宋体" w:hAnsi="宋体" w:eastAsia="宋体" w:cs="宋体"/>
          <w:sz w:val="22"/>
        </w:rPr>
      </w:pPr>
      <w:r>
        <w:rPr>
          <w:rFonts w:hint="eastAsia" w:ascii="宋体" w:hAnsi="宋体" w:eastAsia="宋体" w:cs="宋体"/>
          <w:sz w:val="22"/>
        </w:rPr>
        <w:t>(一)不准以任何理由向甲方、相关单位及其工作人员索要、接受或赠送礼金，有价证券贵重物品和回扣、好处费、感谢费等。</w:t>
      </w:r>
    </w:p>
    <w:p w14:paraId="1700C15E">
      <w:pPr>
        <w:adjustRightInd w:val="0"/>
        <w:ind w:firstLine="440" w:firstLineChars="200"/>
        <w:rPr>
          <w:rFonts w:hint="eastAsia" w:ascii="宋体" w:hAnsi="宋体" w:eastAsia="宋体" w:cs="宋体"/>
          <w:sz w:val="22"/>
        </w:rPr>
      </w:pPr>
      <w:r>
        <w:rPr>
          <w:rFonts w:hint="eastAsia" w:ascii="宋体" w:hAnsi="宋体" w:eastAsia="宋体" w:cs="宋体"/>
          <w:sz w:val="22"/>
        </w:rPr>
        <w:t>(二)不准以任何理由为甲方和相关单位报销应由对方或个人支付的费用。</w:t>
      </w:r>
    </w:p>
    <w:p w14:paraId="63311FD5">
      <w:pPr>
        <w:adjustRightInd w:val="0"/>
        <w:ind w:firstLine="440" w:firstLineChars="200"/>
        <w:rPr>
          <w:rFonts w:hint="eastAsia" w:ascii="宋体" w:hAnsi="宋体" w:eastAsia="宋体" w:cs="宋体"/>
          <w:sz w:val="22"/>
        </w:rPr>
      </w:pPr>
      <w:r>
        <w:rPr>
          <w:rFonts w:hint="eastAsia" w:ascii="宋体" w:hAnsi="宋体" w:eastAsia="宋体" w:cs="宋体"/>
          <w:sz w:val="22"/>
        </w:rPr>
        <w:t>(三)不准接受或暗示为甲方、相关单位或个人装修住房、婚丧嫁娶、配偶子女的工作安排以及出国（境）、旅游等提供方便。</w:t>
      </w:r>
    </w:p>
    <w:p w14:paraId="3BEF418D">
      <w:pPr>
        <w:adjustRightInd w:val="0"/>
        <w:ind w:firstLine="440" w:firstLineChars="200"/>
        <w:rPr>
          <w:rFonts w:hint="eastAsia" w:ascii="宋体" w:hAnsi="宋体" w:eastAsia="宋体" w:cs="宋体"/>
          <w:sz w:val="22"/>
        </w:rPr>
      </w:pPr>
      <w:r>
        <w:rPr>
          <w:rFonts w:hint="eastAsia" w:ascii="宋体" w:hAnsi="宋体" w:eastAsia="宋体" w:cs="宋体"/>
          <w:sz w:val="22"/>
        </w:rPr>
        <w:t>(四)不准以及任何理由为甲方、相关单位或个人组织有可能影响公正执行公务的宴请、健身、娱乐等活动。</w:t>
      </w:r>
    </w:p>
    <w:p w14:paraId="172FA3D0">
      <w:pPr>
        <w:ind w:left="435" w:leftChars="207" w:firstLine="108" w:firstLineChars="49"/>
        <w:rPr>
          <w:rFonts w:hint="eastAsia" w:ascii="宋体" w:hAnsi="宋体" w:eastAsia="宋体" w:cs="宋体"/>
          <w:b/>
          <w:bCs/>
          <w:sz w:val="22"/>
        </w:rPr>
      </w:pPr>
      <w:r>
        <w:rPr>
          <w:rFonts w:hint="eastAsia" w:ascii="宋体" w:hAnsi="宋体" w:eastAsia="宋体" w:cs="宋体"/>
          <w:b/>
          <w:bCs/>
          <w:sz w:val="22"/>
        </w:rPr>
        <w:t>第四条  违约责任</w:t>
      </w:r>
    </w:p>
    <w:p w14:paraId="09192390">
      <w:pPr>
        <w:adjustRightInd w:val="0"/>
        <w:ind w:firstLine="440" w:firstLineChars="200"/>
        <w:rPr>
          <w:rFonts w:hint="eastAsia" w:ascii="宋体" w:hAnsi="宋体" w:eastAsia="宋体" w:cs="宋体"/>
          <w:sz w:val="22"/>
        </w:rPr>
      </w:pPr>
      <w:r>
        <w:rPr>
          <w:rFonts w:hint="eastAsia" w:ascii="宋体" w:hAnsi="宋体" w:eastAsia="宋体" w:cs="宋体"/>
          <w:sz w:val="22"/>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3B1A53D3">
      <w:pPr>
        <w:adjustRightInd w:val="0"/>
        <w:ind w:firstLine="440" w:firstLineChars="200"/>
        <w:rPr>
          <w:rFonts w:hint="eastAsia" w:ascii="宋体" w:hAnsi="宋体" w:eastAsia="宋体" w:cs="宋体"/>
          <w:sz w:val="22"/>
        </w:rPr>
      </w:pPr>
      <w:r>
        <w:rPr>
          <w:rFonts w:hint="eastAsia" w:ascii="宋体" w:hAnsi="宋体" w:eastAsia="宋体" w:cs="宋体"/>
          <w:sz w:val="22"/>
        </w:rPr>
        <w:t>(二)乙方、</w:t>
      </w:r>
      <w:r>
        <w:rPr>
          <w:rFonts w:hint="eastAsia" w:ascii="宋体" w:hAnsi="宋体" w:eastAsia="宋体" w:cs="宋体"/>
          <w:sz w:val="22"/>
          <w:lang w:eastAsia="zh-CN"/>
        </w:rPr>
        <w:t>丙方</w:t>
      </w:r>
      <w:r>
        <w:rPr>
          <w:rFonts w:hint="eastAsia" w:ascii="宋体" w:hAnsi="宋体" w:eastAsia="宋体" w:cs="宋体"/>
          <w:sz w:val="22"/>
        </w:rPr>
        <w:t>工作人员有违反本责任书第一、三条责任行为的，按照管理权限，依据有关法律法规和规定给予党纪、政纪处分或组织处理；涉嫌犯罪的，移交司法机关追究刑事责任；给甲方单位造成经济损失的，应予以赔偿。</w:t>
      </w:r>
    </w:p>
    <w:p w14:paraId="27DDCA59">
      <w:pPr>
        <w:ind w:firstLine="433" w:firstLineChars="196"/>
        <w:rPr>
          <w:rFonts w:hint="eastAsia" w:ascii="宋体" w:hAnsi="宋体" w:eastAsia="宋体" w:cs="宋体"/>
          <w:sz w:val="22"/>
        </w:rPr>
      </w:pPr>
      <w:r>
        <w:rPr>
          <w:rFonts w:hint="eastAsia" w:ascii="宋体" w:hAnsi="宋体" w:eastAsia="宋体" w:cs="宋体"/>
          <w:b/>
          <w:bCs/>
          <w:sz w:val="22"/>
        </w:rPr>
        <w:t xml:space="preserve">第五条 </w:t>
      </w:r>
      <w:r>
        <w:rPr>
          <w:rFonts w:hint="eastAsia" w:ascii="宋体" w:hAnsi="宋体" w:eastAsia="宋体" w:cs="宋体"/>
          <w:sz w:val="22"/>
        </w:rPr>
        <w:t>本责任书作为采购项目合同的附件，与采购项目合同具有同等法律效力。经签署后立即生效。</w:t>
      </w:r>
    </w:p>
    <w:p w14:paraId="74FD8F81">
      <w:pPr>
        <w:ind w:left="435"/>
        <w:rPr>
          <w:rFonts w:hint="eastAsia" w:ascii="宋体" w:hAnsi="宋体" w:eastAsia="宋体" w:cs="宋体"/>
          <w:sz w:val="22"/>
        </w:rPr>
      </w:pPr>
      <w:r>
        <w:rPr>
          <w:rFonts w:hint="eastAsia" w:ascii="宋体" w:hAnsi="宋体" w:eastAsia="宋体" w:cs="宋体"/>
          <w:b/>
          <w:bCs/>
          <w:sz w:val="22"/>
        </w:rPr>
        <w:t>第六条</w:t>
      </w:r>
      <w:r>
        <w:rPr>
          <w:rFonts w:hint="eastAsia" w:ascii="宋体" w:hAnsi="宋体" w:eastAsia="宋体" w:cs="宋体"/>
          <w:sz w:val="22"/>
        </w:rPr>
        <w:t xml:space="preserve"> 本责任书的有效期为双方签署之日起至该采购服务期完成为止。</w:t>
      </w:r>
    </w:p>
    <w:p w14:paraId="3E675E03">
      <w:pPr>
        <w:ind w:firstLine="431" w:firstLineChars="195"/>
        <w:rPr>
          <w:rFonts w:hint="eastAsia" w:ascii="宋体" w:hAnsi="宋体" w:eastAsia="宋体" w:cs="宋体"/>
          <w:sz w:val="22"/>
        </w:rPr>
      </w:pPr>
      <w:r>
        <w:rPr>
          <w:rFonts w:hint="eastAsia" w:ascii="宋体" w:hAnsi="宋体" w:eastAsia="宋体" w:cs="宋体"/>
          <w:b/>
          <w:bCs/>
          <w:sz w:val="22"/>
        </w:rPr>
        <w:t>第七条</w:t>
      </w:r>
      <w:r>
        <w:rPr>
          <w:rFonts w:hint="eastAsia" w:ascii="宋体" w:hAnsi="宋体" w:eastAsia="宋体" w:cs="宋体"/>
          <w:sz w:val="22"/>
        </w:rPr>
        <w:t xml:space="preserve"> 本责任书一式</w:t>
      </w:r>
      <w:r>
        <w:rPr>
          <w:rFonts w:hint="eastAsia" w:ascii="宋体" w:hAnsi="宋体" w:eastAsia="宋体" w:cs="宋体"/>
          <w:sz w:val="22"/>
          <w:u w:val="single"/>
        </w:rPr>
        <w:t xml:space="preserve">   </w:t>
      </w:r>
      <w:r>
        <w:rPr>
          <w:rFonts w:hint="eastAsia" w:ascii="宋体" w:hAnsi="宋体" w:eastAsia="宋体" w:cs="宋体"/>
          <w:sz w:val="22"/>
        </w:rPr>
        <w:t>份，由甲方执</w:t>
      </w:r>
      <w:r>
        <w:rPr>
          <w:rFonts w:hint="eastAsia" w:ascii="宋体" w:hAnsi="宋体" w:eastAsia="宋体" w:cs="宋体"/>
          <w:sz w:val="22"/>
          <w:u w:val="single"/>
        </w:rPr>
        <w:t xml:space="preserve">   </w:t>
      </w:r>
      <w:r>
        <w:rPr>
          <w:rFonts w:hint="eastAsia" w:ascii="宋体" w:hAnsi="宋体" w:eastAsia="宋体" w:cs="宋体"/>
          <w:sz w:val="22"/>
        </w:rPr>
        <w:t>份，乙方、</w:t>
      </w:r>
      <w:r>
        <w:rPr>
          <w:rFonts w:hint="eastAsia" w:ascii="宋体" w:hAnsi="宋体" w:eastAsia="宋体" w:cs="宋体"/>
          <w:sz w:val="22"/>
          <w:lang w:eastAsia="zh-CN"/>
        </w:rPr>
        <w:t>丙方</w:t>
      </w:r>
      <w:r>
        <w:rPr>
          <w:rFonts w:hint="eastAsia" w:ascii="宋体" w:hAnsi="宋体" w:eastAsia="宋体" w:cs="宋体"/>
          <w:sz w:val="22"/>
        </w:rPr>
        <w:t>各执</w:t>
      </w:r>
      <w:r>
        <w:rPr>
          <w:rFonts w:hint="eastAsia" w:ascii="宋体" w:hAnsi="宋体" w:eastAsia="宋体" w:cs="宋体"/>
          <w:sz w:val="22"/>
          <w:u w:val="single"/>
        </w:rPr>
        <w:t xml:space="preserve">   </w:t>
      </w:r>
      <w:r>
        <w:rPr>
          <w:rFonts w:hint="eastAsia" w:ascii="宋体" w:hAnsi="宋体" w:eastAsia="宋体" w:cs="宋体"/>
          <w:sz w:val="22"/>
        </w:rPr>
        <w:t>份。</w:t>
      </w:r>
    </w:p>
    <w:p w14:paraId="0FEB0341">
      <w:pPr>
        <w:ind w:left="435"/>
        <w:rPr>
          <w:rFonts w:hint="eastAsia" w:ascii="宋体" w:hAnsi="宋体" w:eastAsia="宋体" w:cs="宋体"/>
          <w:sz w:val="22"/>
        </w:rPr>
      </w:pPr>
      <w:r>
        <w:rPr>
          <w:rFonts w:hint="eastAsia" w:ascii="宋体" w:hAnsi="宋体" w:eastAsia="宋体" w:cs="宋体"/>
          <w:sz w:val="22"/>
        </w:rPr>
        <w:t xml:space="preserve"> </w:t>
      </w:r>
    </w:p>
    <w:p w14:paraId="4C84EF5C">
      <w:pPr>
        <w:ind w:left="435"/>
        <w:rPr>
          <w:rFonts w:hint="eastAsia" w:ascii="宋体" w:hAnsi="宋体" w:eastAsia="宋体" w:cs="宋体"/>
          <w:sz w:val="22"/>
        </w:rPr>
      </w:pPr>
      <w:r>
        <w:rPr>
          <w:rFonts w:hint="eastAsia" w:ascii="宋体" w:hAnsi="宋体" w:eastAsia="宋体" w:cs="宋体"/>
          <w:sz w:val="22"/>
        </w:rPr>
        <w:t xml:space="preserve"> </w:t>
      </w:r>
    </w:p>
    <w:p w14:paraId="5A431DF0">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甲方：（盖章）                               </w:t>
      </w:r>
    </w:p>
    <w:p w14:paraId="7932DF92">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 </w:t>
      </w:r>
    </w:p>
    <w:p w14:paraId="277E9647">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法定代表人或授权代表人 ：  （签章）                             </w:t>
      </w:r>
    </w:p>
    <w:p w14:paraId="36504C24">
      <w:pPr>
        <w:ind w:left="6800" w:leftChars="200" w:hanging="6380" w:hangingChars="2900"/>
        <w:rPr>
          <w:rFonts w:hint="eastAsia" w:ascii="宋体" w:hAnsi="宋体" w:eastAsia="宋体" w:cs="宋体"/>
          <w:sz w:val="22"/>
        </w:rPr>
      </w:pPr>
      <w:r>
        <w:rPr>
          <w:rFonts w:hint="eastAsia" w:ascii="宋体" w:hAnsi="宋体" w:eastAsia="宋体" w:cs="宋体"/>
          <w:sz w:val="22"/>
        </w:rPr>
        <w:t xml:space="preserve">   </w:t>
      </w:r>
    </w:p>
    <w:p w14:paraId="7D565639">
      <w:pPr>
        <w:ind w:left="6800" w:leftChars="200" w:hanging="6380" w:hangingChars="2900"/>
        <w:rPr>
          <w:rFonts w:hint="eastAsia" w:ascii="宋体" w:hAnsi="宋体" w:eastAsia="宋体" w:cs="宋体"/>
          <w:sz w:val="22"/>
        </w:rPr>
      </w:pPr>
      <w:r>
        <w:rPr>
          <w:rFonts w:hint="eastAsia" w:ascii="宋体" w:hAnsi="宋体" w:eastAsia="宋体" w:cs="宋体"/>
          <w:sz w:val="22"/>
          <w:lang w:val="en-US" w:eastAsia="zh-CN"/>
        </w:rPr>
        <w:t xml:space="preserve">       </w:t>
      </w:r>
      <w:r>
        <w:rPr>
          <w:rFonts w:hint="eastAsia" w:ascii="宋体" w:hAnsi="宋体" w:eastAsia="宋体" w:cs="宋体"/>
          <w:sz w:val="22"/>
        </w:rPr>
        <w:t xml:space="preserve">年 </w:t>
      </w:r>
      <w:r>
        <w:rPr>
          <w:rFonts w:hint="eastAsia" w:ascii="宋体" w:hAnsi="宋体" w:eastAsia="宋体" w:cs="宋体"/>
          <w:sz w:val="22"/>
          <w:lang w:val="en-US" w:eastAsia="zh-CN"/>
        </w:rPr>
        <w:t xml:space="preserve"> </w:t>
      </w:r>
      <w:r>
        <w:rPr>
          <w:rFonts w:hint="eastAsia" w:ascii="宋体" w:hAnsi="宋体" w:eastAsia="宋体" w:cs="宋体"/>
          <w:sz w:val="22"/>
        </w:rPr>
        <w:t xml:space="preserve"> 月</w:t>
      </w:r>
      <w:r>
        <w:rPr>
          <w:rFonts w:hint="eastAsia" w:ascii="宋体" w:hAnsi="宋体" w:eastAsia="宋体" w:cs="宋体"/>
          <w:sz w:val="22"/>
          <w:lang w:val="en-US" w:eastAsia="zh-CN"/>
        </w:rPr>
        <w:t xml:space="preserve"> </w:t>
      </w:r>
      <w:r>
        <w:rPr>
          <w:rFonts w:hint="eastAsia" w:ascii="宋体" w:hAnsi="宋体" w:eastAsia="宋体" w:cs="宋体"/>
          <w:sz w:val="22"/>
        </w:rPr>
        <w:t xml:space="preserve">  日                               </w:t>
      </w:r>
    </w:p>
    <w:p w14:paraId="2EF89444">
      <w:pPr>
        <w:ind w:left="6800" w:leftChars="200" w:hanging="6380" w:hangingChars="2900"/>
        <w:rPr>
          <w:rFonts w:hint="eastAsia" w:ascii="宋体" w:hAnsi="宋体" w:eastAsia="宋体" w:cs="宋体"/>
          <w:sz w:val="22"/>
        </w:rPr>
      </w:pPr>
    </w:p>
    <w:p w14:paraId="18CDF54C">
      <w:pPr>
        <w:ind w:left="6800" w:leftChars="200" w:hanging="6380" w:hangingChars="2900"/>
        <w:rPr>
          <w:rFonts w:hint="eastAsia" w:ascii="宋体" w:hAnsi="宋体" w:eastAsia="宋体" w:cs="宋体"/>
          <w:sz w:val="22"/>
        </w:rPr>
      </w:pPr>
    </w:p>
    <w:p w14:paraId="70C80416">
      <w:pPr>
        <w:ind w:left="6800" w:leftChars="200" w:hanging="6380" w:hangingChars="2900"/>
        <w:rPr>
          <w:rFonts w:hint="eastAsia" w:ascii="宋体" w:hAnsi="宋体" w:eastAsia="宋体" w:cs="宋体"/>
          <w:sz w:val="22"/>
        </w:rPr>
      </w:pPr>
    </w:p>
    <w:p w14:paraId="55336972">
      <w:pPr>
        <w:spacing w:before="156" w:after="156"/>
        <w:ind w:firstLine="411"/>
        <w:rPr>
          <w:rFonts w:hint="eastAsia" w:ascii="宋体" w:hAnsi="宋体" w:eastAsia="宋体" w:cs="宋体"/>
          <w:sz w:val="22"/>
        </w:rPr>
      </w:pPr>
      <w:r>
        <w:rPr>
          <w:rFonts w:hint="eastAsia" w:ascii="宋体" w:hAnsi="宋体" w:eastAsia="宋体" w:cs="宋体"/>
          <w:sz w:val="22"/>
        </w:rPr>
        <w:t>乙方：      （盖章）</w:t>
      </w:r>
    </w:p>
    <w:p w14:paraId="717E616F">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14:paraId="42E8723B">
      <w:pPr>
        <w:spacing w:before="156" w:after="156"/>
        <w:ind w:firstLine="1144" w:firstLineChars="520"/>
        <w:rPr>
          <w:rFonts w:hint="eastAsia" w:ascii="宋体" w:hAnsi="宋体" w:eastAsia="宋体" w:cs="宋体"/>
          <w:sz w:val="22"/>
        </w:rPr>
      </w:pPr>
      <w:r>
        <w:rPr>
          <w:rFonts w:hint="eastAsia" w:ascii="宋体" w:hAnsi="宋体" w:eastAsia="宋体" w:cs="宋体"/>
          <w:sz w:val="22"/>
        </w:rPr>
        <w:t>年    月     日</w:t>
      </w:r>
    </w:p>
    <w:p w14:paraId="7A6EBD0C">
      <w:pPr>
        <w:spacing w:before="156" w:after="156"/>
        <w:ind w:firstLine="411"/>
        <w:rPr>
          <w:rFonts w:hint="eastAsia" w:ascii="宋体" w:hAnsi="宋体" w:eastAsia="宋体" w:cs="宋体"/>
          <w:sz w:val="22"/>
        </w:rPr>
      </w:pPr>
    </w:p>
    <w:p w14:paraId="59791AB8">
      <w:pPr>
        <w:spacing w:before="156" w:after="156"/>
        <w:ind w:firstLine="411"/>
        <w:rPr>
          <w:rFonts w:hint="eastAsia" w:ascii="宋体" w:hAnsi="宋体" w:eastAsia="宋体" w:cs="宋体"/>
          <w:sz w:val="22"/>
        </w:rPr>
      </w:pPr>
      <w:r>
        <w:rPr>
          <w:rFonts w:hint="eastAsia" w:ascii="宋体" w:hAnsi="宋体" w:eastAsia="宋体" w:cs="宋体"/>
          <w:sz w:val="22"/>
          <w:lang w:eastAsia="zh-CN"/>
        </w:rPr>
        <w:t>丙方</w:t>
      </w:r>
      <w:r>
        <w:rPr>
          <w:rFonts w:hint="eastAsia" w:ascii="宋体" w:hAnsi="宋体" w:eastAsia="宋体" w:cs="宋体"/>
          <w:sz w:val="22"/>
        </w:rPr>
        <w:t>：      （盖章）</w:t>
      </w:r>
    </w:p>
    <w:p w14:paraId="3E095A42">
      <w:pPr>
        <w:spacing w:before="156" w:after="156"/>
        <w:ind w:firstLine="411"/>
        <w:rPr>
          <w:rFonts w:hint="eastAsia" w:ascii="宋体" w:hAnsi="宋体" w:eastAsia="宋体" w:cs="宋体"/>
          <w:sz w:val="22"/>
        </w:rPr>
      </w:pPr>
      <w:r>
        <w:rPr>
          <w:rFonts w:hint="eastAsia" w:ascii="宋体" w:hAnsi="宋体" w:eastAsia="宋体" w:cs="宋体"/>
          <w:sz w:val="22"/>
        </w:rPr>
        <w:t>法定代表人或授权代表人 （签章）</w:t>
      </w:r>
    </w:p>
    <w:p w14:paraId="23AFF272">
      <w:pPr>
        <w:spacing w:before="156" w:after="156"/>
        <w:ind w:firstLine="1144" w:firstLineChars="520"/>
        <w:rPr>
          <w:rFonts w:hint="eastAsia" w:ascii="宋体" w:hAnsi="宋体" w:eastAsia="宋体" w:cs="宋体"/>
          <w:sz w:val="22"/>
        </w:rPr>
      </w:pPr>
      <w:r>
        <w:rPr>
          <w:rFonts w:hint="eastAsia" w:ascii="宋体" w:hAnsi="宋体" w:eastAsia="宋体" w:cs="宋体"/>
          <w:sz w:val="22"/>
        </w:rPr>
        <w:t xml:space="preserve">年    月     日 </w:t>
      </w:r>
    </w:p>
    <w:p w14:paraId="3F068176">
      <w:pPr>
        <w:spacing w:before="156" w:after="156"/>
        <w:ind w:firstLine="1144" w:firstLineChars="520"/>
        <w:rPr>
          <w:rFonts w:hint="eastAsia" w:ascii="宋体" w:hAnsi="宋体" w:eastAsia="宋体" w:cs="宋体"/>
          <w:sz w:val="22"/>
        </w:rPr>
      </w:pPr>
    </w:p>
    <w:p w14:paraId="182ADD65">
      <w:pPr>
        <w:spacing w:before="156" w:after="156"/>
        <w:ind w:firstLine="1144" w:firstLineChars="520"/>
        <w:rPr>
          <w:rFonts w:hint="eastAsia" w:ascii="宋体" w:hAnsi="宋体" w:eastAsia="宋体" w:cs="宋体"/>
          <w:sz w:val="22"/>
        </w:rPr>
      </w:pPr>
    </w:p>
    <w:p w14:paraId="582BAAEB">
      <w:pPr>
        <w:spacing w:before="156" w:after="156"/>
        <w:ind w:firstLine="1144" w:firstLineChars="520"/>
        <w:rPr>
          <w:rFonts w:hint="eastAsia" w:ascii="宋体" w:hAnsi="宋体" w:eastAsia="宋体" w:cs="宋体"/>
          <w:sz w:val="22"/>
        </w:rPr>
      </w:pPr>
    </w:p>
    <w:p w14:paraId="154E84BB">
      <w:pPr>
        <w:spacing w:before="156" w:after="156"/>
        <w:ind w:firstLine="1144" w:firstLineChars="520"/>
        <w:rPr>
          <w:rFonts w:hint="eastAsia" w:ascii="宋体" w:hAnsi="宋体" w:eastAsia="宋体" w:cs="宋体"/>
          <w:color w:val="auto"/>
          <w:spacing w:val="-2"/>
          <w:sz w:val="48"/>
          <w:szCs w:val="48"/>
        </w:rPr>
      </w:pPr>
      <w:r>
        <w:rPr>
          <w:rFonts w:hint="eastAsia" w:ascii="宋体" w:hAnsi="宋体" w:eastAsia="宋体" w:cs="宋体"/>
          <w:sz w:val="22"/>
        </w:rPr>
        <w:br w:type="page"/>
      </w:r>
    </w:p>
    <w:p w14:paraId="232ECF21">
      <w:pPr>
        <w:spacing w:before="156" w:after="156"/>
        <w:jc w:val="center"/>
        <w:rPr>
          <w:rFonts w:hint="eastAsia" w:ascii="宋体" w:hAnsi="宋体" w:eastAsia="宋体" w:cs="宋体"/>
          <w:color w:val="auto"/>
          <w:spacing w:val="-2"/>
          <w:sz w:val="48"/>
          <w:szCs w:val="48"/>
          <w:highlight w:val="none"/>
        </w:rPr>
      </w:pPr>
      <w:r>
        <w:rPr>
          <w:rFonts w:hint="eastAsia" w:ascii="宋体" w:hAnsi="宋体" w:eastAsia="宋体" w:cs="宋体"/>
          <w:color w:val="auto"/>
          <w:spacing w:val="-2"/>
          <w:sz w:val="48"/>
          <w:szCs w:val="48"/>
          <w:highlight w:val="none"/>
        </w:rPr>
        <w:t>二、</w:t>
      </w:r>
      <w:r>
        <w:rPr>
          <w:rFonts w:hint="eastAsia" w:ascii="宋体" w:hAnsi="宋体" w:eastAsia="宋体" w:cs="宋体"/>
          <w:color w:val="auto"/>
          <w:spacing w:val="-2"/>
          <w:sz w:val="48"/>
          <w:szCs w:val="48"/>
          <w:highlight w:val="none"/>
          <w:lang w:val="en-US" w:eastAsia="zh-CN"/>
        </w:rPr>
        <w:t>3</w:t>
      </w:r>
      <w:r>
        <w:rPr>
          <w:rFonts w:hint="eastAsia" w:ascii="宋体" w:hAnsi="宋体" w:eastAsia="宋体" w:cs="宋体"/>
          <w:color w:val="auto"/>
          <w:spacing w:val="-2"/>
          <w:sz w:val="48"/>
          <w:szCs w:val="48"/>
          <w:highlight w:val="none"/>
        </w:rPr>
        <w:t>0亿元</w:t>
      </w:r>
      <w:r>
        <w:rPr>
          <w:rFonts w:hint="eastAsia" w:ascii="宋体" w:hAnsi="宋体" w:eastAsia="宋体" w:cs="宋体"/>
          <w:color w:val="auto"/>
          <w:spacing w:val="-2"/>
          <w:sz w:val="48"/>
          <w:szCs w:val="48"/>
          <w:highlight w:val="none"/>
          <w:lang w:val="en-US" w:eastAsia="zh-CN"/>
        </w:rPr>
        <w:t>永续中期票据</w:t>
      </w:r>
      <w:r>
        <w:rPr>
          <w:rFonts w:hint="eastAsia" w:ascii="宋体" w:hAnsi="宋体" w:eastAsia="宋体" w:cs="宋体"/>
          <w:color w:val="auto"/>
          <w:spacing w:val="-2"/>
          <w:sz w:val="48"/>
          <w:szCs w:val="48"/>
          <w:highlight w:val="none"/>
        </w:rPr>
        <w:t>承销服务协议文本</w:t>
      </w:r>
    </w:p>
    <w:p w14:paraId="29AB1318">
      <w:pPr>
        <w:jc w:val="center"/>
        <w:rPr>
          <w:rFonts w:hint="eastAsia" w:ascii="宋体" w:hAnsi="宋体" w:eastAsia="宋体" w:cs="宋体"/>
          <w:color w:val="auto"/>
          <w:spacing w:val="-2"/>
          <w:sz w:val="48"/>
          <w:szCs w:val="48"/>
        </w:rPr>
      </w:pPr>
    </w:p>
    <w:p w14:paraId="3D73821A">
      <w:pPr>
        <w:spacing w:before="156" w:after="156"/>
        <w:jc w:val="center"/>
        <w:rPr>
          <w:rFonts w:hint="eastAsia" w:ascii="宋体" w:hAnsi="宋体" w:eastAsia="宋体" w:cs="宋体"/>
          <w:spacing w:val="-2"/>
          <w:sz w:val="48"/>
          <w:szCs w:val="48"/>
        </w:rPr>
      </w:pPr>
      <w:bookmarkStart w:id="191" w:name="bookmark21"/>
      <w:r>
        <w:rPr>
          <w:rFonts w:hint="eastAsia" w:ascii="宋体" w:hAnsi="宋体" w:eastAsia="宋体" w:cs="宋体"/>
          <w:spacing w:val="-2"/>
          <w:sz w:val="48"/>
          <w:szCs w:val="48"/>
        </w:rPr>
        <w:t>银行间债券市场</w:t>
      </w:r>
    </w:p>
    <w:p w14:paraId="2240AA21">
      <w:pPr>
        <w:spacing w:before="156" w:after="156"/>
        <w:jc w:val="center"/>
        <w:rPr>
          <w:rFonts w:hint="eastAsia" w:ascii="宋体" w:hAnsi="宋体" w:eastAsia="宋体" w:cs="宋体"/>
          <w:spacing w:val="-2"/>
          <w:sz w:val="48"/>
          <w:szCs w:val="48"/>
        </w:rPr>
      </w:pPr>
    </w:p>
    <w:p w14:paraId="0F5CCEDC">
      <w:pPr>
        <w:spacing w:before="156" w:after="156"/>
        <w:jc w:val="center"/>
        <w:rPr>
          <w:rFonts w:hint="eastAsia" w:ascii="宋体" w:hAnsi="宋体" w:eastAsia="宋体" w:cs="宋体"/>
          <w:spacing w:val="-2"/>
          <w:sz w:val="48"/>
          <w:szCs w:val="48"/>
        </w:rPr>
      </w:pPr>
      <w:r>
        <w:rPr>
          <w:rFonts w:hint="eastAsia" w:ascii="宋体" w:hAnsi="宋体" w:eastAsia="宋体" w:cs="宋体"/>
          <w:spacing w:val="-2"/>
          <w:sz w:val="48"/>
          <w:szCs w:val="48"/>
        </w:rPr>
        <w:t>非金融企业债务融资工具承销协议文本</w:t>
      </w:r>
    </w:p>
    <w:p w14:paraId="41BFDE5E">
      <w:pPr>
        <w:jc w:val="center"/>
        <w:rPr>
          <w:rFonts w:hint="eastAsia" w:ascii="宋体" w:hAnsi="宋体" w:eastAsia="宋体" w:cs="宋体"/>
          <w:spacing w:val="-2"/>
          <w:sz w:val="48"/>
          <w:szCs w:val="48"/>
        </w:rPr>
      </w:pPr>
    </w:p>
    <w:p w14:paraId="2E2DD115">
      <w:pPr>
        <w:spacing w:before="156" w:after="156"/>
        <w:rPr>
          <w:rFonts w:hint="eastAsia" w:ascii="宋体" w:hAnsi="宋体" w:eastAsia="宋体" w:cs="宋体"/>
          <w:spacing w:val="-2"/>
          <w:szCs w:val="28"/>
        </w:rPr>
      </w:pPr>
    </w:p>
    <w:p w14:paraId="0723524C">
      <w:pPr>
        <w:spacing w:before="156" w:after="156"/>
        <w:rPr>
          <w:rFonts w:hint="eastAsia" w:ascii="宋体" w:hAnsi="宋体" w:eastAsia="宋体" w:cs="宋体"/>
          <w:spacing w:val="-2"/>
          <w:szCs w:val="28"/>
        </w:rPr>
      </w:pPr>
    </w:p>
    <w:p w14:paraId="39E03621">
      <w:pPr>
        <w:spacing w:before="156" w:after="156"/>
        <w:jc w:val="center"/>
        <w:rPr>
          <w:rFonts w:hint="eastAsia" w:ascii="宋体" w:hAnsi="宋体" w:eastAsia="宋体" w:cs="宋体"/>
          <w:spacing w:val="-2"/>
          <w:szCs w:val="28"/>
        </w:rPr>
      </w:pPr>
    </w:p>
    <w:p w14:paraId="0ECD805A">
      <w:pPr>
        <w:pStyle w:val="5"/>
        <w:spacing w:before="120" w:after="120"/>
        <w:rPr>
          <w:rFonts w:hint="eastAsia" w:ascii="宋体" w:hAnsi="宋体" w:eastAsia="宋体" w:cs="宋体"/>
          <w:sz w:val="32"/>
          <w:szCs w:val="32"/>
        </w:rPr>
      </w:pPr>
      <w:bookmarkStart w:id="192" w:name="_Toc508611368"/>
      <w:bookmarkStart w:id="193" w:name="_Toc508316121"/>
      <w:r>
        <w:rPr>
          <w:rFonts w:hint="eastAsia" w:ascii="宋体" w:hAnsi="宋体" w:eastAsia="宋体" w:cs="宋体"/>
          <w:spacing w:val="-2"/>
          <w:sz w:val="30"/>
          <w:szCs w:val="30"/>
        </w:rPr>
        <w:t>版权所有：中国银行间市场交易商协会 2013</w:t>
      </w:r>
      <w:bookmarkEnd w:id="192"/>
      <w:bookmarkEnd w:id="193"/>
    </w:p>
    <w:p w14:paraId="64BD1D91">
      <w:pPr>
        <w:spacing w:before="156" w:after="156"/>
        <w:rPr>
          <w:rFonts w:hint="eastAsia" w:ascii="宋体" w:hAnsi="宋体" w:eastAsia="宋体" w:cs="宋体"/>
          <w:spacing w:val="-2"/>
          <w:szCs w:val="28"/>
        </w:rPr>
      </w:pPr>
    </w:p>
    <w:p w14:paraId="2FDC62C8">
      <w:pPr>
        <w:rPr>
          <w:rFonts w:hint="eastAsia" w:ascii="宋体" w:hAnsi="宋体" w:eastAsia="宋体" w:cs="宋体"/>
        </w:rPr>
      </w:pPr>
    </w:p>
    <w:p w14:paraId="7B698FB5">
      <w:pPr>
        <w:rPr>
          <w:rFonts w:hint="eastAsia" w:ascii="宋体" w:hAnsi="宋体" w:eastAsia="宋体" w:cs="宋体"/>
        </w:rPr>
      </w:pPr>
    </w:p>
    <w:p w14:paraId="133E33E4">
      <w:pPr>
        <w:jc w:val="center"/>
        <w:rPr>
          <w:rFonts w:hint="eastAsia" w:ascii="宋体" w:hAnsi="宋体" w:eastAsia="宋体" w:cs="宋体"/>
          <w:sz w:val="24"/>
        </w:rPr>
      </w:pPr>
      <w:r>
        <w:rPr>
          <w:rFonts w:hint="eastAsia" w:ascii="宋体" w:hAnsi="宋体" w:eastAsia="宋体" w:cs="宋体"/>
          <w:sz w:val="24"/>
        </w:rPr>
        <w:t>下载地址：http://www.nafmii.org.cn/zdgz/201309/t20130902_25700.html</w:t>
      </w:r>
    </w:p>
    <w:p w14:paraId="6EF2D787">
      <w:pPr>
        <w:pStyle w:val="2"/>
        <w:ind w:firstLine="210"/>
        <w:rPr>
          <w:rFonts w:hint="eastAsia" w:ascii="宋体" w:hAnsi="宋体" w:eastAsia="宋体" w:cs="宋体"/>
        </w:rPr>
      </w:pPr>
    </w:p>
    <w:p w14:paraId="6C01B172">
      <w:pPr>
        <w:rPr>
          <w:rFonts w:hint="eastAsia" w:ascii="宋体" w:hAnsi="宋体" w:eastAsia="宋体" w:cs="宋体"/>
        </w:rPr>
      </w:pPr>
    </w:p>
    <w:p w14:paraId="39F93133">
      <w:pPr>
        <w:pStyle w:val="2"/>
        <w:ind w:firstLine="221"/>
        <w:rPr>
          <w:rFonts w:hint="eastAsia" w:ascii="宋体" w:hAnsi="宋体" w:eastAsia="宋体" w:cs="宋体"/>
          <w:b/>
          <w:bCs/>
          <w:color w:val="auto"/>
          <w:sz w:val="22"/>
        </w:rPr>
      </w:pPr>
      <w:r>
        <w:rPr>
          <w:rFonts w:hint="eastAsia" w:ascii="宋体" w:hAnsi="宋体" w:eastAsia="宋体" w:cs="宋体"/>
          <w:b/>
          <w:bCs/>
          <w:sz w:val="22"/>
        </w:rPr>
        <w:t>注：如有新的协议文本，则按最新协议文本执行。</w:t>
      </w:r>
    </w:p>
    <w:bookmarkEnd w:id="191"/>
    <w:p w14:paraId="791AC2B9"/>
    <w:p w14:paraId="549D581C">
      <w:pPr>
        <w:pStyle w:val="5"/>
        <w:rPr>
          <w:rFonts w:hint="eastAsia" w:ascii="宋体" w:hAnsi="宋体" w:eastAsia="宋体" w:cs="宋体"/>
          <w:sz w:val="30"/>
          <w:szCs w:val="30"/>
          <w:highlight w:val="none"/>
          <w:lang w:eastAsia="zh-CN"/>
        </w:rPr>
      </w:pPr>
    </w:p>
    <w:bookmarkEnd w:id="170"/>
    <w:bookmarkEnd w:id="171"/>
    <w:bookmarkEnd w:id="172"/>
    <w:bookmarkEnd w:id="173"/>
    <w:bookmarkEnd w:id="174"/>
    <w:bookmarkEnd w:id="175"/>
    <w:bookmarkEnd w:id="176"/>
    <w:bookmarkEnd w:id="177"/>
    <w:bookmarkEnd w:id="178"/>
    <w:bookmarkEnd w:id="179"/>
    <w:p w14:paraId="449D36BB">
      <w:pPr>
        <w:rPr>
          <w:rFonts w:hint="eastAsia" w:ascii="宋体" w:hAnsi="宋体" w:eastAsia="宋体" w:cs="宋体"/>
          <w:sz w:val="44"/>
          <w:szCs w:val="44"/>
          <w:highlight w:val="none"/>
        </w:rPr>
      </w:pPr>
      <w:bookmarkStart w:id="194" w:name="_Toc491780525"/>
    </w:p>
    <w:p w14:paraId="6092134B">
      <w:pPr>
        <w:pStyle w:val="2"/>
        <w:rPr>
          <w:rFonts w:hint="eastAsia" w:ascii="宋体" w:hAnsi="宋体" w:eastAsia="宋体" w:cs="宋体"/>
          <w:highlight w:val="none"/>
        </w:rPr>
      </w:pPr>
    </w:p>
    <w:p w14:paraId="6E9080FC">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6DFB9D27">
      <w:pPr>
        <w:pStyle w:val="2"/>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sz w:val="44"/>
          <w:szCs w:val="44"/>
          <w:highlight w:val="none"/>
        </w:rPr>
        <w:t xml:space="preserve"> 投标文件的编制格式</w:t>
      </w:r>
      <w:bookmarkEnd w:id="194"/>
    </w:p>
    <w:p w14:paraId="411F2810">
      <w:pPr>
        <w:spacing w:before="120" w:beforeLines="50" w:after="120" w:afterLines="50"/>
        <w:rPr>
          <w:rFonts w:hint="eastAsia" w:ascii="宋体" w:hAnsi="宋体" w:eastAsia="宋体" w:cs="宋体"/>
          <w:sz w:val="22"/>
          <w:highlight w:val="none"/>
        </w:rPr>
      </w:pPr>
    </w:p>
    <w:p w14:paraId="28D54189">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625872ED">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6AE3BAB9">
      <w:pPr>
        <w:jc w:val="right"/>
        <w:rPr>
          <w:rFonts w:hint="eastAsia" w:ascii="宋体" w:hAnsi="宋体" w:eastAsia="宋体" w:cs="宋体"/>
          <w:szCs w:val="24"/>
          <w:highlight w:val="none"/>
        </w:rPr>
      </w:pPr>
    </w:p>
    <w:p w14:paraId="1E11FD34">
      <w:pPr>
        <w:rPr>
          <w:rFonts w:hint="eastAsia" w:ascii="宋体" w:hAnsi="宋体" w:eastAsia="宋体" w:cs="宋体"/>
          <w:szCs w:val="24"/>
          <w:highlight w:val="none"/>
        </w:rPr>
      </w:pPr>
    </w:p>
    <w:p w14:paraId="48C27260">
      <w:pPr>
        <w:ind w:left="480" w:hanging="480" w:hangingChars="200"/>
        <w:rPr>
          <w:rFonts w:hint="eastAsia" w:ascii="宋体" w:hAnsi="宋体" w:eastAsia="宋体" w:cs="宋体"/>
          <w:sz w:val="24"/>
          <w:szCs w:val="24"/>
          <w:highlight w:val="none"/>
        </w:rPr>
      </w:pPr>
    </w:p>
    <w:p w14:paraId="53BE5643">
      <w:pPr>
        <w:rPr>
          <w:rFonts w:hint="eastAsia" w:ascii="宋体" w:hAnsi="宋体" w:eastAsia="宋体" w:cs="宋体"/>
          <w:szCs w:val="24"/>
          <w:highlight w:val="none"/>
        </w:rPr>
      </w:pPr>
    </w:p>
    <w:p w14:paraId="0D283FC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205D008B">
      <w:pPr>
        <w:rPr>
          <w:rFonts w:hint="eastAsia" w:ascii="宋体" w:hAnsi="宋体" w:eastAsia="宋体" w:cs="宋体"/>
          <w:sz w:val="28"/>
          <w:szCs w:val="28"/>
          <w:highlight w:val="none"/>
        </w:rPr>
      </w:pPr>
    </w:p>
    <w:p w14:paraId="66940069">
      <w:pPr>
        <w:rPr>
          <w:rFonts w:hint="eastAsia" w:ascii="宋体" w:hAnsi="宋体" w:eastAsia="宋体" w:cs="宋体"/>
          <w:sz w:val="28"/>
          <w:szCs w:val="28"/>
          <w:highlight w:val="none"/>
        </w:rPr>
      </w:pPr>
    </w:p>
    <w:p w14:paraId="67FEA30E">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5D7B4E1A">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35CA8DE6">
      <w:pPr>
        <w:rPr>
          <w:rFonts w:hint="eastAsia" w:ascii="宋体" w:hAnsi="宋体" w:eastAsia="宋体" w:cs="宋体"/>
          <w:sz w:val="28"/>
          <w:szCs w:val="28"/>
          <w:highlight w:val="none"/>
        </w:rPr>
      </w:pPr>
    </w:p>
    <w:p w14:paraId="01F5AEE1">
      <w:pPr>
        <w:rPr>
          <w:rFonts w:hint="eastAsia" w:ascii="宋体" w:hAnsi="宋体" w:eastAsia="宋体" w:cs="宋体"/>
          <w:sz w:val="28"/>
          <w:szCs w:val="28"/>
          <w:highlight w:val="none"/>
        </w:rPr>
      </w:pPr>
    </w:p>
    <w:p w14:paraId="1B7829FD">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7B766891">
      <w:pPr>
        <w:spacing w:line="480" w:lineRule="auto"/>
        <w:jc w:val="center"/>
        <w:rPr>
          <w:rFonts w:hint="eastAsia" w:ascii="宋体" w:hAnsi="宋体" w:eastAsia="宋体" w:cs="宋体"/>
          <w:sz w:val="44"/>
          <w:szCs w:val="44"/>
          <w:highlight w:val="none"/>
        </w:rPr>
      </w:pPr>
    </w:p>
    <w:p w14:paraId="62228D88">
      <w:pPr>
        <w:spacing w:line="360" w:lineRule="auto"/>
        <w:rPr>
          <w:rFonts w:hint="eastAsia" w:ascii="宋体" w:hAnsi="宋体" w:eastAsia="宋体" w:cs="宋体"/>
          <w:szCs w:val="21"/>
          <w:highlight w:val="none"/>
        </w:rPr>
      </w:pPr>
    </w:p>
    <w:p w14:paraId="2656BDAB">
      <w:pPr>
        <w:spacing w:line="360" w:lineRule="auto"/>
        <w:rPr>
          <w:rFonts w:hint="eastAsia" w:ascii="宋体" w:hAnsi="宋体" w:eastAsia="宋体" w:cs="宋体"/>
          <w:szCs w:val="21"/>
          <w:highlight w:val="none"/>
        </w:rPr>
      </w:pPr>
    </w:p>
    <w:p w14:paraId="1B93790B">
      <w:pPr>
        <w:autoSpaceDE w:val="0"/>
        <w:autoSpaceDN w:val="0"/>
        <w:adjustRightInd w:val="0"/>
        <w:spacing w:after="120"/>
        <w:ind w:firstLine="210" w:firstLineChars="100"/>
        <w:jc w:val="left"/>
        <w:rPr>
          <w:rFonts w:hint="eastAsia" w:ascii="宋体" w:hAnsi="宋体" w:eastAsia="宋体" w:cs="宋体"/>
          <w:szCs w:val="24"/>
          <w:highlight w:val="none"/>
        </w:rPr>
      </w:pPr>
    </w:p>
    <w:p w14:paraId="7CA168C8">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14:paraId="3CC09ADF">
      <w:pPr>
        <w:rPr>
          <w:rFonts w:hint="eastAsia" w:ascii="宋体" w:hAnsi="宋体" w:eastAsia="宋体" w:cs="宋体"/>
          <w:color w:val="auto"/>
          <w:sz w:val="28"/>
          <w:szCs w:val="28"/>
          <w:u w:val="single"/>
        </w:rPr>
      </w:pPr>
    </w:p>
    <w:p w14:paraId="75AB836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4D56DBF8">
      <w:pPr>
        <w:jc w:val="center"/>
        <w:rPr>
          <w:rFonts w:hint="eastAsia" w:ascii="宋体" w:hAnsi="宋体" w:eastAsia="宋体" w:cs="宋体"/>
          <w:sz w:val="28"/>
          <w:szCs w:val="28"/>
        </w:rPr>
      </w:pPr>
    </w:p>
    <w:p w14:paraId="71B8CA3E">
      <w:pPr>
        <w:jc w:val="both"/>
        <w:rPr>
          <w:rFonts w:hint="eastAsia" w:ascii="宋体" w:hAnsi="宋体" w:eastAsia="宋体" w:cs="宋体"/>
          <w:sz w:val="28"/>
          <w:szCs w:val="28"/>
          <w:highlight w:val="none"/>
        </w:rPr>
      </w:pPr>
    </w:p>
    <w:p w14:paraId="1B50F564">
      <w:pPr>
        <w:rPr>
          <w:rFonts w:hint="eastAsia" w:ascii="宋体" w:hAnsi="宋体" w:eastAsia="宋体" w:cs="宋体"/>
          <w:sz w:val="28"/>
          <w:szCs w:val="28"/>
          <w:highlight w:val="none"/>
        </w:rPr>
      </w:pPr>
    </w:p>
    <w:p w14:paraId="38FC6EC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FFDBAF3">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0414F2A7">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03"/>
        <w:gridCol w:w="924"/>
      </w:tblGrid>
      <w:tr w14:paraId="7FFB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98ECC03">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303" w:type="dxa"/>
            <w:vAlign w:val="center"/>
          </w:tcPr>
          <w:p w14:paraId="2796A532">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924" w:type="dxa"/>
            <w:vAlign w:val="center"/>
          </w:tcPr>
          <w:p w14:paraId="63200A8A">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199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8C0715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303" w:type="dxa"/>
            <w:vAlign w:val="center"/>
          </w:tcPr>
          <w:p w14:paraId="244B0BBC">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924" w:type="dxa"/>
            <w:vAlign w:val="center"/>
          </w:tcPr>
          <w:p w14:paraId="4C7B41E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3B9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2AAF9C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303" w:type="dxa"/>
            <w:vAlign w:val="center"/>
          </w:tcPr>
          <w:p w14:paraId="7A8604D3">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924" w:type="dxa"/>
            <w:vAlign w:val="center"/>
          </w:tcPr>
          <w:p w14:paraId="3F85411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1F36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7CB22F4">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14:paraId="30FE6F36">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924" w:type="dxa"/>
            <w:vAlign w:val="center"/>
          </w:tcPr>
          <w:p w14:paraId="0BDB5D37">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附件三</w:t>
            </w:r>
          </w:p>
        </w:tc>
      </w:tr>
      <w:tr w14:paraId="65A2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E5F8EE">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（1）</w:t>
            </w:r>
          </w:p>
        </w:tc>
        <w:tc>
          <w:tcPr>
            <w:tcW w:w="7303" w:type="dxa"/>
            <w:vAlign w:val="center"/>
          </w:tcPr>
          <w:p w14:paraId="282C6F65">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法定代表人（负责人）授权书（授权代表参加投标时提供）</w:t>
            </w:r>
          </w:p>
        </w:tc>
        <w:tc>
          <w:tcPr>
            <w:tcW w:w="924" w:type="dxa"/>
            <w:vAlign w:val="center"/>
          </w:tcPr>
          <w:p w14:paraId="0B00DD3C">
            <w:pPr>
              <w:jc w:val="center"/>
              <w:rPr>
                <w:rFonts w:hint="eastAsia" w:ascii="宋体" w:hAnsi="宋体" w:eastAsia="宋体" w:cs="宋体"/>
                <w:sz w:val="18"/>
                <w:szCs w:val="18"/>
                <w:highlight w:val="none"/>
                <w:u w:val="single"/>
              </w:rPr>
            </w:pPr>
          </w:p>
        </w:tc>
      </w:tr>
      <w:tr w14:paraId="506A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E4AEF73">
            <w:pPr>
              <w:jc w:val="center"/>
              <w:rPr>
                <w:rFonts w:hint="eastAsia" w:ascii="宋体" w:hAnsi="宋体" w:eastAsia="宋体" w:cs="宋体"/>
                <w:sz w:val="18"/>
                <w:szCs w:val="18"/>
                <w:highlight w:val="none"/>
                <w:u w:val="single"/>
              </w:rPr>
            </w:pPr>
          </w:p>
        </w:tc>
        <w:tc>
          <w:tcPr>
            <w:tcW w:w="7303" w:type="dxa"/>
            <w:vAlign w:val="center"/>
          </w:tcPr>
          <w:p w14:paraId="6FA5223A">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法定代表人（负责人）资格证明书</w:t>
            </w:r>
          </w:p>
        </w:tc>
        <w:tc>
          <w:tcPr>
            <w:tcW w:w="924" w:type="dxa"/>
            <w:vAlign w:val="center"/>
          </w:tcPr>
          <w:p w14:paraId="4D174CCB">
            <w:pPr>
              <w:jc w:val="center"/>
              <w:rPr>
                <w:rFonts w:hint="eastAsia" w:ascii="宋体" w:hAnsi="宋体" w:eastAsia="宋体" w:cs="宋体"/>
                <w:sz w:val="18"/>
                <w:szCs w:val="18"/>
                <w:highlight w:val="none"/>
                <w:u w:val="single"/>
              </w:rPr>
            </w:pPr>
          </w:p>
        </w:tc>
      </w:tr>
      <w:tr w14:paraId="37D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DAFD8BB">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（2）</w:t>
            </w:r>
          </w:p>
        </w:tc>
        <w:tc>
          <w:tcPr>
            <w:tcW w:w="7303" w:type="dxa"/>
            <w:vAlign w:val="center"/>
          </w:tcPr>
          <w:p w14:paraId="3515D69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p w14:paraId="58AD500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tc>
        <w:tc>
          <w:tcPr>
            <w:tcW w:w="924" w:type="dxa"/>
            <w:vAlign w:val="center"/>
          </w:tcPr>
          <w:p w14:paraId="119CD44C">
            <w:pPr>
              <w:jc w:val="center"/>
              <w:rPr>
                <w:rFonts w:hint="eastAsia" w:ascii="宋体" w:hAnsi="宋体" w:eastAsia="宋体" w:cs="宋体"/>
                <w:sz w:val="18"/>
                <w:szCs w:val="18"/>
                <w:highlight w:val="none"/>
                <w:u w:val="single"/>
              </w:rPr>
            </w:pPr>
          </w:p>
        </w:tc>
      </w:tr>
      <w:tr w14:paraId="7A33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E29AB5B">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（3）</w:t>
            </w:r>
          </w:p>
        </w:tc>
        <w:tc>
          <w:tcPr>
            <w:tcW w:w="7303" w:type="dxa"/>
            <w:vAlign w:val="center"/>
          </w:tcPr>
          <w:p w14:paraId="3898F834">
            <w:pPr>
              <w:widowControl/>
              <w:spacing w:line="280" w:lineRule="exact"/>
              <w:jc w:val="left"/>
              <w:rPr>
                <w:rFonts w:hint="eastAsia" w:ascii="宋体" w:hAnsi="宋体" w:eastAsia="宋体" w:cs="宋体"/>
                <w:bCs w:val="0"/>
                <w:strike w:val="0"/>
                <w:dstrike w:val="0"/>
                <w:kern w:val="2"/>
                <w:sz w:val="18"/>
                <w:szCs w:val="18"/>
                <w:highlight w:val="none"/>
                <w:u w:val="single"/>
                <w:lang w:val="en-US" w:eastAsia="zh-CN"/>
              </w:rPr>
            </w:pPr>
            <w:r>
              <w:rPr>
                <w:rFonts w:hint="eastAsia" w:ascii="宋体" w:hAnsi="宋体" w:eastAsia="宋体" w:cs="宋体"/>
                <w:strike w:val="0"/>
                <w:dstrike w:val="0"/>
                <w:sz w:val="18"/>
                <w:szCs w:val="18"/>
                <w:highlight w:val="none"/>
                <w:u w:val="single"/>
                <w:lang w:eastAsia="zh-CN"/>
              </w:rPr>
              <w:t>行业监管部门认定的债券承销业务资格的证明文件</w:t>
            </w:r>
            <w:r>
              <w:rPr>
                <w:rFonts w:hint="eastAsia" w:ascii="宋体" w:hAnsi="宋体" w:eastAsia="宋体" w:cs="宋体"/>
                <w:bCs w:val="0"/>
                <w:strike w:val="0"/>
                <w:dstrike w:val="0"/>
                <w:kern w:val="2"/>
                <w:sz w:val="18"/>
                <w:szCs w:val="18"/>
                <w:highlight w:val="none"/>
                <w:u w:val="single"/>
                <w:lang w:val="en-US" w:eastAsia="zh-CN"/>
              </w:rPr>
              <w:t>（复印件加盖单位公章）</w:t>
            </w:r>
          </w:p>
          <w:p w14:paraId="38E9CAC3">
            <w:pPr>
              <w:widowControl/>
              <w:spacing w:line="280" w:lineRule="exact"/>
              <w:jc w:val="left"/>
              <w:rPr>
                <w:rFonts w:hint="eastAsia" w:ascii="宋体" w:hAnsi="宋体" w:eastAsia="宋体" w:cs="宋体"/>
                <w:bCs w:val="0"/>
                <w:strike w:val="0"/>
                <w:dstrike w:val="0"/>
                <w:kern w:val="2"/>
                <w:sz w:val="18"/>
                <w:szCs w:val="18"/>
                <w:highlight w:val="none"/>
                <w:u w:val="single"/>
                <w:lang w:val="en-US" w:eastAsia="zh-CN"/>
              </w:rPr>
            </w:pPr>
            <w:r>
              <w:rPr>
                <w:rFonts w:hint="eastAsia" w:ascii="宋体" w:hAnsi="宋体" w:eastAsia="宋体" w:cs="宋体"/>
                <w:bCs w:val="0"/>
                <w:strike w:val="0"/>
                <w:dstrike w:val="0"/>
                <w:kern w:val="2"/>
                <w:sz w:val="18"/>
                <w:szCs w:val="18"/>
                <w:highlight w:val="none"/>
                <w:u w:val="single"/>
                <w:lang w:val="en-US" w:eastAsia="zh-CN"/>
              </w:rPr>
              <w:t>如投标人为全国性企业所设立的区域性分支机构的，则提交总公司的相关债券承销业务的资格证明文件复印件加盖单位公章，同时提供总公司（总机构）授权文件或提供省级机构（一级机构）授权文件。</w:t>
            </w:r>
          </w:p>
        </w:tc>
        <w:tc>
          <w:tcPr>
            <w:tcW w:w="924" w:type="dxa"/>
            <w:vAlign w:val="center"/>
          </w:tcPr>
          <w:p w14:paraId="30CC6CB9">
            <w:pPr>
              <w:jc w:val="center"/>
              <w:rPr>
                <w:rFonts w:hint="eastAsia" w:ascii="宋体" w:hAnsi="宋体" w:eastAsia="宋体" w:cs="宋体"/>
                <w:sz w:val="18"/>
                <w:szCs w:val="18"/>
                <w:highlight w:val="none"/>
                <w:u w:val="single"/>
              </w:rPr>
            </w:pPr>
          </w:p>
        </w:tc>
      </w:tr>
      <w:tr w14:paraId="7BBC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D4E05D">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（4）</w:t>
            </w:r>
          </w:p>
        </w:tc>
        <w:tc>
          <w:tcPr>
            <w:tcW w:w="7303" w:type="dxa"/>
            <w:vAlign w:val="center"/>
          </w:tcPr>
          <w:p w14:paraId="79486DF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投标声明书</w:t>
            </w:r>
          </w:p>
        </w:tc>
        <w:tc>
          <w:tcPr>
            <w:tcW w:w="924" w:type="dxa"/>
            <w:vAlign w:val="center"/>
          </w:tcPr>
          <w:p w14:paraId="5BB3E25B">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附件四</w:t>
            </w:r>
          </w:p>
        </w:tc>
      </w:tr>
      <w:tr w14:paraId="4A84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8D8E09F">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a</w:t>
            </w:r>
          </w:p>
        </w:tc>
        <w:tc>
          <w:tcPr>
            <w:tcW w:w="7303" w:type="dxa"/>
            <w:vAlign w:val="center"/>
          </w:tcPr>
          <w:p w14:paraId="5FCE2CA5">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参加国企采购活动前三年内，在经营活动中没有重大违法记录。请在投标声明书中如实填写（新成立不满三年的组织机构自成立之日起算）</w:t>
            </w:r>
          </w:p>
        </w:tc>
        <w:tc>
          <w:tcPr>
            <w:tcW w:w="924" w:type="dxa"/>
            <w:vAlign w:val="center"/>
          </w:tcPr>
          <w:p w14:paraId="41BA22F4">
            <w:pPr>
              <w:jc w:val="center"/>
              <w:rPr>
                <w:rFonts w:hint="eastAsia" w:ascii="宋体" w:hAnsi="宋体" w:eastAsia="宋体" w:cs="宋体"/>
                <w:sz w:val="18"/>
                <w:szCs w:val="18"/>
                <w:highlight w:val="none"/>
                <w:u w:val="single"/>
              </w:rPr>
            </w:pPr>
          </w:p>
        </w:tc>
      </w:tr>
      <w:tr w14:paraId="293B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E9B1FB3">
            <w:pPr>
              <w:jc w:val="center"/>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b</w:t>
            </w:r>
          </w:p>
        </w:tc>
        <w:tc>
          <w:tcPr>
            <w:tcW w:w="7303" w:type="dxa"/>
            <w:vAlign w:val="center"/>
          </w:tcPr>
          <w:p w14:paraId="6246C58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924" w:type="dxa"/>
            <w:vAlign w:val="center"/>
          </w:tcPr>
          <w:p w14:paraId="5E750362">
            <w:pPr>
              <w:jc w:val="center"/>
              <w:rPr>
                <w:rFonts w:hint="eastAsia" w:ascii="宋体" w:hAnsi="宋体" w:eastAsia="宋体" w:cs="宋体"/>
                <w:sz w:val="18"/>
                <w:szCs w:val="18"/>
                <w:highlight w:val="none"/>
                <w:u w:val="single"/>
              </w:rPr>
            </w:pPr>
          </w:p>
        </w:tc>
      </w:tr>
      <w:tr w14:paraId="7807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E6AB9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7303" w:type="dxa"/>
            <w:vAlign w:val="center"/>
          </w:tcPr>
          <w:p w14:paraId="3944F682">
            <w:pPr>
              <w:rPr>
                <w:rFonts w:hint="eastAsia" w:ascii="宋体" w:hAnsi="宋体" w:eastAsia="宋体" w:cs="宋体"/>
                <w:sz w:val="18"/>
                <w:szCs w:val="18"/>
                <w:highlight w:val="none"/>
              </w:rPr>
            </w:pPr>
            <w:r>
              <w:rPr>
                <w:rFonts w:hint="eastAsia" w:ascii="宋体" w:hAnsi="宋体" w:eastAsia="宋体" w:cs="宋体"/>
                <w:sz w:val="18"/>
                <w:szCs w:val="18"/>
                <w:highlight w:val="none"/>
              </w:rPr>
              <w:t>拟投入本项目的服务团队人员配置表</w:t>
            </w:r>
          </w:p>
        </w:tc>
        <w:tc>
          <w:tcPr>
            <w:tcW w:w="924" w:type="dxa"/>
            <w:shd w:val="clear" w:color="auto" w:fill="auto"/>
            <w:vAlign w:val="center"/>
          </w:tcPr>
          <w:p w14:paraId="2FFB60B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附件五</w:t>
            </w:r>
          </w:p>
        </w:tc>
      </w:tr>
      <w:tr w14:paraId="7C51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0DB1E1F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5</w:t>
            </w:r>
          </w:p>
        </w:tc>
        <w:tc>
          <w:tcPr>
            <w:tcW w:w="7303" w:type="dxa"/>
            <w:shd w:val="clear" w:color="auto" w:fill="auto"/>
            <w:vAlign w:val="center"/>
          </w:tcPr>
          <w:p w14:paraId="1141F519">
            <w:pP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中标年承销费率承诺函</w:t>
            </w:r>
          </w:p>
        </w:tc>
        <w:tc>
          <w:tcPr>
            <w:tcW w:w="924" w:type="dxa"/>
            <w:shd w:val="clear" w:color="auto" w:fill="auto"/>
            <w:vAlign w:val="center"/>
          </w:tcPr>
          <w:p w14:paraId="2044AFF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14:paraId="0553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731294DD">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7303" w:type="dxa"/>
            <w:vAlign w:val="center"/>
          </w:tcPr>
          <w:p w14:paraId="706E0983">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包销承诺函</w:t>
            </w:r>
          </w:p>
        </w:tc>
        <w:tc>
          <w:tcPr>
            <w:tcW w:w="924" w:type="dxa"/>
            <w:vAlign w:val="center"/>
          </w:tcPr>
          <w:p w14:paraId="5CC5A46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附件七</w:t>
            </w:r>
          </w:p>
        </w:tc>
      </w:tr>
      <w:tr w14:paraId="17F3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shd w:val="clear" w:color="auto" w:fill="auto"/>
            <w:vAlign w:val="center"/>
          </w:tcPr>
          <w:p w14:paraId="3F98DDE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303" w:type="dxa"/>
            <w:vAlign w:val="center"/>
          </w:tcPr>
          <w:p w14:paraId="630AED14">
            <w:pPr>
              <w:rPr>
                <w:rFonts w:hint="eastAsia" w:ascii="宋体" w:hAnsi="宋体" w:eastAsia="宋体" w:cs="宋体"/>
                <w:sz w:val="18"/>
                <w:szCs w:val="18"/>
                <w:highlight w:val="none"/>
              </w:rPr>
            </w:pPr>
            <w:r>
              <w:rPr>
                <w:rFonts w:hint="eastAsia" w:ascii="宋体" w:hAnsi="宋体" w:eastAsia="宋体" w:cs="宋体"/>
                <w:sz w:val="18"/>
                <w:szCs w:val="18"/>
                <w:highlight w:val="none"/>
              </w:rPr>
              <w:t>根据采购文件中的采购内容及要求以及技术资信评分项目逐项编制，需编制目录索引，注明评分细则项目所在投标文件页码。）</w:t>
            </w:r>
          </w:p>
          <w:p w14:paraId="3B17AAF4">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本文件《第三部分  附件》附件中未提供格式的，可自行拟定格式，否则视为未提供。</w:t>
            </w:r>
          </w:p>
        </w:tc>
        <w:tc>
          <w:tcPr>
            <w:tcW w:w="924" w:type="dxa"/>
            <w:vAlign w:val="center"/>
          </w:tcPr>
          <w:p w14:paraId="4C72730C">
            <w:pPr>
              <w:jc w:val="center"/>
              <w:rPr>
                <w:rFonts w:hint="eastAsia" w:ascii="宋体" w:hAnsi="宋体" w:eastAsia="宋体" w:cs="宋体"/>
                <w:kern w:val="2"/>
                <w:sz w:val="18"/>
                <w:szCs w:val="18"/>
                <w:highlight w:val="none"/>
                <w:lang w:val="en-US" w:eastAsia="zh-CN" w:bidi="ar-SA"/>
              </w:rPr>
            </w:pPr>
          </w:p>
        </w:tc>
      </w:tr>
      <w:tr w14:paraId="6FF8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771FAC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8</w:t>
            </w:r>
          </w:p>
        </w:tc>
        <w:tc>
          <w:tcPr>
            <w:tcW w:w="0" w:type="auto"/>
            <w:vAlign w:val="center"/>
          </w:tcPr>
          <w:p w14:paraId="6D9AA4DC">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投标人公司简介以及认为需要提供的其他相关资料</w:t>
            </w:r>
          </w:p>
        </w:tc>
        <w:tc>
          <w:tcPr>
            <w:tcW w:w="0" w:type="auto"/>
            <w:vAlign w:val="center"/>
          </w:tcPr>
          <w:p w14:paraId="52942BAF">
            <w:pPr>
              <w:jc w:val="center"/>
              <w:rPr>
                <w:rFonts w:hint="eastAsia" w:ascii="宋体" w:hAnsi="宋体" w:eastAsia="宋体" w:cs="宋体"/>
                <w:kern w:val="2"/>
                <w:sz w:val="18"/>
                <w:szCs w:val="18"/>
                <w:highlight w:val="none"/>
                <w:lang w:val="en-US" w:eastAsia="zh-CN" w:bidi="ar-SA"/>
              </w:rPr>
            </w:pPr>
          </w:p>
        </w:tc>
      </w:tr>
    </w:tbl>
    <w:p w14:paraId="47A1FCF9">
      <w:pPr>
        <w:jc w:val="left"/>
        <w:rPr>
          <w:rFonts w:hint="eastAsia" w:ascii="宋体" w:hAnsi="宋体" w:eastAsia="宋体" w:cs="宋体"/>
          <w:snapToGrid w:val="0"/>
          <w:sz w:val="32"/>
          <w:szCs w:val="20"/>
          <w:highlight w:val="none"/>
        </w:rPr>
      </w:pPr>
    </w:p>
    <w:p w14:paraId="51B0BE27">
      <w:pPr>
        <w:rPr>
          <w:rFonts w:hint="eastAsia" w:ascii="宋体" w:hAnsi="宋体" w:eastAsia="宋体" w:cs="宋体"/>
          <w:b/>
          <w:bCs/>
          <w:sz w:val="30"/>
          <w:szCs w:val="30"/>
          <w:highlight w:val="none"/>
        </w:rPr>
      </w:pPr>
    </w:p>
    <w:p w14:paraId="007825D5">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4239E101">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747517E8">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40AB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3E2E5CEF">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6E7B70A4">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53060BE0">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4DE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09E691F">
            <w:pPr>
              <w:spacing w:line="420" w:lineRule="exact"/>
              <w:jc w:val="center"/>
              <w:rPr>
                <w:rFonts w:hint="eastAsia" w:ascii="宋体" w:hAnsi="宋体" w:eastAsia="宋体" w:cs="宋体"/>
                <w:sz w:val="18"/>
                <w:szCs w:val="18"/>
                <w:highlight w:val="none"/>
              </w:rPr>
            </w:pPr>
          </w:p>
        </w:tc>
        <w:tc>
          <w:tcPr>
            <w:tcW w:w="5144" w:type="dxa"/>
            <w:vAlign w:val="center"/>
          </w:tcPr>
          <w:p w14:paraId="7D4D6AF2">
            <w:pPr>
              <w:spacing w:line="420" w:lineRule="exact"/>
              <w:jc w:val="center"/>
              <w:rPr>
                <w:rFonts w:hint="eastAsia" w:ascii="宋体" w:hAnsi="宋体" w:eastAsia="宋体" w:cs="宋体"/>
                <w:sz w:val="18"/>
                <w:szCs w:val="18"/>
                <w:highlight w:val="none"/>
              </w:rPr>
            </w:pPr>
          </w:p>
        </w:tc>
        <w:tc>
          <w:tcPr>
            <w:tcW w:w="2690" w:type="dxa"/>
            <w:vAlign w:val="center"/>
          </w:tcPr>
          <w:p w14:paraId="7B733A6E">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7F76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E0AD3DE">
            <w:pPr>
              <w:spacing w:line="420" w:lineRule="exact"/>
              <w:jc w:val="center"/>
              <w:rPr>
                <w:rFonts w:hint="eastAsia" w:ascii="宋体" w:hAnsi="宋体" w:eastAsia="宋体" w:cs="宋体"/>
                <w:sz w:val="18"/>
                <w:szCs w:val="18"/>
                <w:highlight w:val="none"/>
              </w:rPr>
            </w:pPr>
          </w:p>
        </w:tc>
        <w:tc>
          <w:tcPr>
            <w:tcW w:w="5144" w:type="dxa"/>
            <w:vAlign w:val="center"/>
          </w:tcPr>
          <w:p w14:paraId="6B44638F">
            <w:pPr>
              <w:spacing w:line="420" w:lineRule="exact"/>
              <w:jc w:val="center"/>
              <w:rPr>
                <w:rFonts w:hint="eastAsia" w:ascii="宋体" w:hAnsi="宋体" w:eastAsia="宋体" w:cs="宋体"/>
                <w:sz w:val="18"/>
                <w:szCs w:val="18"/>
                <w:highlight w:val="none"/>
              </w:rPr>
            </w:pPr>
          </w:p>
        </w:tc>
        <w:tc>
          <w:tcPr>
            <w:tcW w:w="2690" w:type="dxa"/>
            <w:vAlign w:val="center"/>
          </w:tcPr>
          <w:p w14:paraId="725708C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0DB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14DA55DA">
            <w:pPr>
              <w:spacing w:line="420" w:lineRule="exact"/>
              <w:jc w:val="center"/>
              <w:rPr>
                <w:rFonts w:hint="eastAsia" w:ascii="宋体" w:hAnsi="宋体" w:eastAsia="宋体" w:cs="宋体"/>
                <w:sz w:val="18"/>
                <w:szCs w:val="18"/>
                <w:highlight w:val="none"/>
              </w:rPr>
            </w:pPr>
          </w:p>
        </w:tc>
        <w:tc>
          <w:tcPr>
            <w:tcW w:w="5144" w:type="dxa"/>
            <w:vAlign w:val="center"/>
          </w:tcPr>
          <w:p w14:paraId="4AF47043">
            <w:pPr>
              <w:spacing w:line="420" w:lineRule="exact"/>
              <w:jc w:val="center"/>
              <w:rPr>
                <w:rFonts w:hint="eastAsia" w:ascii="宋体" w:hAnsi="宋体" w:eastAsia="宋体" w:cs="宋体"/>
                <w:sz w:val="18"/>
                <w:szCs w:val="18"/>
                <w:highlight w:val="none"/>
              </w:rPr>
            </w:pPr>
          </w:p>
        </w:tc>
        <w:tc>
          <w:tcPr>
            <w:tcW w:w="2690" w:type="dxa"/>
            <w:vAlign w:val="center"/>
          </w:tcPr>
          <w:p w14:paraId="74B6D55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50E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2C80633">
            <w:pPr>
              <w:spacing w:line="420" w:lineRule="exact"/>
              <w:jc w:val="center"/>
              <w:rPr>
                <w:rFonts w:hint="eastAsia" w:ascii="宋体" w:hAnsi="宋体" w:eastAsia="宋体" w:cs="宋体"/>
                <w:sz w:val="18"/>
                <w:szCs w:val="18"/>
                <w:highlight w:val="none"/>
              </w:rPr>
            </w:pPr>
          </w:p>
        </w:tc>
        <w:tc>
          <w:tcPr>
            <w:tcW w:w="5144" w:type="dxa"/>
            <w:vAlign w:val="center"/>
          </w:tcPr>
          <w:p w14:paraId="05525F95">
            <w:pPr>
              <w:spacing w:line="420" w:lineRule="exact"/>
              <w:jc w:val="center"/>
              <w:rPr>
                <w:rFonts w:hint="eastAsia" w:ascii="宋体" w:hAnsi="宋体" w:eastAsia="宋体" w:cs="宋体"/>
                <w:sz w:val="18"/>
                <w:szCs w:val="18"/>
                <w:highlight w:val="none"/>
              </w:rPr>
            </w:pPr>
          </w:p>
        </w:tc>
        <w:tc>
          <w:tcPr>
            <w:tcW w:w="2690" w:type="dxa"/>
            <w:vAlign w:val="center"/>
          </w:tcPr>
          <w:p w14:paraId="1C6D0DF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0DCC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B3FCA6C">
            <w:pPr>
              <w:spacing w:line="420" w:lineRule="exact"/>
              <w:jc w:val="center"/>
              <w:rPr>
                <w:rFonts w:hint="eastAsia" w:ascii="宋体" w:hAnsi="宋体" w:eastAsia="宋体" w:cs="宋体"/>
                <w:sz w:val="18"/>
                <w:szCs w:val="18"/>
                <w:highlight w:val="none"/>
              </w:rPr>
            </w:pPr>
          </w:p>
        </w:tc>
        <w:tc>
          <w:tcPr>
            <w:tcW w:w="5144" w:type="dxa"/>
            <w:vAlign w:val="center"/>
          </w:tcPr>
          <w:p w14:paraId="297C8FD3">
            <w:pPr>
              <w:spacing w:line="420" w:lineRule="exact"/>
              <w:jc w:val="center"/>
              <w:rPr>
                <w:rFonts w:hint="eastAsia" w:ascii="宋体" w:hAnsi="宋体" w:eastAsia="宋体" w:cs="宋体"/>
                <w:sz w:val="18"/>
                <w:szCs w:val="18"/>
                <w:highlight w:val="none"/>
              </w:rPr>
            </w:pPr>
          </w:p>
        </w:tc>
        <w:tc>
          <w:tcPr>
            <w:tcW w:w="2690" w:type="dxa"/>
            <w:vAlign w:val="center"/>
          </w:tcPr>
          <w:p w14:paraId="7CA23C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862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C9502D3">
            <w:pPr>
              <w:spacing w:line="420" w:lineRule="exact"/>
              <w:jc w:val="center"/>
              <w:rPr>
                <w:rFonts w:hint="eastAsia" w:ascii="宋体" w:hAnsi="宋体" w:eastAsia="宋体" w:cs="宋体"/>
                <w:sz w:val="18"/>
                <w:szCs w:val="18"/>
                <w:highlight w:val="none"/>
              </w:rPr>
            </w:pPr>
          </w:p>
        </w:tc>
        <w:tc>
          <w:tcPr>
            <w:tcW w:w="5144" w:type="dxa"/>
            <w:vAlign w:val="center"/>
          </w:tcPr>
          <w:p w14:paraId="0A20B2E2">
            <w:pPr>
              <w:spacing w:line="420" w:lineRule="exact"/>
              <w:jc w:val="center"/>
              <w:rPr>
                <w:rFonts w:hint="eastAsia" w:ascii="宋体" w:hAnsi="宋体" w:eastAsia="宋体" w:cs="宋体"/>
                <w:sz w:val="18"/>
                <w:szCs w:val="18"/>
                <w:highlight w:val="none"/>
              </w:rPr>
            </w:pPr>
          </w:p>
        </w:tc>
        <w:tc>
          <w:tcPr>
            <w:tcW w:w="2690" w:type="dxa"/>
            <w:vAlign w:val="center"/>
          </w:tcPr>
          <w:p w14:paraId="5E31408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9F9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AEA7969">
            <w:pPr>
              <w:spacing w:line="420" w:lineRule="exact"/>
              <w:jc w:val="center"/>
              <w:rPr>
                <w:rFonts w:hint="eastAsia" w:ascii="宋体" w:hAnsi="宋体" w:eastAsia="宋体" w:cs="宋体"/>
                <w:sz w:val="18"/>
                <w:szCs w:val="18"/>
                <w:highlight w:val="none"/>
              </w:rPr>
            </w:pPr>
          </w:p>
        </w:tc>
        <w:tc>
          <w:tcPr>
            <w:tcW w:w="5144" w:type="dxa"/>
            <w:vAlign w:val="center"/>
          </w:tcPr>
          <w:p w14:paraId="0F8E00BD">
            <w:pPr>
              <w:spacing w:line="420" w:lineRule="exact"/>
              <w:jc w:val="center"/>
              <w:rPr>
                <w:rFonts w:hint="eastAsia" w:ascii="宋体" w:hAnsi="宋体" w:eastAsia="宋体" w:cs="宋体"/>
                <w:sz w:val="18"/>
                <w:szCs w:val="18"/>
                <w:highlight w:val="none"/>
              </w:rPr>
            </w:pPr>
          </w:p>
        </w:tc>
        <w:tc>
          <w:tcPr>
            <w:tcW w:w="2690" w:type="dxa"/>
            <w:vAlign w:val="center"/>
          </w:tcPr>
          <w:p w14:paraId="2B2D509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7EF585E2">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13200430">
      <w:pPr>
        <w:pStyle w:val="58"/>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建议此表放在技术资信标封面后第一页，方便评委打分时可以快速查阅到与评分项有关的内容。</w:t>
      </w:r>
    </w:p>
    <w:p w14:paraId="3E796FF6">
      <w:pPr>
        <w:pStyle w:val="58"/>
        <w:numPr>
          <w:ilvl w:val="0"/>
          <w:numId w:val="22"/>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技术资信评分项中要求提供的技术参数投标人需做清晰标识，格式可自拟。</w:t>
      </w:r>
    </w:p>
    <w:p w14:paraId="5CA21237">
      <w:pPr>
        <w:pStyle w:val="2"/>
        <w:ind w:firstLine="210"/>
        <w:rPr>
          <w:rFonts w:hint="eastAsia" w:ascii="宋体" w:hAnsi="宋体" w:eastAsia="宋体" w:cs="宋体"/>
          <w:highlight w:val="none"/>
        </w:rPr>
      </w:pPr>
    </w:p>
    <w:p w14:paraId="3C4BA3E6">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41F8912F">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5D999B4B">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14:paraId="2F604087">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浙江国际招投标有限公司：</w:t>
      </w:r>
    </w:p>
    <w:p w14:paraId="613C346F">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（项目名称）       </w:t>
      </w:r>
      <w:r>
        <w:rPr>
          <w:rFonts w:hint="eastAsia" w:ascii="宋体" w:hAnsi="宋体" w:eastAsia="宋体" w:cs="宋体"/>
          <w:sz w:val="22"/>
          <w:highlight w:val="none"/>
        </w:rPr>
        <w:t>项目（</w:t>
      </w:r>
      <w:r>
        <w:rPr>
          <w:rFonts w:hint="eastAsia" w:ascii="宋体" w:hAnsi="宋体" w:eastAsia="宋体" w:cs="宋体"/>
          <w:sz w:val="22"/>
          <w:highlight w:val="none"/>
          <w:lang w:val="en-US" w:eastAsia="zh-CN"/>
        </w:rPr>
        <w:t>项目</w:t>
      </w:r>
      <w:r>
        <w:rPr>
          <w:rFonts w:hint="eastAsia" w:ascii="宋体" w:hAnsi="宋体" w:eastAsia="宋体" w:cs="宋体"/>
          <w:sz w:val="22"/>
          <w:highlight w:val="none"/>
        </w:rPr>
        <w:t>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（投标人名称）作为投标人正式授权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63C3835C">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00077989">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（—）按“投标人须知”要求编制的投标文件技术标【正本一份，副本六份】；</w:t>
      </w:r>
    </w:p>
    <w:p w14:paraId="70A651B5">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（二）按“投标人须知”要求编制的投标文件商务（报价）标【正本一份，副本六份】</w:t>
      </w:r>
    </w:p>
    <w:p w14:paraId="6F2E0457">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0BC88AE3">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77CD88DD">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0CEA9439">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（三）我方明白并同意在规定的开标时间之后，如我方出现投标人须知第三条第13.4款规定的情况之一的，我方投标保证金将不予退还；</w:t>
      </w:r>
    </w:p>
    <w:p w14:paraId="01AB1EF2">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（四）我方同意提供按照贵方可能要求的与投标有关的一切数据或资料；</w:t>
      </w:r>
    </w:p>
    <w:p w14:paraId="0228B253">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（五）我方理解贵方不一定接受最低报价。</w:t>
      </w:r>
    </w:p>
    <w:p w14:paraId="376ECB9D">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（六）我方如果中标，将保证履行采购文件以及采购文件修改书（如有）中的全部责任和义务，按质、按量、按期完成《合同书》中的全部任务。</w:t>
      </w:r>
    </w:p>
    <w:p w14:paraId="45B8D083">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（七）所有与本投标有关的函件请发往下列地址：</w:t>
      </w:r>
    </w:p>
    <w:p w14:paraId="72BEC536">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524BAEEF">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41A515EE">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6FA4FB50">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613F5076">
      <w:pPr>
        <w:spacing w:line="360" w:lineRule="auto"/>
        <w:rPr>
          <w:rFonts w:hint="eastAsia" w:ascii="宋体" w:hAnsi="宋体" w:eastAsia="宋体" w:cs="宋体"/>
          <w:bCs/>
          <w:sz w:val="22"/>
          <w:highlight w:val="none"/>
        </w:rPr>
      </w:pPr>
    </w:p>
    <w:p w14:paraId="6E597882">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6AA5490B">
      <w:pPr>
        <w:spacing w:line="360" w:lineRule="auto"/>
        <w:rPr>
          <w:rFonts w:hint="eastAsia" w:ascii="宋体" w:hAnsi="宋体" w:eastAsia="宋体" w:cs="宋体"/>
          <w:bCs/>
          <w:sz w:val="22"/>
          <w:highlight w:val="none"/>
        </w:rPr>
      </w:pPr>
      <w:r>
        <w:rPr>
          <w:rFonts w:hint="eastAsia" w:ascii="宋体" w:hAnsi="宋体" w:eastAsia="宋体" w:cs="宋体"/>
          <w:sz w:val="22"/>
          <w:highlight w:val="none"/>
        </w:rPr>
        <w:t>法定代表人（负责人）或授权代表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2A866C18">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1EA5072A">
      <w:pPr>
        <w:spacing w:line="380" w:lineRule="exact"/>
        <w:rPr>
          <w:rFonts w:hint="eastAsia" w:ascii="宋体" w:hAnsi="宋体" w:eastAsia="宋体" w:cs="宋体"/>
          <w:bCs/>
          <w:sz w:val="22"/>
          <w:highlight w:val="none"/>
        </w:rPr>
      </w:pPr>
    </w:p>
    <w:p w14:paraId="69E15050">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416B06A5">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B09081E">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54B501DC">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65DB8EA8">
      <w:pPr>
        <w:spacing w:line="380" w:lineRule="exact"/>
        <w:rPr>
          <w:rFonts w:hint="eastAsia" w:ascii="宋体" w:hAnsi="宋体" w:eastAsia="宋体" w:cs="宋体"/>
          <w:b/>
          <w:bCs/>
          <w:sz w:val="22"/>
          <w:highlight w:val="none"/>
          <w:lang w:eastAsia="zh-CN"/>
        </w:rPr>
      </w:pPr>
    </w:p>
    <w:p w14:paraId="0B578CA1">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lang w:eastAsia="zh-CN"/>
        </w:rPr>
        <w:t>项目</w:t>
      </w:r>
      <w:r>
        <w:rPr>
          <w:rFonts w:hint="eastAsia" w:ascii="宋体" w:hAnsi="宋体" w:eastAsia="宋体" w:cs="宋体"/>
          <w:b/>
          <w:bCs/>
          <w:sz w:val="22"/>
          <w:highlight w:val="none"/>
        </w:rPr>
        <w:t xml:space="preserve">名称：                          </w:t>
      </w:r>
      <w:r>
        <w:rPr>
          <w:rFonts w:hint="eastAsia" w:ascii="宋体" w:hAnsi="宋体" w:eastAsia="宋体" w:cs="宋体"/>
          <w:b/>
          <w:bCs/>
          <w:sz w:val="22"/>
          <w:highlight w:val="none"/>
          <w:lang w:eastAsia="zh-CN"/>
        </w:rPr>
        <w:t>项目</w:t>
      </w:r>
      <w:r>
        <w:rPr>
          <w:rFonts w:hint="eastAsia" w:ascii="宋体" w:hAnsi="宋体" w:eastAsia="宋体" w:cs="宋体"/>
          <w:b/>
          <w:bCs/>
          <w:sz w:val="22"/>
          <w:highlight w:val="none"/>
        </w:rPr>
        <w:t xml:space="preserve">编号：                  </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210"/>
        <w:gridCol w:w="2337"/>
        <w:gridCol w:w="1147"/>
      </w:tblGrid>
      <w:tr w14:paraId="0DFFB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5B5B207B">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15085B81">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47" w:type="dxa"/>
            <w:gridSpan w:val="2"/>
            <w:vAlign w:val="center"/>
          </w:tcPr>
          <w:p w14:paraId="69DF7E2D">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1E0277E2">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7C2A0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62D58959">
            <w:pPr>
              <w:jc w:val="center"/>
              <w:rPr>
                <w:rFonts w:hint="eastAsia" w:ascii="宋体" w:hAnsi="宋体" w:eastAsia="宋体" w:cs="宋体"/>
                <w:sz w:val="22"/>
                <w:highlight w:val="none"/>
              </w:rPr>
            </w:pPr>
          </w:p>
        </w:tc>
        <w:tc>
          <w:tcPr>
            <w:tcW w:w="1115" w:type="dxa"/>
            <w:vAlign w:val="center"/>
          </w:tcPr>
          <w:p w14:paraId="1EFEC07A">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6E33637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vAlign w:val="center"/>
          </w:tcPr>
          <w:p w14:paraId="6A4F6A9F">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vAlign w:val="center"/>
          </w:tcPr>
          <w:p w14:paraId="52154D7D">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1E8B0779">
            <w:pPr>
              <w:autoSpaceDE w:val="0"/>
              <w:autoSpaceDN w:val="0"/>
              <w:adjustRightInd w:val="0"/>
              <w:jc w:val="center"/>
              <w:rPr>
                <w:rFonts w:hint="eastAsia" w:ascii="宋体" w:hAnsi="宋体" w:eastAsia="宋体" w:cs="宋体"/>
                <w:sz w:val="22"/>
                <w:highlight w:val="none"/>
              </w:rPr>
            </w:pPr>
          </w:p>
        </w:tc>
      </w:tr>
      <w:tr w14:paraId="7DD6B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5BEC8BFC">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200F3F84">
            <w:pPr>
              <w:jc w:val="center"/>
              <w:rPr>
                <w:rFonts w:hint="eastAsia" w:ascii="宋体" w:hAnsi="宋体" w:eastAsia="宋体" w:cs="宋体"/>
                <w:sz w:val="22"/>
                <w:highlight w:val="none"/>
              </w:rPr>
            </w:pPr>
          </w:p>
        </w:tc>
        <w:tc>
          <w:tcPr>
            <w:tcW w:w="2634" w:type="dxa"/>
            <w:vAlign w:val="center"/>
          </w:tcPr>
          <w:p w14:paraId="10DF629C">
            <w:pPr>
              <w:jc w:val="center"/>
              <w:rPr>
                <w:rFonts w:hint="eastAsia" w:ascii="宋体" w:hAnsi="宋体" w:eastAsia="宋体" w:cs="宋体"/>
                <w:sz w:val="22"/>
                <w:highlight w:val="none"/>
              </w:rPr>
            </w:pPr>
          </w:p>
        </w:tc>
        <w:tc>
          <w:tcPr>
            <w:tcW w:w="1210" w:type="dxa"/>
            <w:vAlign w:val="center"/>
          </w:tcPr>
          <w:p w14:paraId="289E31E8">
            <w:pPr>
              <w:jc w:val="center"/>
              <w:rPr>
                <w:rFonts w:hint="eastAsia" w:ascii="宋体" w:hAnsi="宋体" w:eastAsia="宋体" w:cs="宋体"/>
                <w:sz w:val="22"/>
                <w:highlight w:val="none"/>
              </w:rPr>
            </w:pPr>
          </w:p>
        </w:tc>
        <w:tc>
          <w:tcPr>
            <w:tcW w:w="2337" w:type="dxa"/>
            <w:vAlign w:val="center"/>
          </w:tcPr>
          <w:p w14:paraId="16697AEC">
            <w:pPr>
              <w:jc w:val="center"/>
              <w:rPr>
                <w:rFonts w:hint="eastAsia" w:ascii="宋体" w:hAnsi="宋体" w:eastAsia="宋体" w:cs="宋体"/>
                <w:sz w:val="22"/>
                <w:highlight w:val="none"/>
              </w:rPr>
            </w:pPr>
          </w:p>
        </w:tc>
        <w:tc>
          <w:tcPr>
            <w:tcW w:w="1147" w:type="dxa"/>
            <w:vAlign w:val="center"/>
          </w:tcPr>
          <w:p w14:paraId="47008CC0">
            <w:pPr>
              <w:jc w:val="center"/>
              <w:rPr>
                <w:rFonts w:hint="eastAsia" w:ascii="宋体" w:hAnsi="宋体" w:eastAsia="宋体" w:cs="宋体"/>
                <w:sz w:val="22"/>
                <w:highlight w:val="none"/>
              </w:rPr>
            </w:pPr>
          </w:p>
        </w:tc>
      </w:tr>
      <w:tr w14:paraId="4A0F1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077FA35">
            <w:pPr>
              <w:jc w:val="center"/>
              <w:rPr>
                <w:rFonts w:hint="eastAsia" w:ascii="宋体" w:hAnsi="宋体" w:eastAsia="宋体" w:cs="宋体"/>
                <w:sz w:val="22"/>
                <w:highlight w:val="none"/>
              </w:rPr>
            </w:pPr>
          </w:p>
        </w:tc>
        <w:tc>
          <w:tcPr>
            <w:tcW w:w="1115" w:type="dxa"/>
            <w:vAlign w:val="center"/>
          </w:tcPr>
          <w:p w14:paraId="4F0F8EA0">
            <w:pPr>
              <w:jc w:val="center"/>
              <w:rPr>
                <w:rFonts w:hint="eastAsia" w:ascii="宋体" w:hAnsi="宋体" w:eastAsia="宋体" w:cs="宋体"/>
                <w:sz w:val="22"/>
                <w:highlight w:val="none"/>
              </w:rPr>
            </w:pPr>
          </w:p>
        </w:tc>
        <w:tc>
          <w:tcPr>
            <w:tcW w:w="2634" w:type="dxa"/>
            <w:vAlign w:val="center"/>
          </w:tcPr>
          <w:p w14:paraId="3599DABA">
            <w:pPr>
              <w:jc w:val="center"/>
              <w:rPr>
                <w:rFonts w:hint="eastAsia" w:ascii="宋体" w:hAnsi="宋体" w:eastAsia="宋体" w:cs="宋体"/>
                <w:sz w:val="22"/>
                <w:highlight w:val="none"/>
              </w:rPr>
            </w:pPr>
          </w:p>
        </w:tc>
        <w:tc>
          <w:tcPr>
            <w:tcW w:w="1210" w:type="dxa"/>
            <w:vAlign w:val="center"/>
          </w:tcPr>
          <w:p w14:paraId="71FAD46E">
            <w:pPr>
              <w:jc w:val="center"/>
              <w:rPr>
                <w:rFonts w:hint="eastAsia" w:ascii="宋体" w:hAnsi="宋体" w:eastAsia="宋体" w:cs="宋体"/>
                <w:sz w:val="22"/>
                <w:highlight w:val="none"/>
              </w:rPr>
            </w:pPr>
          </w:p>
        </w:tc>
        <w:tc>
          <w:tcPr>
            <w:tcW w:w="2337" w:type="dxa"/>
            <w:vAlign w:val="center"/>
          </w:tcPr>
          <w:p w14:paraId="736F056B">
            <w:pPr>
              <w:jc w:val="center"/>
              <w:rPr>
                <w:rFonts w:hint="eastAsia" w:ascii="宋体" w:hAnsi="宋体" w:eastAsia="宋体" w:cs="宋体"/>
                <w:sz w:val="22"/>
                <w:highlight w:val="none"/>
              </w:rPr>
            </w:pPr>
          </w:p>
        </w:tc>
        <w:tc>
          <w:tcPr>
            <w:tcW w:w="1147" w:type="dxa"/>
            <w:vAlign w:val="center"/>
          </w:tcPr>
          <w:p w14:paraId="789BB177">
            <w:pPr>
              <w:jc w:val="center"/>
              <w:rPr>
                <w:rFonts w:hint="eastAsia" w:ascii="宋体" w:hAnsi="宋体" w:eastAsia="宋体" w:cs="宋体"/>
                <w:sz w:val="22"/>
                <w:highlight w:val="none"/>
              </w:rPr>
            </w:pPr>
          </w:p>
        </w:tc>
      </w:tr>
      <w:tr w14:paraId="1819C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3FA88FB">
            <w:pPr>
              <w:jc w:val="center"/>
              <w:rPr>
                <w:rFonts w:hint="eastAsia" w:ascii="宋体" w:hAnsi="宋体" w:eastAsia="宋体" w:cs="宋体"/>
                <w:sz w:val="22"/>
                <w:highlight w:val="none"/>
              </w:rPr>
            </w:pPr>
          </w:p>
        </w:tc>
        <w:tc>
          <w:tcPr>
            <w:tcW w:w="1115" w:type="dxa"/>
            <w:vAlign w:val="center"/>
          </w:tcPr>
          <w:p w14:paraId="386BC101">
            <w:pPr>
              <w:jc w:val="center"/>
              <w:rPr>
                <w:rFonts w:hint="eastAsia" w:ascii="宋体" w:hAnsi="宋体" w:eastAsia="宋体" w:cs="宋体"/>
                <w:sz w:val="22"/>
                <w:highlight w:val="none"/>
              </w:rPr>
            </w:pPr>
          </w:p>
        </w:tc>
        <w:tc>
          <w:tcPr>
            <w:tcW w:w="2634" w:type="dxa"/>
            <w:vAlign w:val="center"/>
          </w:tcPr>
          <w:p w14:paraId="3051DB63">
            <w:pPr>
              <w:jc w:val="center"/>
              <w:rPr>
                <w:rFonts w:hint="eastAsia" w:ascii="宋体" w:hAnsi="宋体" w:eastAsia="宋体" w:cs="宋体"/>
                <w:sz w:val="22"/>
                <w:highlight w:val="none"/>
              </w:rPr>
            </w:pPr>
          </w:p>
        </w:tc>
        <w:tc>
          <w:tcPr>
            <w:tcW w:w="1210" w:type="dxa"/>
            <w:vAlign w:val="center"/>
          </w:tcPr>
          <w:p w14:paraId="38D58E25">
            <w:pPr>
              <w:jc w:val="center"/>
              <w:rPr>
                <w:rFonts w:hint="eastAsia" w:ascii="宋体" w:hAnsi="宋体" w:eastAsia="宋体" w:cs="宋体"/>
                <w:sz w:val="22"/>
                <w:highlight w:val="none"/>
              </w:rPr>
            </w:pPr>
          </w:p>
        </w:tc>
        <w:tc>
          <w:tcPr>
            <w:tcW w:w="2337" w:type="dxa"/>
            <w:vAlign w:val="center"/>
          </w:tcPr>
          <w:p w14:paraId="5C1F79CA">
            <w:pPr>
              <w:jc w:val="center"/>
              <w:rPr>
                <w:rFonts w:hint="eastAsia" w:ascii="宋体" w:hAnsi="宋体" w:eastAsia="宋体" w:cs="宋体"/>
                <w:sz w:val="22"/>
                <w:highlight w:val="none"/>
              </w:rPr>
            </w:pPr>
          </w:p>
        </w:tc>
        <w:tc>
          <w:tcPr>
            <w:tcW w:w="1147" w:type="dxa"/>
            <w:vAlign w:val="center"/>
          </w:tcPr>
          <w:p w14:paraId="7732DA35">
            <w:pPr>
              <w:jc w:val="center"/>
              <w:rPr>
                <w:rFonts w:hint="eastAsia" w:ascii="宋体" w:hAnsi="宋体" w:eastAsia="宋体" w:cs="宋体"/>
                <w:sz w:val="22"/>
                <w:highlight w:val="none"/>
              </w:rPr>
            </w:pPr>
          </w:p>
        </w:tc>
      </w:tr>
      <w:tr w14:paraId="31D68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02F48EC">
            <w:pPr>
              <w:jc w:val="center"/>
              <w:rPr>
                <w:rFonts w:hint="eastAsia" w:ascii="宋体" w:hAnsi="宋体" w:eastAsia="宋体" w:cs="宋体"/>
                <w:sz w:val="22"/>
                <w:highlight w:val="none"/>
              </w:rPr>
            </w:pPr>
          </w:p>
        </w:tc>
        <w:tc>
          <w:tcPr>
            <w:tcW w:w="1115" w:type="dxa"/>
            <w:vAlign w:val="center"/>
          </w:tcPr>
          <w:p w14:paraId="06C103BD">
            <w:pPr>
              <w:jc w:val="center"/>
              <w:rPr>
                <w:rFonts w:hint="eastAsia" w:ascii="宋体" w:hAnsi="宋体" w:eastAsia="宋体" w:cs="宋体"/>
                <w:sz w:val="22"/>
                <w:highlight w:val="none"/>
              </w:rPr>
            </w:pPr>
          </w:p>
        </w:tc>
        <w:tc>
          <w:tcPr>
            <w:tcW w:w="2634" w:type="dxa"/>
            <w:vAlign w:val="center"/>
          </w:tcPr>
          <w:p w14:paraId="13F2EAAE">
            <w:pPr>
              <w:jc w:val="center"/>
              <w:rPr>
                <w:rFonts w:hint="eastAsia" w:ascii="宋体" w:hAnsi="宋体" w:eastAsia="宋体" w:cs="宋体"/>
                <w:sz w:val="22"/>
                <w:highlight w:val="none"/>
              </w:rPr>
            </w:pPr>
          </w:p>
        </w:tc>
        <w:tc>
          <w:tcPr>
            <w:tcW w:w="1210" w:type="dxa"/>
            <w:vAlign w:val="center"/>
          </w:tcPr>
          <w:p w14:paraId="0B46B5E9">
            <w:pPr>
              <w:jc w:val="center"/>
              <w:rPr>
                <w:rFonts w:hint="eastAsia" w:ascii="宋体" w:hAnsi="宋体" w:eastAsia="宋体" w:cs="宋体"/>
                <w:sz w:val="22"/>
                <w:highlight w:val="none"/>
              </w:rPr>
            </w:pPr>
          </w:p>
        </w:tc>
        <w:tc>
          <w:tcPr>
            <w:tcW w:w="2337" w:type="dxa"/>
            <w:vAlign w:val="center"/>
          </w:tcPr>
          <w:p w14:paraId="2CC4A797">
            <w:pPr>
              <w:jc w:val="center"/>
              <w:rPr>
                <w:rFonts w:hint="eastAsia" w:ascii="宋体" w:hAnsi="宋体" w:eastAsia="宋体" w:cs="宋体"/>
                <w:sz w:val="22"/>
                <w:highlight w:val="none"/>
              </w:rPr>
            </w:pPr>
          </w:p>
        </w:tc>
        <w:tc>
          <w:tcPr>
            <w:tcW w:w="1147" w:type="dxa"/>
            <w:vAlign w:val="center"/>
          </w:tcPr>
          <w:p w14:paraId="546E631C">
            <w:pPr>
              <w:jc w:val="center"/>
              <w:rPr>
                <w:rFonts w:hint="eastAsia" w:ascii="宋体" w:hAnsi="宋体" w:eastAsia="宋体" w:cs="宋体"/>
                <w:sz w:val="22"/>
                <w:highlight w:val="none"/>
              </w:rPr>
            </w:pPr>
          </w:p>
        </w:tc>
      </w:tr>
      <w:tr w14:paraId="1EB65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D9A8FCE">
            <w:pPr>
              <w:jc w:val="center"/>
              <w:rPr>
                <w:rFonts w:hint="eastAsia" w:ascii="宋体" w:hAnsi="宋体" w:eastAsia="宋体" w:cs="宋体"/>
                <w:sz w:val="22"/>
                <w:highlight w:val="none"/>
              </w:rPr>
            </w:pPr>
          </w:p>
        </w:tc>
        <w:tc>
          <w:tcPr>
            <w:tcW w:w="1115" w:type="dxa"/>
            <w:vAlign w:val="center"/>
          </w:tcPr>
          <w:p w14:paraId="06F8A19A">
            <w:pPr>
              <w:jc w:val="center"/>
              <w:rPr>
                <w:rFonts w:hint="eastAsia" w:ascii="宋体" w:hAnsi="宋体" w:eastAsia="宋体" w:cs="宋体"/>
                <w:sz w:val="22"/>
                <w:highlight w:val="none"/>
              </w:rPr>
            </w:pPr>
          </w:p>
        </w:tc>
        <w:tc>
          <w:tcPr>
            <w:tcW w:w="2634" w:type="dxa"/>
            <w:vAlign w:val="center"/>
          </w:tcPr>
          <w:p w14:paraId="3CB0DAE2">
            <w:pPr>
              <w:jc w:val="center"/>
              <w:rPr>
                <w:rFonts w:hint="eastAsia" w:ascii="宋体" w:hAnsi="宋体" w:eastAsia="宋体" w:cs="宋体"/>
                <w:sz w:val="22"/>
                <w:highlight w:val="none"/>
              </w:rPr>
            </w:pPr>
          </w:p>
        </w:tc>
        <w:tc>
          <w:tcPr>
            <w:tcW w:w="1210" w:type="dxa"/>
            <w:vAlign w:val="center"/>
          </w:tcPr>
          <w:p w14:paraId="1228E430">
            <w:pPr>
              <w:jc w:val="center"/>
              <w:rPr>
                <w:rFonts w:hint="eastAsia" w:ascii="宋体" w:hAnsi="宋体" w:eastAsia="宋体" w:cs="宋体"/>
                <w:sz w:val="22"/>
                <w:highlight w:val="none"/>
              </w:rPr>
            </w:pPr>
          </w:p>
        </w:tc>
        <w:tc>
          <w:tcPr>
            <w:tcW w:w="2337" w:type="dxa"/>
            <w:vAlign w:val="center"/>
          </w:tcPr>
          <w:p w14:paraId="000A69F0">
            <w:pPr>
              <w:jc w:val="center"/>
              <w:rPr>
                <w:rFonts w:hint="eastAsia" w:ascii="宋体" w:hAnsi="宋体" w:eastAsia="宋体" w:cs="宋体"/>
                <w:sz w:val="22"/>
                <w:highlight w:val="none"/>
              </w:rPr>
            </w:pPr>
          </w:p>
        </w:tc>
        <w:tc>
          <w:tcPr>
            <w:tcW w:w="1147" w:type="dxa"/>
            <w:vAlign w:val="center"/>
          </w:tcPr>
          <w:p w14:paraId="57BE8784">
            <w:pPr>
              <w:jc w:val="center"/>
              <w:rPr>
                <w:rFonts w:hint="eastAsia" w:ascii="宋体" w:hAnsi="宋体" w:eastAsia="宋体" w:cs="宋体"/>
                <w:sz w:val="22"/>
                <w:highlight w:val="none"/>
              </w:rPr>
            </w:pPr>
          </w:p>
        </w:tc>
      </w:tr>
      <w:tr w14:paraId="544AF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7513F83">
            <w:pPr>
              <w:jc w:val="center"/>
              <w:rPr>
                <w:rFonts w:hint="eastAsia" w:ascii="宋体" w:hAnsi="宋体" w:eastAsia="宋体" w:cs="宋体"/>
                <w:sz w:val="22"/>
                <w:highlight w:val="none"/>
              </w:rPr>
            </w:pPr>
          </w:p>
        </w:tc>
        <w:tc>
          <w:tcPr>
            <w:tcW w:w="1115" w:type="dxa"/>
            <w:vAlign w:val="center"/>
          </w:tcPr>
          <w:p w14:paraId="5BECE826">
            <w:pPr>
              <w:jc w:val="center"/>
              <w:rPr>
                <w:rFonts w:hint="eastAsia" w:ascii="宋体" w:hAnsi="宋体" w:eastAsia="宋体" w:cs="宋体"/>
                <w:sz w:val="22"/>
                <w:highlight w:val="none"/>
              </w:rPr>
            </w:pPr>
          </w:p>
        </w:tc>
        <w:tc>
          <w:tcPr>
            <w:tcW w:w="2634" w:type="dxa"/>
            <w:vAlign w:val="center"/>
          </w:tcPr>
          <w:p w14:paraId="6FA71AD3">
            <w:pPr>
              <w:jc w:val="center"/>
              <w:rPr>
                <w:rFonts w:hint="eastAsia" w:ascii="宋体" w:hAnsi="宋体" w:eastAsia="宋体" w:cs="宋体"/>
                <w:sz w:val="22"/>
                <w:highlight w:val="none"/>
              </w:rPr>
            </w:pPr>
          </w:p>
        </w:tc>
        <w:tc>
          <w:tcPr>
            <w:tcW w:w="1210" w:type="dxa"/>
            <w:vAlign w:val="center"/>
          </w:tcPr>
          <w:p w14:paraId="797088EC">
            <w:pPr>
              <w:jc w:val="center"/>
              <w:rPr>
                <w:rFonts w:hint="eastAsia" w:ascii="宋体" w:hAnsi="宋体" w:eastAsia="宋体" w:cs="宋体"/>
                <w:sz w:val="22"/>
                <w:highlight w:val="none"/>
              </w:rPr>
            </w:pPr>
          </w:p>
        </w:tc>
        <w:tc>
          <w:tcPr>
            <w:tcW w:w="2337" w:type="dxa"/>
            <w:vAlign w:val="center"/>
          </w:tcPr>
          <w:p w14:paraId="7264E3D9">
            <w:pPr>
              <w:jc w:val="center"/>
              <w:rPr>
                <w:rFonts w:hint="eastAsia" w:ascii="宋体" w:hAnsi="宋体" w:eastAsia="宋体" w:cs="宋体"/>
                <w:sz w:val="22"/>
                <w:highlight w:val="none"/>
              </w:rPr>
            </w:pPr>
          </w:p>
        </w:tc>
        <w:tc>
          <w:tcPr>
            <w:tcW w:w="1147" w:type="dxa"/>
            <w:vAlign w:val="center"/>
          </w:tcPr>
          <w:p w14:paraId="26FCCA1F">
            <w:pPr>
              <w:jc w:val="center"/>
              <w:rPr>
                <w:rFonts w:hint="eastAsia" w:ascii="宋体" w:hAnsi="宋体" w:eastAsia="宋体" w:cs="宋体"/>
                <w:sz w:val="22"/>
                <w:highlight w:val="none"/>
              </w:rPr>
            </w:pPr>
          </w:p>
        </w:tc>
      </w:tr>
      <w:tr w14:paraId="6546A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5E5B5DF5">
            <w:pPr>
              <w:jc w:val="center"/>
              <w:rPr>
                <w:rFonts w:hint="eastAsia" w:ascii="宋体" w:hAnsi="宋体" w:eastAsia="宋体" w:cs="宋体"/>
                <w:sz w:val="22"/>
                <w:highlight w:val="none"/>
              </w:rPr>
            </w:pPr>
          </w:p>
        </w:tc>
        <w:tc>
          <w:tcPr>
            <w:tcW w:w="1115" w:type="dxa"/>
            <w:vAlign w:val="center"/>
          </w:tcPr>
          <w:p w14:paraId="5508B399">
            <w:pPr>
              <w:jc w:val="center"/>
              <w:rPr>
                <w:rFonts w:hint="eastAsia" w:ascii="宋体" w:hAnsi="宋体" w:eastAsia="宋体" w:cs="宋体"/>
                <w:sz w:val="22"/>
                <w:highlight w:val="none"/>
              </w:rPr>
            </w:pPr>
          </w:p>
        </w:tc>
        <w:tc>
          <w:tcPr>
            <w:tcW w:w="2634" w:type="dxa"/>
            <w:vAlign w:val="center"/>
          </w:tcPr>
          <w:p w14:paraId="5B035328">
            <w:pPr>
              <w:jc w:val="center"/>
              <w:rPr>
                <w:rFonts w:hint="eastAsia" w:ascii="宋体" w:hAnsi="宋体" w:eastAsia="宋体" w:cs="宋体"/>
                <w:sz w:val="22"/>
                <w:highlight w:val="none"/>
              </w:rPr>
            </w:pPr>
          </w:p>
        </w:tc>
        <w:tc>
          <w:tcPr>
            <w:tcW w:w="1210" w:type="dxa"/>
            <w:vAlign w:val="center"/>
          </w:tcPr>
          <w:p w14:paraId="085D4AAB">
            <w:pPr>
              <w:jc w:val="center"/>
              <w:rPr>
                <w:rFonts w:hint="eastAsia" w:ascii="宋体" w:hAnsi="宋体" w:eastAsia="宋体" w:cs="宋体"/>
                <w:sz w:val="22"/>
                <w:highlight w:val="none"/>
              </w:rPr>
            </w:pPr>
          </w:p>
        </w:tc>
        <w:tc>
          <w:tcPr>
            <w:tcW w:w="2337" w:type="dxa"/>
            <w:vAlign w:val="center"/>
          </w:tcPr>
          <w:p w14:paraId="2AE27228">
            <w:pPr>
              <w:jc w:val="center"/>
              <w:rPr>
                <w:rFonts w:hint="eastAsia" w:ascii="宋体" w:hAnsi="宋体" w:eastAsia="宋体" w:cs="宋体"/>
                <w:sz w:val="22"/>
                <w:highlight w:val="none"/>
              </w:rPr>
            </w:pPr>
          </w:p>
        </w:tc>
        <w:tc>
          <w:tcPr>
            <w:tcW w:w="1147" w:type="dxa"/>
            <w:vAlign w:val="center"/>
          </w:tcPr>
          <w:p w14:paraId="51E93975">
            <w:pPr>
              <w:jc w:val="center"/>
              <w:rPr>
                <w:rFonts w:hint="eastAsia" w:ascii="宋体" w:hAnsi="宋体" w:eastAsia="宋体" w:cs="宋体"/>
                <w:sz w:val="22"/>
                <w:highlight w:val="none"/>
              </w:rPr>
            </w:pPr>
          </w:p>
        </w:tc>
      </w:tr>
      <w:tr w14:paraId="2BE47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7C97A8C7">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4961C045">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47" w:type="dxa"/>
            <w:gridSpan w:val="2"/>
            <w:vAlign w:val="center"/>
          </w:tcPr>
          <w:p w14:paraId="6EF423B9">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6F804513">
            <w:pPr>
              <w:jc w:val="center"/>
              <w:rPr>
                <w:rFonts w:hint="eastAsia" w:ascii="宋体" w:hAnsi="宋体" w:eastAsia="宋体" w:cs="宋体"/>
                <w:sz w:val="22"/>
                <w:highlight w:val="none"/>
              </w:rPr>
            </w:pPr>
          </w:p>
        </w:tc>
      </w:tr>
      <w:tr w14:paraId="33C4F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5ED1B5A9">
            <w:pPr>
              <w:jc w:val="center"/>
              <w:rPr>
                <w:rFonts w:hint="eastAsia" w:ascii="宋体" w:hAnsi="宋体" w:eastAsia="宋体" w:cs="宋体"/>
                <w:sz w:val="22"/>
                <w:highlight w:val="none"/>
              </w:rPr>
            </w:pPr>
          </w:p>
        </w:tc>
        <w:tc>
          <w:tcPr>
            <w:tcW w:w="1115" w:type="dxa"/>
            <w:vAlign w:val="center"/>
          </w:tcPr>
          <w:p w14:paraId="30A1D315">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5A078A7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vAlign w:val="center"/>
          </w:tcPr>
          <w:p w14:paraId="49856348">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vAlign w:val="center"/>
          </w:tcPr>
          <w:p w14:paraId="3823319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3CAD30F2">
            <w:pPr>
              <w:autoSpaceDE w:val="0"/>
              <w:autoSpaceDN w:val="0"/>
              <w:adjustRightInd w:val="0"/>
              <w:jc w:val="center"/>
              <w:rPr>
                <w:rFonts w:hint="eastAsia" w:ascii="宋体" w:hAnsi="宋体" w:eastAsia="宋体" w:cs="宋体"/>
                <w:sz w:val="22"/>
                <w:highlight w:val="none"/>
              </w:rPr>
            </w:pPr>
          </w:p>
        </w:tc>
      </w:tr>
      <w:tr w14:paraId="43A76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49807524">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商  务  偏  离</w:t>
            </w:r>
          </w:p>
        </w:tc>
        <w:tc>
          <w:tcPr>
            <w:tcW w:w="1115" w:type="dxa"/>
            <w:vAlign w:val="center"/>
          </w:tcPr>
          <w:p w14:paraId="45E9B0D0">
            <w:pPr>
              <w:jc w:val="center"/>
              <w:rPr>
                <w:rFonts w:hint="eastAsia" w:ascii="宋体" w:hAnsi="宋体" w:eastAsia="宋体" w:cs="宋体"/>
                <w:sz w:val="22"/>
                <w:highlight w:val="none"/>
              </w:rPr>
            </w:pPr>
          </w:p>
        </w:tc>
        <w:tc>
          <w:tcPr>
            <w:tcW w:w="2634" w:type="dxa"/>
            <w:vAlign w:val="center"/>
          </w:tcPr>
          <w:p w14:paraId="20053B14">
            <w:pPr>
              <w:jc w:val="center"/>
              <w:rPr>
                <w:rFonts w:hint="eastAsia" w:ascii="宋体" w:hAnsi="宋体" w:eastAsia="宋体" w:cs="宋体"/>
                <w:sz w:val="22"/>
                <w:highlight w:val="none"/>
              </w:rPr>
            </w:pPr>
          </w:p>
        </w:tc>
        <w:tc>
          <w:tcPr>
            <w:tcW w:w="1210" w:type="dxa"/>
            <w:vAlign w:val="center"/>
          </w:tcPr>
          <w:p w14:paraId="13599981">
            <w:pPr>
              <w:jc w:val="center"/>
              <w:rPr>
                <w:rFonts w:hint="eastAsia" w:ascii="宋体" w:hAnsi="宋体" w:eastAsia="宋体" w:cs="宋体"/>
                <w:sz w:val="22"/>
                <w:highlight w:val="none"/>
              </w:rPr>
            </w:pPr>
          </w:p>
        </w:tc>
        <w:tc>
          <w:tcPr>
            <w:tcW w:w="2337" w:type="dxa"/>
            <w:vAlign w:val="center"/>
          </w:tcPr>
          <w:p w14:paraId="51D78D6A">
            <w:pPr>
              <w:jc w:val="center"/>
              <w:rPr>
                <w:rFonts w:hint="eastAsia" w:ascii="宋体" w:hAnsi="宋体" w:eastAsia="宋体" w:cs="宋体"/>
                <w:sz w:val="22"/>
                <w:highlight w:val="none"/>
              </w:rPr>
            </w:pPr>
          </w:p>
        </w:tc>
        <w:tc>
          <w:tcPr>
            <w:tcW w:w="1147" w:type="dxa"/>
            <w:vAlign w:val="center"/>
          </w:tcPr>
          <w:p w14:paraId="64677670">
            <w:pPr>
              <w:jc w:val="center"/>
              <w:rPr>
                <w:rFonts w:hint="eastAsia" w:ascii="宋体" w:hAnsi="宋体" w:eastAsia="宋体" w:cs="宋体"/>
                <w:sz w:val="22"/>
                <w:highlight w:val="none"/>
              </w:rPr>
            </w:pPr>
          </w:p>
        </w:tc>
      </w:tr>
      <w:tr w14:paraId="561F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F8419B4">
            <w:pPr>
              <w:jc w:val="center"/>
              <w:rPr>
                <w:rFonts w:hint="eastAsia" w:ascii="宋体" w:hAnsi="宋体" w:eastAsia="宋体" w:cs="宋体"/>
                <w:sz w:val="22"/>
                <w:highlight w:val="none"/>
              </w:rPr>
            </w:pPr>
          </w:p>
        </w:tc>
        <w:tc>
          <w:tcPr>
            <w:tcW w:w="1115" w:type="dxa"/>
            <w:vAlign w:val="center"/>
          </w:tcPr>
          <w:p w14:paraId="0572B5E0">
            <w:pPr>
              <w:jc w:val="center"/>
              <w:rPr>
                <w:rFonts w:hint="eastAsia" w:ascii="宋体" w:hAnsi="宋体" w:eastAsia="宋体" w:cs="宋体"/>
                <w:sz w:val="22"/>
                <w:highlight w:val="none"/>
              </w:rPr>
            </w:pPr>
          </w:p>
        </w:tc>
        <w:tc>
          <w:tcPr>
            <w:tcW w:w="2634" w:type="dxa"/>
            <w:vAlign w:val="center"/>
          </w:tcPr>
          <w:p w14:paraId="32FE89DF">
            <w:pPr>
              <w:jc w:val="center"/>
              <w:rPr>
                <w:rFonts w:hint="eastAsia" w:ascii="宋体" w:hAnsi="宋体" w:eastAsia="宋体" w:cs="宋体"/>
                <w:sz w:val="22"/>
                <w:highlight w:val="none"/>
              </w:rPr>
            </w:pPr>
          </w:p>
        </w:tc>
        <w:tc>
          <w:tcPr>
            <w:tcW w:w="1210" w:type="dxa"/>
            <w:vAlign w:val="center"/>
          </w:tcPr>
          <w:p w14:paraId="1630527B">
            <w:pPr>
              <w:jc w:val="center"/>
              <w:rPr>
                <w:rFonts w:hint="eastAsia" w:ascii="宋体" w:hAnsi="宋体" w:eastAsia="宋体" w:cs="宋体"/>
                <w:sz w:val="22"/>
                <w:highlight w:val="none"/>
              </w:rPr>
            </w:pPr>
          </w:p>
        </w:tc>
        <w:tc>
          <w:tcPr>
            <w:tcW w:w="2337" w:type="dxa"/>
            <w:vAlign w:val="center"/>
          </w:tcPr>
          <w:p w14:paraId="78BFCDA1">
            <w:pPr>
              <w:jc w:val="center"/>
              <w:rPr>
                <w:rFonts w:hint="eastAsia" w:ascii="宋体" w:hAnsi="宋体" w:eastAsia="宋体" w:cs="宋体"/>
                <w:sz w:val="22"/>
                <w:highlight w:val="none"/>
              </w:rPr>
            </w:pPr>
          </w:p>
        </w:tc>
        <w:tc>
          <w:tcPr>
            <w:tcW w:w="1147" w:type="dxa"/>
            <w:vAlign w:val="center"/>
          </w:tcPr>
          <w:p w14:paraId="018FC74B">
            <w:pPr>
              <w:jc w:val="center"/>
              <w:rPr>
                <w:rFonts w:hint="eastAsia" w:ascii="宋体" w:hAnsi="宋体" w:eastAsia="宋体" w:cs="宋体"/>
                <w:sz w:val="22"/>
                <w:highlight w:val="none"/>
              </w:rPr>
            </w:pPr>
          </w:p>
        </w:tc>
      </w:tr>
      <w:tr w14:paraId="30D4D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445687C">
            <w:pPr>
              <w:jc w:val="center"/>
              <w:rPr>
                <w:rFonts w:hint="eastAsia" w:ascii="宋体" w:hAnsi="宋体" w:eastAsia="宋体" w:cs="宋体"/>
                <w:sz w:val="22"/>
                <w:highlight w:val="none"/>
              </w:rPr>
            </w:pPr>
          </w:p>
        </w:tc>
        <w:tc>
          <w:tcPr>
            <w:tcW w:w="1115" w:type="dxa"/>
            <w:vAlign w:val="center"/>
          </w:tcPr>
          <w:p w14:paraId="34AD8C69">
            <w:pPr>
              <w:jc w:val="center"/>
              <w:rPr>
                <w:rFonts w:hint="eastAsia" w:ascii="宋体" w:hAnsi="宋体" w:eastAsia="宋体" w:cs="宋体"/>
                <w:sz w:val="22"/>
                <w:highlight w:val="none"/>
              </w:rPr>
            </w:pPr>
          </w:p>
        </w:tc>
        <w:tc>
          <w:tcPr>
            <w:tcW w:w="2634" w:type="dxa"/>
            <w:vAlign w:val="center"/>
          </w:tcPr>
          <w:p w14:paraId="16D6ACAE">
            <w:pPr>
              <w:jc w:val="center"/>
              <w:rPr>
                <w:rFonts w:hint="eastAsia" w:ascii="宋体" w:hAnsi="宋体" w:eastAsia="宋体" w:cs="宋体"/>
                <w:sz w:val="22"/>
                <w:highlight w:val="none"/>
              </w:rPr>
            </w:pPr>
          </w:p>
        </w:tc>
        <w:tc>
          <w:tcPr>
            <w:tcW w:w="1210" w:type="dxa"/>
            <w:vAlign w:val="center"/>
          </w:tcPr>
          <w:p w14:paraId="02473A1F">
            <w:pPr>
              <w:jc w:val="center"/>
              <w:rPr>
                <w:rFonts w:hint="eastAsia" w:ascii="宋体" w:hAnsi="宋体" w:eastAsia="宋体" w:cs="宋体"/>
                <w:sz w:val="22"/>
                <w:highlight w:val="none"/>
              </w:rPr>
            </w:pPr>
          </w:p>
        </w:tc>
        <w:tc>
          <w:tcPr>
            <w:tcW w:w="2337" w:type="dxa"/>
            <w:vAlign w:val="center"/>
          </w:tcPr>
          <w:p w14:paraId="4A4B48E6">
            <w:pPr>
              <w:jc w:val="center"/>
              <w:rPr>
                <w:rFonts w:hint="eastAsia" w:ascii="宋体" w:hAnsi="宋体" w:eastAsia="宋体" w:cs="宋体"/>
                <w:sz w:val="22"/>
                <w:highlight w:val="none"/>
              </w:rPr>
            </w:pPr>
          </w:p>
        </w:tc>
        <w:tc>
          <w:tcPr>
            <w:tcW w:w="1147" w:type="dxa"/>
            <w:vAlign w:val="center"/>
          </w:tcPr>
          <w:p w14:paraId="7546A22D">
            <w:pPr>
              <w:jc w:val="center"/>
              <w:rPr>
                <w:rFonts w:hint="eastAsia" w:ascii="宋体" w:hAnsi="宋体" w:eastAsia="宋体" w:cs="宋体"/>
                <w:sz w:val="22"/>
                <w:highlight w:val="none"/>
              </w:rPr>
            </w:pPr>
          </w:p>
        </w:tc>
      </w:tr>
      <w:tr w14:paraId="75CC9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15124A5">
            <w:pPr>
              <w:jc w:val="center"/>
              <w:rPr>
                <w:rFonts w:hint="eastAsia" w:ascii="宋体" w:hAnsi="宋体" w:eastAsia="宋体" w:cs="宋体"/>
                <w:sz w:val="22"/>
                <w:highlight w:val="none"/>
              </w:rPr>
            </w:pPr>
          </w:p>
        </w:tc>
        <w:tc>
          <w:tcPr>
            <w:tcW w:w="1115" w:type="dxa"/>
            <w:vAlign w:val="center"/>
          </w:tcPr>
          <w:p w14:paraId="27BC2C84">
            <w:pPr>
              <w:jc w:val="center"/>
              <w:rPr>
                <w:rFonts w:hint="eastAsia" w:ascii="宋体" w:hAnsi="宋体" w:eastAsia="宋体" w:cs="宋体"/>
                <w:sz w:val="22"/>
                <w:highlight w:val="none"/>
              </w:rPr>
            </w:pPr>
          </w:p>
        </w:tc>
        <w:tc>
          <w:tcPr>
            <w:tcW w:w="2634" w:type="dxa"/>
            <w:vAlign w:val="center"/>
          </w:tcPr>
          <w:p w14:paraId="30C6A7E3">
            <w:pPr>
              <w:jc w:val="center"/>
              <w:rPr>
                <w:rFonts w:hint="eastAsia" w:ascii="宋体" w:hAnsi="宋体" w:eastAsia="宋体" w:cs="宋体"/>
                <w:sz w:val="22"/>
                <w:highlight w:val="none"/>
              </w:rPr>
            </w:pPr>
          </w:p>
        </w:tc>
        <w:tc>
          <w:tcPr>
            <w:tcW w:w="1210" w:type="dxa"/>
            <w:vAlign w:val="center"/>
          </w:tcPr>
          <w:p w14:paraId="7487A5ED">
            <w:pPr>
              <w:jc w:val="center"/>
              <w:rPr>
                <w:rFonts w:hint="eastAsia" w:ascii="宋体" w:hAnsi="宋体" w:eastAsia="宋体" w:cs="宋体"/>
                <w:sz w:val="22"/>
                <w:highlight w:val="none"/>
              </w:rPr>
            </w:pPr>
          </w:p>
        </w:tc>
        <w:tc>
          <w:tcPr>
            <w:tcW w:w="2337" w:type="dxa"/>
            <w:vAlign w:val="center"/>
          </w:tcPr>
          <w:p w14:paraId="39553E05">
            <w:pPr>
              <w:jc w:val="center"/>
              <w:rPr>
                <w:rFonts w:hint="eastAsia" w:ascii="宋体" w:hAnsi="宋体" w:eastAsia="宋体" w:cs="宋体"/>
                <w:sz w:val="22"/>
                <w:highlight w:val="none"/>
              </w:rPr>
            </w:pPr>
          </w:p>
        </w:tc>
        <w:tc>
          <w:tcPr>
            <w:tcW w:w="1147" w:type="dxa"/>
            <w:vAlign w:val="center"/>
          </w:tcPr>
          <w:p w14:paraId="32DCF100">
            <w:pPr>
              <w:jc w:val="center"/>
              <w:rPr>
                <w:rFonts w:hint="eastAsia" w:ascii="宋体" w:hAnsi="宋体" w:eastAsia="宋体" w:cs="宋体"/>
                <w:sz w:val="22"/>
                <w:highlight w:val="none"/>
              </w:rPr>
            </w:pPr>
          </w:p>
        </w:tc>
      </w:tr>
      <w:tr w14:paraId="596CE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02A01A7">
            <w:pPr>
              <w:jc w:val="center"/>
              <w:rPr>
                <w:rFonts w:hint="eastAsia" w:ascii="宋体" w:hAnsi="宋体" w:eastAsia="宋体" w:cs="宋体"/>
                <w:sz w:val="22"/>
                <w:highlight w:val="none"/>
              </w:rPr>
            </w:pPr>
          </w:p>
        </w:tc>
        <w:tc>
          <w:tcPr>
            <w:tcW w:w="1115" w:type="dxa"/>
            <w:vAlign w:val="center"/>
          </w:tcPr>
          <w:p w14:paraId="415F10D6">
            <w:pPr>
              <w:jc w:val="center"/>
              <w:rPr>
                <w:rFonts w:hint="eastAsia" w:ascii="宋体" w:hAnsi="宋体" w:eastAsia="宋体" w:cs="宋体"/>
                <w:sz w:val="22"/>
                <w:highlight w:val="none"/>
              </w:rPr>
            </w:pPr>
          </w:p>
        </w:tc>
        <w:tc>
          <w:tcPr>
            <w:tcW w:w="2634" w:type="dxa"/>
            <w:vAlign w:val="center"/>
          </w:tcPr>
          <w:p w14:paraId="4CE54431">
            <w:pPr>
              <w:jc w:val="center"/>
              <w:rPr>
                <w:rFonts w:hint="eastAsia" w:ascii="宋体" w:hAnsi="宋体" w:eastAsia="宋体" w:cs="宋体"/>
                <w:sz w:val="22"/>
                <w:highlight w:val="none"/>
              </w:rPr>
            </w:pPr>
          </w:p>
        </w:tc>
        <w:tc>
          <w:tcPr>
            <w:tcW w:w="1210" w:type="dxa"/>
            <w:vAlign w:val="center"/>
          </w:tcPr>
          <w:p w14:paraId="1FCA7B1E">
            <w:pPr>
              <w:jc w:val="center"/>
              <w:rPr>
                <w:rFonts w:hint="eastAsia" w:ascii="宋体" w:hAnsi="宋体" w:eastAsia="宋体" w:cs="宋体"/>
                <w:sz w:val="22"/>
                <w:highlight w:val="none"/>
              </w:rPr>
            </w:pPr>
          </w:p>
        </w:tc>
        <w:tc>
          <w:tcPr>
            <w:tcW w:w="2337" w:type="dxa"/>
            <w:vAlign w:val="center"/>
          </w:tcPr>
          <w:p w14:paraId="22652522">
            <w:pPr>
              <w:jc w:val="center"/>
              <w:rPr>
                <w:rFonts w:hint="eastAsia" w:ascii="宋体" w:hAnsi="宋体" w:eastAsia="宋体" w:cs="宋体"/>
                <w:sz w:val="22"/>
                <w:highlight w:val="none"/>
              </w:rPr>
            </w:pPr>
          </w:p>
        </w:tc>
        <w:tc>
          <w:tcPr>
            <w:tcW w:w="1147" w:type="dxa"/>
            <w:vAlign w:val="center"/>
          </w:tcPr>
          <w:p w14:paraId="3A221D6E">
            <w:pPr>
              <w:jc w:val="center"/>
              <w:rPr>
                <w:rFonts w:hint="eastAsia" w:ascii="宋体" w:hAnsi="宋体" w:eastAsia="宋体" w:cs="宋体"/>
                <w:sz w:val="22"/>
                <w:highlight w:val="none"/>
              </w:rPr>
            </w:pPr>
          </w:p>
        </w:tc>
      </w:tr>
      <w:tr w14:paraId="3EF1C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0BCCAD1">
            <w:pPr>
              <w:jc w:val="center"/>
              <w:rPr>
                <w:rFonts w:hint="eastAsia" w:ascii="宋体" w:hAnsi="宋体" w:eastAsia="宋体" w:cs="宋体"/>
                <w:sz w:val="22"/>
                <w:highlight w:val="none"/>
              </w:rPr>
            </w:pPr>
          </w:p>
        </w:tc>
        <w:tc>
          <w:tcPr>
            <w:tcW w:w="1115" w:type="dxa"/>
            <w:vAlign w:val="center"/>
          </w:tcPr>
          <w:p w14:paraId="4BFDEDEA">
            <w:pPr>
              <w:jc w:val="center"/>
              <w:rPr>
                <w:rFonts w:hint="eastAsia" w:ascii="宋体" w:hAnsi="宋体" w:eastAsia="宋体" w:cs="宋体"/>
                <w:sz w:val="22"/>
                <w:highlight w:val="none"/>
              </w:rPr>
            </w:pPr>
          </w:p>
        </w:tc>
        <w:tc>
          <w:tcPr>
            <w:tcW w:w="2634" w:type="dxa"/>
            <w:vAlign w:val="center"/>
          </w:tcPr>
          <w:p w14:paraId="3D1512C7">
            <w:pPr>
              <w:jc w:val="center"/>
              <w:rPr>
                <w:rFonts w:hint="eastAsia" w:ascii="宋体" w:hAnsi="宋体" w:eastAsia="宋体" w:cs="宋体"/>
                <w:sz w:val="22"/>
                <w:highlight w:val="none"/>
              </w:rPr>
            </w:pPr>
          </w:p>
        </w:tc>
        <w:tc>
          <w:tcPr>
            <w:tcW w:w="1210" w:type="dxa"/>
            <w:vAlign w:val="center"/>
          </w:tcPr>
          <w:p w14:paraId="4D890873">
            <w:pPr>
              <w:jc w:val="center"/>
              <w:rPr>
                <w:rFonts w:hint="eastAsia" w:ascii="宋体" w:hAnsi="宋体" w:eastAsia="宋体" w:cs="宋体"/>
                <w:sz w:val="22"/>
                <w:highlight w:val="none"/>
              </w:rPr>
            </w:pPr>
          </w:p>
        </w:tc>
        <w:tc>
          <w:tcPr>
            <w:tcW w:w="2337" w:type="dxa"/>
            <w:vAlign w:val="center"/>
          </w:tcPr>
          <w:p w14:paraId="2E83B958">
            <w:pPr>
              <w:jc w:val="center"/>
              <w:rPr>
                <w:rFonts w:hint="eastAsia" w:ascii="宋体" w:hAnsi="宋体" w:eastAsia="宋体" w:cs="宋体"/>
                <w:sz w:val="22"/>
                <w:highlight w:val="none"/>
              </w:rPr>
            </w:pPr>
          </w:p>
        </w:tc>
        <w:tc>
          <w:tcPr>
            <w:tcW w:w="1147" w:type="dxa"/>
            <w:vAlign w:val="center"/>
          </w:tcPr>
          <w:p w14:paraId="34F75EFF">
            <w:pPr>
              <w:jc w:val="center"/>
              <w:rPr>
                <w:rFonts w:hint="eastAsia" w:ascii="宋体" w:hAnsi="宋体" w:eastAsia="宋体" w:cs="宋体"/>
                <w:sz w:val="22"/>
                <w:highlight w:val="none"/>
              </w:rPr>
            </w:pPr>
          </w:p>
        </w:tc>
      </w:tr>
    </w:tbl>
    <w:p w14:paraId="2432D4F9">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1825C43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14:paraId="7BCE24D3">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14:paraId="60CF4957">
      <w:pPr>
        <w:spacing w:line="380" w:lineRule="exact"/>
        <w:ind w:firstLine="422" w:firstLineChars="200"/>
        <w:rPr>
          <w:rFonts w:hint="eastAsia" w:ascii="宋体" w:hAnsi="宋体" w:eastAsia="宋体" w:cs="宋体"/>
          <w:b/>
          <w:sz w:val="22"/>
          <w:highlight w:val="none"/>
        </w:rPr>
      </w:pPr>
      <w:r>
        <w:rPr>
          <w:rFonts w:hint="eastAsia" w:ascii="宋体" w:hAnsi="宋体" w:eastAsia="宋体" w:cs="宋体"/>
          <w:b/>
          <w:szCs w:val="21"/>
          <w:highlight w:val="none"/>
          <w:u w:val="single"/>
        </w:rPr>
        <w:t>4、▲如果投标文件其他地方描述与本表不一致，签订合同时原则上以有利于采购人的解释为准。</w:t>
      </w:r>
    </w:p>
    <w:p w14:paraId="6F6BEB05">
      <w:pPr>
        <w:spacing w:line="380" w:lineRule="exact"/>
        <w:ind w:firstLine="4417" w:firstLineChars="2000"/>
        <w:rPr>
          <w:rFonts w:hint="eastAsia" w:ascii="宋体" w:hAnsi="宋体" w:eastAsia="宋体" w:cs="宋体"/>
          <w:b/>
          <w:sz w:val="22"/>
          <w:highlight w:val="none"/>
        </w:rPr>
      </w:pPr>
    </w:p>
    <w:p w14:paraId="04BF05E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104C103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法定代表人（负责人）或授权代表（签字或盖章）：</w:t>
      </w:r>
    </w:p>
    <w:p w14:paraId="412FE41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61B7EECB">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32B6C938">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7C8FAD28">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（1）法定代表人（负责人）授权书</w:t>
      </w:r>
    </w:p>
    <w:p w14:paraId="1B04DE66">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746D66FF">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14:paraId="69283540">
      <w:pPr>
        <w:spacing w:line="420" w:lineRule="exact"/>
        <w:rPr>
          <w:rFonts w:hint="eastAsia" w:ascii="宋体" w:hAnsi="宋体" w:eastAsia="宋体" w:cs="宋体"/>
          <w:sz w:val="22"/>
          <w:highlight w:val="none"/>
        </w:rPr>
      </w:pPr>
      <w:r>
        <w:rPr>
          <w:rFonts w:hint="eastAsia" w:ascii="宋体" w:hAnsi="宋体" w:eastAsia="宋体" w:cs="宋体"/>
          <w:sz w:val="22"/>
          <w:highlight w:val="none"/>
        </w:rPr>
        <w:t>浙江国际招投标有限公司：</w:t>
      </w:r>
    </w:p>
    <w:p w14:paraId="64EB6301">
      <w:pPr>
        <w:spacing w:line="460" w:lineRule="exact"/>
        <w:rPr>
          <w:rFonts w:hint="eastAsia" w:ascii="宋体" w:hAnsi="宋体" w:eastAsia="宋体" w:cs="宋体"/>
          <w:sz w:val="22"/>
          <w:highlight w:val="none"/>
        </w:rPr>
      </w:pPr>
    </w:p>
    <w:p w14:paraId="17B34E0B">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（投标人全称）法定代表人（负责人）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w:t>
      </w:r>
      <w:r>
        <w:rPr>
          <w:rFonts w:hint="eastAsia" w:ascii="宋体" w:hAnsi="宋体" w:eastAsia="宋体" w:cs="宋体"/>
          <w:sz w:val="22"/>
          <w:highlight w:val="none"/>
          <w:u w:val="single"/>
        </w:rPr>
        <w:t>（项目名称、</w:t>
      </w:r>
      <w:r>
        <w:rPr>
          <w:rFonts w:hint="eastAsia" w:ascii="宋体" w:hAnsi="宋体" w:eastAsia="宋体" w:cs="宋体"/>
          <w:sz w:val="22"/>
          <w:highlight w:val="none"/>
          <w:u w:val="single"/>
          <w:lang w:eastAsia="zh-CN"/>
        </w:rPr>
        <w:t>项目</w:t>
      </w:r>
      <w:r>
        <w:rPr>
          <w:rFonts w:hint="eastAsia" w:ascii="宋体" w:hAnsi="宋体" w:eastAsia="宋体" w:cs="宋体"/>
          <w:sz w:val="22"/>
          <w:highlight w:val="none"/>
          <w:u w:val="single"/>
        </w:rPr>
        <w:t>编号）</w:t>
      </w:r>
      <w:r>
        <w:rPr>
          <w:rFonts w:hint="eastAsia" w:ascii="宋体" w:hAnsi="宋体" w:eastAsia="宋体" w:cs="宋体"/>
          <w:sz w:val="22"/>
          <w:highlight w:val="none"/>
        </w:rPr>
        <w:t>的采购活动，全权代表我方处理采购活动中的一切事宜。</w:t>
      </w:r>
    </w:p>
    <w:p w14:paraId="1CE5DE5C">
      <w:pPr>
        <w:spacing w:line="460" w:lineRule="exact"/>
        <w:ind w:firstLine="2955"/>
        <w:rPr>
          <w:rFonts w:hint="eastAsia" w:ascii="宋体" w:hAnsi="宋体" w:eastAsia="宋体" w:cs="宋体"/>
          <w:sz w:val="22"/>
          <w:highlight w:val="none"/>
        </w:rPr>
      </w:pPr>
    </w:p>
    <w:p w14:paraId="718B078F">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 (签字或盖章)：</w:t>
      </w:r>
    </w:p>
    <w:p w14:paraId="087BEDB4">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13C2D5B2">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4EDC054C">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266C945D">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01C74BBE">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15C2C030">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5DF52D76">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59B1EE49">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2A41695F">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39A407F4">
      <w:pPr>
        <w:spacing w:line="460" w:lineRule="exact"/>
        <w:rPr>
          <w:rFonts w:hint="eastAsia" w:ascii="宋体" w:hAnsi="宋体" w:eastAsia="宋体" w:cs="宋体"/>
          <w:bCs/>
          <w:sz w:val="22"/>
          <w:highlight w:val="none"/>
        </w:rPr>
      </w:pPr>
    </w:p>
    <w:tbl>
      <w:tblPr>
        <w:tblStyle w:val="28"/>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3D91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12BF5AAD">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4D4C3593">
            <w:pPr>
              <w:spacing w:line="380" w:lineRule="exact"/>
              <w:jc w:val="center"/>
              <w:rPr>
                <w:rFonts w:hint="eastAsia" w:ascii="宋体" w:hAnsi="宋体" w:eastAsia="宋体" w:cs="宋体"/>
                <w:bCs/>
                <w:sz w:val="28"/>
                <w:szCs w:val="24"/>
                <w:highlight w:val="none"/>
              </w:rPr>
            </w:pPr>
          </w:p>
        </w:tc>
      </w:tr>
    </w:tbl>
    <w:p w14:paraId="58E69A95">
      <w:pPr>
        <w:spacing w:line="400" w:lineRule="exact"/>
        <w:ind w:firstLine="140" w:firstLineChars="64"/>
        <w:rPr>
          <w:rFonts w:hint="eastAsia" w:ascii="宋体" w:hAnsi="宋体" w:eastAsia="宋体" w:cs="宋体"/>
          <w:sz w:val="22"/>
          <w:szCs w:val="24"/>
          <w:highlight w:val="none"/>
        </w:rPr>
      </w:pPr>
    </w:p>
    <w:p w14:paraId="6F4ABCAC">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rPr>
        <w:t>法定代表人（负责人）资格证明书</w:t>
      </w:r>
    </w:p>
    <w:p w14:paraId="3B629D61">
      <w:pPr>
        <w:widowControl/>
        <w:spacing w:line="480" w:lineRule="atLeast"/>
        <w:jc w:val="center"/>
        <w:rPr>
          <w:rFonts w:hint="eastAsia" w:ascii="宋体" w:hAnsi="宋体" w:eastAsia="宋体" w:cs="宋体"/>
          <w:bCs/>
          <w:kern w:val="0"/>
          <w:sz w:val="24"/>
          <w:szCs w:val="24"/>
          <w:highlight w:val="none"/>
        </w:rPr>
      </w:pPr>
    </w:p>
    <w:p w14:paraId="4C8C957A">
      <w:pPr>
        <w:widowControl/>
        <w:spacing w:line="360" w:lineRule="auto"/>
        <w:rPr>
          <w:rFonts w:hint="eastAsia" w:ascii="宋体" w:hAnsi="宋体" w:eastAsia="宋体" w:cs="宋体"/>
          <w:sz w:val="24"/>
          <w:szCs w:val="24"/>
          <w:highlight w:val="none"/>
          <w:u w:val="single"/>
        </w:rPr>
      </w:pPr>
    </w:p>
    <w:p w14:paraId="46E909B7">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14:paraId="38246CED">
      <w:pPr>
        <w:widowControl/>
        <w:spacing w:line="360" w:lineRule="auto"/>
        <w:rPr>
          <w:rFonts w:hint="eastAsia" w:ascii="宋体" w:hAnsi="宋体" w:eastAsia="宋体" w:cs="宋体"/>
          <w:sz w:val="24"/>
          <w:szCs w:val="24"/>
          <w:highlight w:val="none"/>
          <w:u w:val="single"/>
        </w:rPr>
      </w:pPr>
      <w:r>
        <w:rPr>
          <w:rFonts w:hint="eastAsia" w:ascii="宋体" w:hAnsi="宋体" w:eastAsia="宋体" w:cs="宋体"/>
          <w:sz w:val="22"/>
          <w:highlight w:val="none"/>
        </w:rPr>
        <w:t>浙江国际招投标有限公司：</w:t>
      </w:r>
    </w:p>
    <w:p w14:paraId="37E747ED">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1EE67564">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2BB52ADD">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1F9D78C0">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的法定代表人（负责人）。为你单位组织的</w:t>
      </w:r>
      <w:r>
        <w:rPr>
          <w:rFonts w:hint="eastAsia" w:ascii="宋体" w:hAnsi="宋体" w:eastAsia="宋体" w:cs="宋体"/>
          <w:kern w:val="0"/>
          <w:sz w:val="24"/>
          <w:szCs w:val="24"/>
          <w:highlight w:val="none"/>
          <w:lang w:eastAsia="zh-CN"/>
        </w:rPr>
        <w:t>项目</w:t>
      </w:r>
      <w:r>
        <w:rPr>
          <w:rFonts w:hint="eastAsia" w:ascii="宋体" w:hAnsi="宋体" w:eastAsia="宋体" w:cs="宋体"/>
          <w:kern w:val="0"/>
          <w:sz w:val="24"/>
          <w:szCs w:val="24"/>
          <w:highlight w:val="none"/>
        </w:rPr>
        <w:t>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highlight w:val="none"/>
          <w:u w:val="single"/>
        </w:rPr>
        <w:t>（</w:t>
      </w:r>
      <w:r>
        <w:rPr>
          <w:rFonts w:hint="eastAsia" w:ascii="宋体" w:hAnsi="宋体" w:eastAsia="宋体" w:cs="宋体"/>
          <w:sz w:val="22"/>
          <w:highlight w:val="none"/>
          <w:u w:val="singl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0DCF81F2">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2177EAB1">
      <w:pPr>
        <w:widowControl/>
        <w:spacing w:line="360" w:lineRule="auto"/>
        <w:ind w:left="-540" w:firstLine="540"/>
        <w:jc w:val="center"/>
        <w:rPr>
          <w:rFonts w:hint="eastAsia" w:ascii="宋体" w:hAnsi="宋体" w:eastAsia="宋体" w:cs="宋体"/>
          <w:b/>
          <w:bCs/>
          <w:kern w:val="0"/>
          <w:sz w:val="24"/>
          <w:szCs w:val="24"/>
          <w:highlight w:val="none"/>
        </w:rPr>
      </w:pPr>
    </w:p>
    <w:p w14:paraId="7F7C2120">
      <w:pPr>
        <w:widowControl/>
        <w:spacing w:line="360" w:lineRule="auto"/>
        <w:ind w:left="-540" w:firstLine="540"/>
        <w:jc w:val="center"/>
        <w:rPr>
          <w:rFonts w:hint="eastAsia" w:ascii="宋体" w:hAnsi="宋体" w:eastAsia="宋体" w:cs="宋体"/>
          <w:b/>
          <w:bCs/>
          <w:kern w:val="0"/>
          <w:sz w:val="24"/>
          <w:szCs w:val="24"/>
          <w:highlight w:val="none"/>
        </w:rPr>
      </w:pPr>
    </w:p>
    <w:p w14:paraId="64B3ED7B">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（※此处请粘贴法定代表人（负责人）身份证复印件※）</w:t>
      </w:r>
    </w:p>
    <w:p w14:paraId="56B68288">
      <w:pPr>
        <w:widowControl/>
        <w:spacing w:line="480" w:lineRule="auto"/>
        <w:ind w:left="420" w:firstLine="473"/>
        <w:jc w:val="left"/>
        <w:rPr>
          <w:rFonts w:hint="eastAsia" w:ascii="宋体" w:hAnsi="宋体" w:eastAsia="宋体" w:cs="宋体"/>
          <w:kern w:val="0"/>
          <w:sz w:val="24"/>
          <w:szCs w:val="24"/>
          <w:highlight w:val="none"/>
        </w:rPr>
      </w:pPr>
    </w:p>
    <w:p w14:paraId="72DA2555">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64E38121">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法定代表人（负责人）（签字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249873F8">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14:paraId="7DA81C11">
      <w:pPr>
        <w:widowControl/>
        <w:rPr>
          <w:rFonts w:hint="eastAsia" w:ascii="宋体" w:hAnsi="宋体" w:eastAsia="宋体" w:cs="宋体"/>
          <w:kern w:val="0"/>
          <w:szCs w:val="21"/>
          <w:highlight w:val="none"/>
        </w:rPr>
      </w:pPr>
    </w:p>
    <w:p w14:paraId="068C3A8B">
      <w:pPr>
        <w:widowControl/>
        <w:rPr>
          <w:rFonts w:hint="eastAsia" w:ascii="宋体" w:hAnsi="宋体" w:eastAsia="宋体" w:cs="宋体"/>
          <w:kern w:val="0"/>
          <w:szCs w:val="21"/>
          <w:highlight w:val="none"/>
        </w:rPr>
      </w:pPr>
    </w:p>
    <w:p w14:paraId="34814FC7">
      <w:pPr>
        <w:widowControl/>
        <w:spacing w:line="480" w:lineRule="atLeast"/>
        <w:jc w:val="center"/>
        <w:rPr>
          <w:rFonts w:hint="eastAsia" w:ascii="宋体" w:hAnsi="宋体" w:eastAsia="宋体" w:cs="宋体"/>
          <w:b/>
          <w:bCs/>
          <w:kern w:val="0"/>
          <w:sz w:val="24"/>
          <w:szCs w:val="24"/>
          <w:highlight w:val="none"/>
        </w:rPr>
      </w:pPr>
    </w:p>
    <w:p w14:paraId="5EA3EA55">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说明：法定代表人（负责人）参加本采购项目投标的，仅须提供此证明书。</w:t>
      </w:r>
    </w:p>
    <w:p w14:paraId="272E4693">
      <w:pPr>
        <w:spacing w:line="460" w:lineRule="exact"/>
        <w:jc w:val="center"/>
        <w:rPr>
          <w:rFonts w:hint="eastAsia" w:ascii="宋体" w:hAnsi="宋体" w:eastAsia="宋体" w:cs="宋体"/>
          <w:b/>
          <w:bCs/>
          <w:kern w:val="0"/>
          <w:sz w:val="24"/>
          <w:szCs w:val="24"/>
          <w:highlight w:val="none"/>
        </w:rPr>
      </w:pPr>
    </w:p>
    <w:p w14:paraId="60BC1D1E">
      <w:pPr>
        <w:spacing w:line="460" w:lineRule="exact"/>
        <w:jc w:val="center"/>
        <w:rPr>
          <w:rFonts w:hint="eastAsia" w:ascii="宋体" w:hAnsi="宋体" w:eastAsia="宋体" w:cs="宋体"/>
          <w:b/>
          <w:bCs/>
          <w:kern w:val="0"/>
          <w:sz w:val="24"/>
          <w:szCs w:val="24"/>
          <w:highlight w:val="none"/>
        </w:rPr>
      </w:pPr>
    </w:p>
    <w:p w14:paraId="22D20D70">
      <w:pPr>
        <w:rPr>
          <w:rFonts w:hint="eastAsia" w:ascii="宋体" w:hAnsi="宋体" w:eastAsia="宋体" w:cs="宋体"/>
          <w:b w:val="0"/>
          <w:bCs w:val="0"/>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val="0"/>
          <w:bCs w:val="0"/>
          <w:sz w:val="24"/>
          <w:szCs w:val="24"/>
          <w:highlight w:val="none"/>
        </w:rPr>
        <w:t>（2）投标人企业法人有效营业执照（或法人登记证书）复印件加盖单位公章</w:t>
      </w:r>
    </w:p>
    <w:p w14:paraId="7FC195ED">
      <w:pPr>
        <w:rPr>
          <w:rFonts w:hint="eastAsia" w:ascii="宋体" w:hAnsi="宋体" w:eastAsia="宋体" w:cs="宋体"/>
          <w:b w:val="0"/>
          <w:bCs w:val="0"/>
          <w:sz w:val="24"/>
          <w:szCs w:val="24"/>
          <w:highlight w:val="none"/>
        </w:rPr>
      </w:pPr>
    </w:p>
    <w:p w14:paraId="360D0B08">
      <w:pPr>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如投标人为金融、保险、通讯等特定行业全国性企业所设立的区域性分支机构的，需提供总公司（总机构）授权文件或提供省级机构（一级机构）授权文件（如分支机构已是直属总机构的一级机构，则无需再提供授权书），如无明显确定为省级机构（一级机构）需提供相关证明。</w:t>
      </w:r>
    </w:p>
    <w:p w14:paraId="129248F5">
      <w:pPr>
        <w:rPr>
          <w:rFonts w:hint="eastAsia" w:ascii="宋体" w:hAnsi="宋体" w:eastAsia="宋体" w:cs="宋体"/>
          <w:b w:val="0"/>
          <w:bCs w:val="0"/>
          <w:sz w:val="24"/>
          <w:szCs w:val="24"/>
          <w:highlight w:val="none"/>
        </w:rPr>
      </w:pPr>
    </w:p>
    <w:p w14:paraId="639217C9">
      <w:pPr>
        <w:pStyle w:val="2"/>
        <w:rPr>
          <w:rFonts w:hint="eastAsia" w:ascii="宋体" w:hAnsi="宋体" w:eastAsia="宋体" w:cs="宋体"/>
          <w:highlight w:val="none"/>
        </w:rPr>
      </w:pPr>
    </w:p>
    <w:p w14:paraId="08780208">
      <w:pPr>
        <w:rPr>
          <w:rFonts w:hint="eastAsia" w:ascii="宋体" w:hAnsi="宋体" w:eastAsia="宋体" w:cs="宋体"/>
          <w:b w:val="0"/>
          <w:bCs w:val="0"/>
          <w:sz w:val="24"/>
          <w:szCs w:val="24"/>
          <w:highlight w:val="none"/>
        </w:rPr>
      </w:pPr>
    </w:p>
    <w:p w14:paraId="6014E8B8">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投标供应商</w:t>
      </w:r>
      <w:r>
        <w:rPr>
          <w:rFonts w:hint="eastAsia" w:ascii="宋体" w:hAnsi="宋体" w:eastAsia="宋体" w:cs="宋体"/>
          <w:b w:val="0"/>
          <w:bCs w:val="0"/>
          <w:sz w:val="24"/>
          <w:szCs w:val="24"/>
          <w:highlight w:val="none"/>
          <w:lang w:eastAsia="zh-CN"/>
        </w:rPr>
        <w:t>具有的具有中国银行间市场交易商协会认定的主承销资</w:t>
      </w:r>
      <w:r>
        <w:rPr>
          <w:rFonts w:hint="eastAsia" w:ascii="宋体" w:hAnsi="宋体" w:eastAsia="宋体" w:cs="宋体"/>
          <w:b w:val="0"/>
          <w:bCs w:val="0"/>
          <w:sz w:val="24"/>
          <w:szCs w:val="24"/>
          <w:highlight w:val="none"/>
          <w:lang w:val="en-US" w:eastAsia="zh-CN"/>
        </w:rPr>
        <w:t>资格</w:t>
      </w:r>
      <w:r>
        <w:rPr>
          <w:rFonts w:hint="eastAsia" w:ascii="宋体" w:hAnsi="宋体" w:eastAsia="宋体" w:cs="宋体"/>
          <w:b w:val="0"/>
          <w:bCs w:val="0"/>
          <w:sz w:val="24"/>
          <w:szCs w:val="24"/>
          <w:highlight w:val="none"/>
          <w:lang w:eastAsia="zh-CN"/>
        </w:rPr>
        <w:t>的证明文件</w:t>
      </w:r>
      <w:r>
        <w:rPr>
          <w:rFonts w:hint="eastAsia" w:ascii="宋体" w:hAnsi="宋体" w:eastAsia="宋体" w:cs="宋体"/>
          <w:b w:val="0"/>
          <w:bCs w:val="0"/>
          <w:sz w:val="24"/>
          <w:szCs w:val="24"/>
          <w:highlight w:val="none"/>
        </w:rPr>
        <w:t>（复印件加盖单位公章）</w:t>
      </w:r>
    </w:p>
    <w:p w14:paraId="567E0B01">
      <w:pPr>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如投标人为全国性企业所设立的区域性分支机构的，则提交总公司的相关债券承销业务的资格证明文件复印件加盖单位公章，同时提供总公司（总机构）授权文件或提供省级机构（一级机构）授权文件。</w:t>
      </w:r>
    </w:p>
    <w:p w14:paraId="6ACABEEB">
      <w:pPr>
        <w:pStyle w:val="2"/>
        <w:ind w:firstLine="210"/>
        <w:rPr>
          <w:rFonts w:hint="eastAsia" w:ascii="宋体" w:hAnsi="宋体" w:eastAsia="宋体" w:cs="宋体"/>
          <w:b w:val="0"/>
          <w:color w:val="000000" w:themeColor="text1"/>
          <w:sz w:val="21"/>
          <w:szCs w:val="21"/>
          <w:highlight w:val="none"/>
          <w14:textFill>
            <w14:solidFill>
              <w14:schemeClr w14:val="tx1"/>
            </w14:solidFill>
          </w14:textFill>
        </w:rPr>
      </w:pPr>
    </w:p>
    <w:p w14:paraId="34C0977E">
      <w:pPr>
        <w:snapToGrid w:val="0"/>
        <w:spacing w:before="50" w:after="120" w:afterLines="50"/>
        <w:jc w:val="left"/>
        <w:rPr>
          <w:rFonts w:hint="eastAsia" w:ascii="宋体" w:hAnsi="宋体" w:eastAsia="宋体" w:cs="宋体"/>
          <w:b w:val="0"/>
          <w:sz w:val="24"/>
          <w:szCs w:val="24"/>
          <w:highlight w:val="none"/>
          <w:lang w:eastAsia="zh-CN"/>
        </w:rPr>
      </w:pPr>
    </w:p>
    <w:p w14:paraId="7397BBA6">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val="0"/>
          <w:sz w:val="24"/>
          <w:szCs w:val="24"/>
          <w:highlight w:val="none"/>
        </w:rPr>
        <w:t>以上证书若为复印件，须加盖投标人单位公章</w:t>
      </w:r>
      <w:r>
        <w:rPr>
          <w:rFonts w:hint="eastAsia" w:ascii="宋体" w:hAnsi="宋体" w:eastAsia="宋体" w:cs="宋体"/>
          <w:b w:val="0"/>
          <w:sz w:val="24"/>
          <w:szCs w:val="24"/>
          <w:highlight w:val="none"/>
        </w:rPr>
        <w:br w:type="page"/>
      </w:r>
      <w:r>
        <w:rPr>
          <w:rFonts w:hint="eastAsia" w:ascii="宋体" w:hAnsi="宋体" w:eastAsia="宋体" w:cs="宋体"/>
          <w:b/>
          <w:sz w:val="24"/>
          <w:szCs w:val="24"/>
          <w:highlight w:val="none"/>
        </w:rPr>
        <w:t>附件四</w:t>
      </w:r>
    </w:p>
    <w:p w14:paraId="29D6D9FF">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4</w:t>
      </w:r>
      <w:r>
        <w:rPr>
          <w:rFonts w:hint="eastAsia" w:ascii="宋体" w:hAnsi="宋体" w:eastAsia="宋体" w:cs="宋体"/>
          <w:b/>
          <w:sz w:val="30"/>
          <w:szCs w:val="24"/>
          <w:highlight w:val="none"/>
        </w:rPr>
        <w:t>）投标声明书</w:t>
      </w:r>
    </w:p>
    <w:p w14:paraId="0FC6DBE6">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lang w:eastAsia="zh-CN"/>
        </w:rPr>
        <w:t>温州市交通发展集团有限公司</w:t>
      </w:r>
      <w:r>
        <w:rPr>
          <w:rFonts w:hint="eastAsia" w:ascii="宋体" w:hAnsi="宋体" w:eastAsia="宋体" w:cs="宋体"/>
          <w:sz w:val="22"/>
          <w:highlight w:val="none"/>
        </w:rPr>
        <w:t>：</w:t>
      </w:r>
    </w:p>
    <w:p w14:paraId="6621DFA0">
      <w:pPr>
        <w:snapToGrid w:val="0"/>
        <w:spacing w:before="120" w:after="50" w:line="320" w:lineRule="exact"/>
        <w:ind w:firstLine="440" w:firstLineChars="200"/>
        <w:rPr>
          <w:rFonts w:hint="eastAsia" w:ascii="宋体" w:hAnsi="宋体" w:eastAsia="宋体" w:cs="宋体"/>
          <w:sz w:val="22"/>
          <w:highlight w:val="none"/>
          <w:u w:val="single"/>
        </w:rPr>
      </w:pPr>
    </w:p>
    <w:p w14:paraId="20FAC645">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1ECCBA47">
      <w:pPr>
        <w:snapToGrid w:val="0"/>
        <w:spacing w:before="120" w:after="5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（姓名）系</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（投标人名称）的法定代表人（负责人），我方愿意参加贵方组织的</w:t>
      </w:r>
      <w:r>
        <w:rPr>
          <w:rFonts w:hint="eastAsia" w:ascii="宋体" w:hAnsi="宋体" w:eastAsia="宋体" w:cs="宋体"/>
          <w:color w:val="auto"/>
          <w:sz w:val="22"/>
          <w:highlight w:val="none"/>
          <w:u w:val="single"/>
        </w:rPr>
        <w:t xml:space="preserve">   （项目名称、</w:t>
      </w:r>
      <w:r>
        <w:rPr>
          <w:rFonts w:hint="eastAsia" w:ascii="宋体" w:hAnsi="宋体" w:eastAsia="宋体" w:cs="宋体"/>
          <w:color w:val="auto"/>
          <w:sz w:val="22"/>
          <w:highlight w:val="none"/>
          <w:u w:val="single"/>
          <w:lang w:eastAsia="zh-CN"/>
        </w:rPr>
        <w:t>项目</w:t>
      </w:r>
      <w:r>
        <w:rPr>
          <w:rFonts w:hint="eastAsia" w:ascii="宋体" w:hAnsi="宋体" w:eastAsia="宋体" w:cs="宋体"/>
          <w:color w:val="auto"/>
          <w:sz w:val="22"/>
          <w:highlight w:val="none"/>
          <w:u w:val="single"/>
        </w:rPr>
        <w:t xml:space="preserve">编号）     </w:t>
      </w:r>
      <w:r>
        <w:rPr>
          <w:rFonts w:hint="eastAsia" w:ascii="宋体" w:hAnsi="宋体" w:eastAsia="宋体" w:cs="宋体"/>
          <w:color w:val="auto"/>
          <w:sz w:val="22"/>
          <w:highlight w:val="none"/>
        </w:rPr>
        <w:t>项目的投标，为便于贵方公正、择优地确定中标人及其投标服务，我方就参加本次投标有关事项郑重声明如下：</w:t>
      </w:r>
    </w:p>
    <w:p w14:paraId="17F63DD7">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1.本投标有效期</w:t>
      </w:r>
      <w:r>
        <w:rPr>
          <w:rFonts w:hint="eastAsia" w:ascii="宋体" w:hAnsi="宋体" w:eastAsia="宋体" w:cs="宋体"/>
          <w:color w:val="auto"/>
          <w:sz w:val="22"/>
          <w:highlight w:val="none"/>
          <w:lang w:val="en-US" w:eastAsia="zh-CN"/>
        </w:rPr>
        <w:t>为响应采购文件要求</w:t>
      </w:r>
      <w:r>
        <w:rPr>
          <w:rFonts w:hint="eastAsia" w:ascii="宋体" w:hAnsi="宋体" w:eastAsia="宋体" w:cs="宋体"/>
          <w:color w:val="auto"/>
          <w:sz w:val="22"/>
          <w:highlight w:val="none"/>
        </w:rPr>
        <w:t>。</w:t>
      </w:r>
    </w:p>
    <w:p w14:paraId="27B4C379">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2.我方向贵方提交的所有投标文件、资料都是准确的和真实的。</w:t>
      </w:r>
    </w:p>
    <w:p w14:paraId="274F4E6D">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3.我方不是采购人的附属机构。</w:t>
      </w:r>
    </w:p>
    <w:p w14:paraId="51600CC6">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4.我方未参加本采购项目的整体设计、规范编制或者项目管理、监理、检测等服务工作。</w:t>
      </w:r>
    </w:p>
    <w:p w14:paraId="07BB5A4E">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174D51AA">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01CF12FC">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5C56DC13">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项目的投标活动，</w:t>
      </w:r>
    </w:p>
    <w:p w14:paraId="1A27D4AB">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225EEA64">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0B700C37">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35960039">
      <w:pPr>
        <w:snapToGrid w:val="0"/>
        <w:spacing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截至投标截止日前，我方被列入“信用中国”网(www.creditchina.gov.cn)失信被执行人、重大税收违法案件当事人名单情况有</w:t>
      </w:r>
    </w:p>
    <w:p w14:paraId="6BDB76B0">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p>
    <w:p w14:paraId="2BB5E31C">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14:paraId="0DE7DFFC">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3627C95A">
      <w:pPr>
        <w:snapToGrid w:val="0"/>
        <w:spacing w:before="120" w:beforeLines="50"/>
        <w:ind w:firstLine="200"/>
        <w:rPr>
          <w:rFonts w:hint="eastAsia" w:ascii="宋体" w:hAnsi="宋体" w:eastAsia="宋体" w:cs="宋体"/>
          <w:sz w:val="18"/>
          <w:szCs w:val="18"/>
          <w:highlight w:val="none"/>
        </w:rPr>
      </w:pPr>
    </w:p>
    <w:p w14:paraId="0D099D4B">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59E4679E">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lang w:val="en-US" w:eastAsia="zh-CN"/>
        </w:rPr>
        <w:t>日期：</w:t>
      </w:r>
    </w:p>
    <w:p w14:paraId="75CBDEA8">
      <w:pPr>
        <w:ind w:left="826" w:hanging="826" w:hangingChars="294"/>
        <w:rPr>
          <w:rFonts w:hint="eastAsia" w:ascii="宋体" w:hAnsi="宋体" w:eastAsia="宋体" w:cs="宋体"/>
          <w:b/>
          <w:bCs/>
          <w:sz w:val="28"/>
          <w:szCs w:val="28"/>
          <w:highlight w:val="none"/>
        </w:rPr>
      </w:pPr>
    </w:p>
    <w:p w14:paraId="6CA0F6E9">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4348FE56">
      <w:pPr>
        <w:rPr>
          <w:rFonts w:hint="eastAsia" w:ascii="宋体" w:hAnsi="宋体" w:eastAsia="宋体" w:cs="宋体"/>
          <w:highlight w:val="none"/>
          <w:lang w:val="en-US" w:eastAsia="zh-CN"/>
        </w:rPr>
      </w:pP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五</w:t>
      </w:r>
    </w:p>
    <w:p w14:paraId="1C23D480">
      <w:pPr>
        <w:spacing w:line="440" w:lineRule="exact"/>
        <w:jc w:val="center"/>
        <w:rPr>
          <w:rFonts w:hint="eastAsia" w:ascii="宋体" w:hAnsi="宋体" w:eastAsia="宋体" w:cs="宋体"/>
          <w:b/>
          <w:bCs/>
          <w:sz w:val="32"/>
          <w:szCs w:val="32"/>
          <w:highlight w:val="none"/>
        </w:rPr>
      </w:pPr>
    </w:p>
    <w:p w14:paraId="3B3908DF">
      <w:pPr>
        <w:jc w:val="center"/>
        <w:rPr>
          <w:rFonts w:hint="eastAsia" w:ascii="宋体" w:hAnsi="宋体" w:eastAsia="宋体" w:cs="宋体"/>
          <w:b/>
          <w:sz w:val="28"/>
          <w:highlight w:val="none"/>
        </w:rPr>
      </w:pPr>
      <w:r>
        <w:rPr>
          <w:rFonts w:hint="eastAsia" w:ascii="宋体" w:hAnsi="宋体" w:eastAsia="宋体" w:cs="宋体"/>
          <w:b/>
          <w:sz w:val="28"/>
          <w:highlight w:val="none"/>
        </w:rPr>
        <w:t>拟投入本项目的服务团队人员配置表</w:t>
      </w:r>
    </w:p>
    <w:p w14:paraId="41913A27">
      <w:pPr>
        <w:jc w:val="center"/>
        <w:rPr>
          <w:rFonts w:hint="eastAsia" w:ascii="宋体" w:hAnsi="宋体" w:eastAsia="宋体" w:cs="宋体"/>
          <w:b/>
          <w:color w:val="auto"/>
          <w:sz w:val="28"/>
          <w:highlight w:val="none"/>
        </w:rPr>
      </w:pPr>
    </w:p>
    <w:p w14:paraId="15E2729D">
      <w:pPr>
        <w:ind w:firstLine="107" w:firstLineChars="4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项目编号： </w:t>
      </w:r>
    </w:p>
    <w:tbl>
      <w:tblPr>
        <w:tblStyle w:val="2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11"/>
        <w:gridCol w:w="667"/>
        <w:gridCol w:w="1044"/>
        <w:gridCol w:w="931"/>
        <w:gridCol w:w="2123"/>
        <w:gridCol w:w="1562"/>
      </w:tblGrid>
      <w:tr w14:paraId="474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tcBorders>
              <w:top w:val="single" w:color="auto" w:sz="4" w:space="0"/>
              <w:left w:val="single" w:color="auto" w:sz="4" w:space="0"/>
              <w:bottom w:val="single" w:color="auto" w:sz="4" w:space="0"/>
              <w:right w:val="single" w:color="auto" w:sz="4" w:space="0"/>
            </w:tcBorders>
            <w:vAlign w:val="center"/>
          </w:tcPr>
          <w:p w14:paraId="74D886C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11" w:type="dxa"/>
            <w:tcBorders>
              <w:top w:val="single" w:color="auto" w:sz="4" w:space="0"/>
              <w:left w:val="single" w:color="auto" w:sz="4" w:space="0"/>
              <w:bottom w:val="single" w:color="auto" w:sz="4" w:space="0"/>
              <w:right w:val="single" w:color="auto" w:sz="4" w:space="0"/>
            </w:tcBorders>
            <w:vAlign w:val="center"/>
          </w:tcPr>
          <w:p w14:paraId="207322F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667" w:type="dxa"/>
            <w:tcBorders>
              <w:top w:val="single" w:color="auto" w:sz="4" w:space="0"/>
              <w:left w:val="single" w:color="auto" w:sz="4" w:space="0"/>
              <w:bottom w:val="single" w:color="auto" w:sz="4" w:space="0"/>
              <w:right w:val="single" w:color="auto" w:sz="4" w:space="0"/>
            </w:tcBorders>
            <w:vAlign w:val="center"/>
          </w:tcPr>
          <w:p w14:paraId="31D331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1044" w:type="dxa"/>
            <w:tcBorders>
              <w:top w:val="single" w:color="auto" w:sz="4" w:space="0"/>
              <w:left w:val="single" w:color="auto" w:sz="4" w:space="0"/>
              <w:bottom w:val="single" w:color="auto" w:sz="4" w:space="0"/>
              <w:right w:val="single" w:color="auto" w:sz="4" w:space="0"/>
            </w:tcBorders>
            <w:vAlign w:val="center"/>
          </w:tcPr>
          <w:p w14:paraId="78175B3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岗位</w:t>
            </w:r>
          </w:p>
        </w:tc>
        <w:tc>
          <w:tcPr>
            <w:tcW w:w="931" w:type="dxa"/>
            <w:tcBorders>
              <w:top w:val="single" w:color="auto" w:sz="4" w:space="0"/>
              <w:left w:val="single" w:color="auto" w:sz="4" w:space="0"/>
              <w:bottom w:val="single" w:color="auto" w:sz="4" w:space="0"/>
              <w:right w:val="single" w:color="auto" w:sz="4" w:space="0"/>
            </w:tcBorders>
            <w:vAlign w:val="center"/>
          </w:tcPr>
          <w:p w14:paraId="479AF0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2123" w:type="dxa"/>
            <w:tcBorders>
              <w:top w:val="single" w:color="auto" w:sz="4" w:space="0"/>
              <w:left w:val="single" w:color="auto" w:sz="4" w:space="0"/>
              <w:bottom w:val="single" w:color="auto" w:sz="4" w:space="0"/>
              <w:right w:val="single" w:color="auto" w:sz="4" w:space="0"/>
            </w:tcBorders>
            <w:vAlign w:val="center"/>
          </w:tcPr>
          <w:p w14:paraId="2D8511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拟任本项目业务的职务</w:t>
            </w:r>
          </w:p>
        </w:tc>
        <w:tc>
          <w:tcPr>
            <w:tcW w:w="1562" w:type="dxa"/>
            <w:tcBorders>
              <w:top w:val="single" w:color="auto" w:sz="4" w:space="0"/>
              <w:left w:val="single" w:color="auto" w:sz="4" w:space="0"/>
              <w:bottom w:val="single" w:color="auto" w:sz="4" w:space="0"/>
              <w:right w:val="single" w:color="auto" w:sz="4" w:space="0"/>
            </w:tcBorders>
            <w:vAlign w:val="center"/>
          </w:tcPr>
          <w:p w14:paraId="04D0D5F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参与管理项目数量</w:t>
            </w:r>
          </w:p>
        </w:tc>
      </w:tr>
      <w:tr w14:paraId="704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43FBBD8">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2E13D3A8">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7ED0EBF0">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65D642A9">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2C2F5F1F">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24F22BA7">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26092B72">
            <w:pPr>
              <w:jc w:val="center"/>
              <w:rPr>
                <w:rFonts w:hint="eastAsia" w:ascii="宋体" w:hAnsi="宋体" w:eastAsia="宋体" w:cs="宋体"/>
                <w:color w:val="auto"/>
                <w:sz w:val="22"/>
                <w:szCs w:val="22"/>
                <w:highlight w:val="none"/>
              </w:rPr>
            </w:pPr>
          </w:p>
        </w:tc>
      </w:tr>
      <w:tr w14:paraId="5F46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CEE6513">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1411792F">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47F47040">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4EEEA766">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7BE809BF">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94AC81A">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10A2C3BA">
            <w:pPr>
              <w:jc w:val="center"/>
              <w:rPr>
                <w:rFonts w:hint="eastAsia" w:ascii="宋体" w:hAnsi="宋体" w:eastAsia="宋体" w:cs="宋体"/>
                <w:color w:val="auto"/>
                <w:sz w:val="22"/>
                <w:szCs w:val="22"/>
                <w:highlight w:val="none"/>
              </w:rPr>
            </w:pPr>
          </w:p>
        </w:tc>
      </w:tr>
      <w:tr w14:paraId="334A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029FA92">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2B514FD4">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36FB33F9">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75AC8EBC">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2AC9CF8E">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51820D6A">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2B99FE7B">
            <w:pPr>
              <w:jc w:val="center"/>
              <w:rPr>
                <w:rFonts w:hint="eastAsia" w:ascii="宋体" w:hAnsi="宋体" w:eastAsia="宋体" w:cs="宋体"/>
                <w:color w:val="auto"/>
                <w:sz w:val="22"/>
                <w:szCs w:val="22"/>
                <w:highlight w:val="none"/>
              </w:rPr>
            </w:pPr>
          </w:p>
        </w:tc>
      </w:tr>
      <w:tr w14:paraId="5F0D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F45A203">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6CCAACA7">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2903887B">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2CB9BE1D">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4F4E8F9D">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28E5CBFD">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2921A403">
            <w:pPr>
              <w:jc w:val="center"/>
              <w:rPr>
                <w:rFonts w:hint="eastAsia" w:ascii="宋体" w:hAnsi="宋体" w:eastAsia="宋体" w:cs="宋体"/>
                <w:color w:val="auto"/>
                <w:sz w:val="22"/>
                <w:szCs w:val="22"/>
                <w:highlight w:val="none"/>
              </w:rPr>
            </w:pPr>
          </w:p>
        </w:tc>
      </w:tr>
      <w:tr w14:paraId="0907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31F62AC">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2E14B490">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0EE576E4">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5D1904C5">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6CA9AE72">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1CDA5CE">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4A3D8D89">
            <w:pPr>
              <w:jc w:val="center"/>
              <w:rPr>
                <w:rFonts w:hint="eastAsia" w:ascii="宋体" w:hAnsi="宋体" w:eastAsia="宋体" w:cs="宋体"/>
                <w:color w:val="auto"/>
                <w:sz w:val="22"/>
                <w:szCs w:val="22"/>
                <w:highlight w:val="none"/>
              </w:rPr>
            </w:pPr>
          </w:p>
        </w:tc>
      </w:tr>
      <w:tr w14:paraId="6DEE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9C36466">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5EB9F462">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071087A3">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71DBE09B">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6B2FB4F2">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F953E19">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612D9BD0">
            <w:pPr>
              <w:jc w:val="center"/>
              <w:rPr>
                <w:rFonts w:hint="eastAsia" w:ascii="宋体" w:hAnsi="宋体" w:eastAsia="宋体" w:cs="宋体"/>
                <w:color w:val="auto"/>
                <w:sz w:val="22"/>
                <w:szCs w:val="22"/>
                <w:highlight w:val="none"/>
              </w:rPr>
            </w:pPr>
          </w:p>
        </w:tc>
      </w:tr>
      <w:tr w14:paraId="7776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75D10AF">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2E76AE25">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251A2B6A">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6F6D5D7C">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0A1082D9">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77E605FF">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6B4B87ED">
            <w:pPr>
              <w:jc w:val="center"/>
              <w:rPr>
                <w:rFonts w:hint="eastAsia" w:ascii="宋体" w:hAnsi="宋体" w:eastAsia="宋体" w:cs="宋体"/>
                <w:color w:val="auto"/>
                <w:sz w:val="22"/>
                <w:szCs w:val="22"/>
                <w:highlight w:val="none"/>
              </w:rPr>
            </w:pPr>
          </w:p>
        </w:tc>
      </w:tr>
      <w:tr w14:paraId="66A4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26E3CBD">
            <w:pPr>
              <w:jc w:val="center"/>
              <w:rPr>
                <w:rFonts w:hint="eastAsia" w:ascii="宋体" w:hAnsi="宋体" w:eastAsia="宋体" w:cs="宋体"/>
                <w:color w:val="auto"/>
                <w:sz w:val="22"/>
                <w:szCs w:val="22"/>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53A4926B">
            <w:pPr>
              <w:jc w:val="center"/>
              <w:rPr>
                <w:rFonts w:hint="eastAsia" w:ascii="宋体" w:hAnsi="宋体" w:eastAsia="宋体" w:cs="宋体"/>
                <w:color w:val="auto"/>
                <w:sz w:val="22"/>
                <w:szCs w:val="22"/>
                <w:highlight w:val="none"/>
              </w:rPr>
            </w:pPr>
          </w:p>
        </w:tc>
        <w:tc>
          <w:tcPr>
            <w:tcW w:w="667" w:type="dxa"/>
            <w:tcBorders>
              <w:top w:val="single" w:color="auto" w:sz="4" w:space="0"/>
              <w:left w:val="single" w:color="auto" w:sz="4" w:space="0"/>
              <w:bottom w:val="single" w:color="auto" w:sz="4" w:space="0"/>
              <w:right w:val="single" w:color="auto" w:sz="4" w:space="0"/>
            </w:tcBorders>
            <w:vAlign w:val="center"/>
          </w:tcPr>
          <w:p w14:paraId="7ED8BF62">
            <w:pPr>
              <w:jc w:val="center"/>
              <w:rPr>
                <w:rFonts w:hint="eastAsia" w:ascii="宋体" w:hAnsi="宋体" w:eastAsia="宋体" w:cs="宋体"/>
                <w:color w:val="auto"/>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37BD2A33">
            <w:pPr>
              <w:jc w:val="center"/>
              <w:rPr>
                <w:rFonts w:hint="eastAsia" w:ascii="宋体" w:hAnsi="宋体" w:eastAsia="宋体" w:cs="宋体"/>
                <w:color w:val="auto"/>
                <w:sz w:val="22"/>
                <w:szCs w:val="22"/>
                <w:highlight w:val="none"/>
              </w:rPr>
            </w:pPr>
          </w:p>
        </w:tc>
        <w:tc>
          <w:tcPr>
            <w:tcW w:w="931" w:type="dxa"/>
            <w:tcBorders>
              <w:top w:val="single" w:color="auto" w:sz="4" w:space="0"/>
              <w:left w:val="single" w:color="auto" w:sz="4" w:space="0"/>
              <w:bottom w:val="single" w:color="auto" w:sz="4" w:space="0"/>
              <w:right w:val="single" w:color="auto" w:sz="4" w:space="0"/>
            </w:tcBorders>
            <w:vAlign w:val="center"/>
          </w:tcPr>
          <w:p w14:paraId="35D5AE84">
            <w:pPr>
              <w:jc w:val="center"/>
              <w:rPr>
                <w:rFonts w:hint="eastAsia" w:ascii="宋体" w:hAnsi="宋体" w:eastAsia="宋体" w:cs="宋体"/>
                <w:color w:val="auto"/>
                <w:sz w:val="22"/>
                <w:szCs w:val="22"/>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3771596">
            <w:pPr>
              <w:jc w:val="center"/>
              <w:rPr>
                <w:rFonts w:hint="eastAsia" w:ascii="宋体" w:hAnsi="宋体" w:eastAsia="宋体" w:cs="宋体"/>
                <w:color w:val="auto"/>
                <w:sz w:val="22"/>
                <w:szCs w:val="22"/>
                <w:highlight w:val="none"/>
              </w:rPr>
            </w:pPr>
          </w:p>
        </w:tc>
        <w:tc>
          <w:tcPr>
            <w:tcW w:w="1562" w:type="dxa"/>
            <w:tcBorders>
              <w:top w:val="single" w:color="auto" w:sz="4" w:space="0"/>
              <w:left w:val="single" w:color="auto" w:sz="4" w:space="0"/>
              <w:bottom w:val="single" w:color="auto" w:sz="4" w:space="0"/>
              <w:right w:val="single" w:color="auto" w:sz="4" w:space="0"/>
            </w:tcBorders>
            <w:vAlign w:val="center"/>
          </w:tcPr>
          <w:p w14:paraId="6C356AFE">
            <w:pPr>
              <w:jc w:val="center"/>
              <w:rPr>
                <w:rFonts w:hint="eastAsia" w:ascii="宋体" w:hAnsi="宋体" w:eastAsia="宋体" w:cs="宋体"/>
                <w:color w:val="auto"/>
                <w:sz w:val="22"/>
                <w:szCs w:val="22"/>
                <w:highlight w:val="none"/>
              </w:rPr>
            </w:pPr>
          </w:p>
        </w:tc>
      </w:tr>
    </w:tbl>
    <w:p w14:paraId="61FF17CD">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color w:val="auto"/>
          <w:sz w:val="22"/>
          <w:szCs w:val="22"/>
          <w:highlight w:val="none"/>
          <w:lang w:eastAsia="zh-CN"/>
        </w:rPr>
        <w:t>投标人</w:t>
      </w:r>
      <w:r>
        <w:rPr>
          <w:rFonts w:hint="eastAsia" w:ascii="宋体" w:hAnsi="宋体" w:eastAsia="宋体" w:cs="宋体"/>
          <w:b/>
          <w:color w:val="auto"/>
          <w:sz w:val="22"/>
          <w:szCs w:val="22"/>
          <w:highlight w:val="none"/>
        </w:rPr>
        <w:t>为完成本项目组建的项目组人员名单，每个专业人员的情况和人员数应该明确表示，项目组人员须为公司的正式职员；上述人员未经采购人同意，不得擅自更换。</w:t>
      </w:r>
    </w:p>
    <w:p w14:paraId="36D7F025">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color w:val="auto"/>
          <w:sz w:val="22"/>
          <w:szCs w:val="22"/>
          <w:highlight w:val="none"/>
        </w:rPr>
      </w:pPr>
    </w:p>
    <w:p w14:paraId="3FB834D1">
      <w:pPr>
        <w:widowControl/>
        <w:overflowPunct w:val="0"/>
        <w:autoSpaceDE w:val="0"/>
        <w:autoSpaceDN w:val="0"/>
        <w:adjustRightInd w:val="0"/>
        <w:spacing w:line="400" w:lineRule="atLeast"/>
        <w:ind w:left="661" w:leftChars="52" w:hanging="552" w:hangingChars="250"/>
        <w:jc w:val="left"/>
        <w:textAlignment w:val="baseline"/>
        <w:rPr>
          <w:rFonts w:hint="eastAsia" w:ascii="宋体" w:hAnsi="宋体" w:eastAsia="宋体" w:cs="宋体"/>
          <w:b/>
          <w:color w:val="auto"/>
          <w:sz w:val="22"/>
          <w:szCs w:val="22"/>
          <w:highlight w:val="none"/>
        </w:rPr>
      </w:pPr>
    </w:p>
    <w:p w14:paraId="2090A748">
      <w:pPr>
        <w:spacing w:line="400" w:lineRule="exact"/>
        <w:jc w:val="center"/>
        <w:rPr>
          <w:rFonts w:hint="eastAsia" w:ascii="宋体" w:hAnsi="宋体" w:eastAsia="宋体" w:cs="宋体"/>
          <w:b/>
          <w:bCs/>
          <w:color w:val="auto"/>
          <w:sz w:val="22"/>
          <w:szCs w:val="22"/>
          <w:highlight w:val="none"/>
        </w:rPr>
      </w:pPr>
    </w:p>
    <w:p w14:paraId="27E46A93">
      <w:pPr>
        <w:pStyle w:val="15"/>
        <w:spacing w:line="40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w:t>
      </w:r>
      <w:r>
        <w:rPr>
          <w:rFonts w:hint="eastAsia" w:ascii="宋体" w:hAnsi="宋体" w:eastAsia="宋体" w:cs="宋体"/>
          <w:color w:val="auto"/>
          <w:sz w:val="22"/>
          <w:highlight w:val="none"/>
          <w:lang w:val="en-US" w:eastAsia="zh-CN"/>
        </w:rPr>
        <w:t>人全</w:t>
      </w:r>
      <w:r>
        <w:rPr>
          <w:rFonts w:hint="eastAsia" w:ascii="宋体" w:hAnsi="宋体" w:eastAsia="宋体" w:cs="宋体"/>
          <w:color w:val="auto"/>
          <w:sz w:val="22"/>
          <w:highlight w:val="none"/>
        </w:rPr>
        <w:t>称（</w:t>
      </w:r>
      <w:r>
        <w:rPr>
          <w:rFonts w:hint="eastAsia" w:ascii="宋体" w:hAnsi="宋体" w:eastAsia="宋体" w:cs="宋体"/>
          <w:color w:val="auto"/>
          <w:sz w:val="22"/>
          <w:highlight w:val="none"/>
          <w:lang w:eastAsia="zh-CN"/>
        </w:rPr>
        <w:t>盖</w:t>
      </w:r>
      <w:r>
        <w:rPr>
          <w:rFonts w:hint="eastAsia" w:ascii="宋体" w:hAnsi="宋体" w:eastAsia="宋体" w:cs="宋体"/>
          <w:color w:val="auto"/>
          <w:sz w:val="22"/>
          <w:highlight w:val="none"/>
          <w:lang w:val="en-US" w:eastAsia="zh-CN"/>
        </w:rPr>
        <w:t>公</w:t>
      </w:r>
      <w:r>
        <w:rPr>
          <w:rFonts w:hint="eastAsia" w:ascii="宋体" w:hAnsi="宋体" w:eastAsia="宋体" w:cs="宋体"/>
          <w:color w:val="auto"/>
          <w:sz w:val="22"/>
          <w:highlight w:val="none"/>
          <w:lang w:eastAsia="zh-CN"/>
        </w:rPr>
        <w:t>章</w:t>
      </w:r>
      <w:r>
        <w:rPr>
          <w:rFonts w:hint="eastAsia" w:ascii="宋体" w:hAnsi="宋体" w:eastAsia="宋体" w:cs="宋体"/>
          <w:color w:val="auto"/>
          <w:sz w:val="22"/>
          <w:highlight w:val="none"/>
        </w:rPr>
        <w:t>）：</w:t>
      </w:r>
    </w:p>
    <w:p w14:paraId="46E995F9">
      <w:pPr>
        <w:pStyle w:val="15"/>
        <w:spacing w:line="400" w:lineRule="atLeas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法定代表人（或单位负责人）或其授权代表（签字或盖章）</w:t>
      </w:r>
      <w:r>
        <w:rPr>
          <w:rFonts w:hint="eastAsia" w:ascii="宋体" w:hAnsi="宋体" w:eastAsia="宋体" w:cs="宋体"/>
          <w:color w:val="auto"/>
          <w:sz w:val="22"/>
          <w:highlight w:val="none"/>
        </w:rPr>
        <w:t>：</w:t>
      </w:r>
    </w:p>
    <w:p w14:paraId="37F7E2EE">
      <w:pPr>
        <w:spacing w:line="500" w:lineRule="exact"/>
        <w:jc w:val="left"/>
        <w:rPr>
          <w:rFonts w:hint="eastAsia" w:ascii="宋体" w:hAnsi="宋体" w:eastAsia="宋体" w:cs="宋体"/>
          <w:sz w:val="22"/>
          <w:highlight w:val="none"/>
        </w:rPr>
      </w:pPr>
      <w:r>
        <w:rPr>
          <w:rFonts w:hint="eastAsia" w:ascii="宋体" w:hAnsi="宋体" w:eastAsia="宋体" w:cs="宋体"/>
          <w:color w:val="auto"/>
          <w:sz w:val="22"/>
          <w:szCs w:val="22"/>
          <w:highlight w:val="none"/>
        </w:rPr>
        <w:t>日 期：</w:t>
      </w:r>
    </w:p>
    <w:p w14:paraId="48DD864A">
      <w:pPr>
        <w:spacing w:line="400" w:lineRule="exact"/>
        <w:ind w:firstLine="734" w:firstLineChars="334"/>
        <w:rPr>
          <w:rFonts w:hint="eastAsia" w:ascii="宋体" w:hAnsi="宋体" w:eastAsia="宋体" w:cs="宋体"/>
          <w:sz w:val="22"/>
          <w:highlight w:val="none"/>
        </w:rPr>
      </w:pPr>
    </w:p>
    <w:p w14:paraId="3EAF3345">
      <w:pPr>
        <w:rPr>
          <w:rFonts w:hint="eastAsia" w:ascii="宋体" w:hAnsi="宋体" w:eastAsia="宋体" w:cs="宋体"/>
          <w:b/>
          <w:bCs/>
          <w:sz w:val="32"/>
          <w:szCs w:val="32"/>
          <w:highlight w:val="none"/>
        </w:rPr>
      </w:pPr>
    </w:p>
    <w:p w14:paraId="2EEF7E3E">
      <w:pPr>
        <w:rPr>
          <w:rFonts w:hint="eastAsia" w:ascii="宋体" w:hAnsi="宋体" w:eastAsia="宋体" w:cs="宋体"/>
          <w:b/>
          <w:bCs/>
          <w:sz w:val="32"/>
          <w:szCs w:val="32"/>
          <w:highlight w:val="none"/>
        </w:rPr>
      </w:pPr>
    </w:p>
    <w:p w14:paraId="7CBC76AD">
      <w:pPr>
        <w:spacing w:line="380" w:lineRule="exact"/>
        <w:rPr>
          <w:rFonts w:hint="eastAsia" w:ascii="宋体" w:hAnsi="宋体" w:eastAsia="宋体" w:cs="宋体"/>
          <w:b/>
          <w:color w:val="auto"/>
          <w:spacing w:val="-2"/>
          <w:sz w:val="22"/>
        </w:rPr>
      </w:pPr>
      <w:r>
        <w:rPr>
          <w:rFonts w:hint="eastAsia" w:ascii="宋体" w:hAnsi="宋体" w:eastAsia="宋体" w:cs="宋体"/>
          <w:b/>
          <w:bCs/>
          <w:sz w:val="32"/>
          <w:szCs w:val="32"/>
          <w:highlight w:val="none"/>
        </w:rPr>
        <w:br w:type="page"/>
      </w:r>
      <w:r>
        <w:rPr>
          <w:rFonts w:hint="eastAsia" w:ascii="宋体" w:hAnsi="宋体" w:eastAsia="宋体" w:cs="宋体"/>
          <w:b/>
          <w:color w:val="auto"/>
          <w:spacing w:val="-2"/>
          <w:sz w:val="22"/>
        </w:rPr>
        <w:t>附件六</w:t>
      </w:r>
    </w:p>
    <w:p w14:paraId="7E9A0E78">
      <w:pPr>
        <w:spacing w:line="380" w:lineRule="exact"/>
        <w:jc w:val="center"/>
        <w:rPr>
          <w:rFonts w:hint="eastAsia" w:ascii="宋体" w:hAnsi="宋体" w:eastAsia="宋体" w:cs="宋体"/>
          <w:b/>
          <w:color w:val="auto"/>
          <w:spacing w:val="-2"/>
          <w:sz w:val="32"/>
          <w:szCs w:val="32"/>
        </w:rPr>
      </w:pPr>
    </w:p>
    <w:p w14:paraId="02FC623F">
      <w:pPr>
        <w:spacing w:line="380" w:lineRule="exact"/>
        <w:jc w:val="center"/>
        <w:rPr>
          <w:rFonts w:hint="eastAsia" w:ascii="宋体" w:hAnsi="宋体" w:eastAsia="宋体" w:cs="宋体"/>
          <w:color w:val="auto"/>
        </w:rPr>
      </w:pPr>
      <w:r>
        <w:rPr>
          <w:rFonts w:hint="eastAsia" w:ascii="宋体" w:hAnsi="宋体" w:eastAsia="宋体" w:cs="宋体"/>
          <w:b/>
          <w:color w:val="auto"/>
          <w:spacing w:val="-2"/>
          <w:sz w:val="32"/>
          <w:szCs w:val="32"/>
        </w:rPr>
        <w:t>中标承销费率承诺函</w:t>
      </w:r>
    </w:p>
    <w:p w14:paraId="7E552B66">
      <w:pPr>
        <w:spacing w:line="380" w:lineRule="exact"/>
        <w:rPr>
          <w:rFonts w:hint="eastAsia" w:ascii="宋体" w:hAnsi="宋体" w:eastAsia="宋体" w:cs="宋体"/>
          <w:color w:val="auto"/>
          <w:sz w:val="22"/>
        </w:rPr>
      </w:pPr>
      <w:r>
        <w:rPr>
          <w:rFonts w:hint="eastAsia" w:ascii="宋体" w:hAnsi="宋体" w:eastAsia="宋体" w:cs="宋体"/>
          <w:color w:val="auto"/>
          <w:sz w:val="22"/>
        </w:rPr>
        <w:t xml:space="preserve">                            </w:t>
      </w:r>
    </w:p>
    <w:p w14:paraId="09E5AB6D">
      <w:pPr>
        <w:spacing w:line="360" w:lineRule="auto"/>
        <w:rPr>
          <w:rFonts w:hint="eastAsia" w:ascii="宋体" w:hAnsi="宋体" w:eastAsia="宋体" w:cs="宋体"/>
          <w:color w:val="auto"/>
          <w:spacing w:val="-2"/>
          <w:szCs w:val="21"/>
        </w:rPr>
      </w:pPr>
      <w:r>
        <w:rPr>
          <w:rFonts w:hint="eastAsia" w:ascii="宋体" w:hAnsi="宋体" w:eastAsia="宋体" w:cs="宋体"/>
          <w:color w:val="auto"/>
          <w:spacing w:val="-2"/>
          <w:szCs w:val="21"/>
        </w:rPr>
        <w:t>温州市交通发展集团有限公司：</w:t>
      </w:r>
    </w:p>
    <w:p w14:paraId="505D747C">
      <w:pPr>
        <w:tabs>
          <w:tab w:val="left" w:pos="4860"/>
        </w:tabs>
        <w:spacing w:line="360" w:lineRule="auto"/>
        <w:ind w:right="98"/>
        <w:jc w:val="left"/>
        <w:rPr>
          <w:rFonts w:hint="eastAsia" w:ascii="宋体" w:hAnsi="宋体" w:eastAsia="宋体" w:cs="宋体"/>
          <w:color w:val="auto"/>
          <w:spacing w:val="-2"/>
          <w:szCs w:val="21"/>
        </w:rPr>
      </w:pPr>
    </w:p>
    <w:p w14:paraId="71758972">
      <w:pPr>
        <w:keepNext w:val="0"/>
        <w:keepLines w:val="0"/>
        <w:pageBreakBefore w:val="0"/>
        <w:widowControl w:val="0"/>
        <w:tabs>
          <w:tab w:val="left" w:pos="4860"/>
        </w:tabs>
        <w:kinsoku/>
        <w:wordWrap w:val="0"/>
        <w:overflowPunct/>
        <w:topLinePunct w:val="0"/>
        <w:autoSpaceDE/>
        <w:autoSpaceDN/>
        <w:bidi w:val="0"/>
        <w:adjustRightInd/>
        <w:snapToGrid/>
        <w:spacing w:line="360" w:lineRule="auto"/>
        <w:ind w:right="96" w:firstLine="412" w:firstLineChars="200"/>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我单位参与的贵单位组织的</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项目的投标。我单位针对</w:t>
      </w:r>
      <w:r>
        <w:rPr>
          <w:rFonts w:hint="eastAsia" w:ascii="宋体" w:hAnsi="宋体" w:eastAsia="宋体" w:cs="宋体"/>
          <w:b/>
          <w:bCs/>
          <w:color w:val="auto"/>
          <w:spacing w:val="-2"/>
          <w:sz w:val="21"/>
          <w:szCs w:val="21"/>
          <w:highlight w:val="none"/>
          <w:u w:val="single"/>
        </w:rPr>
        <w:t>本</w:t>
      </w:r>
      <w:r>
        <w:rPr>
          <w:rFonts w:hint="eastAsia" w:ascii="宋体" w:hAnsi="宋体" w:eastAsia="宋体" w:cs="宋体"/>
          <w:b/>
          <w:bCs/>
          <w:color w:val="auto"/>
          <w:spacing w:val="-2"/>
          <w:sz w:val="21"/>
          <w:szCs w:val="21"/>
          <w:highlight w:val="none"/>
          <w:u w:val="single"/>
          <w:lang w:val="en-US" w:eastAsia="zh-CN"/>
        </w:rPr>
        <w:t>项目的中标</w:t>
      </w:r>
      <w:r>
        <w:rPr>
          <w:rFonts w:hint="eastAsia" w:ascii="宋体" w:hAnsi="宋体" w:eastAsia="宋体" w:cs="宋体"/>
          <w:b/>
          <w:bCs/>
          <w:color w:val="auto"/>
          <w:spacing w:val="-2"/>
          <w:sz w:val="21"/>
          <w:szCs w:val="21"/>
          <w:highlight w:val="none"/>
          <w:u w:val="single"/>
        </w:rPr>
        <w:t>承销费率</w:t>
      </w:r>
      <w:r>
        <w:rPr>
          <w:rFonts w:hint="eastAsia" w:ascii="宋体" w:hAnsi="宋体" w:eastAsia="宋体" w:cs="宋体"/>
          <w:color w:val="auto"/>
          <w:sz w:val="21"/>
          <w:szCs w:val="21"/>
          <w:highlight w:val="none"/>
        </w:rPr>
        <w:t>做出以下</w:t>
      </w:r>
      <w:r>
        <w:rPr>
          <w:rFonts w:hint="eastAsia" w:ascii="宋体" w:hAnsi="宋体" w:eastAsia="宋体" w:cs="宋体"/>
          <w:color w:val="auto"/>
          <w:spacing w:val="-2"/>
          <w:sz w:val="21"/>
          <w:szCs w:val="21"/>
          <w:highlight w:val="none"/>
        </w:rPr>
        <w:t>承诺：</w:t>
      </w:r>
    </w:p>
    <w:p w14:paraId="062D3AB5">
      <w:pPr>
        <w:spacing w:line="360" w:lineRule="auto"/>
        <w:ind w:firstLine="412" w:firstLineChars="200"/>
        <w:rPr>
          <w:rFonts w:hint="eastAsia" w:ascii="宋体" w:hAnsi="宋体" w:eastAsia="宋体" w:cs="宋体"/>
          <w:color w:val="auto"/>
          <w:szCs w:val="21"/>
        </w:rPr>
      </w:pPr>
      <w:r>
        <w:rPr>
          <w:rFonts w:hint="eastAsia" w:ascii="宋体" w:hAnsi="宋体" w:eastAsia="宋体" w:cs="宋体"/>
          <w:color w:val="auto"/>
          <w:spacing w:val="-2"/>
          <w:szCs w:val="21"/>
          <w:lang w:val="en-US" w:eastAsia="zh-CN"/>
        </w:rPr>
        <w:t>1、</w:t>
      </w:r>
      <w:r>
        <w:rPr>
          <w:rFonts w:hint="eastAsia" w:ascii="宋体" w:hAnsi="宋体" w:eastAsia="宋体" w:cs="宋体"/>
          <w:color w:val="auto"/>
          <w:spacing w:val="-2"/>
          <w:szCs w:val="21"/>
        </w:rPr>
        <w:t>如果我单位获得本</w:t>
      </w:r>
      <w:r>
        <w:rPr>
          <w:rFonts w:hint="eastAsia" w:ascii="宋体" w:hAnsi="宋体" w:eastAsia="宋体" w:cs="宋体"/>
          <w:color w:val="auto"/>
          <w:spacing w:val="-2"/>
          <w:szCs w:val="21"/>
          <w:lang w:val="en-US" w:eastAsia="zh-CN"/>
        </w:rPr>
        <w:t>项目</w:t>
      </w:r>
      <w:r>
        <w:rPr>
          <w:rFonts w:hint="eastAsia" w:ascii="宋体" w:hAnsi="宋体" w:eastAsia="宋体" w:cs="宋体"/>
          <w:color w:val="auto"/>
          <w:spacing w:val="-2"/>
          <w:szCs w:val="21"/>
        </w:rPr>
        <w:t>的中标</w:t>
      </w:r>
      <w:r>
        <w:rPr>
          <w:rFonts w:hint="eastAsia" w:ascii="宋体" w:hAnsi="宋体" w:eastAsia="宋体" w:cs="宋体"/>
          <w:color w:val="auto"/>
          <w:spacing w:val="-2"/>
          <w:szCs w:val="21"/>
          <w:lang w:val="en-US" w:eastAsia="zh-CN"/>
        </w:rPr>
        <w:t>入围</w:t>
      </w:r>
      <w:r>
        <w:rPr>
          <w:rFonts w:hint="eastAsia" w:ascii="宋体" w:hAnsi="宋体" w:eastAsia="宋体" w:cs="宋体"/>
          <w:color w:val="auto"/>
          <w:spacing w:val="-2"/>
          <w:szCs w:val="21"/>
        </w:rPr>
        <w:t>资格，且各中标</w:t>
      </w:r>
      <w:r>
        <w:rPr>
          <w:rFonts w:hint="eastAsia" w:ascii="宋体" w:hAnsi="宋体" w:eastAsia="宋体" w:cs="宋体"/>
          <w:color w:val="auto"/>
          <w:spacing w:val="-2"/>
          <w:szCs w:val="21"/>
          <w:lang w:val="en-US" w:eastAsia="zh-CN"/>
        </w:rPr>
        <w:t>入围投标人</w:t>
      </w:r>
      <w:r>
        <w:rPr>
          <w:rFonts w:hint="eastAsia" w:ascii="宋体" w:hAnsi="宋体" w:eastAsia="宋体" w:cs="宋体"/>
          <w:color w:val="auto"/>
          <w:spacing w:val="-2"/>
          <w:szCs w:val="21"/>
        </w:rPr>
        <w:t>投标文件中的开标一览表中的“投标报价（年承销费率）”不相同的，则我单位承诺，我单位</w:t>
      </w:r>
      <w:r>
        <w:rPr>
          <w:rFonts w:hint="eastAsia" w:ascii="宋体" w:hAnsi="宋体" w:eastAsia="宋体" w:cs="宋体"/>
          <w:color w:val="auto"/>
          <w:spacing w:val="-2"/>
          <w:szCs w:val="21"/>
          <w:lang w:val="en-US" w:eastAsia="zh-CN"/>
        </w:rPr>
        <w:t>的</w:t>
      </w:r>
      <w:r>
        <w:rPr>
          <w:rFonts w:hint="eastAsia" w:ascii="宋体" w:hAnsi="宋体" w:eastAsia="宋体" w:cs="宋体"/>
          <w:color w:val="auto"/>
          <w:spacing w:val="-2"/>
          <w:szCs w:val="21"/>
        </w:rPr>
        <w:t>中标承销费率按照如下规定执行：</w:t>
      </w:r>
    </w:p>
    <w:p w14:paraId="267132CB">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以</w:t>
      </w:r>
      <w:r>
        <w:rPr>
          <w:rFonts w:hint="eastAsia" w:ascii="宋体" w:hAnsi="宋体" w:eastAsia="宋体" w:cs="宋体"/>
          <w:b w:val="0"/>
          <w:bCs w:val="0"/>
          <w:color w:val="auto"/>
          <w:szCs w:val="21"/>
          <w:highlight w:val="none"/>
          <w:lang w:val="en-US" w:eastAsia="zh-CN"/>
        </w:rPr>
        <w:t>所有</w:t>
      </w:r>
      <w:r>
        <w:rPr>
          <w:rFonts w:hint="eastAsia" w:ascii="宋体" w:hAnsi="宋体" w:eastAsia="宋体" w:cs="宋体"/>
          <w:b w:val="0"/>
          <w:bCs w:val="0"/>
          <w:color w:val="auto"/>
          <w:spacing w:val="-2"/>
          <w:szCs w:val="21"/>
          <w:highlight w:val="none"/>
        </w:rPr>
        <w:t>中标</w:t>
      </w:r>
      <w:r>
        <w:rPr>
          <w:rFonts w:hint="eastAsia" w:ascii="宋体" w:hAnsi="宋体" w:eastAsia="宋体" w:cs="宋体"/>
          <w:b w:val="0"/>
          <w:bCs w:val="0"/>
          <w:color w:val="auto"/>
          <w:spacing w:val="-2"/>
          <w:szCs w:val="21"/>
          <w:highlight w:val="none"/>
          <w:lang w:val="en-US" w:eastAsia="zh-CN"/>
        </w:rPr>
        <w:t>入围人各自</w:t>
      </w:r>
      <w:r>
        <w:rPr>
          <w:rFonts w:hint="eastAsia" w:ascii="宋体" w:hAnsi="宋体" w:eastAsia="宋体" w:cs="宋体"/>
          <w:b w:val="0"/>
          <w:bCs w:val="0"/>
          <w:color w:val="auto"/>
          <w:spacing w:val="-2"/>
          <w:szCs w:val="21"/>
          <w:highlight w:val="none"/>
        </w:rPr>
        <w:t>投标文件</w:t>
      </w:r>
      <w:r>
        <w:rPr>
          <w:rFonts w:hint="eastAsia" w:ascii="宋体" w:hAnsi="宋体" w:eastAsia="宋体" w:cs="宋体"/>
          <w:b w:val="0"/>
          <w:bCs w:val="0"/>
          <w:color w:val="auto"/>
          <w:spacing w:val="-2"/>
          <w:szCs w:val="21"/>
          <w:highlight w:val="none"/>
          <w:lang w:eastAsia="zh-CN"/>
        </w:rPr>
        <w:t>“</w:t>
      </w:r>
      <w:r>
        <w:rPr>
          <w:rFonts w:hint="eastAsia" w:ascii="宋体" w:hAnsi="宋体" w:eastAsia="宋体" w:cs="宋体"/>
          <w:b w:val="0"/>
          <w:bCs w:val="0"/>
          <w:color w:val="auto"/>
          <w:spacing w:val="-2"/>
          <w:szCs w:val="21"/>
          <w:highlight w:val="none"/>
          <w:lang w:val="en-US" w:eastAsia="zh-CN"/>
        </w:rPr>
        <w:t>开标</w:t>
      </w:r>
      <w:r>
        <w:rPr>
          <w:rFonts w:hint="eastAsia" w:ascii="宋体" w:hAnsi="宋体" w:eastAsia="宋体" w:cs="宋体"/>
          <w:b w:val="0"/>
          <w:bCs w:val="0"/>
          <w:color w:val="auto"/>
          <w:spacing w:val="-2"/>
          <w:szCs w:val="21"/>
          <w:highlight w:val="none"/>
        </w:rPr>
        <w:t>一览表</w:t>
      </w:r>
      <w:r>
        <w:rPr>
          <w:rFonts w:hint="eastAsia" w:ascii="宋体" w:hAnsi="宋体" w:eastAsia="宋体" w:cs="宋体"/>
          <w:b w:val="0"/>
          <w:bCs w:val="0"/>
          <w:color w:val="auto"/>
          <w:spacing w:val="-2"/>
          <w:szCs w:val="21"/>
          <w:highlight w:val="none"/>
          <w:lang w:eastAsia="zh-CN"/>
        </w:rPr>
        <w:t>”</w:t>
      </w:r>
      <w:r>
        <w:rPr>
          <w:rFonts w:hint="eastAsia" w:ascii="宋体" w:hAnsi="宋体" w:eastAsia="宋体" w:cs="宋体"/>
          <w:b w:val="0"/>
          <w:bCs w:val="0"/>
          <w:color w:val="auto"/>
          <w:spacing w:val="-2"/>
          <w:szCs w:val="21"/>
          <w:highlight w:val="none"/>
        </w:rPr>
        <w:t>中“投标报价（年承销费率）”的</w:t>
      </w:r>
      <w:r>
        <w:rPr>
          <w:rFonts w:hint="eastAsia" w:ascii="宋体" w:hAnsi="宋体" w:eastAsia="宋体" w:cs="宋体"/>
          <w:b w:val="0"/>
          <w:bCs w:val="0"/>
          <w:color w:val="auto"/>
          <w:spacing w:val="-2"/>
          <w:szCs w:val="21"/>
          <w:highlight w:val="none"/>
          <w:lang w:val="en-US" w:eastAsia="zh-CN"/>
        </w:rPr>
        <w:t>算术平均值</w:t>
      </w:r>
      <w:r>
        <w:rPr>
          <w:rFonts w:hint="eastAsia" w:ascii="宋体" w:hAnsi="宋体" w:eastAsia="宋体" w:cs="宋体"/>
          <w:b w:val="0"/>
          <w:bCs w:val="0"/>
          <w:color w:val="auto"/>
          <w:szCs w:val="21"/>
          <w:highlight w:val="none"/>
        </w:rPr>
        <w:t>作为</w:t>
      </w:r>
      <w:r>
        <w:rPr>
          <w:rFonts w:hint="eastAsia" w:ascii="宋体" w:hAnsi="宋体" w:eastAsia="宋体" w:cs="宋体"/>
          <w:b w:val="0"/>
          <w:bCs w:val="0"/>
          <w:color w:val="auto"/>
          <w:szCs w:val="21"/>
          <w:highlight w:val="none"/>
          <w:lang w:val="en-US" w:eastAsia="zh-CN"/>
        </w:rPr>
        <w:t>本标段</w:t>
      </w:r>
      <w:r>
        <w:rPr>
          <w:rFonts w:hint="eastAsia" w:ascii="宋体" w:hAnsi="宋体" w:eastAsia="宋体" w:cs="宋体"/>
          <w:b/>
          <w:bCs/>
          <w:color w:val="auto"/>
          <w:szCs w:val="21"/>
          <w:highlight w:val="none"/>
        </w:rPr>
        <w:t>基准</w:t>
      </w:r>
      <w:r>
        <w:rPr>
          <w:rFonts w:hint="eastAsia" w:ascii="宋体" w:hAnsi="宋体" w:eastAsia="宋体" w:cs="宋体"/>
          <w:b/>
          <w:bCs/>
          <w:color w:val="auto"/>
          <w:szCs w:val="21"/>
          <w:highlight w:val="none"/>
          <w:lang w:val="en-US" w:eastAsia="zh-CN"/>
        </w:rPr>
        <w:t>年承销费率（保留小数位数规定与开标一览表要求相同）</w:t>
      </w:r>
      <w:r>
        <w:rPr>
          <w:rFonts w:hint="eastAsia" w:ascii="宋体" w:hAnsi="宋体" w:eastAsia="宋体" w:cs="宋体"/>
          <w:b w:val="0"/>
          <w:bCs w:val="0"/>
          <w:color w:val="auto"/>
          <w:szCs w:val="21"/>
          <w:highlight w:val="none"/>
        </w:rPr>
        <w:t>。</w:t>
      </w:r>
    </w:p>
    <w:p w14:paraId="4360D9BB">
      <w:pPr>
        <w:spacing w:line="360" w:lineRule="auto"/>
        <w:ind w:firstLine="420" w:firstLineChars="200"/>
        <w:rPr>
          <w:rFonts w:hint="eastAsia" w:ascii="宋体" w:hAnsi="宋体" w:eastAsia="宋体" w:cs="宋体"/>
          <w:color w:val="auto"/>
          <w:szCs w:val="21"/>
        </w:rPr>
      </w:pPr>
      <w:r>
        <w:rPr>
          <w:rFonts w:hint="eastAsia" w:ascii="宋体" w:hAnsi="宋体" w:eastAsia="宋体" w:cs="宋体"/>
          <w:b w:val="0"/>
          <w:bCs w:val="0"/>
          <w:color w:val="auto"/>
          <w:szCs w:val="21"/>
          <w:highlight w:val="none"/>
          <w:lang w:val="en-US" w:eastAsia="zh-CN"/>
        </w:rPr>
        <w:t>（2）若我单位“投标报价（年承销费率）”高于基准年承销费率，则以该基准年承销费率作为我单位实际中标年承销费率；若我单位“投标报价（年承销费率）”低于基准年承销费率，则以我单位“投标报价（年承销费率）”作为我单位实际中标年承销费率。</w:t>
      </w:r>
    </w:p>
    <w:p w14:paraId="76687A9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我单位</w:t>
      </w:r>
      <w:r>
        <w:rPr>
          <w:rFonts w:hint="eastAsia" w:ascii="宋体" w:hAnsi="宋体" w:eastAsia="宋体" w:cs="宋体"/>
          <w:color w:val="auto"/>
          <w:szCs w:val="21"/>
        </w:rPr>
        <w:t>不论是</w:t>
      </w:r>
      <w:r>
        <w:rPr>
          <w:rFonts w:hint="eastAsia" w:ascii="宋体" w:hAnsi="宋体" w:eastAsia="宋体" w:cs="宋体"/>
          <w:color w:val="auto"/>
          <w:szCs w:val="21"/>
          <w:lang w:val="en-US" w:eastAsia="zh-CN"/>
        </w:rPr>
        <w:t>作为</w:t>
      </w:r>
      <w:r>
        <w:rPr>
          <w:rFonts w:hint="eastAsia" w:ascii="宋体" w:hAnsi="宋体" w:eastAsia="宋体" w:cs="宋体"/>
          <w:color w:val="auto"/>
          <w:szCs w:val="21"/>
        </w:rPr>
        <w:t>牵头主承销商还是联席主承销商，均接受按</w:t>
      </w:r>
      <w:r>
        <w:rPr>
          <w:rFonts w:hint="eastAsia" w:ascii="宋体" w:hAnsi="宋体" w:eastAsia="宋体" w:cs="宋体"/>
          <w:color w:val="auto"/>
          <w:szCs w:val="21"/>
          <w:lang w:val="en-US" w:eastAsia="zh-CN"/>
        </w:rPr>
        <w:t>上述</w:t>
      </w:r>
      <w:r>
        <w:rPr>
          <w:rFonts w:hint="eastAsia" w:ascii="宋体" w:hAnsi="宋体" w:eastAsia="宋体" w:cs="宋体"/>
          <w:color w:val="auto"/>
          <w:szCs w:val="21"/>
        </w:rPr>
        <w:t>第</w:t>
      </w:r>
      <w:r>
        <w:rPr>
          <w:rFonts w:hint="eastAsia" w:ascii="宋体" w:hAnsi="宋体" w:eastAsia="宋体" w:cs="宋体"/>
          <w:color w:val="auto"/>
          <w:szCs w:val="21"/>
          <w:lang w:eastAsia="zh-CN"/>
        </w:rPr>
        <w:t>（</w:t>
      </w: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点计算的承销费率作为我公司中标合同中的实际年承销费率。</w:t>
      </w:r>
    </w:p>
    <w:p w14:paraId="6D8F41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我方按照该“中标承销费率承诺函”执行，我方没有任何附加条件，且所提交的投标文件依然有效。</w:t>
      </w:r>
    </w:p>
    <w:p w14:paraId="7BE138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我方理解，如不作此承诺，评标委员会将对我方投标作无效标处理。</w:t>
      </w:r>
    </w:p>
    <w:p w14:paraId="6CA2317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highlight w:val="none"/>
        </w:rPr>
        <w:t>特此承诺！</w:t>
      </w:r>
    </w:p>
    <w:p w14:paraId="726EAFA8">
      <w:pPr>
        <w:pStyle w:val="12"/>
        <w:ind w:firstLine="420" w:firstLineChars="200"/>
        <w:rPr>
          <w:rFonts w:hint="eastAsia" w:ascii="宋体" w:hAnsi="宋体" w:eastAsia="宋体" w:cs="宋体"/>
          <w:color w:val="auto"/>
          <w:szCs w:val="21"/>
        </w:rPr>
      </w:pPr>
    </w:p>
    <w:p w14:paraId="322E551E">
      <w:pPr>
        <w:spacing w:line="360" w:lineRule="auto"/>
        <w:rPr>
          <w:rFonts w:hint="eastAsia" w:ascii="宋体" w:hAnsi="宋体" w:eastAsia="宋体" w:cs="宋体"/>
          <w:color w:val="auto"/>
          <w:szCs w:val="21"/>
        </w:rPr>
      </w:pPr>
    </w:p>
    <w:p w14:paraId="3BE6DE87">
      <w:pPr>
        <w:spacing w:line="360" w:lineRule="auto"/>
        <w:ind w:right="440"/>
        <w:rPr>
          <w:rFonts w:hint="eastAsia" w:ascii="宋体" w:hAnsi="宋体" w:eastAsia="宋体" w:cs="宋体"/>
          <w:color w:val="auto"/>
          <w:szCs w:val="21"/>
        </w:rPr>
      </w:pPr>
      <w:r>
        <w:rPr>
          <w:rFonts w:hint="eastAsia" w:ascii="宋体" w:hAnsi="宋体" w:eastAsia="宋体" w:cs="宋体"/>
          <w:color w:val="auto"/>
          <w:szCs w:val="21"/>
        </w:rPr>
        <w:t>投标人全称（盖公章）：</w:t>
      </w:r>
    </w:p>
    <w:p w14:paraId="35C2C586">
      <w:pPr>
        <w:spacing w:line="360" w:lineRule="auto"/>
        <w:ind w:right="440"/>
        <w:rPr>
          <w:rFonts w:hint="eastAsia" w:ascii="宋体" w:hAnsi="宋体" w:eastAsia="宋体" w:cs="宋体"/>
          <w:color w:val="auto"/>
          <w:szCs w:val="21"/>
        </w:rPr>
      </w:pPr>
      <w:r>
        <w:rPr>
          <w:rFonts w:hint="eastAsia" w:ascii="宋体" w:hAnsi="宋体" w:eastAsia="宋体" w:cs="宋体"/>
          <w:color w:val="auto"/>
          <w:szCs w:val="21"/>
        </w:rPr>
        <w:t>法定代表人（或单位负责人）或授权代表（签字或盖章）：</w:t>
      </w:r>
    </w:p>
    <w:p w14:paraId="56B78B08">
      <w:pPr>
        <w:spacing w:line="360" w:lineRule="auto"/>
        <w:ind w:right="440"/>
        <w:rPr>
          <w:rFonts w:hint="eastAsia" w:ascii="宋体" w:hAnsi="宋体" w:eastAsia="宋体" w:cs="宋体"/>
          <w:color w:val="auto"/>
          <w:szCs w:val="21"/>
        </w:rPr>
      </w:pPr>
      <w:r>
        <w:rPr>
          <w:rFonts w:hint="eastAsia" w:ascii="宋体" w:hAnsi="宋体" w:eastAsia="宋体" w:cs="宋体"/>
          <w:color w:val="auto"/>
          <w:szCs w:val="21"/>
        </w:rPr>
        <w:t>日期：</w:t>
      </w:r>
    </w:p>
    <w:p w14:paraId="77502F85">
      <w:pPr>
        <w:ind w:left="432" w:hanging="432" w:hangingChars="200"/>
        <w:rPr>
          <w:rFonts w:hint="eastAsia" w:ascii="宋体" w:hAnsi="宋体" w:eastAsia="宋体" w:cs="宋体"/>
          <w:color w:val="auto"/>
          <w:spacing w:val="-2"/>
          <w:sz w:val="22"/>
        </w:rPr>
      </w:pPr>
    </w:p>
    <w:p w14:paraId="6F469E5F">
      <w:pPr>
        <w:spacing w:line="360" w:lineRule="auto"/>
        <w:rPr>
          <w:rFonts w:hint="eastAsia" w:ascii="宋体" w:hAnsi="宋体" w:eastAsia="宋体" w:cs="宋体"/>
          <w:b/>
          <w:color w:val="auto"/>
          <w:sz w:val="22"/>
          <w:u w:val="single"/>
        </w:rPr>
      </w:pPr>
    </w:p>
    <w:p w14:paraId="2FB759BA">
      <w:pPr>
        <w:numPr>
          <w:ilvl w:val="0"/>
          <w:numId w:val="23"/>
        </w:numPr>
        <w:spacing w:line="360" w:lineRule="auto"/>
        <w:rPr>
          <w:rFonts w:hint="eastAsia" w:ascii="宋体" w:hAnsi="宋体" w:eastAsia="宋体" w:cs="宋体"/>
          <w:b/>
          <w:color w:val="auto"/>
          <w:sz w:val="22"/>
          <w:u w:val="single"/>
        </w:rPr>
      </w:pPr>
      <w:r>
        <w:rPr>
          <w:rFonts w:hint="eastAsia" w:ascii="宋体" w:hAnsi="宋体" w:eastAsia="宋体" w:cs="宋体"/>
          <w:b/>
          <w:color w:val="auto"/>
          <w:sz w:val="22"/>
          <w:u w:val="single"/>
        </w:rPr>
        <w:t>▲本“中标承销费率承诺函”中的内容为实质性内容，投标人没有实质性响应该要求的, 作无效标处理。</w:t>
      </w:r>
    </w:p>
    <w:p w14:paraId="3721665E">
      <w:pPr>
        <w:numPr>
          <w:ilvl w:val="0"/>
          <w:numId w:val="23"/>
        </w:numPr>
        <w:spacing w:line="360" w:lineRule="auto"/>
        <w:rPr>
          <w:rFonts w:hint="eastAsia" w:ascii="宋体" w:hAnsi="宋体" w:eastAsia="宋体" w:cs="宋体"/>
          <w:b/>
          <w:color w:val="auto"/>
          <w:sz w:val="22"/>
          <w:u w:val="single"/>
        </w:rPr>
      </w:pPr>
      <w:r>
        <w:rPr>
          <w:rFonts w:hint="eastAsia" w:ascii="宋体" w:hAnsi="宋体" w:eastAsia="宋体" w:cs="宋体"/>
          <w:b/>
          <w:color w:val="auto"/>
          <w:sz w:val="22"/>
          <w:u w:val="single"/>
        </w:rPr>
        <w:t>▲不提供此附件将被视为没有实质性响应采购文件要求, 作无效标处理。</w:t>
      </w:r>
      <w:r>
        <w:rPr>
          <w:rFonts w:hint="eastAsia" w:ascii="宋体" w:hAnsi="宋体" w:eastAsia="宋体" w:cs="宋体"/>
          <w:b/>
          <w:color w:val="auto"/>
          <w:sz w:val="22"/>
          <w:u w:val="single"/>
        </w:rPr>
        <w:br w:type="page"/>
      </w:r>
    </w:p>
    <w:p w14:paraId="181206BA">
      <w:pPr>
        <w:spacing w:line="380" w:lineRule="exact"/>
        <w:jc w:val="left"/>
        <w:rPr>
          <w:rFonts w:hint="eastAsia" w:ascii="宋体" w:hAnsi="宋体" w:eastAsia="宋体" w:cs="宋体"/>
          <w:b/>
          <w:color w:val="000000" w:themeColor="text1"/>
          <w:spacing w:val="-2"/>
          <w:sz w:val="22"/>
          <w:szCs w:val="22"/>
          <w:highlight w:val="none"/>
          <w:lang w:eastAsia="zh-CN"/>
          <w14:textFill>
            <w14:solidFill>
              <w14:schemeClr w14:val="tx1"/>
            </w14:solidFill>
          </w14:textFill>
        </w:rPr>
      </w:pPr>
      <w:r>
        <w:rPr>
          <w:rFonts w:hint="eastAsia" w:ascii="宋体" w:hAnsi="宋体" w:eastAsia="宋体" w:cs="宋体"/>
          <w:b/>
          <w:color w:val="000000" w:themeColor="text1"/>
          <w:spacing w:val="-2"/>
          <w:sz w:val="22"/>
          <w:szCs w:val="22"/>
          <w:highlight w:val="none"/>
          <w14:textFill>
            <w14:solidFill>
              <w14:schemeClr w14:val="tx1"/>
            </w14:solidFill>
          </w14:textFill>
        </w:rPr>
        <w:t>附件</w:t>
      </w:r>
      <w:r>
        <w:rPr>
          <w:rFonts w:hint="eastAsia" w:ascii="宋体" w:hAnsi="宋体" w:eastAsia="宋体" w:cs="宋体"/>
          <w:b/>
          <w:color w:val="000000" w:themeColor="text1"/>
          <w:spacing w:val="-2"/>
          <w:sz w:val="22"/>
          <w:szCs w:val="22"/>
          <w:highlight w:val="none"/>
          <w:lang w:val="en-US" w:eastAsia="zh-CN"/>
          <w14:textFill>
            <w14:solidFill>
              <w14:schemeClr w14:val="tx1"/>
            </w14:solidFill>
          </w14:textFill>
        </w:rPr>
        <w:t>七</w:t>
      </w:r>
    </w:p>
    <w:p w14:paraId="1B6843E0">
      <w:pPr>
        <w:spacing w:line="380" w:lineRule="exact"/>
        <w:jc w:val="center"/>
        <w:rPr>
          <w:rFonts w:hint="eastAsia" w:ascii="宋体" w:hAnsi="宋体" w:eastAsia="宋体" w:cs="宋体"/>
          <w:b/>
          <w:color w:val="000000" w:themeColor="text1"/>
          <w:spacing w:val="-2"/>
          <w:sz w:val="32"/>
          <w:szCs w:val="32"/>
          <w:highlight w:val="none"/>
          <w14:textFill>
            <w14:solidFill>
              <w14:schemeClr w14:val="tx1"/>
            </w14:solidFill>
          </w14:textFill>
        </w:rPr>
      </w:pPr>
      <w:r>
        <w:rPr>
          <w:rFonts w:hint="eastAsia" w:ascii="宋体" w:hAnsi="宋体" w:eastAsia="宋体" w:cs="宋体"/>
          <w:b/>
          <w:color w:val="000000" w:themeColor="text1"/>
          <w:spacing w:val="-2"/>
          <w:sz w:val="32"/>
          <w:szCs w:val="32"/>
          <w:highlight w:val="none"/>
          <w14:textFill>
            <w14:solidFill>
              <w14:schemeClr w14:val="tx1"/>
            </w14:solidFill>
          </w14:textFill>
        </w:rPr>
        <w:t>包销承诺函</w:t>
      </w:r>
    </w:p>
    <w:p w14:paraId="00A9AFD6">
      <w:pPr>
        <w:spacing w:line="380" w:lineRule="exact"/>
        <w:jc w:val="center"/>
        <w:rPr>
          <w:rFonts w:hint="eastAsia" w:ascii="宋体" w:hAnsi="宋体" w:eastAsia="宋体" w:cs="宋体"/>
          <w:color w:val="000000" w:themeColor="text1"/>
          <w:sz w:val="22"/>
          <w:szCs w:val="22"/>
          <w:highlight w:val="none"/>
          <w14:textFill>
            <w14:solidFill>
              <w14:schemeClr w14:val="tx1"/>
            </w14:solidFill>
          </w14:textFill>
        </w:rPr>
      </w:pPr>
    </w:p>
    <w:p w14:paraId="231DDA77">
      <w:pPr>
        <w:spacing w:line="360" w:lineRule="auto"/>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lang w:eastAsia="zh-CN"/>
          <w14:textFill>
            <w14:solidFill>
              <w14:schemeClr w14:val="tx1"/>
            </w14:solidFill>
          </w14:textFill>
        </w:rPr>
        <w:t>温州市交通发展集团有限公司</w:t>
      </w:r>
      <w:r>
        <w:rPr>
          <w:rFonts w:hint="eastAsia" w:ascii="宋体" w:hAnsi="宋体" w:eastAsia="宋体" w:cs="宋体"/>
          <w:color w:val="000000" w:themeColor="text1"/>
          <w:spacing w:val="-2"/>
          <w:sz w:val="22"/>
          <w:szCs w:val="22"/>
          <w:highlight w:val="none"/>
          <w14:textFill>
            <w14:solidFill>
              <w14:schemeClr w14:val="tx1"/>
            </w14:solidFill>
          </w14:textFill>
        </w:rPr>
        <w:t>：</w:t>
      </w:r>
    </w:p>
    <w:p w14:paraId="43E2C780">
      <w:pPr>
        <w:tabs>
          <w:tab w:val="left" w:pos="4860"/>
        </w:tabs>
        <w:spacing w:line="480" w:lineRule="auto"/>
        <w:ind w:right="98" w:firstLine="432" w:firstLineChars="200"/>
        <w:jc w:val="left"/>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我单位参与的贵公司组织的</w:t>
      </w:r>
      <w:r>
        <w:rPr>
          <w:rFonts w:hint="eastAsia" w:ascii="宋体" w:hAnsi="宋体" w:eastAsia="宋体" w:cs="宋体"/>
          <w:color w:val="000000" w:themeColor="text1"/>
          <w:spacing w:val="-2"/>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2"/>
          <w:szCs w:val="22"/>
          <w:highlight w:val="none"/>
          <w14:textFill>
            <w14:solidFill>
              <w14:schemeClr w14:val="tx1"/>
            </w14:solidFill>
          </w14:textFill>
        </w:rPr>
        <w:t>项目（项目编号：</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2"/>
          <w:szCs w:val="22"/>
          <w:highlight w:val="none"/>
          <w14:textFill>
            <w14:solidFill>
              <w14:schemeClr w14:val="tx1"/>
            </w14:solidFill>
          </w14:textFill>
        </w:rPr>
        <w:t>）。针对本项目发行</w:t>
      </w:r>
      <w:r>
        <w:rPr>
          <w:rFonts w:hint="eastAsia" w:ascii="宋体" w:hAnsi="宋体" w:eastAsia="宋体" w:cs="宋体"/>
          <w:color w:val="000000" w:themeColor="text1"/>
          <w:sz w:val="22"/>
          <w:szCs w:val="22"/>
          <w:highlight w:val="none"/>
          <w14:textFill>
            <w14:solidFill>
              <w14:schemeClr w14:val="tx1"/>
            </w14:solidFill>
          </w14:textFill>
        </w:rPr>
        <w:t>包销做出以下</w:t>
      </w:r>
      <w:r>
        <w:rPr>
          <w:rFonts w:hint="eastAsia" w:ascii="宋体" w:hAnsi="宋体" w:eastAsia="宋体" w:cs="宋体"/>
          <w:color w:val="000000" w:themeColor="text1"/>
          <w:spacing w:val="-2"/>
          <w:sz w:val="22"/>
          <w:szCs w:val="22"/>
          <w:highlight w:val="none"/>
          <w14:textFill>
            <w14:solidFill>
              <w14:schemeClr w14:val="tx1"/>
            </w14:solidFill>
          </w14:textFill>
        </w:rPr>
        <w:t>承诺：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在债券发行利率取得发行人协商确认的前提下，按照我</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单位</w:t>
      </w:r>
      <w:r>
        <w:rPr>
          <w:rFonts w:hint="eastAsia" w:ascii="宋体" w:hAnsi="宋体" w:eastAsia="宋体" w:cs="宋体"/>
          <w:color w:val="000000" w:themeColor="text1"/>
          <w:sz w:val="22"/>
          <w:szCs w:val="22"/>
          <w:highlight w:val="none"/>
          <w:u w:val="single"/>
          <w14:textFill>
            <w14:solidFill>
              <w14:schemeClr w14:val="tx1"/>
            </w14:solidFill>
          </w14:textFill>
        </w:rPr>
        <w:t xml:space="preserve">的承销份额，予以包销   </w:t>
      </w:r>
      <w:r>
        <w:rPr>
          <w:rFonts w:hint="eastAsia" w:ascii="宋体" w:hAnsi="宋体" w:eastAsia="宋体" w:cs="宋体"/>
          <w:color w:val="000000" w:themeColor="text1"/>
          <w:sz w:val="22"/>
          <w:szCs w:val="22"/>
          <w:highlight w:val="none"/>
          <w14:textFill>
            <w14:solidFill>
              <w14:schemeClr w14:val="tx1"/>
            </w14:solidFill>
          </w14:textFill>
        </w:rPr>
        <w:t>。</w:t>
      </w:r>
    </w:p>
    <w:p w14:paraId="3D5DB86D">
      <w:pPr>
        <w:spacing w:line="48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我方保证在本项目发行工作中，</w:t>
      </w:r>
      <w:r>
        <w:rPr>
          <w:rFonts w:hint="eastAsia" w:ascii="宋体" w:hAnsi="宋体" w:eastAsia="宋体" w:cs="宋体"/>
          <w:color w:val="auto"/>
          <w:sz w:val="22"/>
          <w:szCs w:val="22"/>
          <w:highlight w:val="none"/>
        </w:rPr>
        <w:t>确保以上承诺能够得以履行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我</w:t>
      </w:r>
      <w:r>
        <w:rPr>
          <w:rFonts w:hint="eastAsia" w:ascii="宋体" w:hAnsi="宋体" w:eastAsia="宋体" w:cs="宋体"/>
          <w:color w:val="auto"/>
          <w:sz w:val="21"/>
          <w:szCs w:val="21"/>
          <w:highlight w:val="none"/>
        </w:rPr>
        <w:t>方没有任何附加条件，且所提交的投标文件依然有效。如包销无法满足承诺要求。我们理解并同意采购人有权扣罚相应承销费用以弥补无法满足该次发行所造成的经济损失。如承销费用金额无法弥补无法满足该次发行所造成的经济损失,采购人有权解除合同,并保留进一步要求中标供应商赔偿的权利</w:t>
      </w:r>
      <w:r>
        <w:rPr>
          <w:rFonts w:hint="eastAsia" w:ascii="宋体" w:hAnsi="宋体" w:eastAsia="宋体" w:cs="宋体"/>
          <w:color w:val="auto"/>
          <w:sz w:val="22"/>
          <w:szCs w:val="22"/>
          <w:highlight w:val="none"/>
        </w:rPr>
        <w:t>。</w:t>
      </w:r>
    </w:p>
    <w:p w14:paraId="27E58DEA">
      <w:pPr>
        <w:spacing w:line="480" w:lineRule="auto"/>
        <w:rPr>
          <w:rFonts w:hint="eastAsia" w:ascii="宋体" w:hAnsi="宋体" w:eastAsia="宋体" w:cs="宋体"/>
          <w:sz w:val="22"/>
          <w:highlight w:val="none"/>
        </w:rPr>
      </w:pPr>
    </w:p>
    <w:p w14:paraId="7F8F77FE">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0C70750E">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50C9E21F">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C17104F">
      <w:pPr>
        <w:pStyle w:val="2"/>
        <w:rPr>
          <w:rFonts w:hint="eastAsia" w:ascii="宋体" w:hAnsi="宋体" w:eastAsia="宋体" w:cs="宋体"/>
          <w:highlight w:val="none"/>
        </w:rPr>
      </w:pPr>
    </w:p>
    <w:p w14:paraId="15681AE6">
      <w:pPr>
        <w:pStyle w:val="2"/>
        <w:rPr>
          <w:rFonts w:hint="eastAsia" w:ascii="宋体" w:hAnsi="宋体" w:eastAsia="宋体" w:cs="宋体"/>
          <w:highlight w:val="none"/>
        </w:rPr>
      </w:pPr>
    </w:p>
    <w:p w14:paraId="074196A1">
      <w:pPr>
        <w:pStyle w:val="2"/>
        <w:rPr>
          <w:rFonts w:hint="eastAsia" w:ascii="宋体" w:hAnsi="宋体" w:eastAsia="宋体" w:cs="宋体"/>
          <w:highlight w:val="none"/>
        </w:rPr>
      </w:pPr>
    </w:p>
    <w:p w14:paraId="0A9FA896">
      <w:pPr>
        <w:spacing w:line="360" w:lineRule="auto"/>
        <w:jc w:val="center"/>
        <w:rPr>
          <w:rFonts w:hint="eastAsia" w:ascii="宋体" w:hAnsi="宋体" w:eastAsia="宋体" w:cs="宋体"/>
          <w:b/>
          <w:bCs/>
          <w:sz w:val="32"/>
          <w:szCs w:val="32"/>
          <w:highlight w:val="none"/>
        </w:rPr>
      </w:pPr>
    </w:p>
    <w:p w14:paraId="0D434592">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根据采购文件中的采购内容及要求以及技术资信评分项目，需要提供的文件和资料</w:t>
      </w:r>
    </w:p>
    <w:p w14:paraId="45A7A15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（格式自拟）</w:t>
      </w:r>
    </w:p>
    <w:p w14:paraId="5BCBF1CF">
      <w:pPr>
        <w:spacing w:line="360" w:lineRule="auto"/>
        <w:jc w:val="left"/>
        <w:rPr>
          <w:rFonts w:hint="eastAsia" w:ascii="宋体" w:hAnsi="宋体" w:eastAsia="宋体" w:cs="宋体"/>
          <w:sz w:val="22"/>
          <w:highlight w:val="none"/>
        </w:rPr>
      </w:pPr>
      <w:r>
        <w:rPr>
          <w:rFonts w:hint="eastAsia" w:ascii="宋体" w:hAnsi="宋体" w:eastAsia="宋体" w:cs="宋体"/>
          <w:b/>
          <w:bCs/>
          <w:sz w:val="32"/>
          <w:szCs w:val="32"/>
          <w:highlight w:val="none"/>
        </w:rPr>
        <w:br w:type="page"/>
      </w:r>
      <w:r>
        <w:rPr>
          <w:rFonts w:hint="eastAsia" w:ascii="宋体" w:hAnsi="宋体" w:eastAsia="宋体" w:cs="宋体"/>
          <w:sz w:val="22"/>
          <w:highlight w:val="none"/>
        </w:rPr>
        <w:t>（商务（报价）标封面，供参考）</w:t>
      </w:r>
    </w:p>
    <w:p w14:paraId="7824A1D8">
      <w:pPr>
        <w:rPr>
          <w:rFonts w:hint="eastAsia" w:ascii="宋体" w:hAnsi="宋体" w:eastAsia="宋体" w:cs="宋体"/>
          <w:szCs w:val="24"/>
          <w:highlight w:val="none"/>
        </w:rPr>
      </w:pPr>
    </w:p>
    <w:p w14:paraId="439CF9E7">
      <w:pPr>
        <w:rPr>
          <w:rFonts w:hint="eastAsia" w:ascii="宋体" w:hAnsi="宋体" w:eastAsia="宋体" w:cs="宋体"/>
          <w:szCs w:val="24"/>
          <w:highlight w:val="none"/>
        </w:rPr>
      </w:pPr>
    </w:p>
    <w:p w14:paraId="4501607A">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0467FF13">
      <w:pPr>
        <w:ind w:left="562" w:hanging="562" w:hangingChars="200"/>
        <w:jc w:val="right"/>
        <w:rPr>
          <w:rFonts w:hint="eastAsia" w:ascii="宋体" w:hAnsi="宋体" w:eastAsia="宋体" w:cs="宋体"/>
          <w:b/>
          <w:bCs/>
          <w:sz w:val="28"/>
          <w:szCs w:val="28"/>
          <w:highlight w:val="none"/>
        </w:rPr>
      </w:pPr>
    </w:p>
    <w:p w14:paraId="2EF3ACC1">
      <w:pPr>
        <w:rPr>
          <w:rFonts w:hint="eastAsia" w:ascii="宋体" w:hAnsi="宋体" w:eastAsia="宋体" w:cs="宋体"/>
          <w:szCs w:val="24"/>
          <w:highlight w:val="none"/>
        </w:rPr>
      </w:pPr>
    </w:p>
    <w:p w14:paraId="6AFD21C9">
      <w:pPr>
        <w:ind w:left="480" w:hanging="480" w:hangingChars="200"/>
        <w:rPr>
          <w:rFonts w:hint="eastAsia" w:ascii="宋体" w:hAnsi="宋体" w:eastAsia="宋体" w:cs="宋体"/>
          <w:sz w:val="24"/>
          <w:szCs w:val="24"/>
          <w:highlight w:val="none"/>
        </w:rPr>
      </w:pPr>
    </w:p>
    <w:p w14:paraId="45811B1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12C9C36C">
      <w:pPr>
        <w:rPr>
          <w:rFonts w:hint="eastAsia" w:ascii="宋体" w:hAnsi="宋体" w:eastAsia="宋体" w:cs="宋体"/>
          <w:sz w:val="28"/>
          <w:szCs w:val="28"/>
          <w:highlight w:val="none"/>
        </w:rPr>
      </w:pPr>
    </w:p>
    <w:p w14:paraId="6038369C">
      <w:pPr>
        <w:rPr>
          <w:rFonts w:hint="eastAsia" w:ascii="宋体" w:hAnsi="宋体" w:eastAsia="宋体" w:cs="宋体"/>
          <w:sz w:val="28"/>
          <w:szCs w:val="28"/>
          <w:highlight w:val="none"/>
        </w:rPr>
      </w:pPr>
    </w:p>
    <w:p w14:paraId="2770B21F">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70C5F6A9">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7CCDD035">
      <w:pPr>
        <w:rPr>
          <w:rFonts w:hint="eastAsia" w:ascii="宋体" w:hAnsi="宋体" w:eastAsia="宋体" w:cs="宋体"/>
          <w:sz w:val="28"/>
          <w:szCs w:val="28"/>
          <w:highlight w:val="none"/>
        </w:rPr>
      </w:pPr>
    </w:p>
    <w:p w14:paraId="54D2657F">
      <w:pPr>
        <w:rPr>
          <w:rFonts w:hint="eastAsia" w:ascii="宋体" w:hAnsi="宋体" w:eastAsia="宋体" w:cs="宋体"/>
          <w:sz w:val="28"/>
          <w:szCs w:val="28"/>
          <w:highlight w:val="none"/>
        </w:rPr>
      </w:pPr>
    </w:p>
    <w:p w14:paraId="1B6AE3DE">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39E22E79">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757F6F0F">
      <w:pPr>
        <w:spacing w:line="360" w:lineRule="auto"/>
        <w:rPr>
          <w:rFonts w:hint="eastAsia" w:ascii="宋体" w:hAnsi="宋体" w:eastAsia="宋体" w:cs="宋体"/>
          <w:szCs w:val="21"/>
          <w:highlight w:val="none"/>
        </w:rPr>
      </w:pPr>
    </w:p>
    <w:p w14:paraId="4A2D9F25">
      <w:pPr>
        <w:spacing w:line="360" w:lineRule="auto"/>
        <w:rPr>
          <w:rFonts w:hint="eastAsia" w:ascii="宋体" w:hAnsi="宋体" w:eastAsia="宋体" w:cs="宋体"/>
          <w:szCs w:val="21"/>
          <w:highlight w:val="none"/>
        </w:rPr>
      </w:pPr>
    </w:p>
    <w:p w14:paraId="101236EE">
      <w:pPr>
        <w:spacing w:line="360" w:lineRule="auto"/>
        <w:rPr>
          <w:rFonts w:hint="eastAsia" w:ascii="宋体" w:hAnsi="宋体" w:eastAsia="宋体" w:cs="宋体"/>
          <w:szCs w:val="21"/>
          <w:highlight w:val="none"/>
        </w:rPr>
      </w:pPr>
    </w:p>
    <w:p w14:paraId="6F55C652">
      <w:pPr>
        <w:spacing w:line="360" w:lineRule="auto"/>
        <w:rPr>
          <w:rFonts w:hint="eastAsia" w:ascii="宋体" w:hAnsi="宋体" w:eastAsia="宋体" w:cs="宋体"/>
          <w:szCs w:val="21"/>
          <w:highlight w:val="none"/>
        </w:rPr>
      </w:pPr>
    </w:p>
    <w:p w14:paraId="230A9B4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5FEFCCCE">
      <w:pPr>
        <w:rPr>
          <w:rFonts w:hint="eastAsia" w:ascii="宋体" w:hAnsi="宋体" w:eastAsia="宋体" w:cs="宋体"/>
          <w:color w:val="auto"/>
          <w:sz w:val="28"/>
          <w:szCs w:val="28"/>
          <w:u w:val="single"/>
        </w:rPr>
      </w:pPr>
    </w:p>
    <w:p w14:paraId="01035D1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4DEE82DB">
      <w:pPr>
        <w:rPr>
          <w:rFonts w:hint="eastAsia" w:ascii="宋体" w:hAnsi="宋体" w:eastAsia="宋体" w:cs="宋体"/>
          <w:color w:val="auto"/>
          <w:sz w:val="28"/>
          <w:szCs w:val="28"/>
        </w:rPr>
      </w:pPr>
    </w:p>
    <w:p w14:paraId="4DA486CD">
      <w:pPr>
        <w:rPr>
          <w:rFonts w:hint="eastAsia" w:ascii="宋体" w:hAnsi="宋体" w:eastAsia="宋体" w:cs="宋体"/>
          <w:sz w:val="28"/>
          <w:szCs w:val="28"/>
          <w:highlight w:val="none"/>
        </w:rPr>
      </w:pPr>
    </w:p>
    <w:p w14:paraId="38D2AF72">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17B7A233">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八</w:t>
      </w:r>
      <w:r>
        <w:rPr>
          <w:rFonts w:hint="eastAsia" w:ascii="宋体" w:hAnsi="宋体" w:eastAsia="宋体" w:cs="宋体"/>
          <w:b/>
          <w:bCs/>
          <w:sz w:val="22"/>
          <w:highlight w:val="none"/>
        </w:rPr>
        <w:t xml:space="preserve"> </w:t>
      </w:r>
    </w:p>
    <w:p w14:paraId="23FE9527">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14:paraId="4732E206">
      <w:pPr>
        <w:tabs>
          <w:tab w:val="left" w:pos="7890"/>
        </w:tabs>
        <w:spacing w:line="380" w:lineRule="exact"/>
        <w:ind w:right="349" w:rightChars="166" w:firstLine="330" w:firstLineChars="150"/>
        <w:rPr>
          <w:rFonts w:hint="eastAsia" w:ascii="宋体" w:hAnsi="宋体" w:eastAsia="宋体" w:cs="宋体"/>
          <w:sz w:val="22"/>
          <w:szCs w:val="24"/>
          <w:highlight w:val="none"/>
          <w:lang w:val="en-US" w:eastAsia="zh-CN"/>
        </w:rPr>
      </w:pPr>
    </w:p>
    <w:p w14:paraId="60982FDB">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项目</w:t>
      </w:r>
      <w:r>
        <w:rPr>
          <w:rFonts w:hint="eastAsia" w:ascii="宋体" w:hAnsi="宋体" w:eastAsia="宋体" w:cs="宋体"/>
          <w:sz w:val="22"/>
          <w:szCs w:val="24"/>
          <w:highlight w:val="none"/>
        </w:rPr>
        <w:t>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3131"/>
        <w:gridCol w:w="3197"/>
      </w:tblGrid>
      <w:tr w14:paraId="0CA3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16556D69">
            <w:pPr>
              <w:jc w:val="center"/>
              <w:rPr>
                <w:rFonts w:hint="eastAsia" w:ascii="宋体" w:hAnsi="宋体" w:eastAsia="宋体" w:cs="宋体"/>
                <w:sz w:val="22"/>
                <w:highlight w:val="none"/>
              </w:rPr>
            </w:pPr>
            <w:r>
              <w:rPr>
                <w:rFonts w:hint="eastAsia" w:ascii="宋体" w:hAnsi="宋体" w:eastAsia="宋体" w:cs="宋体"/>
                <w:sz w:val="22"/>
                <w:highlight w:val="none"/>
              </w:rPr>
              <w:t>标</w:t>
            </w:r>
            <w:r>
              <w:rPr>
                <w:rFonts w:hint="eastAsia" w:ascii="宋体" w:hAnsi="宋体" w:eastAsia="宋体" w:cs="宋体"/>
                <w:sz w:val="22"/>
                <w:highlight w:val="none"/>
                <w:lang w:val="en-US" w:eastAsia="zh-CN"/>
              </w:rPr>
              <w:t>项</w:t>
            </w:r>
            <w:r>
              <w:rPr>
                <w:rFonts w:hint="eastAsia" w:ascii="宋体" w:hAnsi="宋体" w:eastAsia="宋体" w:cs="宋体"/>
                <w:sz w:val="22"/>
                <w:highlight w:val="none"/>
              </w:rPr>
              <w:t>名称</w:t>
            </w:r>
          </w:p>
        </w:tc>
        <w:tc>
          <w:tcPr>
            <w:tcW w:w="3131" w:type="dxa"/>
            <w:tcBorders>
              <w:top w:val="single" w:color="auto" w:sz="4" w:space="0"/>
              <w:left w:val="single" w:color="auto" w:sz="4" w:space="0"/>
              <w:bottom w:val="single" w:color="auto" w:sz="4" w:space="0"/>
              <w:right w:val="single" w:color="auto" w:sz="4" w:space="0"/>
            </w:tcBorders>
            <w:vAlign w:val="center"/>
          </w:tcPr>
          <w:p w14:paraId="113DE6D2">
            <w:pPr>
              <w:spacing w:line="400" w:lineRule="exact"/>
              <w:jc w:val="center"/>
              <w:rPr>
                <w:rFonts w:hint="eastAsia" w:ascii="宋体" w:hAnsi="宋体" w:eastAsia="宋体" w:cs="宋体"/>
                <w:sz w:val="22"/>
                <w:highlight w:val="none"/>
              </w:rPr>
            </w:pPr>
            <w:r>
              <w:rPr>
                <w:rFonts w:hint="eastAsia" w:ascii="宋体" w:hAnsi="宋体" w:eastAsia="宋体" w:cs="宋体"/>
                <w:b/>
                <w:bCs/>
                <w:sz w:val="22"/>
                <w:highlight w:val="none"/>
              </w:rPr>
              <w:t>投标报价（年承销费率）</w:t>
            </w:r>
          </w:p>
        </w:tc>
        <w:tc>
          <w:tcPr>
            <w:tcW w:w="3197" w:type="dxa"/>
            <w:tcBorders>
              <w:top w:val="single" w:color="auto" w:sz="4" w:space="0"/>
              <w:left w:val="single" w:color="auto" w:sz="4" w:space="0"/>
              <w:bottom w:val="single" w:color="auto" w:sz="4" w:space="0"/>
              <w:right w:val="single" w:color="auto" w:sz="4" w:space="0"/>
            </w:tcBorders>
            <w:vAlign w:val="center"/>
          </w:tcPr>
          <w:p w14:paraId="25B66534">
            <w:pPr>
              <w:pStyle w:val="1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  注</w:t>
            </w:r>
          </w:p>
          <w:p w14:paraId="62CF6129">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（承销费率折算成BP）</w:t>
            </w:r>
          </w:p>
        </w:tc>
      </w:tr>
      <w:tr w14:paraId="6C00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2597" w:type="dxa"/>
            <w:tcBorders>
              <w:top w:val="single" w:color="auto" w:sz="4" w:space="0"/>
              <w:left w:val="single" w:color="auto" w:sz="4" w:space="0"/>
              <w:bottom w:val="single" w:color="auto" w:sz="4" w:space="0"/>
              <w:right w:val="single" w:color="auto" w:sz="4" w:space="0"/>
            </w:tcBorders>
            <w:vAlign w:val="center"/>
          </w:tcPr>
          <w:p w14:paraId="706A9D64">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30亿元永续中期票据承销服务</w:t>
            </w:r>
          </w:p>
        </w:tc>
        <w:tc>
          <w:tcPr>
            <w:tcW w:w="3131" w:type="dxa"/>
            <w:tcBorders>
              <w:top w:val="single" w:color="auto" w:sz="4" w:space="0"/>
              <w:left w:val="single" w:color="auto" w:sz="4" w:space="0"/>
              <w:bottom w:val="single" w:color="auto" w:sz="4" w:space="0"/>
              <w:right w:val="single" w:color="auto" w:sz="4" w:space="0"/>
            </w:tcBorders>
            <w:vAlign w:val="center"/>
          </w:tcPr>
          <w:p w14:paraId="626D61F3">
            <w:pPr>
              <w:spacing w:line="400" w:lineRule="exact"/>
              <w:rPr>
                <w:rFonts w:hint="eastAsia" w:ascii="宋体" w:hAnsi="宋体" w:eastAsia="宋体" w:cs="宋体"/>
                <w:sz w:val="22"/>
                <w:highlight w:val="none"/>
              </w:rPr>
            </w:pPr>
            <w:r>
              <w:rPr>
                <w:rFonts w:hint="eastAsia" w:ascii="宋体" w:hAnsi="宋体" w:eastAsia="宋体" w:cs="宋体"/>
                <w:b/>
                <w:bCs/>
                <w:sz w:val="22"/>
                <w:highlight w:val="none"/>
              </w:rPr>
              <w:t xml:space="preserve">        </w:t>
            </w:r>
            <w:r>
              <w:rPr>
                <w:rFonts w:hint="eastAsia" w:ascii="宋体" w:hAnsi="宋体" w:eastAsia="宋体" w:cs="宋体"/>
                <w:b/>
                <w:bCs/>
                <w:sz w:val="22"/>
                <w:highlight w:val="none"/>
                <w:u w:val="single"/>
              </w:rPr>
              <w:t xml:space="preserve">          </w:t>
            </w:r>
            <w:r>
              <w:rPr>
                <w:rFonts w:hint="eastAsia" w:ascii="宋体" w:hAnsi="宋体" w:eastAsia="宋体" w:cs="宋体"/>
                <w:sz w:val="22"/>
                <w:highlight w:val="none"/>
              </w:rPr>
              <w:t>%</w:t>
            </w:r>
          </w:p>
        </w:tc>
        <w:tc>
          <w:tcPr>
            <w:tcW w:w="3197" w:type="dxa"/>
            <w:tcBorders>
              <w:top w:val="single" w:color="auto" w:sz="4" w:space="0"/>
              <w:left w:val="single" w:color="auto" w:sz="4" w:space="0"/>
              <w:right w:val="single" w:color="auto" w:sz="4" w:space="0"/>
            </w:tcBorders>
            <w:vAlign w:val="center"/>
          </w:tcPr>
          <w:p w14:paraId="4A5FB9FC">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计：</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BP</w:t>
            </w:r>
          </w:p>
        </w:tc>
      </w:tr>
    </w:tbl>
    <w:p w14:paraId="712B69A0">
      <w:pPr>
        <w:ind w:left="524" w:hanging="523" w:hangingChars="238"/>
        <w:rPr>
          <w:rFonts w:hint="eastAsia" w:ascii="宋体" w:hAnsi="宋体" w:eastAsia="宋体" w:cs="宋体"/>
          <w:sz w:val="22"/>
          <w:szCs w:val="24"/>
          <w:highlight w:val="none"/>
        </w:rPr>
      </w:pPr>
    </w:p>
    <w:p w14:paraId="20B48C44">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67AEC0D2">
      <w:pPr>
        <w:ind w:firstLine="440" w:firstLineChars="200"/>
        <w:rPr>
          <w:rFonts w:hint="eastAsia" w:ascii="宋体" w:hAnsi="宋体" w:eastAsia="宋体" w:cs="宋体"/>
          <w:i w:val="0"/>
          <w:iCs w:val="0"/>
          <w:sz w:val="22"/>
          <w:szCs w:val="24"/>
          <w:highlight w:val="none"/>
        </w:rPr>
      </w:pPr>
      <w:r>
        <w:rPr>
          <w:rFonts w:hint="eastAsia" w:ascii="宋体" w:hAnsi="宋体" w:eastAsia="宋体" w:cs="宋体"/>
          <w:i w:val="0"/>
          <w:iCs w:val="0"/>
          <w:sz w:val="22"/>
          <w:szCs w:val="24"/>
          <w:highlight w:val="none"/>
        </w:rPr>
        <w:t>1.</w:t>
      </w:r>
      <w:r>
        <w:rPr>
          <w:rFonts w:hint="eastAsia" w:ascii="宋体" w:hAnsi="宋体" w:eastAsia="宋体" w:cs="宋体"/>
          <w:b/>
          <w:bCs/>
          <w:i w:val="0"/>
          <w:iCs w:val="0"/>
          <w:sz w:val="22"/>
          <w:szCs w:val="24"/>
          <w:highlight w:val="none"/>
          <w:u w:val="single"/>
        </w:rPr>
        <w:t>本项目要求投标人以承销费率进行报价，开标一览表中投标报价（年承销费率）分子部分最多保留</w:t>
      </w:r>
      <w:r>
        <w:rPr>
          <w:rFonts w:hint="eastAsia" w:ascii="宋体" w:hAnsi="宋体" w:eastAsia="宋体" w:cs="宋体"/>
          <w:b/>
          <w:bCs/>
          <w:i w:val="0"/>
          <w:iCs w:val="0"/>
          <w:sz w:val="22"/>
          <w:szCs w:val="24"/>
          <w:highlight w:val="none"/>
          <w:u w:val="single"/>
          <w:lang w:val="en-US" w:eastAsia="zh-CN"/>
        </w:rPr>
        <w:t>三</w:t>
      </w:r>
      <w:r>
        <w:rPr>
          <w:rFonts w:hint="eastAsia" w:ascii="宋体" w:hAnsi="宋体" w:eastAsia="宋体" w:cs="宋体"/>
          <w:b/>
          <w:bCs/>
          <w:i w:val="0"/>
          <w:iCs w:val="0"/>
          <w:sz w:val="22"/>
          <w:szCs w:val="24"/>
          <w:highlight w:val="none"/>
          <w:u w:val="single"/>
        </w:rPr>
        <w:t>位小数</w:t>
      </w:r>
      <w:r>
        <w:rPr>
          <w:rFonts w:hint="eastAsia" w:ascii="宋体" w:hAnsi="宋体" w:eastAsia="宋体" w:cs="宋体"/>
          <w:b/>
          <w:bCs/>
          <w:i w:val="0"/>
          <w:iCs w:val="0"/>
          <w:sz w:val="22"/>
          <w:szCs w:val="24"/>
          <w:highlight w:val="none"/>
          <w:u w:val="single"/>
          <w:lang w:eastAsia="zh-CN"/>
        </w:rPr>
        <w:t>，</w:t>
      </w:r>
      <w:r>
        <w:rPr>
          <w:rFonts w:hint="eastAsia" w:ascii="宋体" w:hAnsi="宋体" w:eastAsia="宋体" w:cs="宋体"/>
          <w:b/>
          <w:i w:val="0"/>
          <w:iCs w:val="0"/>
          <w:sz w:val="22"/>
          <w:szCs w:val="22"/>
        </w:rPr>
        <w:t>例如“</w:t>
      </w:r>
      <w:r>
        <w:rPr>
          <w:rFonts w:hint="eastAsia" w:ascii="宋体" w:hAnsi="宋体" w:eastAsia="宋体" w:cs="宋体"/>
          <w:b/>
          <w:i w:val="0"/>
          <w:iCs w:val="0"/>
          <w:sz w:val="22"/>
          <w:szCs w:val="22"/>
          <w:lang w:val="en-US" w:eastAsia="zh-CN"/>
        </w:rPr>
        <w:t>0.05</w:t>
      </w:r>
      <w:r>
        <w:rPr>
          <w:rFonts w:hint="eastAsia" w:ascii="宋体" w:hAnsi="宋体" w:eastAsia="宋体" w:cs="宋体"/>
          <w:b/>
          <w:i w:val="0"/>
          <w:iCs w:val="0"/>
          <w:sz w:val="22"/>
          <w:szCs w:val="22"/>
        </w:rPr>
        <w:t>5</w:t>
      </w:r>
      <w:r>
        <w:rPr>
          <w:rFonts w:hint="eastAsia" w:ascii="宋体" w:hAnsi="宋体" w:eastAsia="宋体" w:cs="宋体"/>
          <w:i w:val="0"/>
          <w:iCs w:val="0"/>
          <w:sz w:val="22"/>
          <w:highlight w:val="none"/>
        </w:rPr>
        <w:t>%</w:t>
      </w:r>
      <w:r>
        <w:rPr>
          <w:rFonts w:hint="eastAsia" w:ascii="宋体" w:hAnsi="宋体" w:eastAsia="宋体" w:cs="宋体"/>
          <w:b/>
          <w:i w:val="0"/>
          <w:iCs w:val="0"/>
          <w:sz w:val="22"/>
          <w:szCs w:val="22"/>
        </w:rPr>
        <w:t>”。</w:t>
      </w:r>
      <w:r>
        <w:rPr>
          <w:rFonts w:hint="eastAsia" w:ascii="宋体" w:hAnsi="宋体" w:eastAsia="宋体" w:cs="宋体"/>
          <w:i w:val="0"/>
          <w:iCs w:val="0"/>
          <w:sz w:val="22"/>
          <w:szCs w:val="22"/>
        </w:rPr>
        <w:t>如投标供应商的报价分子部</w:t>
      </w:r>
      <w:r>
        <w:rPr>
          <w:rFonts w:hint="eastAsia" w:ascii="宋体" w:hAnsi="宋体" w:eastAsia="宋体" w:cs="宋体"/>
          <w:i w:val="0"/>
          <w:iCs w:val="0"/>
          <w:sz w:val="22"/>
          <w:szCs w:val="22"/>
          <w:highlight w:val="none"/>
        </w:rPr>
        <w:t>分小数</w:t>
      </w:r>
      <w:r>
        <w:rPr>
          <w:rFonts w:hint="eastAsia" w:ascii="宋体" w:hAnsi="宋体" w:eastAsia="宋体" w:cs="宋体"/>
          <w:i w:val="0"/>
          <w:iCs w:val="0"/>
          <w:sz w:val="22"/>
          <w:szCs w:val="22"/>
          <w:highlight w:val="none"/>
          <w:lang w:val="en-US" w:eastAsia="zh-CN"/>
        </w:rPr>
        <w:t>部分大于三位</w:t>
      </w:r>
      <w:r>
        <w:rPr>
          <w:rFonts w:hint="eastAsia" w:ascii="宋体" w:hAnsi="宋体" w:eastAsia="宋体" w:cs="宋体"/>
          <w:i w:val="0"/>
          <w:iCs w:val="0"/>
          <w:sz w:val="22"/>
          <w:szCs w:val="22"/>
          <w:highlight w:val="none"/>
        </w:rPr>
        <w:t>的，</w:t>
      </w:r>
      <w:r>
        <w:rPr>
          <w:rFonts w:hint="eastAsia" w:ascii="宋体" w:hAnsi="宋体" w:eastAsia="宋体" w:cs="宋体"/>
          <w:i w:val="0"/>
          <w:iCs w:val="0"/>
          <w:sz w:val="22"/>
          <w:szCs w:val="22"/>
          <w:highlight w:val="none"/>
          <w:lang w:val="en-US" w:eastAsia="zh-CN"/>
        </w:rPr>
        <w:t>超过</w:t>
      </w:r>
      <w:r>
        <w:rPr>
          <w:rFonts w:hint="eastAsia" w:ascii="宋体" w:hAnsi="宋体" w:eastAsia="宋体" w:cs="宋体"/>
          <w:i w:val="0"/>
          <w:iCs w:val="0"/>
          <w:sz w:val="22"/>
          <w:szCs w:val="22"/>
          <w:highlight w:val="none"/>
        </w:rPr>
        <w:t>部分不论大小均不予考虑，例如报价为</w:t>
      </w:r>
      <w:r>
        <w:rPr>
          <w:rFonts w:hint="eastAsia" w:ascii="宋体" w:hAnsi="宋体" w:eastAsia="宋体" w:cs="宋体"/>
          <w:i w:val="0"/>
          <w:iCs w:val="0"/>
          <w:sz w:val="22"/>
          <w:szCs w:val="22"/>
          <w:highlight w:val="none"/>
          <w:lang w:val="en-US" w:eastAsia="zh-CN"/>
        </w:rPr>
        <w:t>0</w:t>
      </w:r>
      <w:r>
        <w:rPr>
          <w:rFonts w:hint="eastAsia" w:ascii="宋体" w:hAnsi="宋体" w:eastAsia="宋体" w:cs="宋体"/>
          <w:i w:val="0"/>
          <w:iCs w:val="0"/>
          <w:sz w:val="22"/>
          <w:szCs w:val="22"/>
          <w:highlight w:val="none"/>
        </w:rPr>
        <w:t>.</w:t>
      </w:r>
      <w:r>
        <w:rPr>
          <w:rFonts w:hint="eastAsia" w:ascii="宋体" w:hAnsi="宋体" w:eastAsia="宋体" w:cs="宋体"/>
          <w:i w:val="0"/>
          <w:iCs w:val="0"/>
          <w:sz w:val="22"/>
          <w:szCs w:val="22"/>
          <w:highlight w:val="none"/>
          <w:lang w:val="en-US" w:eastAsia="zh-CN"/>
        </w:rPr>
        <w:t>055</w:t>
      </w:r>
      <w:r>
        <w:rPr>
          <w:rFonts w:hint="eastAsia" w:ascii="宋体" w:hAnsi="宋体" w:eastAsia="宋体" w:cs="宋体"/>
          <w:i w:val="0"/>
          <w:iCs w:val="0"/>
          <w:sz w:val="22"/>
          <w:szCs w:val="22"/>
          <w:highlight w:val="none"/>
        </w:rPr>
        <w:t>9</w:t>
      </w:r>
      <w:r>
        <w:rPr>
          <w:rFonts w:hint="eastAsia" w:ascii="宋体" w:hAnsi="宋体" w:eastAsia="宋体" w:cs="宋体"/>
          <w:i w:val="0"/>
          <w:iCs w:val="0"/>
          <w:sz w:val="22"/>
          <w:highlight w:val="none"/>
        </w:rPr>
        <w:t>%</w:t>
      </w:r>
      <w:r>
        <w:rPr>
          <w:rFonts w:hint="eastAsia" w:ascii="宋体" w:hAnsi="宋体" w:eastAsia="宋体" w:cs="宋体"/>
          <w:i w:val="0"/>
          <w:iCs w:val="0"/>
          <w:sz w:val="22"/>
          <w:szCs w:val="22"/>
          <w:highlight w:val="none"/>
        </w:rPr>
        <w:t>的，开标记录时报价就按</w:t>
      </w:r>
      <w:r>
        <w:rPr>
          <w:rFonts w:hint="eastAsia" w:ascii="宋体" w:hAnsi="宋体" w:eastAsia="宋体" w:cs="宋体"/>
          <w:i w:val="0"/>
          <w:iCs w:val="0"/>
          <w:sz w:val="22"/>
          <w:szCs w:val="22"/>
          <w:highlight w:val="none"/>
          <w:lang w:val="en-US" w:eastAsia="zh-CN"/>
        </w:rPr>
        <w:t>0</w:t>
      </w:r>
      <w:r>
        <w:rPr>
          <w:rFonts w:hint="eastAsia" w:ascii="宋体" w:hAnsi="宋体" w:eastAsia="宋体" w:cs="宋体"/>
          <w:i w:val="0"/>
          <w:iCs w:val="0"/>
          <w:sz w:val="22"/>
          <w:szCs w:val="22"/>
          <w:highlight w:val="none"/>
        </w:rPr>
        <w:t>.</w:t>
      </w:r>
      <w:r>
        <w:rPr>
          <w:rFonts w:hint="eastAsia" w:ascii="宋体" w:hAnsi="宋体" w:eastAsia="宋体" w:cs="宋体"/>
          <w:i w:val="0"/>
          <w:iCs w:val="0"/>
          <w:sz w:val="22"/>
          <w:szCs w:val="22"/>
          <w:highlight w:val="none"/>
          <w:lang w:val="en-US" w:eastAsia="zh-CN"/>
        </w:rPr>
        <w:t>055</w:t>
      </w:r>
      <w:r>
        <w:rPr>
          <w:rFonts w:hint="eastAsia" w:ascii="宋体" w:hAnsi="宋体" w:eastAsia="宋体" w:cs="宋体"/>
          <w:i w:val="0"/>
          <w:iCs w:val="0"/>
          <w:sz w:val="22"/>
          <w:highlight w:val="none"/>
        </w:rPr>
        <w:t>%</w:t>
      </w:r>
      <w:r>
        <w:rPr>
          <w:rFonts w:hint="eastAsia" w:ascii="宋体" w:hAnsi="宋体" w:eastAsia="宋体" w:cs="宋体"/>
          <w:i w:val="0"/>
          <w:iCs w:val="0"/>
          <w:sz w:val="22"/>
          <w:szCs w:val="22"/>
          <w:highlight w:val="none"/>
        </w:rPr>
        <w:t>记。计算商务（报价）得分时及合同也按</w:t>
      </w:r>
      <w:r>
        <w:rPr>
          <w:rFonts w:hint="eastAsia" w:ascii="宋体" w:hAnsi="宋体" w:eastAsia="宋体" w:cs="宋体"/>
          <w:i w:val="0"/>
          <w:iCs w:val="0"/>
          <w:sz w:val="22"/>
          <w:szCs w:val="22"/>
          <w:highlight w:val="none"/>
          <w:lang w:val="en-US" w:eastAsia="zh-CN"/>
        </w:rPr>
        <w:t>0</w:t>
      </w:r>
      <w:r>
        <w:rPr>
          <w:rFonts w:hint="eastAsia" w:ascii="宋体" w:hAnsi="宋体" w:eastAsia="宋体" w:cs="宋体"/>
          <w:i w:val="0"/>
          <w:iCs w:val="0"/>
          <w:sz w:val="22"/>
          <w:szCs w:val="22"/>
          <w:highlight w:val="none"/>
        </w:rPr>
        <w:t>.</w:t>
      </w:r>
      <w:r>
        <w:rPr>
          <w:rFonts w:hint="eastAsia" w:ascii="宋体" w:hAnsi="宋体" w:eastAsia="宋体" w:cs="宋体"/>
          <w:i w:val="0"/>
          <w:iCs w:val="0"/>
          <w:sz w:val="22"/>
          <w:szCs w:val="22"/>
          <w:highlight w:val="none"/>
          <w:lang w:val="en-US" w:eastAsia="zh-CN"/>
        </w:rPr>
        <w:t>055</w:t>
      </w:r>
      <w:r>
        <w:rPr>
          <w:rFonts w:hint="eastAsia" w:ascii="宋体" w:hAnsi="宋体" w:eastAsia="宋体" w:cs="宋体"/>
          <w:i w:val="0"/>
          <w:iCs w:val="0"/>
          <w:sz w:val="22"/>
          <w:highlight w:val="none"/>
        </w:rPr>
        <w:t>%</w:t>
      </w:r>
      <w:r>
        <w:rPr>
          <w:rFonts w:hint="eastAsia" w:ascii="宋体" w:hAnsi="宋体" w:eastAsia="宋体" w:cs="宋体"/>
          <w:i w:val="0"/>
          <w:iCs w:val="0"/>
          <w:sz w:val="22"/>
          <w:szCs w:val="22"/>
          <w:highlight w:val="none"/>
        </w:rPr>
        <w:t>计算。</w:t>
      </w:r>
    </w:p>
    <w:p w14:paraId="47113D86">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2.</w:t>
      </w:r>
      <w:r>
        <w:rPr>
          <w:rFonts w:hint="eastAsia" w:ascii="宋体" w:hAnsi="宋体" w:eastAsia="宋体" w:cs="宋体"/>
          <w:sz w:val="22"/>
          <w:szCs w:val="24"/>
          <w:highlight w:val="none"/>
          <w:u w:val="single"/>
        </w:rPr>
        <w:t>▲年承销费率最高限价为</w:t>
      </w:r>
      <w:r>
        <w:rPr>
          <w:rFonts w:hint="eastAsia" w:ascii="宋体" w:hAnsi="宋体" w:eastAsia="宋体" w:cs="宋体"/>
          <w:sz w:val="22"/>
          <w:szCs w:val="24"/>
          <w:highlight w:val="none"/>
          <w:u w:val="single"/>
          <w:lang w:eastAsia="zh-CN"/>
        </w:rPr>
        <w:t>0.08%（即8BP）</w:t>
      </w:r>
      <w:r>
        <w:rPr>
          <w:rFonts w:hint="eastAsia" w:ascii="宋体" w:hAnsi="宋体" w:eastAsia="宋体" w:cs="宋体"/>
          <w:sz w:val="22"/>
          <w:szCs w:val="24"/>
          <w:highlight w:val="none"/>
          <w:u w:val="single"/>
        </w:rPr>
        <w:t>，投标报价超过该最高限价的，作无效标处理</w:t>
      </w:r>
      <w:r>
        <w:rPr>
          <w:rFonts w:hint="eastAsia" w:ascii="宋体" w:hAnsi="宋体" w:eastAsia="宋体" w:cs="宋体"/>
          <w:sz w:val="22"/>
          <w:szCs w:val="24"/>
          <w:highlight w:val="none"/>
        </w:rPr>
        <w:t>。</w:t>
      </w:r>
    </w:p>
    <w:p w14:paraId="4CFC0D62">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3.承销商根据其每一期的发行额度和中标承销费率与采购人按实结算。承销商获得的最终承销费用为其完成本次发行任务的一切费用，包括提供发行服务所需的完成发行准备工作、制作申报材料并上报、与主管部门的沟通、票据的成功注册发行与销售、后期的支持与服务等以及因此产生的税费、服务费、利润及完成合同所需的所有除不可抗力之外的风险、责任等全部费用。</w:t>
      </w:r>
    </w:p>
    <w:p w14:paraId="1CE97F2C">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4.</w:t>
      </w:r>
      <w:r>
        <w:rPr>
          <w:rFonts w:hint="eastAsia" w:ascii="宋体" w:hAnsi="宋体" w:eastAsia="宋体" w:cs="宋体"/>
          <w:sz w:val="22"/>
          <w:szCs w:val="24"/>
          <w:highlight w:val="none"/>
        </w:rPr>
        <w:t>投标报价应包括采购代理服务费。</w:t>
      </w:r>
    </w:p>
    <w:p w14:paraId="340B68A0">
      <w:pPr>
        <w:ind w:left="518" w:leftChars="208" w:hanging="81" w:hangingChars="37"/>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5</w:t>
      </w:r>
      <w:r>
        <w:rPr>
          <w:rFonts w:hint="eastAsia" w:ascii="宋体" w:hAnsi="宋体" w:eastAsia="宋体" w:cs="宋体"/>
          <w:sz w:val="22"/>
          <w:szCs w:val="24"/>
          <w:highlight w:val="none"/>
        </w:rPr>
        <w:t>.</w:t>
      </w:r>
      <w:r>
        <w:rPr>
          <w:rFonts w:hint="eastAsia" w:ascii="宋体" w:hAnsi="宋体" w:eastAsia="宋体" w:cs="宋体"/>
          <w:sz w:val="22"/>
          <w:szCs w:val="24"/>
          <w:highlight w:val="none"/>
          <w:u w:val="single"/>
        </w:rPr>
        <w:t>▲不提供此表格将被视为没有实质性响应采购文件, 作无效标处理</w:t>
      </w:r>
      <w:r>
        <w:rPr>
          <w:rFonts w:hint="eastAsia" w:ascii="宋体" w:hAnsi="宋体" w:eastAsia="宋体" w:cs="宋体"/>
          <w:sz w:val="22"/>
          <w:szCs w:val="24"/>
          <w:highlight w:val="none"/>
        </w:rPr>
        <w:t>。</w:t>
      </w:r>
    </w:p>
    <w:p w14:paraId="2D677D36">
      <w:pPr>
        <w:ind w:left="518" w:leftChars="208" w:hanging="81" w:hangingChars="37"/>
        <w:rPr>
          <w:rFonts w:hint="eastAsia" w:ascii="宋体" w:hAnsi="宋体" w:eastAsia="宋体" w:cs="宋体"/>
          <w:szCs w:val="24"/>
          <w:highlight w:val="none"/>
        </w:rPr>
      </w:pPr>
      <w:r>
        <w:rPr>
          <w:rFonts w:hint="eastAsia" w:ascii="宋体" w:hAnsi="宋体" w:eastAsia="宋体" w:cs="宋体"/>
          <w:sz w:val="22"/>
          <w:szCs w:val="24"/>
          <w:highlight w:val="none"/>
          <w:lang w:val="en-US" w:eastAsia="zh-CN"/>
        </w:rPr>
        <w:t>6</w:t>
      </w:r>
      <w:r>
        <w:rPr>
          <w:rFonts w:hint="eastAsia" w:ascii="宋体" w:hAnsi="宋体" w:eastAsia="宋体" w:cs="宋体"/>
          <w:sz w:val="22"/>
          <w:szCs w:val="24"/>
          <w:highlight w:val="none"/>
        </w:rPr>
        <w:t>.</w:t>
      </w:r>
      <w:r>
        <w:rPr>
          <w:rFonts w:hint="eastAsia" w:ascii="宋体" w:hAnsi="宋体" w:eastAsia="宋体" w:cs="宋体"/>
          <w:sz w:val="22"/>
          <w:szCs w:val="24"/>
          <w:highlight w:val="none"/>
          <w:u w:val="single"/>
        </w:rPr>
        <w:t>▲以上报价不得出现在技术标中</w:t>
      </w:r>
      <w:r>
        <w:rPr>
          <w:rFonts w:hint="eastAsia" w:ascii="宋体" w:hAnsi="宋体" w:eastAsia="宋体" w:cs="宋体"/>
          <w:sz w:val="22"/>
          <w:szCs w:val="24"/>
          <w:highlight w:val="none"/>
        </w:rPr>
        <w:t>。</w:t>
      </w:r>
    </w:p>
    <w:p w14:paraId="1403AF43">
      <w:pPr>
        <w:spacing w:line="380" w:lineRule="exact"/>
        <w:rPr>
          <w:rFonts w:hint="eastAsia" w:ascii="宋体" w:hAnsi="宋体" w:eastAsia="宋体" w:cs="宋体"/>
          <w:b/>
          <w:bCs/>
          <w:sz w:val="22"/>
          <w:highlight w:val="none"/>
          <w:u w:val="single"/>
        </w:rPr>
      </w:pPr>
    </w:p>
    <w:p w14:paraId="0B34FB5B">
      <w:pPr>
        <w:spacing w:line="380" w:lineRule="exact"/>
        <w:rPr>
          <w:rFonts w:hint="eastAsia" w:ascii="宋体" w:hAnsi="宋体" w:eastAsia="宋体" w:cs="宋体"/>
          <w:sz w:val="22"/>
          <w:szCs w:val="24"/>
          <w:highlight w:val="none"/>
        </w:rPr>
      </w:pPr>
    </w:p>
    <w:p w14:paraId="3A1B2FDE">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372372C">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法定代表人（负责人）或授权代表（签字或盖章）：</w:t>
      </w:r>
    </w:p>
    <w:p w14:paraId="1B2BF858">
      <w:pPr>
        <w:rPr>
          <w:rFonts w:hint="eastAsia" w:ascii="宋体" w:hAnsi="宋体" w:eastAsia="宋体" w:cs="宋体"/>
          <w:sz w:val="22"/>
          <w:highlight w:val="none"/>
        </w:rPr>
      </w:pPr>
      <w:r>
        <w:rPr>
          <w:rFonts w:hint="eastAsia" w:ascii="宋体" w:hAnsi="宋体" w:eastAsia="宋体" w:cs="宋体"/>
          <w:sz w:val="22"/>
          <w:highlight w:val="none"/>
        </w:rPr>
        <w:t>日  期：</w:t>
      </w:r>
    </w:p>
    <w:p w14:paraId="3A19240E">
      <w:pPr>
        <w:rPr>
          <w:rFonts w:hint="eastAsia" w:ascii="宋体" w:hAnsi="宋体" w:eastAsia="宋体" w:cs="宋体"/>
          <w:sz w:val="22"/>
          <w:highlight w:val="none"/>
        </w:rPr>
      </w:pPr>
      <w:r>
        <w:rPr>
          <w:rFonts w:hint="eastAsia" w:ascii="宋体" w:hAnsi="宋体" w:eastAsia="宋体" w:cs="宋体"/>
          <w:sz w:val="22"/>
          <w:highlight w:val="none"/>
        </w:rPr>
        <w:br w:type="page"/>
      </w:r>
    </w:p>
    <w:p w14:paraId="26867B74">
      <w:pPr>
        <w:keepLines/>
        <w:spacing w:before="260" w:after="260"/>
        <w:jc w:val="center"/>
        <w:outlineLvl w:val="1"/>
        <w:rPr>
          <w:rFonts w:hint="eastAsia" w:ascii="宋体" w:hAnsi="宋体" w:eastAsia="宋体" w:cs="宋体"/>
          <w:sz w:val="36"/>
          <w:szCs w:val="36"/>
          <w:highlight w:val="none"/>
        </w:rPr>
      </w:pPr>
      <w:bookmarkStart w:id="195" w:name="_Toc448846626"/>
      <w:bookmarkStart w:id="196" w:name="_Toc262105510"/>
      <w:bookmarkStart w:id="197" w:name="_Toc262049425"/>
      <w:bookmarkStart w:id="198" w:name="_Toc249758871"/>
      <w:bookmarkStart w:id="199" w:name="_Toc249758721"/>
      <w:bookmarkStart w:id="200" w:name="_Hlk69240860"/>
      <w:r>
        <w:rPr>
          <w:rFonts w:hint="eastAsia" w:ascii="宋体" w:hAnsi="宋体" w:eastAsia="宋体" w:cs="宋体"/>
          <w:sz w:val="36"/>
          <w:szCs w:val="36"/>
          <w:highlight w:val="none"/>
        </w:rPr>
        <w:t>第四部分   采购内容及要求</w:t>
      </w:r>
      <w:bookmarkEnd w:id="195"/>
      <w:bookmarkEnd w:id="196"/>
      <w:bookmarkEnd w:id="197"/>
      <w:bookmarkEnd w:id="198"/>
      <w:bookmarkEnd w:id="199"/>
    </w:p>
    <w:p w14:paraId="33A86399">
      <w:pPr>
        <w:spacing w:line="320" w:lineRule="exact"/>
        <w:jc w:val="center"/>
        <w:rPr>
          <w:rFonts w:hint="eastAsia" w:ascii="宋体" w:hAnsi="宋体" w:eastAsia="宋体" w:cs="宋体"/>
          <w:highlight w:val="none"/>
        </w:rPr>
      </w:pPr>
      <w:bookmarkStart w:id="201" w:name="_Toc221374633"/>
      <w:bookmarkStart w:id="202" w:name="_Toc221356960"/>
      <w:bookmarkStart w:id="203" w:name="_Toc221356897"/>
      <w:r>
        <w:rPr>
          <w:rFonts w:hint="eastAsia" w:ascii="宋体" w:hAnsi="宋体" w:eastAsia="宋体" w:cs="宋体"/>
          <w:b/>
          <w:bCs/>
          <w:sz w:val="28"/>
          <w:szCs w:val="28"/>
          <w:highlight w:val="none"/>
          <w:lang w:val="en-US" w:eastAsia="zh-CN"/>
        </w:rPr>
        <w:t>30亿元永续中期票据承销服务</w:t>
      </w:r>
      <w:r>
        <w:rPr>
          <w:rFonts w:hint="eastAsia" w:ascii="宋体" w:hAnsi="宋体" w:eastAsia="宋体" w:cs="宋体"/>
          <w:b/>
          <w:bCs/>
          <w:sz w:val="28"/>
          <w:szCs w:val="28"/>
          <w:highlight w:val="none"/>
        </w:rPr>
        <w:t>内容及要求</w:t>
      </w:r>
      <w:bookmarkEnd w:id="200"/>
      <w:bookmarkStart w:id="204" w:name="_Toc245191321"/>
      <w:bookmarkStart w:id="205" w:name="_Toc245722288"/>
      <w:bookmarkStart w:id="206" w:name="_Toc246261272"/>
      <w:bookmarkStart w:id="207" w:name="_Toc222114886"/>
      <w:bookmarkStart w:id="208" w:name="_Toc223716005"/>
      <w:bookmarkStart w:id="209" w:name="_Toc448846693"/>
      <w:bookmarkStart w:id="210" w:name="_Toc249758872"/>
      <w:bookmarkStart w:id="211" w:name="_Toc249758722"/>
      <w:bookmarkStart w:id="212" w:name="_Toc221423626"/>
      <w:bookmarkStart w:id="213" w:name="_Toc239145361"/>
      <w:bookmarkStart w:id="214" w:name="_Toc262049426"/>
      <w:bookmarkStart w:id="215" w:name="_Toc262105511"/>
      <w:bookmarkStart w:id="216" w:name="_Toc241404209"/>
    </w:p>
    <w:p w14:paraId="12F9A187">
      <w:pPr>
        <w:ind w:firstLine="440" w:firstLineChars="200"/>
        <w:rPr>
          <w:rFonts w:hint="eastAsia" w:ascii="宋体" w:hAnsi="宋体" w:eastAsia="宋体" w:cs="宋体"/>
          <w:sz w:val="22"/>
          <w:highlight w:val="none"/>
        </w:rPr>
      </w:pPr>
    </w:p>
    <w:p w14:paraId="54990767">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一、总则</w:t>
      </w:r>
    </w:p>
    <w:p w14:paraId="3C6D77A4">
      <w:pPr>
        <w:spacing w:line="24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1.1本采购内容及要求是为本采购项目而提出。</w:t>
      </w:r>
    </w:p>
    <w:p w14:paraId="04ABAF68">
      <w:pPr>
        <w:spacing w:line="24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1.2所有的文件、资料等均准确，并保证真实可靠。</w:t>
      </w:r>
    </w:p>
    <w:p w14:paraId="06E55FB3">
      <w:pPr>
        <w:spacing w:line="240" w:lineRule="auto"/>
        <w:ind w:right="-21" w:rightChars="-10"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投标文件</w:t>
      </w:r>
      <w:r>
        <w:rPr>
          <w:rFonts w:hint="eastAsia" w:ascii="宋体" w:hAnsi="宋体" w:eastAsia="宋体" w:cs="宋体"/>
          <w:b w:val="0"/>
          <w:bCs w:val="0"/>
          <w:color w:val="000000" w:themeColor="text1"/>
          <w:sz w:val="24"/>
          <w:szCs w:val="24"/>
          <w:highlight w:val="none"/>
          <w14:textFill>
            <w14:solidFill>
              <w14:schemeClr w14:val="tx1"/>
            </w14:solidFill>
          </w14:textFill>
        </w:rPr>
        <w:t>及合作协议中凡涉及采购人的有关信息，不得透露给第三方。</w:t>
      </w:r>
    </w:p>
    <w:p w14:paraId="445BBB47">
      <w:pPr>
        <w:spacing w:line="240" w:lineRule="auto"/>
        <w:ind w:right="-21" w:rightChars="-10"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1.4中标人如未能完成本采购内容及相关承诺的，按违约条款处理，违约条款与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温州市交通发展集团有限公司</w:t>
      </w:r>
      <w:r>
        <w:rPr>
          <w:rFonts w:hint="eastAsia" w:ascii="宋体" w:hAnsi="宋体" w:eastAsia="宋体" w:cs="宋体"/>
          <w:b w:val="0"/>
          <w:bCs w:val="0"/>
          <w:color w:val="000000" w:themeColor="text1"/>
          <w:sz w:val="24"/>
          <w:szCs w:val="24"/>
          <w:highlight w:val="none"/>
          <w14:textFill>
            <w14:solidFill>
              <w14:schemeClr w14:val="tx1"/>
            </w14:solidFill>
          </w14:textFill>
        </w:rPr>
        <w:t>另行约定。</w:t>
      </w:r>
    </w:p>
    <w:p w14:paraId="1F831065">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0FFCDEFE">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二、项目情况介绍</w:t>
      </w:r>
    </w:p>
    <w:p w14:paraId="6F72A58B">
      <w:pPr>
        <w:snapToGrid w:val="0"/>
        <w:spacing w:line="240" w:lineRule="auto"/>
        <w:ind w:left="44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（一）公司概况</w:t>
      </w:r>
    </w:p>
    <w:p w14:paraId="7852D861">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市交发集团是温州市本级重大交通基础设施项目投资主体企业，由1998年成立的温州发展公司，经过三次整合发展而成，主要承担温州市高速公路重大项目的投资建设和经营管理职能。目前集团注册资本80亿元，内设9个职能部室，控股二三级企业30家。集团系统有从业人员4600余人，拥有中级及以上职称1030人（其中中级职称662人、副高级职称346、正高级职称22人）。</w:t>
      </w:r>
    </w:p>
    <w:p w14:paraId="2BFF800F">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先后获得鲁班奖、李春奖等国家级、省部级荣誉70余项。截至2024年底，集团资产总额776亿元，主体信用评级AA+。</w:t>
      </w:r>
    </w:p>
    <w:p w14:paraId="41D756FA">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温州市委、市政府关于深化市属国资国企改革的要求，集团以高速公路投资建设、运营和公路工程全过程服务为两大核心主业，大力培育自然资源开发利用与经营业务，并将对市铁投集团、市交运集团进行财务并表，积极构建全市“大交通”平台。相关主业板块发展情况如下：</w:t>
      </w:r>
    </w:p>
    <w:p w14:paraId="088B4572">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高速公路投资建设、运营板块。集团坚持“大干交通，干大交通”，先后投资建设了温州绕城高速西南线、绕城高速北线、甬莞高速温州段、龙丽温高速温州段等项目，助力全省“县县通高速”，使温州高速公路通车里程达630公里，由全省倒数跃升至全省第三。当前，集团围绕“高水平交通强市”建设，全面推进苍泰高速、青文高速、温州大桥改扩建、甬莞高速洞头支线、甬台温高速改扩建乐清段等项目。集团运营高速公路里程268公里，占全市42.5%；收费站25个，占全市41.67%。拥有乐清、陶山、瑞安东、鳌江、马站等5对服务区（停车区）。</w:t>
      </w:r>
    </w:p>
    <w:p w14:paraId="1335770F">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公路工程全过程服务板块。基本形成涵盖高速公路设计、咨询、监理、检测、施工养护和交通装配式建筑的全产业链。其中：</w:t>
      </w:r>
    </w:p>
    <w:p w14:paraId="7D661D64">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高速公路设计、咨询、监理、检测业务，以下属交通设计院公司、诚达公司为主，致力于打造一家全省领先的综合性工程技术服务上市企业。目前已经承接了瑞湖高速等一批重点项目的全过程咨询服务项目，实现集团高速公路建设领域“管理输出”。</w:t>
      </w:r>
    </w:p>
    <w:p w14:paraId="30C07E12">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公路养护施工业务，以下属公路工程公司为主，现正加快养护工区布点，建设覆盖温州，辐射浙南、闽北市场的综合养护工区；业务上整合道路施工、养护、绿化、机电等，致力于打造公路路面工程施工全产业链。</w:t>
      </w:r>
    </w:p>
    <w:p w14:paraId="43CBFB3A">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交通装配式建筑业务，以下属浙瓯交建公司为主，致力于打造省内领先、国内一流的建筑工业化企业。生产的预制梁成功应用瓯江北口大桥、金丽温高速东延线、瓯越大道高架桥等项目。</w:t>
      </w:r>
    </w:p>
    <w:p w14:paraId="53C853EB">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自然资源开发利用与经营板块。主要从事土地综合整治、生态治理以及自然资源资产市场化开发经营。近年来先后为文成、泰顺、鹿城垦造了近万亩土地。</w:t>
      </w:r>
    </w:p>
    <w:p w14:paraId="14BF5EE4">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另外，集团还有地产置业、临港产业开发等业务。</w:t>
      </w:r>
    </w:p>
    <w:p w14:paraId="4463B59C">
      <w:pPr>
        <w:snapToGrid/>
        <w:spacing w:before="0" w:after="0" w:line="240" w:lineRule="auto"/>
        <w:ind w:right="-21" w:rightChars="-1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下步，集团将聚焦“交通先行，发展为民”的企业使命，抢抓机遇，顺势而为，紧紧围绕高速公路投资建设这一中心，全面抓好国企改革与运营管理两大重点，在产业链布局优化、企业资信等级提升、科技创新能级三个重点方面争取实现突破，认真做好资金、合规、安全、廉政等四个方面风险防控。持续增强核心竞争力和核心功能，争当高水平交通强市建设的主力军、排头兵，为强城行动注入强劲动能。</w:t>
      </w:r>
    </w:p>
    <w:p w14:paraId="6C5DD72C">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29181053">
      <w:pPr>
        <w:spacing w:line="240" w:lineRule="auto"/>
        <w:ind w:right="-21" w:rightChars="-10" w:firstLine="482" w:firstLineChars="200"/>
        <w:rPr>
          <w:rFonts w:hint="default" w:ascii="宋体" w:hAnsi="宋体" w:eastAsia="宋体" w:cs="宋体"/>
          <w:b/>
          <w:strike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strike w:val="0"/>
          <w:color w:val="000000" w:themeColor="text1"/>
          <w:sz w:val="24"/>
          <w:szCs w:val="24"/>
          <w:highlight w:val="none"/>
          <w14:textFill>
            <w14:solidFill>
              <w14:schemeClr w14:val="tx1"/>
            </w14:solidFill>
          </w14:textFill>
        </w:rPr>
        <w:t>发行主体、发行期限</w:t>
      </w:r>
      <w:r>
        <w:rPr>
          <w:rFonts w:hint="eastAsia" w:ascii="宋体" w:hAnsi="宋体" w:eastAsia="宋体" w:cs="宋体"/>
          <w:b/>
          <w:strike w:val="0"/>
          <w:color w:val="000000" w:themeColor="text1"/>
          <w:sz w:val="24"/>
          <w:szCs w:val="24"/>
          <w:highlight w:val="none"/>
          <w:lang w:val="en-US" w:eastAsia="zh-CN"/>
          <w14:textFill>
            <w14:solidFill>
              <w14:schemeClr w14:val="tx1"/>
            </w14:solidFill>
          </w14:textFill>
        </w:rPr>
        <w:t>等基本情况</w:t>
      </w:r>
    </w:p>
    <w:p w14:paraId="412199A0">
      <w:pPr>
        <w:spacing w:line="240" w:lineRule="auto"/>
        <w:ind w:right="-21" w:rightChars="-10" w:firstLine="480" w:firstLineChars="200"/>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1.发行主体、发行规模：</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温州市交通发展集团有限公司</w:t>
      </w:r>
      <w:r>
        <w:rPr>
          <w:rFonts w:hint="eastAsia" w:ascii="宋体" w:hAnsi="宋体" w:eastAsia="宋体" w:cs="宋体"/>
          <w:b w:val="0"/>
          <w:bCs/>
          <w:color w:val="000000" w:themeColor="text1"/>
          <w:sz w:val="24"/>
          <w:szCs w:val="24"/>
          <w:highlight w:val="none"/>
          <w14:textFill>
            <w14:solidFill>
              <w14:schemeClr w14:val="tx1"/>
            </w14:solidFill>
          </w14:textFill>
        </w:rPr>
        <w:t>拟申请注册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和发行</w:t>
      </w:r>
      <w:r>
        <w:rPr>
          <w:rFonts w:hint="eastAsia" w:ascii="宋体" w:hAnsi="宋体" w:eastAsia="宋体" w:cs="宋体"/>
          <w:b w:val="0"/>
          <w:bCs/>
          <w:color w:val="000000" w:themeColor="text1"/>
          <w:sz w:val="24"/>
          <w:szCs w:val="24"/>
          <w:highlight w:val="none"/>
          <w14:textFill>
            <w14:solidFill>
              <w14:schemeClr w14:val="tx1"/>
            </w14:solidFill>
          </w14:textFill>
        </w:rPr>
        <w:t>不超过</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0亿元的</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永续中期票据</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本项目选取最多不超过5名中标</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入围</w:t>
      </w:r>
      <w:r>
        <w:rPr>
          <w:rFonts w:hint="eastAsia" w:ascii="宋体" w:hAnsi="宋体" w:eastAsia="宋体" w:cs="宋体"/>
          <w:b w:val="0"/>
          <w:bCs/>
          <w:color w:val="000000" w:themeColor="text1"/>
          <w:sz w:val="24"/>
          <w:szCs w:val="24"/>
          <w:highlight w:val="none"/>
          <w14:textFill>
            <w14:solidFill>
              <w14:schemeClr w14:val="tx1"/>
            </w14:solidFill>
          </w14:textFill>
        </w:rPr>
        <w:t>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作为本项目的主承销商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27FEC89F">
      <w:pPr>
        <w:spacing w:line="240" w:lineRule="auto"/>
        <w:ind w:right="-21" w:rightChars="-10" w:firstLine="480" w:firstLineChars="200"/>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2.发行对象：面向银行间市场投资人公开发行。</w:t>
      </w:r>
    </w:p>
    <w:p w14:paraId="20C47E07">
      <w:pPr>
        <w:spacing w:line="240" w:lineRule="auto"/>
        <w:ind w:right="-21" w:rightChars="-10" w:firstLine="480" w:firstLineChars="200"/>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3.发行期限：</w:t>
      </w:r>
      <w:r>
        <w:rPr>
          <w:rFonts w:hint="eastAsia" w:ascii="宋体" w:hAnsi="宋体" w:eastAsia="宋体" w:cs="宋体"/>
          <w:b w:val="0"/>
          <w:bCs/>
          <w:color w:val="000000" w:themeColor="text1"/>
          <w:sz w:val="24"/>
          <w:szCs w:val="24"/>
          <w:highlight w:val="none"/>
          <w14:textFill>
            <w14:solidFill>
              <w14:schemeClr w14:val="tx1"/>
            </w14:solidFill>
          </w14:textFill>
        </w:rPr>
        <w:t>注册基础期限不超过3年（不超过3+N），结合市场情况</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和实际需求</w:t>
      </w:r>
      <w:r>
        <w:rPr>
          <w:rFonts w:hint="eastAsia" w:ascii="宋体" w:hAnsi="宋体" w:eastAsia="宋体" w:cs="宋体"/>
          <w:b w:val="0"/>
          <w:bCs/>
          <w:color w:val="000000" w:themeColor="text1"/>
          <w:sz w:val="24"/>
          <w:szCs w:val="24"/>
          <w:highlight w:val="none"/>
          <w14:textFill>
            <w14:solidFill>
              <w14:schemeClr w14:val="tx1"/>
            </w14:solidFill>
          </w14:textFill>
        </w:rPr>
        <w:t>分期发行</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并确定发行期限</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2C02D51F">
      <w:pPr>
        <w:spacing w:line="240" w:lineRule="auto"/>
        <w:ind w:right="-21" w:rightChars="-1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szCs w:val="24"/>
          <w:highlight w:val="none"/>
          <w14:textFill>
            <w14:solidFill>
              <w14:schemeClr w14:val="tx1"/>
            </w14:solidFill>
          </w14:textFill>
        </w:rPr>
        <w:t>年承销费率最高限价</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0.08%（即8BP）</w:t>
      </w:r>
      <w:r>
        <w:rPr>
          <w:rFonts w:hint="eastAsia" w:ascii="宋体" w:hAnsi="宋体" w:eastAsia="宋体" w:cs="宋体"/>
          <w:b w:val="0"/>
          <w:bCs/>
          <w:color w:val="000000" w:themeColor="text1"/>
          <w:sz w:val="24"/>
          <w:szCs w:val="24"/>
          <w:highlight w:val="none"/>
          <w14:textFill>
            <w14:solidFill>
              <w14:schemeClr w14:val="tx1"/>
            </w14:solidFill>
          </w14:textFill>
        </w:rPr>
        <w:t>，投标年承销费率报价超过</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0.08%（即8BP）</w:t>
      </w:r>
      <w:r>
        <w:rPr>
          <w:rFonts w:hint="eastAsia" w:ascii="宋体" w:hAnsi="宋体" w:eastAsia="宋体" w:cs="宋体"/>
          <w:b w:val="0"/>
          <w:bCs/>
          <w:color w:val="000000" w:themeColor="text1"/>
          <w:sz w:val="24"/>
          <w:szCs w:val="24"/>
          <w:highlight w:val="none"/>
          <w14:textFill>
            <w14:solidFill>
              <w14:schemeClr w14:val="tx1"/>
            </w14:solidFill>
          </w14:textFill>
        </w:rPr>
        <w:t>的，作无效标处理。</w:t>
      </w:r>
    </w:p>
    <w:p w14:paraId="3FBE1A46">
      <w:pPr>
        <w:spacing w:line="240" w:lineRule="auto"/>
        <w:ind w:right="-21" w:rightChars="-1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发行人计划将本次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中期票据</w:t>
      </w:r>
      <w:r>
        <w:rPr>
          <w:rFonts w:hint="eastAsia" w:ascii="宋体" w:hAnsi="宋体" w:eastAsia="宋体" w:cs="宋体"/>
          <w:b w:val="0"/>
          <w:bCs/>
          <w:color w:val="000000" w:themeColor="text1"/>
          <w:sz w:val="24"/>
          <w:szCs w:val="24"/>
          <w:highlight w:val="none"/>
          <w14:textFill>
            <w14:solidFill>
              <w14:schemeClr w14:val="tx1"/>
            </w14:solidFill>
          </w14:textFill>
        </w:rPr>
        <w:t>募集资金扣除发行费用后，用于偿还借款和补充公司营运资金。</w:t>
      </w:r>
      <w:r>
        <w:rPr>
          <w:rFonts w:hint="eastAsia" w:ascii="宋体" w:hAnsi="宋体" w:eastAsia="宋体" w:cs="宋体"/>
          <w:b w:val="0"/>
          <w:bCs/>
          <w:strike w:val="0"/>
          <w:color w:val="000000" w:themeColor="text1"/>
          <w:sz w:val="24"/>
          <w:szCs w:val="24"/>
          <w:highlight w:val="none"/>
          <w14:textFill>
            <w14:solidFill>
              <w14:schemeClr w14:val="tx1"/>
            </w14:solidFill>
          </w14:textFill>
        </w:rPr>
        <w:t>发行人有权根据实际需要决定每期发行金额。</w:t>
      </w:r>
    </w:p>
    <w:p w14:paraId="48DDE57E">
      <w:pPr>
        <w:spacing w:line="240" w:lineRule="auto"/>
        <w:ind w:right="-21" w:rightChars="-1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14:textFill>
            <w14:solidFill>
              <w14:schemeClr w14:val="tx1"/>
            </w14:solidFill>
          </w14:textFill>
        </w:rPr>
        <w:t>发行人调整票面利率选择权和投资者回售选择权（若有）之后不计承销费用。</w:t>
      </w:r>
    </w:p>
    <w:p w14:paraId="741B8B6F">
      <w:pPr>
        <w:spacing w:line="240" w:lineRule="auto"/>
        <w:ind w:right="0" w:rightChars="0"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04C94029">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、投标供应商须承诺：中标后负责统筹协调会计师、律师、评级机构等所有中介机构的各项工作。本次投标供应商所报的承销费不含律师、会计师及评级机构费用。</w:t>
      </w:r>
    </w:p>
    <w:p w14:paraId="4623D289">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6D46665E">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承销方式：</w:t>
      </w:r>
      <w:r>
        <w:rPr>
          <w:rFonts w:hint="eastAsia" w:ascii="宋体" w:hAnsi="宋体" w:eastAsia="宋体" w:cs="宋体"/>
          <w:b/>
          <w:color w:val="000000" w:themeColor="text1"/>
          <w:sz w:val="24"/>
          <w:szCs w:val="24"/>
          <w:highlight w:val="none"/>
          <w:u w:val="single"/>
          <w14:textFill>
            <w14:solidFill>
              <w14:schemeClr w14:val="tx1"/>
            </w14:solidFill>
          </w14:textFill>
        </w:rPr>
        <w:t>采取余额包销的方式承销（提供附件</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u w:val="single"/>
          <w14:textFill>
            <w14:solidFill>
              <w14:schemeClr w14:val="tx1"/>
            </w14:solidFill>
          </w14:textFill>
        </w:rPr>
        <w:t>、包销承诺函）</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p>
    <w:p w14:paraId="00E37654">
      <w:pPr>
        <w:spacing w:line="240" w:lineRule="auto"/>
        <w:ind w:right="-21" w:rightChars="-10" w:firstLine="482" w:firstLineChars="200"/>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6C9B9AA5">
      <w:pPr>
        <w:spacing w:line="240" w:lineRule="auto"/>
        <w:ind w:right="-21" w:rightChars="-10"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本项目债券根据“评标原则及方法”确定</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最多不超过5</w:t>
      </w:r>
      <w:r>
        <w:rPr>
          <w:rFonts w:hint="eastAsia" w:ascii="宋体" w:hAnsi="宋体" w:eastAsia="宋体" w:cs="宋体"/>
          <w:b/>
          <w:color w:val="000000" w:themeColor="text1"/>
          <w:sz w:val="24"/>
          <w:szCs w:val="24"/>
          <w:highlight w:val="none"/>
          <w14:textFill>
            <w14:solidFill>
              <w14:schemeClr w14:val="tx1"/>
            </w14:solidFill>
          </w14:textFill>
        </w:rPr>
        <w:t>名</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b/>
          <w:color w:val="000000" w:themeColor="text1"/>
          <w:sz w:val="24"/>
          <w:szCs w:val="24"/>
          <w:highlight w:val="none"/>
          <w14:textFill>
            <w14:solidFill>
              <w14:schemeClr w14:val="tx1"/>
            </w14:solidFill>
          </w14:textFill>
        </w:rPr>
        <w:t>发行本项目债券</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14:paraId="04131914">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533F4758">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、投标供应商需完成的工作</w:t>
      </w:r>
    </w:p>
    <w:p w14:paraId="1C22D41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担任本次永续票据承销商的职责和义务如下：</w:t>
      </w:r>
    </w:p>
    <w:p w14:paraId="07AEF5F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1.负责永续票据项目的前期辅导，方案设计和时间安排工作；</w:t>
      </w:r>
    </w:p>
    <w:p w14:paraId="54214FD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2.组织协调联席主承销商、评级机构、律师等各中介机构工作，确保项目推进进度；</w:t>
      </w:r>
    </w:p>
    <w:p w14:paraId="1C83026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3.完成对发行人的尽职调查工作，包括但不限于对发行人财务情况、经营情况、诚信情况的各项调查，现场收集尽职调查的各项资料，并有效整理形成尽职调查工作底稿；</w:t>
      </w:r>
    </w:p>
    <w:p w14:paraId="0CB33E4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4.完成包括募集说明书在内的全套申报材料</w:t>
      </w:r>
      <w:r>
        <w:rPr>
          <w:rFonts w:hint="eastAsia" w:ascii="宋体" w:hAnsi="宋体" w:eastAsia="宋体" w:cs="宋体"/>
          <w:sz w:val="24"/>
          <w:szCs w:val="24"/>
          <w:lang w:eastAsia="zh-CN"/>
        </w:rPr>
        <w:t>（</w:t>
      </w:r>
      <w:r>
        <w:rPr>
          <w:rFonts w:hint="eastAsia" w:ascii="宋体" w:hAnsi="宋体" w:eastAsia="宋体" w:cs="宋体"/>
          <w:sz w:val="24"/>
          <w:szCs w:val="24"/>
        </w:rPr>
        <w:t>除由其他中介机构出具的文件外</w:t>
      </w:r>
      <w:r>
        <w:rPr>
          <w:rFonts w:hint="eastAsia" w:ascii="宋体" w:hAnsi="宋体" w:eastAsia="宋体" w:cs="宋体"/>
          <w:sz w:val="24"/>
          <w:szCs w:val="24"/>
          <w:lang w:eastAsia="zh-CN"/>
        </w:rPr>
        <w:t>）；</w:t>
      </w:r>
    </w:p>
    <w:p w14:paraId="07B2A4E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5.完成永续票据申报注册工作，在审核阶段牵头回复交易商协会反馈的各项问题，并利用自身渠道针对审核部门关注的问题积极开展沟通工作，确保本次债券顺利获批；</w:t>
      </w:r>
    </w:p>
    <w:p w14:paraId="6CF3368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6.负责汇总投资者信息并与发行人及时沟通；</w:t>
      </w:r>
    </w:p>
    <w:p w14:paraId="3FE7817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drawing>
          <wp:anchor distT="0" distB="0" distL="0" distR="0" simplePos="0" relativeHeight="251660288" behindDoc="0" locked="0" layoutInCell="1" allowOverlap="1">
            <wp:simplePos x="0" y="0"/>
            <wp:positionH relativeFrom="column">
              <wp:posOffset>6654165</wp:posOffset>
            </wp:positionH>
            <wp:positionV relativeFrom="paragraph">
              <wp:posOffset>835660</wp:posOffset>
            </wp:positionV>
            <wp:extent cx="57150" cy="50800"/>
            <wp:effectExtent l="0" t="0" r="3810"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57146" cy="50763"/>
                    </a:xfrm>
                    <a:prstGeom prst="rect">
                      <a:avLst/>
                    </a:prstGeom>
                  </pic:spPr>
                </pic:pic>
              </a:graphicData>
            </a:graphic>
          </wp:anchor>
        </w:drawing>
      </w:r>
      <w:r>
        <w:rPr>
          <w:rFonts w:hint="eastAsia" w:ascii="宋体" w:hAnsi="宋体" w:eastAsia="宋体" w:cs="宋体"/>
          <w:sz w:val="24"/>
          <w:szCs w:val="24"/>
        </w:rPr>
        <w:t>7.根据发行人的资金需求，为发行人提供有效的发行时点与利率区间建议；</w:t>
      </w:r>
    </w:p>
    <w:p w14:paraId="4BA36D7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0" distR="0" simplePos="0" relativeHeight="251659264" behindDoc="0" locked="0" layoutInCell="1" allowOverlap="1">
                <wp:simplePos x="0" y="0"/>
                <wp:positionH relativeFrom="column">
                  <wp:posOffset>6581140</wp:posOffset>
                </wp:positionH>
                <wp:positionV relativeFrom="paragraph">
                  <wp:posOffset>421005</wp:posOffset>
                </wp:positionV>
                <wp:extent cx="201295" cy="120015"/>
                <wp:effectExtent l="40640" t="0" r="0" b="0"/>
                <wp:wrapNone/>
                <wp:docPr id="8" name="TextBox 8"/>
                <wp:cNvGraphicFramePr/>
                <a:graphic xmlns:a="http://schemas.openxmlformats.org/drawingml/2006/main">
                  <a:graphicData uri="http://schemas.microsoft.com/office/word/2010/wordprocessingShape">
                    <wps:wsp>
                      <wps:cNvSpPr txBox="1"/>
                      <wps:spPr>
                        <a:xfrm rot="5400000">
                          <a:off x="6581153" y="421200"/>
                          <a:ext cx="201295" cy="1200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F7ECEBA">
                            <w:pPr>
                              <w:spacing w:before="39" w:line="216" w:lineRule="auto"/>
                              <w:ind w:left="20"/>
                              <w:rPr>
                                <w:rFonts w:ascii="宋体" w:hAnsi="宋体" w:eastAsia="宋体" w:cs="宋体"/>
                                <w:sz w:val="11"/>
                                <w:szCs w:val="11"/>
                              </w:rPr>
                            </w:pPr>
                            <w:r>
                              <w:rPr>
                                <w:rFonts w:ascii="宋体" w:hAnsi="宋体" w:eastAsia="宋体" w:cs="宋体"/>
                                <w:spacing w:val="-4"/>
                                <w:sz w:val="11"/>
                                <w:szCs w:val="11"/>
                              </w:rPr>
                              <w:t>,</w:t>
                            </w:r>
                            <w:r>
                              <w:rPr>
                                <w:rFonts w:ascii="宋体" w:hAnsi="宋体" w:eastAsia="宋体" w:cs="宋体"/>
                                <w:spacing w:val="-19"/>
                                <w:sz w:val="11"/>
                                <w:szCs w:val="11"/>
                              </w:rPr>
                              <w:t xml:space="preserve"> </w:t>
                            </w:r>
                            <w:r>
                              <w:rPr>
                                <w:rFonts w:ascii="宋体" w:hAnsi="宋体" w:eastAsia="宋体" w:cs="宋体"/>
                                <w:spacing w:val="-4"/>
                                <w:sz w:val="11"/>
                                <w:szCs w:val="11"/>
                              </w:rPr>
                              <w:t>风</w:t>
                            </w:r>
                            <w:r>
                              <w:rPr>
                                <w:rFonts w:ascii="宋体" w:hAnsi="宋体" w:eastAsia="宋体" w:cs="宋体"/>
                                <w:spacing w:val="-17"/>
                                <w:sz w:val="11"/>
                                <w:szCs w:val="11"/>
                              </w:rPr>
                              <w:t xml:space="preserve"> </w:t>
                            </w:r>
                            <w:r>
                              <w:rPr>
                                <w:rFonts w:ascii="宋体" w:hAnsi="宋体" w:eastAsia="宋体" w:cs="宋体"/>
                                <w:spacing w:val="-4"/>
                                <w:sz w:val="11"/>
                                <w:szCs w:val="11"/>
                              </w:rPr>
                              <w:t>7</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518.2pt;margin-top:33.15pt;height:9.45pt;width:15.85pt;rotation:5898240f;z-index:251659264;mso-width-relative:page;mso-height-relative:page;" filled="f" stroked="f" coordsize="21600,21600" o:gfxdata="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KY0hdcAAAALAQAADwAAAAAAAAAB&#10;ACAAAAAiAAAAZHJzL2Rvd25yZXYueG1sUEsBAhQAFAAAAAgAh07iQBmB91JKAgAAnwQAAA4AAAAA&#10;AAAAAQAgAAAAJgEAAGRycy9lMm9Eb2MueG1sUEsFBgAAAAAGAAYAWQEAAOIFAAAAAA==&#10;">
                <v:fill on="f" focussize="0,0"/>
                <v:stroke on="f" weight="0pt" miterlimit="0" joinstyle="miter"/>
                <v:imagedata o:title=""/>
                <o:lock v:ext="edit" aspectratio="f"/>
                <v:textbox inset="0mm,0mm,0mm,0mm">
                  <w:txbxContent>
                    <w:p w14:paraId="0F7ECEBA">
                      <w:pPr>
                        <w:spacing w:before="39" w:line="216" w:lineRule="auto"/>
                        <w:ind w:left="20"/>
                        <w:rPr>
                          <w:rFonts w:ascii="宋体" w:hAnsi="宋体" w:eastAsia="宋体" w:cs="宋体"/>
                          <w:sz w:val="11"/>
                          <w:szCs w:val="11"/>
                        </w:rPr>
                      </w:pPr>
                      <w:r>
                        <w:rPr>
                          <w:rFonts w:ascii="宋体" w:hAnsi="宋体" w:eastAsia="宋体" w:cs="宋体"/>
                          <w:spacing w:val="-4"/>
                          <w:sz w:val="11"/>
                          <w:szCs w:val="11"/>
                        </w:rPr>
                        <w:t>,</w:t>
                      </w:r>
                      <w:r>
                        <w:rPr>
                          <w:rFonts w:ascii="宋体" w:hAnsi="宋体" w:eastAsia="宋体" w:cs="宋体"/>
                          <w:spacing w:val="-19"/>
                          <w:sz w:val="11"/>
                          <w:szCs w:val="11"/>
                        </w:rPr>
                        <w:t xml:space="preserve"> </w:t>
                      </w:r>
                      <w:r>
                        <w:rPr>
                          <w:rFonts w:ascii="宋体" w:hAnsi="宋体" w:eastAsia="宋体" w:cs="宋体"/>
                          <w:spacing w:val="-4"/>
                          <w:sz w:val="11"/>
                          <w:szCs w:val="11"/>
                        </w:rPr>
                        <w:t>风</w:t>
                      </w:r>
                      <w:r>
                        <w:rPr>
                          <w:rFonts w:ascii="宋体" w:hAnsi="宋体" w:eastAsia="宋体" w:cs="宋体"/>
                          <w:spacing w:val="-17"/>
                          <w:sz w:val="11"/>
                          <w:szCs w:val="11"/>
                        </w:rPr>
                        <w:t xml:space="preserve"> </w:t>
                      </w:r>
                      <w:r>
                        <w:rPr>
                          <w:rFonts w:ascii="宋体" w:hAnsi="宋体" w:eastAsia="宋体" w:cs="宋体"/>
                          <w:spacing w:val="-4"/>
                          <w:sz w:val="11"/>
                          <w:szCs w:val="11"/>
                        </w:rPr>
                        <w:t>7</w:t>
                      </w:r>
                    </w:p>
                  </w:txbxContent>
                </v:textbox>
              </v:shape>
            </w:pict>
          </mc:Fallback>
        </mc:AlternateContent>
      </w:r>
      <w:r>
        <w:rPr>
          <w:rFonts w:hint="eastAsia" w:ascii="宋体" w:hAnsi="宋体" w:eastAsia="宋体" w:cs="宋体"/>
          <w:sz w:val="24"/>
          <w:szCs w:val="24"/>
        </w:rPr>
        <w:t>8.组织开展债券的路演、销售、投资者询价工作；</w:t>
      </w:r>
    </w:p>
    <w:p w14:paraId="50D6CFE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9.积极引导投资者，争取更低的意向利率；</w:t>
      </w:r>
    </w:p>
    <w:p w14:paraId="3CE7F48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10.在包销义务范围内切实履行余额包销义务；</w:t>
      </w:r>
    </w:p>
    <w:p w14:paraId="1FC716B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11.完成发行备案、公告等发行相关的事务性工作；</w:t>
      </w:r>
    </w:p>
    <w:p w14:paraId="06CD6EE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12.在簿记建档当天，负责簿记建档的各项工作，与发行人、投资者及时有效地沟通，完成投资者引导等各项工作；</w:t>
      </w:r>
    </w:p>
    <w:p w14:paraId="4A71A67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13.在发行完毕后，确保</w:t>
      </w:r>
      <w:r>
        <w:rPr>
          <w:rFonts w:hint="eastAsia" w:ascii="宋体" w:hAnsi="宋体" w:eastAsia="宋体" w:cs="宋体"/>
          <w:strike w:val="0"/>
          <w:dstrike w:val="0"/>
          <w:sz w:val="24"/>
          <w:szCs w:val="24"/>
        </w:rPr>
        <w:t>债券</w:t>
      </w:r>
      <w:r>
        <w:rPr>
          <w:rFonts w:hint="eastAsia" w:ascii="宋体" w:hAnsi="宋体" w:eastAsia="宋体" w:cs="宋体"/>
          <w:sz w:val="24"/>
          <w:szCs w:val="24"/>
        </w:rPr>
        <w:t>募集资金按时足额到位；</w:t>
      </w:r>
    </w:p>
    <w:p w14:paraId="07F9B97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14.对发行人进行定期不定期的跟踪、回访，辅导、监督发行人合法合规地使用</w:t>
      </w:r>
      <w:r>
        <w:rPr>
          <w:rFonts w:hint="eastAsia" w:ascii="宋体" w:hAnsi="宋体" w:eastAsia="宋体" w:cs="宋体"/>
          <w:strike w:val="0"/>
          <w:dstrike w:val="0"/>
          <w:sz w:val="24"/>
          <w:szCs w:val="24"/>
        </w:rPr>
        <w:t>债</w:t>
      </w:r>
      <w:r>
        <w:rPr>
          <w:rFonts w:hint="eastAsia" w:ascii="宋体" w:hAnsi="宋体" w:eastAsia="宋体" w:cs="宋体"/>
          <w:sz w:val="24"/>
          <w:szCs w:val="24"/>
        </w:rPr>
        <w:t>券募集资金；提示发行人在本、息兑付日前做好资金安排；勤勉处理</w:t>
      </w:r>
      <w:r>
        <w:rPr>
          <w:rFonts w:hint="eastAsia" w:ascii="宋体" w:hAnsi="宋体" w:eastAsia="宋体" w:cs="宋体"/>
          <w:strike w:val="0"/>
          <w:dstrike w:val="0"/>
          <w:sz w:val="24"/>
          <w:szCs w:val="24"/>
        </w:rPr>
        <w:t>债券</w:t>
      </w:r>
      <w:r>
        <w:rPr>
          <w:rFonts w:hint="eastAsia" w:ascii="宋体" w:hAnsi="宋体" w:eastAsia="宋体" w:cs="宋体"/>
          <w:sz w:val="24"/>
          <w:szCs w:val="24"/>
        </w:rPr>
        <w:t>持有人与发行人之间可能出现的谈判或者诉讼事务等；</w:t>
      </w:r>
    </w:p>
    <w:p w14:paraId="3C7B099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15.在永续票据存续期内协助发行人履行信息披露义务，包括但不限于协助发行人完成年度报告、半年度报告及各类临时公告；</w:t>
      </w:r>
    </w:p>
    <w:p w14:paraId="2FB92A55">
      <w:pPr>
        <w:widowControl/>
        <w:kinsoku w:val="0"/>
        <w:autoSpaceDE w:val="0"/>
        <w:autoSpaceDN w:val="0"/>
        <w:adjustRightInd w:val="0"/>
        <w:snapToGrid w:val="0"/>
        <w:spacing w:line="240" w:lineRule="auto"/>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其他</w:t>
      </w:r>
      <w:r>
        <w:rPr>
          <w:rFonts w:hint="eastAsia" w:ascii="宋体" w:hAnsi="宋体" w:eastAsia="宋体" w:cs="宋体"/>
          <w:strike w:val="0"/>
          <w:dstrike w:val="0"/>
          <w:sz w:val="24"/>
          <w:szCs w:val="24"/>
        </w:rPr>
        <w:t>债券</w:t>
      </w:r>
      <w:r>
        <w:rPr>
          <w:rFonts w:hint="eastAsia" w:ascii="宋体" w:hAnsi="宋体" w:eastAsia="宋体" w:cs="宋体"/>
          <w:sz w:val="24"/>
          <w:szCs w:val="24"/>
        </w:rPr>
        <w:t>注册、发行过程中以及存续期应完成的相关工作。。</w:t>
      </w:r>
    </w:p>
    <w:p w14:paraId="019DB25D">
      <w:pPr>
        <w:widowControl/>
        <w:kinsoku w:val="0"/>
        <w:autoSpaceDE w:val="0"/>
        <w:autoSpaceDN w:val="0"/>
        <w:adjustRightInd w:val="0"/>
        <w:snapToGrid w:val="0"/>
        <w:spacing w:line="240" w:lineRule="auto"/>
        <w:ind w:right="0" w:rightChars="0" w:firstLine="480" w:firstLineChars="200"/>
        <w:textAlignment w:val="baseline"/>
        <w:rPr>
          <w:rFonts w:hint="eastAsia" w:ascii="宋体" w:hAnsi="宋体" w:eastAsia="宋体" w:cs="宋体"/>
          <w:b w:val="0"/>
          <w:sz w:val="24"/>
          <w:szCs w:val="24"/>
          <w:lang w:val="en-US" w:eastAsia="zh-CN"/>
        </w:rPr>
      </w:pPr>
    </w:p>
    <w:p w14:paraId="08007239">
      <w:pPr>
        <w:spacing w:line="240" w:lineRule="auto"/>
        <w:ind w:right="-21" w:rightChars="-10" w:firstLine="482" w:firstLineChars="200"/>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七、若承销商收到采购人通知后3个月内（遇春节等长假顺延）未完成向交易所提交中期票据的申报工作（因采购人原因导致延期申报的除外），采购人有权取消其承销商资格。</w:t>
      </w:r>
    </w:p>
    <w:p w14:paraId="24DEE55D">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3ACCBF7C">
      <w:pPr>
        <w:spacing w:line="240" w:lineRule="auto"/>
        <w:ind w:right="-21" w:rightChars="-1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、承销费说明：</w:t>
      </w:r>
    </w:p>
    <w:p w14:paraId="708C1D76">
      <w:pPr>
        <w:spacing w:line="24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1.以各中标</w:t>
      </w:r>
      <w:r>
        <w:rPr>
          <w:rFonts w:hint="eastAsia" w:ascii="宋体" w:hAnsi="宋体" w:eastAsia="宋体" w:cs="宋体"/>
          <w:b/>
          <w:bCs/>
          <w:color w:val="000000" w:themeColor="text1"/>
          <w:sz w:val="24"/>
          <w:szCs w:val="24"/>
          <w:highlight w:val="none"/>
          <w14:textFill>
            <w14:solidFill>
              <w14:schemeClr w14:val="tx1"/>
            </w14:solidFill>
          </w14:textFill>
        </w:rPr>
        <w:t>承销商</w:t>
      </w:r>
      <w:r>
        <w:rPr>
          <w:rFonts w:hint="eastAsia" w:ascii="宋体" w:hAnsi="宋体" w:eastAsia="宋体" w:cs="宋体"/>
          <w:b/>
          <w:color w:val="000000" w:themeColor="text1"/>
          <w:sz w:val="24"/>
          <w:szCs w:val="24"/>
          <w:highlight w:val="none"/>
          <w14:textFill>
            <w14:solidFill>
              <w14:schemeClr w14:val="tx1"/>
            </w14:solidFill>
          </w14:textFill>
        </w:rPr>
        <w:t>的商务报价（即中标承销费率）分别与其签订承销协议。各承销商的承销费用</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该承销商的当期发行额*该承销商的年承销费率*发行期限（年）。各承销商根据其每一期的发行额度和中标承销费率与采购人按实结算；发行人调整票面利率选择权和投资者回售选择权（若有）之后不计承销费用。</w:t>
      </w:r>
    </w:p>
    <w:p w14:paraId="3017F08B">
      <w:pPr>
        <w:spacing w:line="24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中标人获得的最终承销费用为中标人完成本项目发行任务的一切费用，包括服务所需的完成发行准备工作、制作申报材料并上报、与主管部门的沟通、完成</w:t>
      </w:r>
      <w:r>
        <w:rPr>
          <w:rFonts w:hint="eastAsia" w:ascii="宋体" w:hAnsi="宋体" w:eastAsia="宋体" w:cs="宋体"/>
          <w:b/>
          <w:color w:val="000000" w:themeColor="text1"/>
          <w:sz w:val="24"/>
          <w:szCs w:val="24"/>
          <w:highlight w:val="none"/>
          <w:lang w:eastAsia="zh-CN"/>
          <w14:textFill>
            <w14:solidFill>
              <w14:schemeClr w14:val="tx1"/>
            </w14:solidFill>
          </w14:textFill>
        </w:rPr>
        <w:t>中期票据</w:t>
      </w:r>
      <w:r>
        <w:rPr>
          <w:rFonts w:hint="eastAsia" w:ascii="宋体" w:hAnsi="宋体" w:eastAsia="宋体" w:cs="宋体"/>
          <w:b/>
          <w:color w:val="000000" w:themeColor="text1"/>
          <w:sz w:val="24"/>
          <w:szCs w:val="24"/>
          <w:highlight w:val="none"/>
          <w14:textFill>
            <w14:solidFill>
              <w14:schemeClr w14:val="tx1"/>
            </w14:solidFill>
          </w14:textFill>
        </w:rPr>
        <w:t>的成功注册、发行与销售、后期的支持与服务等以及因此产生的税费、服务费、利润及完成合同所需的所有除不可抗力之外的风险、责任等全部费用。</w:t>
      </w:r>
    </w:p>
    <w:p w14:paraId="4FD060DC">
      <w:pPr>
        <w:pStyle w:val="2"/>
        <w:ind w:left="0" w:leftChars="0" w:firstLine="482" w:firstLineChars="200"/>
        <w:rPr>
          <w:rFonts w:hint="eastAsia" w:eastAsia="宋体"/>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3.本项目获得中期票据主管机关注册后的有效期内，如果采购人放弃发行本次注册中期票据全部额度或在注册批文有效期内没有发行，采购人无需向承销商支付发行费用。</w:t>
      </w:r>
    </w:p>
    <w:p w14:paraId="52517F8C">
      <w:pPr>
        <w:spacing w:line="240" w:lineRule="auto"/>
        <w:ind w:firstLine="480" w:firstLineChars="200"/>
        <w:rPr>
          <w:rFonts w:hint="eastAsia" w:ascii="宋体" w:hAnsi="宋体" w:eastAsia="宋体" w:cs="宋体"/>
          <w:sz w:val="24"/>
          <w:szCs w:val="24"/>
          <w:highlight w:val="none"/>
        </w:rPr>
      </w:pPr>
    </w:p>
    <w:p w14:paraId="603FECCB">
      <w:pPr>
        <w:spacing w:line="240" w:lineRule="auto"/>
        <w:ind w:firstLine="482" w:firstLineChars="200"/>
        <w:rPr>
          <w:rFonts w:hint="eastAsia" w:ascii="宋体" w:hAnsi="宋体" w:eastAsia="宋体" w:cs="宋体"/>
          <w:b/>
          <w:bCs/>
          <w:sz w:val="24"/>
          <w:szCs w:val="24"/>
          <w:highlight w:val="none"/>
        </w:rPr>
      </w:pPr>
    </w:p>
    <w:p w14:paraId="336F0449">
      <w:pPr>
        <w:spacing w:line="24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5D9DE8C">
      <w:pPr>
        <w:keepNext/>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第五部分   评标原则及方法</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22EC6FC">
      <w:pPr>
        <w:jc w:val="center"/>
        <w:rPr>
          <w:rFonts w:hint="eastAsia" w:ascii="宋体" w:hAnsi="宋体" w:eastAsia="宋体" w:cs="宋体"/>
          <w:sz w:val="22"/>
          <w:highlight w:val="none"/>
        </w:rPr>
      </w:pPr>
    </w:p>
    <w:p w14:paraId="13C02726">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本项目属非政府采购项目，根据</w:t>
      </w:r>
      <w:r>
        <w:rPr>
          <w:rFonts w:hint="eastAsia" w:ascii="宋体" w:hAnsi="宋体" w:eastAsia="宋体" w:cs="宋体"/>
          <w:sz w:val="22"/>
          <w:highlight w:val="none"/>
          <w:lang w:eastAsia="zh-CN"/>
        </w:rPr>
        <w:t>《温州市市属国有企业采购管理办法》（温国资委【2024】51号）</w:t>
      </w:r>
      <w:r>
        <w:rPr>
          <w:rFonts w:hint="eastAsia" w:ascii="宋体" w:hAnsi="宋体" w:eastAsia="宋体" w:cs="宋体"/>
          <w:sz w:val="22"/>
          <w:highlight w:val="none"/>
        </w:rPr>
        <w:t>等有关法规、规定，结合本项目的实际，按照公平、公正、科学、择优的原则选择中标单位，特制定本评标办法。</w:t>
      </w:r>
    </w:p>
    <w:p w14:paraId="533B109D">
      <w:pPr>
        <w:rPr>
          <w:rFonts w:hint="eastAsia" w:ascii="宋体" w:hAnsi="宋体" w:eastAsia="宋体" w:cs="宋体"/>
          <w:sz w:val="22"/>
          <w:szCs w:val="24"/>
          <w:highlight w:val="none"/>
        </w:rPr>
      </w:pPr>
      <w:r>
        <w:rPr>
          <w:rFonts w:hint="eastAsia" w:ascii="宋体" w:hAnsi="宋体" w:eastAsia="宋体" w:cs="宋体"/>
          <w:sz w:val="22"/>
          <w:szCs w:val="24"/>
          <w:highlight w:val="none"/>
        </w:rPr>
        <w:t>一、总则</w:t>
      </w:r>
    </w:p>
    <w:p w14:paraId="30C10AD7">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05AB5917">
      <w:pPr>
        <w:rPr>
          <w:rFonts w:hint="eastAsia" w:ascii="宋体" w:hAnsi="宋体" w:eastAsia="宋体" w:cs="宋体"/>
          <w:sz w:val="22"/>
          <w:szCs w:val="24"/>
          <w:highlight w:val="none"/>
        </w:rPr>
      </w:pPr>
      <w:r>
        <w:rPr>
          <w:rFonts w:hint="eastAsia" w:ascii="宋体" w:hAnsi="宋体" w:eastAsia="宋体" w:cs="宋体"/>
          <w:sz w:val="22"/>
          <w:szCs w:val="24"/>
          <w:highlight w:val="none"/>
        </w:rPr>
        <w:t>二、评标组织</w:t>
      </w:r>
    </w:p>
    <w:p w14:paraId="3AC4124F">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评标工作由采购人依法组建的评标委员会负责，评标全过程由有关部门指导监督。</w:t>
      </w:r>
    </w:p>
    <w:p w14:paraId="4E021112">
      <w:pPr>
        <w:rPr>
          <w:rFonts w:hint="eastAsia" w:ascii="宋体" w:hAnsi="宋体" w:eastAsia="宋体" w:cs="宋体"/>
          <w:sz w:val="22"/>
          <w:szCs w:val="24"/>
          <w:highlight w:val="none"/>
        </w:rPr>
      </w:pPr>
      <w:r>
        <w:rPr>
          <w:rFonts w:hint="eastAsia" w:ascii="宋体" w:hAnsi="宋体" w:eastAsia="宋体" w:cs="宋体"/>
          <w:sz w:val="22"/>
          <w:szCs w:val="24"/>
          <w:highlight w:val="none"/>
        </w:rPr>
        <w:t>三、评标程序</w:t>
      </w:r>
    </w:p>
    <w:p w14:paraId="62B93788">
      <w:pPr>
        <w:ind w:firstLine="440" w:firstLineChars="200"/>
        <w:rPr>
          <w:rFonts w:hint="eastAsia" w:ascii="宋体" w:hAnsi="宋体" w:eastAsia="宋体" w:cs="宋体"/>
          <w:sz w:val="22"/>
          <w:szCs w:val="24"/>
          <w:highlight w:val="none"/>
        </w:rPr>
      </w:pPr>
      <w:r>
        <w:rPr>
          <w:rFonts w:hint="eastAsia" w:ascii="宋体" w:hAnsi="宋体" w:eastAsia="宋体" w:cs="宋体"/>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2515D972">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1、本项目评标的依据为采购文件和投标文件。</w:t>
      </w:r>
    </w:p>
    <w:p w14:paraId="2149011A">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2、先熟悉采购文件和评标办法。</w:t>
      </w:r>
    </w:p>
    <w:p w14:paraId="3CCBDEA1">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14:paraId="5CC76A39">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14:paraId="4155439C">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14:paraId="777CDE52">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14:paraId="6EFC6A25">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69B512D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14:paraId="49DF1CA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14:paraId="114BA146">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、说明或补正）。澄清、说明或补正应以书面形式并由法定代表人（负责人）或其授权代表签署，但澄清内容不得超出投标文件的范围或者改变投标文件的实质性内容。</w:t>
      </w:r>
    </w:p>
    <w:p w14:paraId="1756F1B9">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4B9426E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14:paraId="2C7E6F26">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AC7BD2A">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w:t>
      </w:r>
    </w:p>
    <w:p w14:paraId="61D3FC8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14:paraId="0A9CACAC">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14:paraId="3825A204">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本次采购采用百分制综合评分法，即投标人最大限度地满足采购文件实质性要求的基础上，按照采购文件的各项因素进行综合评审，总分设定为100分；其中技术资信分</w:t>
      </w:r>
      <w:r>
        <w:rPr>
          <w:rFonts w:hint="eastAsia" w:ascii="宋体" w:hAnsi="宋体" w:eastAsia="宋体" w:cs="宋体"/>
          <w:sz w:val="22"/>
          <w:szCs w:val="24"/>
          <w:highlight w:val="none"/>
          <w:lang w:val="en-US" w:eastAsia="zh-CN"/>
        </w:rPr>
        <w:t>70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30</w:t>
      </w:r>
      <w:r>
        <w:rPr>
          <w:rFonts w:hint="eastAsia" w:ascii="宋体" w:hAnsi="宋体" w:eastAsia="宋体" w:cs="宋体"/>
          <w:sz w:val="22"/>
          <w:szCs w:val="24"/>
          <w:highlight w:val="none"/>
        </w:rPr>
        <w:t>分，</w:t>
      </w:r>
      <w:r>
        <w:rPr>
          <w:rFonts w:hint="eastAsia" w:ascii="宋体" w:hAnsi="宋体" w:eastAsia="宋体" w:cs="宋体"/>
          <w:sz w:val="22"/>
          <w:highlight w:val="none"/>
        </w:rPr>
        <w:t>各投标人的最终得为技术资信分 + 商务（报价）分。</w:t>
      </w:r>
    </w:p>
    <w:p w14:paraId="3115E6F7">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14:paraId="655057A7">
      <w:pPr>
        <w:adjustRightInd w:val="0"/>
        <w:snapToGrid w:val="0"/>
        <w:ind w:firstLine="442" w:firstLineChars="200"/>
        <w:rPr>
          <w:rFonts w:hint="eastAsia" w:ascii="宋体" w:hAnsi="宋体" w:eastAsia="宋体" w:cs="宋体"/>
          <w:b/>
          <w:bCs/>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70</w:t>
      </w:r>
      <w:r>
        <w:rPr>
          <w:rFonts w:hint="eastAsia" w:ascii="宋体" w:hAnsi="宋体" w:eastAsia="宋体" w:cs="宋体"/>
          <w:b/>
          <w:bCs/>
          <w:sz w:val="22"/>
          <w:highlight w:val="none"/>
        </w:rPr>
        <w:t>分）</w:t>
      </w:r>
    </w:p>
    <w:p w14:paraId="6A75DE23">
      <w:pPr>
        <w:ind w:firstLine="440" w:firstLineChars="200"/>
        <w:rPr>
          <w:rFonts w:hint="eastAsia" w:ascii="宋体" w:hAnsi="宋体" w:eastAsia="宋体" w:cs="宋体"/>
          <w:color w:val="auto"/>
          <w:sz w:val="22"/>
          <w:szCs w:val="24"/>
          <w:highlight w:val="none"/>
        </w:rPr>
      </w:pPr>
      <w:r>
        <w:rPr>
          <w:rFonts w:hint="eastAsia" w:ascii="宋体" w:hAnsi="宋体" w:eastAsia="宋体" w:cs="宋体"/>
          <w:sz w:val="22"/>
          <w:szCs w:val="24"/>
          <w:highlight w:val="none"/>
        </w:rPr>
        <w:t>各评委成员按下列评分项目进行评定，每人一张评分计算表，由评标委员会成员各自评定打分并记实名。如</w:t>
      </w:r>
      <w:r>
        <w:rPr>
          <w:rFonts w:hint="eastAsia" w:ascii="宋体" w:hAnsi="宋体" w:eastAsia="宋体" w:cs="宋体"/>
          <w:color w:val="auto"/>
          <w:sz w:val="22"/>
          <w:szCs w:val="24"/>
          <w:highlight w:val="none"/>
        </w:rPr>
        <w:t>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8"/>
        <w:tblW w:w="9099" w:type="dxa"/>
        <w:jc w:val="center"/>
        <w:tblLayout w:type="fixed"/>
        <w:tblCellMar>
          <w:top w:w="0" w:type="dxa"/>
          <w:left w:w="108" w:type="dxa"/>
          <w:bottom w:w="0" w:type="dxa"/>
          <w:right w:w="108" w:type="dxa"/>
        </w:tblCellMar>
      </w:tblPr>
      <w:tblGrid>
        <w:gridCol w:w="378"/>
        <w:gridCol w:w="889"/>
        <w:gridCol w:w="467"/>
        <w:gridCol w:w="3273"/>
        <w:gridCol w:w="4092"/>
      </w:tblGrid>
      <w:tr w14:paraId="7E1C7C1D">
        <w:tblPrEx>
          <w:tblCellMar>
            <w:top w:w="0" w:type="dxa"/>
            <w:left w:w="108" w:type="dxa"/>
            <w:bottom w:w="0" w:type="dxa"/>
            <w:right w:w="108" w:type="dxa"/>
          </w:tblCellMar>
        </w:tblPrEx>
        <w:trPr>
          <w:trHeight w:val="215"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604CC53D">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889" w:type="dxa"/>
            <w:tcBorders>
              <w:top w:val="single" w:color="auto" w:sz="4" w:space="0"/>
              <w:left w:val="single" w:color="auto" w:sz="4" w:space="0"/>
              <w:bottom w:val="single" w:color="auto" w:sz="4" w:space="0"/>
              <w:right w:val="single" w:color="auto" w:sz="4" w:space="0"/>
            </w:tcBorders>
            <w:vAlign w:val="center"/>
          </w:tcPr>
          <w:p w14:paraId="7D3D74A5">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评分内容</w:t>
            </w:r>
          </w:p>
        </w:tc>
        <w:tc>
          <w:tcPr>
            <w:tcW w:w="467" w:type="dxa"/>
            <w:tcBorders>
              <w:top w:val="single" w:color="auto" w:sz="4" w:space="0"/>
              <w:left w:val="single" w:color="auto" w:sz="4" w:space="0"/>
              <w:bottom w:val="single" w:color="auto" w:sz="4" w:space="0"/>
              <w:right w:val="single" w:color="auto" w:sz="4" w:space="0"/>
            </w:tcBorders>
            <w:vAlign w:val="center"/>
          </w:tcPr>
          <w:p w14:paraId="70902801">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满分值</w:t>
            </w:r>
          </w:p>
        </w:tc>
        <w:tc>
          <w:tcPr>
            <w:tcW w:w="3273" w:type="dxa"/>
            <w:tcBorders>
              <w:top w:val="single" w:color="auto" w:sz="4" w:space="0"/>
              <w:left w:val="single" w:color="auto" w:sz="4" w:space="0"/>
              <w:bottom w:val="single" w:color="auto" w:sz="4" w:space="0"/>
              <w:right w:val="single" w:color="auto" w:sz="4" w:space="0"/>
            </w:tcBorders>
            <w:vAlign w:val="center"/>
          </w:tcPr>
          <w:p w14:paraId="4599A4DC">
            <w:pPr>
              <w:widowControl/>
              <w:spacing w:line="240" w:lineRule="exact"/>
              <w:ind w:left="-63" w:leftChars="-30" w:right="-63" w:rightChars="-30"/>
              <w:jc w:val="center"/>
              <w:textAlignment w:val="center"/>
              <w:rPr>
                <w:rFonts w:hint="eastAsia" w:ascii="宋体" w:hAnsi="宋体" w:eastAsia="宋体" w:cs="宋体"/>
                <w:b/>
                <w:bCs/>
                <w:sz w:val="18"/>
                <w:szCs w:val="18"/>
                <w:highlight w:val="none"/>
              </w:rPr>
            </w:pPr>
            <w:r>
              <w:rPr>
                <w:rFonts w:hint="eastAsia" w:ascii="宋体" w:hAnsi="宋体" w:eastAsia="宋体" w:cs="宋体"/>
                <w:b/>
                <w:bCs/>
                <w:kern w:val="0"/>
                <w:sz w:val="18"/>
                <w:szCs w:val="18"/>
                <w:highlight w:val="none"/>
                <w:lang w:bidi="ar"/>
              </w:rPr>
              <w:t>评分标准</w:t>
            </w:r>
          </w:p>
        </w:tc>
        <w:tc>
          <w:tcPr>
            <w:tcW w:w="4092" w:type="dxa"/>
            <w:tcBorders>
              <w:top w:val="single" w:color="auto" w:sz="4" w:space="0"/>
              <w:left w:val="single" w:color="auto" w:sz="4" w:space="0"/>
              <w:bottom w:val="single" w:color="auto" w:sz="4" w:space="0"/>
              <w:right w:val="single" w:color="auto" w:sz="4" w:space="0"/>
            </w:tcBorders>
            <w:vAlign w:val="center"/>
          </w:tcPr>
          <w:p w14:paraId="6BF35411">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备注</w:t>
            </w:r>
          </w:p>
        </w:tc>
      </w:tr>
      <w:tr w14:paraId="06675F40">
        <w:tblPrEx>
          <w:tblCellMar>
            <w:top w:w="0" w:type="dxa"/>
            <w:left w:w="108" w:type="dxa"/>
            <w:bottom w:w="0" w:type="dxa"/>
            <w:right w:w="108" w:type="dxa"/>
          </w:tblCellMar>
        </w:tblPrEx>
        <w:trPr>
          <w:trHeight w:val="23" w:hRule="atLeast"/>
          <w:jc w:val="center"/>
        </w:trPr>
        <w:tc>
          <w:tcPr>
            <w:tcW w:w="9099" w:type="dxa"/>
            <w:gridSpan w:val="5"/>
            <w:tcBorders>
              <w:top w:val="single" w:color="auto" w:sz="4" w:space="0"/>
              <w:left w:val="single" w:color="auto" w:sz="4" w:space="0"/>
              <w:bottom w:val="single" w:color="auto" w:sz="4" w:space="0"/>
              <w:right w:val="single" w:color="auto" w:sz="4" w:space="0"/>
            </w:tcBorders>
            <w:vAlign w:val="center"/>
          </w:tcPr>
          <w:p w14:paraId="0A0E82E0">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承销能力（</w:t>
            </w:r>
            <w:r>
              <w:rPr>
                <w:rFonts w:hint="eastAsia" w:ascii="宋体" w:hAnsi="宋体" w:eastAsia="宋体" w:cs="宋体"/>
                <w:b/>
                <w:bCs/>
                <w:kern w:val="0"/>
                <w:sz w:val="18"/>
                <w:szCs w:val="18"/>
                <w:highlight w:val="none"/>
                <w:lang w:val="en-US" w:eastAsia="zh-CN"/>
              </w:rPr>
              <w:t>52</w:t>
            </w:r>
            <w:r>
              <w:rPr>
                <w:rFonts w:hint="eastAsia" w:ascii="宋体" w:hAnsi="宋体" w:eastAsia="宋体" w:cs="宋体"/>
                <w:b/>
                <w:bCs/>
                <w:kern w:val="0"/>
                <w:sz w:val="18"/>
                <w:szCs w:val="18"/>
                <w:highlight w:val="none"/>
              </w:rPr>
              <w:t>分）</w:t>
            </w:r>
          </w:p>
        </w:tc>
      </w:tr>
      <w:tr w14:paraId="6A5C0F2C">
        <w:tblPrEx>
          <w:tblCellMar>
            <w:top w:w="0" w:type="dxa"/>
            <w:left w:w="108" w:type="dxa"/>
            <w:bottom w:w="0" w:type="dxa"/>
            <w:right w:w="108" w:type="dxa"/>
          </w:tblCellMar>
        </w:tblPrEx>
        <w:trPr>
          <w:trHeight w:val="23" w:hRule="atLeast"/>
          <w:jc w:val="center"/>
        </w:trPr>
        <w:tc>
          <w:tcPr>
            <w:tcW w:w="378" w:type="dxa"/>
            <w:vMerge w:val="restart"/>
            <w:tcBorders>
              <w:top w:val="single" w:color="auto" w:sz="4" w:space="0"/>
              <w:left w:val="single" w:color="auto" w:sz="4" w:space="0"/>
              <w:right w:val="single" w:color="auto" w:sz="4" w:space="0"/>
            </w:tcBorders>
            <w:vAlign w:val="center"/>
          </w:tcPr>
          <w:p w14:paraId="3F3BA580">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1</w:t>
            </w:r>
          </w:p>
        </w:tc>
        <w:tc>
          <w:tcPr>
            <w:tcW w:w="889" w:type="dxa"/>
            <w:vMerge w:val="restart"/>
            <w:tcBorders>
              <w:top w:val="single" w:color="auto" w:sz="4" w:space="0"/>
              <w:left w:val="single" w:color="auto" w:sz="4" w:space="0"/>
              <w:right w:val="single" w:color="auto" w:sz="4" w:space="0"/>
            </w:tcBorders>
            <w:vAlign w:val="center"/>
          </w:tcPr>
          <w:p w14:paraId="1C49C149">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2023年1月1日-2025年9月30日</w:t>
            </w:r>
            <w:r>
              <w:rPr>
                <w:rFonts w:hint="eastAsia" w:ascii="宋体" w:hAnsi="宋体" w:eastAsia="宋体" w:cs="宋体"/>
                <w:kern w:val="0"/>
                <w:sz w:val="18"/>
                <w:szCs w:val="18"/>
                <w:highlight w:val="none"/>
              </w:rPr>
              <w:t>全国承销排名（NAFMⅡ）</w:t>
            </w:r>
          </w:p>
        </w:tc>
        <w:tc>
          <w:tcPr>
            <w:tcW w:w="467" w:type="dxa"/>
            <w:tcBorders>
              <w:top w:val="single" w:color="auto" w:sz="4" w:space="0"/>
              <w:left w:val="single" w:color="auto" w:sz="4" w:space="0"/>
              <w:bottom w:val="single" w:color="auto" w:sz="4" w:space="0"/>
              <w:right w:val="single" w:color="auto" w:sz="4" w:space="0"/>
            </w:tcBorders>
            <w:vAlign w:val="center"/>
          </w:tcPr>
          <w:p w14:paraId="0AE1F984">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64C34B5F">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主承销中期票据总金额排名：第1-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restart"/>
            <w:tcBorders>
              <w:top w:val="single" w:color="auto" w:sz="4" w:space="0"/>
              <w:left w:val="single" w:color="auto" w:sz="4" w:space="0"/>
              <w:right w:val="single" w:color="auto" w:sz="4" w:space="0"/>
            </w:tcBorders>
            <w:vAlign w:val="center"/>
          </w:tcPr>
          <w:p w14:paraId="4588BAD0">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数据来源为Wind：债券专题—— 一级市场——承销统计——债券承销排名（Wind口径），选择板块——债券分类（Wind）选择“中期票据”，起止日期“2023年1月1日-2025年9月30日”，上市地点勾选“全部市场”，机构类型勾选“银行”，勾选“联主实际比例”，勾选“合并母子公司”口径。</w:t>
            </w:r>
          </w:p>
          <w:p w14:paraId="4EFD5686">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评审依据：投标人提供Wind截图并加盖公章，按照承销金额/支数由高到低对投标人排序计算。</w:t>
            </w:r>
          </w:p>
        </w:tc>
      </w:tr>
      <w:tr w14:paraId="0A6C03CD">
        <w:tblPrEx>
          <w:tblCellMar>
            <w:top w:w="0" w:type="dxa"/>
            <w:left w:w="108" w:type="dxa"/>
            <w:bottom w:w="0" w:type="dxa"/>
            <w:right w:w="108" w:type="dxa"/>
          </w:tblCellMar>
        </w:tblPrEx>
        <w:trPr>
          <w:trHeight w:val="23" w:hRule="atLeast"/>
          <w:jc w:val="center"/>
        </w:trPr>
        <w:tc>
          <w:tcPr>
            <w:tcW w:w="378" w:type="dxa"/>
            <w:vMerge w:val="continue"/>
            <w:tcBorders>
              <w:left w:val="single" w:color="auto" w:sz="4" w:space="0"/>
              <w:bottom w:val="single" w:color="auto" w:sz="4" w:space="0"/>
              <w:right w:val="single" w:color="auto" w:sz="4" w:space="0"/>
            </w:tcBorders>
            <w:vAlign w:val="center"/>
          </w:tcPr>
          <w:p w14:paraId="28DF4373">
            <w:pPr>
              <w:widowControl/>
              <w:spacing w:line="240" w:lineRule="exact"/>
              <w:ind w:left="-63" w:leftChars="-30" w:right="-63" w:rightChars="-30"/>
              <w:jc w:val="left"/>
              <w:rPr>
                <w:rFonts w:hint="eastAsia" w:ascii="宋体" w:hAnsi="宋体" w:eastAsia="宋体" w:cs="宋体"/>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14:paraId="54D0394A">
            <w:pPr>
              <w:widowControl/>
              <w:spacing w:line="240" w:lineRule="exact"/>
              <w:ind w:left="-63" w:leftChars="-30" w:right="-63" w:rightChars="-30"/>
              <w:jc w:val="center"/>
              <w:rPr>
                <w:rFonts w:hint="eastAsia" w:ascii="宋体" w:hAnsi="宋体" w:eastAsia="宋体" w:cs="宋体"/>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14:paraId="52D993A0">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10FE2BB0">
            <w:pPr>
              <w:widowControl/>
              <w:spacing w:line="240" w:lineRule="exact"/>
              <w:ind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主承销中期票据总支数排名：第1-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continue"/>
            <w:tcBorders>
              <w:left w:val="single" w:color="auto" w:sz="4" w:space="0"/>
              <w:bottom w:val="single" w:color="auto" w:sz="4" w:space="0"/>
              <w:right w:val="single" w:color="auto" w:sz="4" w:space="0"/>
            </w:tcBorders>
            <w:vAlign w:val="center"/>
          </w:tcPr>
          <w:p w14:paraId="70238E17">
            <w:pPr>
              <w:widowControl/>
              <w:spacing w:line="240" w:lineRule="exact"/>
              <w:ind w:left="-63" w:leftChars="-30" w:right="-63" w:rightChars="-30"/>
              <w:jc w:val="left"/>
              <w:rPr>
                <w:rFonts w:hint="eastAsia" w:ascii="宋体" w:hAnsi="宋体" w:eastAsia="宋体" w:cs="宋体"/>
                <w:kern w:val="0"/>
                <w:sz w:val="18"/>
                <w:szCs w:val="18"/>
                <w:highlight w:val="none"/>
              </w:rPr>
            </w:pPr>
          </w:p>
        </w:tc>
      </w:tr>
      <w:tr w14:paraId="7492A875">
        <w:tblPrEx>
          <w:tblCellMar>
            <w:top w:w="0" w:type="dxa"/>
            <w:left w:w="108" w:type="dxa"/>
            <w:bottom w:w="0" w:type="dxa"/>
            <w:right w:w="108" w:type="dxa"/>
          </w:tblCellMar>
        </w:tblPrEx>
        <w:trPr>
          <w:trHeight w:val="23" w:hRule="atLeast"/>
          <w:jc w:val="center"/>
        </w:trPr>
        <w:tc>
          <w:tcPr>
            <w:tcW w:w="378" w:type="dxa"/>
            <w:vMerge w:val="restart"/>
            <w:tcBorders>
              <w:top w:val="single" w:color="auto" w:sz="4" w:space="0"/>
              <w:left w:val="single" w:color="auto" w:sz="4" w:space="0"/>
              <w:right w:val="single" w:color="auto" w:sz="4" w:space="0"/>
            </w:tcBorders>
            <w:vAlign w:val="center"/>
          </w:tcPr>
          <w:p w14:paraId="23772A62">
            <w:pPr>
              <w:widowControl/>
              <w:spacing w:line="240" w:lineRule="exact"/>
              <w:ind w:left="-63" w:leftChars="-30" w:right="-63" w:rightChars="-3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889" w:type="dxa"/>
            <w:vMerge w:val="restart"/>
            <w:tcBorders>
              <w:top w:val="single" w:color="auto" w:sz="4" w:space="0"/>
              <w:left w:val="single" w:color="auto" w:sz="4" w:space="0"/>
              <w:right w:val="single" w:color="auto" w:sz="4" w:space="0"/>
            </w:tcBorders>
            <w:vAlign w:val="center"/>
          </w:tcPr>
          <w:p w14:paraId="4FDF25D2">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2023年1月1日-2025年9月30日</w:t>
            </w:r>
            <w:r>
              <w:rPr>
                <w:rFonts w:hint="eastAsia" w:ascii="宋体" w:hAnsi="宋体" w:eastAsia="宋体" w:cs="宋体"/>
                <w:kern w:val="0"/>
                <w:sz w:val="18"/>
                <w:szCs w:val="18"/>
                <w:highlight w:val="none"/>
              </w:rPr>
              <w:t>浙江省承销排名（NAFMⅡ）</w:t>
            </w:r>
          </w:p>
        </w:tc>
        <w:tc>
          <w:tcPr>
            <w:tcW w:w="467" w:type="dxa"/>
            <w:tcBorders>
              <w:top w:val="single" w:color="auto" w:sz="4" w:space="0"/>
              <w:left w:val="single" w:color="auto" w:sz="4" w:space="0"/>
              <w:bottom w:val="single" w:color="auto" w:sz="4" w:space="0"/>
              <w:right w:val="single" w:color="auto" w:sz="4" w:space="0"/>
            </w:tcBorders>
            <w:vAlign w:val="center"/>
          </w:tcPr>
          <w:p w14:paraId="17463A87">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3620F2B3">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lang w:eastAsia="zh-CN"/>
              </w:rPr>
              <w:t>年</w:t>
            </w:r>
            <w:r>
              <w:rPr>
                <w:rFonts w:hint="eastAsia" w:ascii="宋体" w:hAnsi="宋体" w:eastAsia="宋体" w:cs="宋体"/>
                <w:kern w:val="0"/>
                <w:sz w:val="18"/>
                <w:szCs w:val="18"/>
                <w:highlight w:val="none"/>
                <w:lang w:val="en-US" w:eastAsia="zh-CN"/>
              </w:rPr>
              <w:t>9</w:t>
            </w:r>
            <w:r>
              <w:rPr>
                <w:rFonts w:hint="eastAsia" w:ascii="宋体" w:hAnsi="宋体" w:eastAsia="宋体" w:cs="宋体"/>
                <w:kern w:val="0"/>
                <w:sz w:val="18"/>
                <w:szCs w:val="18"/>
                <w:highlight w:val="none"/>
                <w:lang w:eastAsia="zh-CN"/>
              </w:rPr>
              <w:t>月3</w:t>
            </w:r>
            <w:r>
              <w:rPr>
                <w:rFonts w:hint="eastAsia" w:ascii="宋体" w:hAnsi="宋体" w:eastAsia="宋体" w:cs="宋体"/>
                <w:kern w:val="0"/>
                <w:sz w:val="18"/>
                <w:szCs w:val="18"/>
                <w:highlight w:val="none"/>
                <w:lang w:val="en-US" w:eastAsia="zh-CN"/>
              </w:rPr>
              <w:t>0</w:t>
            </w:r>
            <w:r>
              <w:rPr>
                <w:rFonts w:hint="eastAsia" w:ascii="宋体" w:hAnsi="宋体" w:eastAsia="宋体" w:cs="宋体"/>
                <w:kern w:val="0"/>
                <w:sz w:val="18"/>
                <w:szCs w:val="18"/>
                <w:highlight w:val="none"/>
                <w:lang w:eastAsia="zh-CN"/>
              </w:rPr>
              <w:t>日</w:t>
            </w:r>
            <w:r>
              <w:rPr>
                <w:rFonts w:hint="eastAsia" w:ascii="宋体" w:hAnsi="宋体" w:eastAsia="宋体" w:cs="宋体"/>
                <w:kern w:val="0"/>
                <w:sz w:val="18"/>
                <w:szCs w:val="18"/>
                <w:highlight w:val="none"/>
              </w:rPr>
              <w:t>主承销中期票据总金额排名：第1-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restart"/>
            <w:tcBorders>
              <w:top w:val="single" w:color="auto" w:sz="4" w:space="0"/>
              <w:left w:val="single" w:color="auto" w:sz="4" w:space="0"/>
              <w:right w:val="single" w:color="auto" w:sz="4" w:space="0"/>
            </w:tcBorders>
            <w:vAlign w:val="center"/>
          </w:tcPr>
          <w:p w14:paraId="3B0A5EB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数据来源为Wind：债券专题——一级市场——承销统计——债券承销分地域排名，选择板块——债券分类（Wind）选择“中期票据”，起止日期“</w:t>
            </w:r>
            <w:r>
              <w:rPr>
                <w:rFonts w:hint="eastAsia" w:ascii="宋体" w:hAnsi="宋体" w:eastAsia="宋体" w:cs="宋体"/>
                <w:color w:val="auto"/>
                <w:sz w:val="18"/>
                <w:szCs w:val="18"/>
                <w:highlight w:val="none"/>
                <w:vertAlign w:val="baseline"/>
                <w:lang w:val="en-US" w:eastAsia="zh-CN"/>
              </w:rPr>
              <w:t>2023年1月1日-2025年9月30日</w:t>
            </w:r>
            <w:r>
              <w:rPr>
                <w:rFonts w:hint="eastAsia" w:ascii="宋体" w:hAnsi="宋体" w:eastAsia="宋体" w:cs="宋体"/>
                <w:color w:val="auto"/>
                <w:kern w:val="2"/>
                <w:sz w:val="18"/>
                <w:szCs w:val="18"/>
                <w:highlight w:val="none"/>
                <w:vertAlign w:val="baseline"/>
                <w:lang w:val="en-US" w:eastAsia="zh-CN" w:bidi="ar-SA"/>
              </w:rPr>
              <w:t>”，机构类型勾选“银行”，主体口径选择“穿透信用主体”，地域维度选择“省级”，选择“合并母子公司”口径，地域选择“浙江”后提取地域承销商排名数据。</w:t>
            </w:r>
          </w:p>
          <w:p w14:paraId="2C9DD51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评审依据：投标人提供Wind截图并加盖公章，按照承销金额/支数由高到低对投标人排序计算。</w:t>
            </w:r>
          </w:p>
        </w:tc>
      </w:tr>
      <w:tr w14:paraId="4746A6F9">
        <w:tblPrEx>
          <w:tblCellMar>
            <w:top w:w="0" w:type="dxa"/>
            <w:left w:w="108" w:type="dxa"/>
            <w:bottom w:w="0" w:type="dxa"/>
            <w:right w:w="108" w:type="dxa"/>
          </w:tblCellMar>
        </w:tblPrEx>
        <w:trPr>
          <w:trHeight w:val="1190" w:hRule="atLeast"/>
          <w:jc w:val="center"/>
        </w:trPr>
        <w:tc>
          <w:tcPr>
            <w:tcW w:w="378" w:type="dxa"/>
            <w:vMerge w:val="continue"/>
            <w:tcBorders>
              <w:left w:val="single" w:color="auto" w:sz="4" w:space="0"/>
              <w:bottom w:val="single" w:color="auto" w:sz="4" w:space="0"/>
              <w:right w:val="single" w:color="auto" w:sz="4" w:space="0"/>
            </w:tcBorders>
            <w:vAlign w:val="center"/>
          </w:tcPr>
          <w:p w14:paraId="2FE857B4">
            <w:pPr>
              <w:widowControl/>
              <w:spacing w:line="240" w:lineRule="exact"/>
              <w:ind w:left="-63" w:leftChars="-30" w:right="-63" w:rightChars="-30"/>
              <w:jc w:val="center"/>
              <w:rPr>
                <w:rFonts w:hint="eastAsia" w:ascii="宋体" w:hAnsi="宋体" w:eastAsia="宋体" w:cs="宋体"/>
                <w:b/>
                <w:bCs/>
                <w:kern w:val="0"/>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14:paraId="6CC64D28">
            <w:pPr>
              <w:widowControl/>
              <w:spacing w:line="240" w:lineRule="exact"/>
              <w:ind w:left="-63" w:leftChars="-30" w:right="-63" w:rightChars="-30"/>
              <w:jc w:val="center"/>
              <w:rPr>
                <w:rFonts w:hint="eastAsia" w:ascii="宋体" w:hAnsi="宋体" w:eastAsia="宋体" w:cs="宋体"/>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14:paraId="698C62A8">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5C0B3AEF">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主承销中期票据总支数排名：第1-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continue"/>
            <w:tcBorders>
              <w:left w:val="single" w:color="auto" w:sz="4" w:space="0"/>
              <w:bottom w:val="single" w:color="auto" w:sz="4" w:space="0"/>
              <w:right w:val="single" w:color="auto" w:sz="4" w:space="0"/>
            </w:tcBorders>
            <w:vAlign w:val="center"/>
          </w:tcPr>
          <w:p w14:paraId="26EB5248">
            <w:pPr>
              <w:widowControl/>
              <w:spacing w:line="240" w:lineRule="exact"/>
              <w:ind w:left="-63" w:leftChars="-30" w:right="-63" w:rightChars="-30"/>
              <w:jc w:val="left"/>
              <w:rPr>
                <w:rFonts w:hint="eastAsia" w:ascii="宋体" w:hAnsi="宋体" w:eastAsia="宋体" w:cs="宋体"/>
                <w:kern w:val="0"/>
                <w:sz w:val="18"/>
                <w:szCs w:val="18"/>
                <w:highlight w:val="none"/>
              </w:rPr>
            </w:pPr>
          </w:p>
        </w:tc>
      </w:tr>
      <w:tr w14:paraId="7ADC650F">
        <w:tblPrEx>
          <w:tblCellMar>
            <w:top w:w="0" w:type="dxa"/>
            <w:left w:w="108" w:type="dxa"/>
            <w:bottom w:w="0" w:type="dxa"/>
            <w:right w:w="108" w:type="dxa"/>
          </w:tblCellMar>
        </w:tblPrEx>
        <w:trPr>
          <w:trHeight w:val="23" w:hRule="atLeast"/>
          <w:jc w:val="center"/>
        </w:trPr>
        <w:tc>
          <w:tcPr>
            <w:tcW w:w="378" w:type="dxa"/>
            <w:vMerge w:val="restart"/>
            <w:tcBorders>
              <w:left w:val="single" w:color="auto" w:sz="4" w:space="0"/>
              <w:right w:val="single" w:color="auto" w:sz="4" w:space="0"/>
            </w:tcBorders>
            <w:vAlign w:val="center"/>
          </w:tcPr>
          <w:p w14:paraId="7D1A3D03">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3</w:t>
            </w:r>
          </w:p>
        </w:tc>
        <w:tc>
          <w:tcPr>
            <w:tcW w:w="889" w:type="dxa"/>
            <w:vMerge w:val="restart"/>
            <w:tcBorders>
              <w:left w:val="single" w:color="auto" w:sz="4" w:space="0"/>
              <w:right w:val="single" w:color="auto" w:sz="4" w:space="0"/>
            </w:tcBorders>
            <w:vAlign w:val="center"/>
          </w:tcPr>
          <w:p w14:paraId="118B319C">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2023年1月1日-2025年9月30日</w:t>
            </w:r>
            <w:r>
              <w:rPr>
                <w:rFonts w:hint="eastAsia" w:ascii="宋体" w:hAnsi="宋体" w:eastAsia="宋体" w:cs="宋体"/>
                <w:kern w:val="0"/>
                <w:sz w:val="18"/>
                <w:szCs w:val="18"/>
                <w:highlight w:val="none"/>
              </w:rPr>
              <w:t>温州市承销排名（NAFMⅡ）</w:t>
            </w:r>
          </w:p>
        </w:tc>
        <w:tc>
          <w:tcPr>
            <w:tcW w:w="467" w:type="dxa"/>
            <w:tcBorders>
              <w:top w:val="single" w:color="auto" w:sz="4" w:space="0"/>
              <w:left w:val="single" w:color="auto" w:sz="4" w:space="0"/>
              <w:bottom w:val="single" w:color="auto" w:sz="4" w:space="0"/>
              <w:right w:val="single" w:color="auto" w:sz="4" w:space="0"/>
            </w:tcBorders>
            <w:vAlign w:val="center"/>
          </w:tcPr>
          <w:p w14:paraId="57CC1749">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20084C13">
            <w:pPr>
              <w:widowControl/>
              <w:spacing w:line="240" w:lineRule="exact"/>
              <w:ind w:left="-63" w:leftChars="-30" w:right="-63" w:rightChars="-3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主承销中期票据总金额排名：第1-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restart"/>
            <w:tcBorders>
              <w:left w:val="single" w:color="auto" w:sz="4" w:space="0"/>
              <w:right w:val="single" w:color="auto" w:sz="4" w:space="0"/>
            </w:tcBorders>
            <w:vAlign w:val="center"/>
          </w:tcPr>
          <w:p w14:paraId="7B011319">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数据来源为Wind：债券专题——一级市场——承销统计——债券承销分地域排名，选择板块——债券分类（Wind）选择“中期票据”，起止日期“</w:t>
            </w:r>
            <w:r>
              <w:rPr>
                <w:rFonts w:hint="eastAsia" w:ascii="宋体" w:hAnsi="宋体" w:eastAsia="宋体" w:cs="宋体"/>
                <w:color w:val="auto"/>
                <w:sz w:val="18"/>
                <w:szCs w:val="18"/>
                <w:highlight w:val="none"/>
                <w:vertAlign w:val="baseline"/>
                <w:lang w:val="en-US" w:eastAsia="zh-CN"/>
              </w:rPr>
              <w:t>2023年1月1日-2025年9月30日</w:t>
            </w:r>
            <w:r>
              <w:rPr>
                <w:rFonts w:hint="eastAsia" w:ascii="宋体" w:hAnsi="宋体" w:eastAsia="宋体" w:cs="宋体"/>
                <w:color w:val="auto"/>
                <w:kern w:val="2"/>
                <w:sz w:val="18"/>
                <w:szCs w:val="18"/>
                <w:highlight w:val="none"/>
                <w:vertAlign w:val="baseline"/>
                <w:lang w:val="en-US" w:eastAsia="zh-CN" w:bidi="ar-SA"/>
              </w:rPr>
              <w:t>”，机构类型勾选“银行”，主体口径选择“穿透信用主体”，地域维度选择“市级”，选择“合并母子公司”口径，地域选择“温州”后提取地域承销商排名数据。</w:t>
            </w:r>
          </w:p>
          <w:p w14:paraId="40573889">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评审依据：投标人提供Wind截图并加盖公章，按照承销金额/支数由高到低对投标人排序计算。</w:t>
            </w:r>
          </w:p>
        </w:tc>
      </w:tr>
      <w:tr w14:paraId="3DD66600">
        <w:tblPrEx>
          <w:tblCellMar>
            <w:top w:w="0" w:type="dxa"/>
            <w:left w:w="108" w:type="dxa"/>
            <w:bottom w:w="0" w:type="dxa"/>
            <w:right w:w="108" w:type="dxa"/>
          </w:tblCellMar>
        </w:tblPrEx>
        <w:trPr>
          <w:trHeight w:val="23" w:hRule="atLeast"/>
          <w:jc w:val="center"/>
        </w:trPr>
        <w:tc>
          <w:tcPr>
            <w:tcW w:w="378" w:type="dxa"/>
            <w:vMerge w:val="continue"/>
            <w:tcBorders>
              <w:left w:val="single" w:color="auto" w:sz="4" w:space="0"/>
              <w:bottom w:val="single" w:color="auto" w:sz="4" w:space="0"/>
              <w:right w:val="single" w:color="auto" w:sz="4" w:space="0"/>
            </w:tcBorders>
            <w:vAlign w:val="center"/>
          </w:tcPr>
          <w:p w14:paraId="3FC63502">
            <w:pPr>
              <w:widowControl/>
              <w:spacing w:line="240" w:lineRule="exact"/>
              <w:ind w:left="-63" w:leftChars="-30" w:right="-63" w:rightChars="-30"/>
              <w:jc w:val="center"/>
              <w:rPr>
                <w:rFonts w:hint="eastAsia" w:ascii="宋体" w:hAnsi="宋体" w:eastAsia="宋体" w:cs="宋体"/>
                <w:b/>
                <w:bCs/>
                <w:kern w:val="0"/>
                <w:sz w:val="18"/>
                <w:szCs w:val="18"/>
                <w:highlight w:val="none"/>
              </w:rPr>
            </w:pPr>
          </w:p>
        </w:tc>
        <w:tc>
          <w:tcPr>
            <w:tcW w:w="889" w:type="dxa"/>
            <w:vMerge w:val="continue"/>
            <w:tcBorders>
              <w:left w:val="single" w:color="auto" w:sz="4" w:space="0"/>
              <w:bottom w:val="single" w:color="auto" w:sz="4" w:space="0"/>
              <w:right w:val="single" w:color="auto" w:sz="4" w:space="0"/>
            </w:tcBorders>
            <w:vAlign w:val="center"/>
          </w:tcPr>
          <w:p w14:paraId="17AA2557">
            <w:pPr>
              <w:widowControl/>
              <w:spacing w:line="240" w:lineRule="exact"/>
              <w:ind w:left="-63" w:leftChars="-30" w:right="-63" w:rightChars="-30"/>
              <w:jc w:val="center"/>
              <w:rPr>
                <w:rFonts w:hint="eastAsia" w:ascii="宋体" w:hAnsi="宋体" w:eastAsia="宋体" w:cs="宋体"/>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14:paraId="2C140297">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7299EDBE">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主承销中期票据总支数排名：第1-</w:t>
            </w:r>
            <w:r>
              <w:rPr>
                <w:rFonts w:hint="eastAsia" w:ascii="宋体" w:hAnsi="宋体" w:eastAsia="宋体" w:cs="宋体"/>
                <w:kern w:val="0"/>
                <w:sz w:val="18"/>
                <w:szCs w:val="18"/>
                <w:highlight w:val="none"/>
                <w:lang w:val="en-US" w:eastAsia="zh-CN"/>
              </w:rPr>
              <w:t>10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分；第</w:t>
            </w:r>
            <w:r>
              <w:rPr>
                <w:rFonts w:hint="eastAsia" w:ascii="宋体" w:hAnsi="宋体" w:eastAsia="宋体" w:cs="宋体"/>
                <w:kern w:val="0"/>
                <w:sz w:val="18"/>
                <w:szCs w:val="18"/>
                <w:highlight w:val="none"/>
                <w:lang w:val="en-US" w:eastAsia="zh-CN"/>
              </w:rPr>
              <w:t>11</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20</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第</w:t>
            </w: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rPr>
              <w:t>1</w:t>
            </w:r>
            <w:r>
              <w:rPr>
                <w:rFonts w:hint="eastAsia" w:ascii="宋体" w:hAnsi="宋体" w:eastAsia="宋体" w:cs="宋体"/>
                <w:kern w:val="0"/>
                <w:sz w:val="18"/>
                <w:szCs w:val="18"/>
                <w:highlight w:val="none"/>
                <w:lang w:val="en-US" w:eastAsia="zh-CN"/>
              </w:rPr>
              <w:t>名</w:t>
            </w:r>
            <w:r>
              <w:rPr>
                <w:rFonts w:hint="eastAsia" w:ascii="宋体" w:hAnsi="宋体" w:eastAsia="宋体" w:cs="宋体"/>
                <w:kern w:val="0"/>
                <w:sz w:val="18"/>
                <w:szCs w:val="18"/>
                <w:highlight w:val="none"/>
              </w:rPr>
              <w:t>之后</w:t>
            </w:r>
            <w:r>
              <w:rPr>
                <w:rFonts w:hint="eastAsia" w:ascii="宋体" w:hAnsi="宋体" w:eastAsia="宋体" w:cs="宋体"/>
                <w:kern w:val="0"/>
                <w:sz w:val="18"/>
                <w:szCs w:val="18"/>
                <w:highlight w:val="none"/>
                <w:lang w:val="en-US" w:eastAsia="zh-CN"/>
              </w:rPr>
              <w:t>得1分</w:t>
            </w:r>
          </w:p>
        </w:tc>
        <w:tc>
          <w:tcPr>
            <w:tcW w:w="4092" w:type="dxa"/>
            <w:vMerge w:val="continue"/>
            <w:tcBorders>
              <w:left w:val="single" w:color="auto" w:sz="4" w:space="0"/>
              <w:bottom w:val="single" w:color="auto" w:sz="4" w:space="0"/>
              <w:right w:val="single" w:color="auto" w:sz="4" w:space="0"/>
            </w:tcBorders>
            <w:vAlign w:val="center"/>
          </w:tcPr>
          <w:p w14:paraId="5D8F09E7">
            <w:pPr>
              <w:widowControl/>
              <w:spacing w:line="240" w:lineRule="exact"/>
              <w:ind w:left="-63" w:leftChars="-30" w:right="-63" w:rightChars="-30"/>
              <w:jc w:val="left"/>
              <w:rPr>
                <w:rFonts w:hint="eastAsia" w:ascii="宋体" w:hAnsi="宋体" w:eastAsia="宋体" w:cs="宋体"/>
                <w:kern w:val="0"/>
                <w:sz w:val="18"/>
                <w:szCs w:val="18"/>
                <w:highlight w:val="none"/>
              </w:rPr>
            </w:pPr>
          </w:p>
        </w:tc>
      </w:tr>
      <w:tr w14:paraId="04CB82A2">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1DC617A1">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4</w:t>
            </w:r>
          </w:p>
        </w:tc>
        <w:tc>
          <w:tcPr>
            <w:tcW w:w="889" w:type="dxa"/>
            <w:tcBorders>
              <w:top w:val="single" w:color="auto" w:sz="4" w:space="0"/>
              <w:left w:val="single" w:color="auto" w:sz="4" w:space="0"/>
              <w:bottom w:val="single" w:color="auto" w:sz="4" w:space="0"/>
              <w:right w:val="single" w:color="auto" w:sz="4" w:space="0"/>
            </w:tcBorders>
            <w:vAlign w:val="center"/>
          </w:tcPr>
          <w:p w14:paraId="183C81BB">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2023年1月1日-2025年9月30日</w:t>
            </w:r>
            <w:r>
              <w:rPr>
                <w:rFonts w:hint="eastAsia" w:ascii="宋体" w:hAnsi="宋体" w:eastAsia="宋体" w:cs="宋体"/>
                <w:color w:val="0000FF"/>
                <w:kern w:val="0"/>
                <w:sz w:val="18"/>
                <w:szCs w:val="18"/>
                <w:highlight w:val="none"/>
              </w:rPr>
              <w:t>全国</w:t>
            </w:r>
            <w:r>
              <w:rPr>
                <w:rFonts w:hint="eastAsia" w:ascii="宋体" w:hAnsi="宋体" w:eastAsia="宋体" w:cs="宋体"/>
                <w:kern w:val="0"/>
                <w:sz w:val="18"/>
                <w:szCs w:val="18"/>
                <w:highlight w:val="none"/>
                <w:lang w:val="en-US" w:eastAsia="zh-CN"/>
              </w:rPr>
              <w:t>永续中票</w:t>
            </w:r>
            <w:r>
              <w:rPr>
                <w:rFonts w:hint="eastAsia" w:ascii="宋体" w:hAnsi="宋体" w:eastAsia="宋体" w:cs="宋体"/>
                <w:kern w:val="0"/>
                <w:sz w:val="18"/>
                <w:szCs w:val="18"/>
                <w:highlight w:val="none"/>
              </w:rPr>
              <w:t>发行业绩</w:t>
            </w:r>
          </w:p>
        </w:tc>
        <w:tc>
          <w:tcPr>
            <w:tcW w:w="467" w:type="dxa"/>
            <w:tcBorders>
              <w:top w:val="single" w:color="auto" w:sz="4" w:space="0"/>
              <w:left w:val="single" w:color="auto" w:sz="4" w:space="0"/>
              <w:bottom w:val="single" w:color="auto" w:sz="4" w:space="0"/>
              <w:right w:val="single" w:color="auto" w:sz="4" w:space="0"/>
            </w:tcBorders>
            <w:vAlign w:val="center"/>
          </w:tcPr>
          <w:p w14:paraId="6AC019F3">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380058E6">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根据有效投标人</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年1月1日-2025年9月30日</w:t>
            </w:r>
            <w:r>
              <w:rPr>
                <w:rFonts w:hint="eastAsia" w:ascii="宋体" w:hAnsi="宋体" w:eastAsia="宋体" w:cs="宋体"/>
                <w:kern w:val="0"/>
                <w:sz w:val="18"/>
                <w:szCs w:val="18"/>
                <w:highlight w:val="none"/>
              </w:rPr>
              <w:t>作为主承销商承销的</w:t>
            </w:r>
            <w:r>
              <w:rPr>
                <w:rFonts w:hint="eastAsia" w:ascii="宋体" w:hAnsi="宋体" w:eastAsia="宋体" w:cs="宋体"/>
                <w:b/>
                <w:bCs/>
                <w:color w:val="auto"/>
                <w:kern w:val="2"/>
                <w:sz w:val="18"/>
                <w:szCs w:val="18"/>
                <w:highlight w:val="none"/>
                <w:vertAlign w:val="baseline"/>
                <w:lang w:val="en-US" w:eastAsia="zh-CN" w:bidi="ar-SA"/>
              </w:rPr>
              <w:t>AA+</w:t>
            </w:r>
            <w:r>
              <w:rPr>
                <w:rFonts w:hint="eastAsia" w:ascii="宋体" w:hAnsi="宋体" w:eastAsia="宋体" w:cs="宋体"/>
                <w:kern w:val="0"/>
                <w:sz w:val="18"/>
                <w:szCs w:val="18"/>
                <w:highlight w:val="none"/>
                <w:lang w:val="en-US" w:eastAsia="zh-CN"/>
              </w:rPr>
              <w:t>永续</w:t>
            </w:r>
            <w:r>
              <w:rPr>
                <w:rFonts w:hint="eastAsia" w:ascii="宋体" w:hAnsi="宋体" w:eastAsia="宋体" w:cs="宋体"/>
                <w:kern w:val="0"/>
                <w:sz w:val="18"/>
                <w:szCs w:val="18"/>
                <w:highlight w:val="none"/>
              </w:rPr>
              <w:t>中期票据总支数的</w:t>
            </w:r>
            <w:r>
              <w:rPr>
                <w:rFonts w:hint="eastAsia" w:ascii="宋体" w:hAnsi="宋体" w:eastAsia="宋体" w:cs="宋体"/>
                <w:kern w:val="0"/>
                <w:sz w:val="18"/>
                <w:szCs w:val="18"/>
                <w:highlight w:val="none"/>
                <w:lang w:val="en-US" w:eastAsia="zh-CN"/>
              </w:rPr>
              <w:t>评审</w:t>
            </w:r>
            <w:r>
              <w:rPr>
                <w:rFonts w:hint="eastAsia" w:ascii="宋体" w:hAnsi="宋体" w:eastAsia="宋体" w:cs="宋体"/>
                <w:kern w:val="0"/>
                <w:sz w:val="18"/>
                <w:szCs w:val="18"/>
                <w:highlight w:val="none"/>
              </w:rPr>
              <w:t>现场排名：总支数最多的为该评分项排序第</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分，每降一个名次扣</w:t>
            </w:r>
            <w:r>
              <w:rPr>
                <w:rFonts w:hint="eastAsia" w:ascii="宋体" w:hAnsi="宋体" w:eastAsia="宋体" w:cs="宋体"/>
                <w:kern w:val="0"/>
                <w:sz w:val="18"/>
                <w:szCs w:val="18"/>
                <w:highlight w:val="none"/>
                <w:lang w:val="en-US" w:eastAsia="zh-CN"/>
              </w:rPr>
              <w:t>0.5</w:t>
            </w:r>
            <w:r>
              <w:rPr>
                <w:rFonts w:hint="eastAsia" w:ascii="宋体" w:hAnsi="宋体" w:eastAsia="宋体" w:cs="宋体"/>
                <w:kern w:val="0"/>
                <w:sz w:val="18"/>
                <w:szCs w:val="18"/>
                <w:highlight w:val="none"/>
              </w:rPr>
              <w:t>分，依次类推，本项最低得分为1分。</w:t>
            </w:r>
          </w:p>
        </w:tc>
        <w:tc>
          <w:tcPr>
            <w:tcW w:w="4092" w:type="dxa"/>
            <w:tcBorders>
              <w:top w:val="single" w:color="auto" w:sz="4" w:space="0"/>
              <w:left w:val="single" w:color="auto" w:sz="4" w:space="0"/>
              <w:bottom w:val="single" w:color="auto" w:sz="4" w:space="0"/>
              <w:right w:val="single" w:color="auto" w:sz="4" w:space="0"/>
            </w:tcBorders>
            <w:vAlign w:val="center"/>
          </w:tcPr>
          <w:p w14:paraId="310A5BA4">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数据来源为Wind：债券专题——一级市场——承销统计——债券承销排名(Wind口径)，选择板块——债券分类选择“中期票据”，概念板块选择永续债，起止日期“</w:t>
            </w:r>
            <w:r>
              <w:rPr>
                <w:rFonts w:hint="eastAsia" w:ascii="宋体" w:hAnsi="宋体" w:eastAsia="宋体" w:cs="宋体"/>
                <w:color w:val="auto"/>
                <w:sz w:val="18"/>
                <w:szCs w:val="18"/>
                <w:highlight w:val="none"/>
                <w:vertAlign w:val="baseline"/>
                <w:lang w:val="en-US" w:eastAsia="zh-CN"/>
              </w:rPr>
              <w:t>2023年1月1日-2025年9月30日</w:t>
            </w:r>
            <w:r>
              <w:rPr>
                <w:rFonts w:hint="eastAsia" w:ascii="宋体" w:hAnsi="宋体" w:eastAsia="宋体" w:cs="宋体"/>
                <w:color w:val="auto"/>
                <w:kern w:val="2"/>
                <w:sz w:val="18"/>
                <w:szCs w:val="18"/>
                <w:highlight w:val="none"/>
                <w:vertAlign w:val="baseline"/>
                <w:lang w:val="en-US" w:eastAsia="zh-CN" w:bidi="ar-SA"/>
              </w:rPr>
              <w:t>”，机构类型勾选“银行”，上市地点勾选“全部市场”，主体口径选择“穿透信用主体”，勾选“联主实际比例”，勾选“合并母子公司”口径</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kern w:val="2"/>
                <w:sz w:val="18"/>
                <w:szCs w:val="18"/>
                <w:highlight w:val="none"/>
                <w:vertAlign w:val="baseline"/>
                <w:lang w:val="en-US" w:eastAsia="zh-CN" w:bidi="ar-SA"/>
              </w:rPr>
              <w:t>在承销明细中筛选发行主体评级为“AA+”的债券</w:t>
            </w:r>
            <w:r>
              <w:rPr>
                <w:rFonts w:hint="eastAsia" w:ascii="宋体" w:hAnsi="宋体" w:eastAsia="宋体" w:cs="宋体"/>
                <w:color w:val="auto"/>
                <w:sz w:val="18"/>
                <w:szCs w:val="18"/>
                <w:highlight w:val="none"/>
                <w:vertAlign w:val="baseline"/>
                <w:lang w:val="en-US" w:eastAsia="zh-CN"/>
              </w:rPr>
              <w:t>。</w:t>
            </w:r>
          </w:p>
          <w:p w14:paraId="7F02D935">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评审依据：投标人提供Wind截图并加盖公章，按照承销明细中投标人作为主承销商承销AA+中期票据的支数明细，由高到低对投标人排序计算。</w:t>
            </w:r>
          </w:p>
        </w:tc>
      </w:tr>
      <w:tr w14:paraId="0FD0AF5B">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4C0F20F7">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5</w:t>
            </w:r>
          </w:p>
        </w:tc>
        <w:tc>
          <w:tcPr>
            <w:tcW w:w="889" w:type="dxa"/>
            <w:tcBorders>
              <w:top w:val="single" w:color="auto" w:sz="4" w:space="0"/>
              <w:left w:val="single" w:color="auto" w:sz="4" w:space="0"/>
              <w:bottom w:val="single" w:color="auto" w:sz="4" w:space="0"/>
              <w:right w:val="single" w:color="auto" w:sz="4" w:space="0"/>
            </w:tcBorders>
            <w:vAlign w:val="center"/>
          </w:tcPr>
          <w:p w14:paraId="425F6F56">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承销历史利率情况</w:t>
            </w:r>
          </w:p>
        </w:tc>
        <w:tc>
          <w:tcPr>
            <w:tcW w:w="467" w:type="dxa"/>
            <w:tcBorders>
              <w:top w:val="single" w:color="auto" w:sz="4" w:space="0"/>
              <w:left w:val="single" w:color="auto" w:sz="4" w:space="0"/>
              <w:bottom w:val="single" w:color="auto" w:sz="4" w:space="0"/>
              <w:right w:val="single" w:color="auto" w:sz="4" w:space="0"/>
            </w:tcBorders>
            <w:vAlign w:val="center"/>
          </w:tcPr>
          <w:p w14:paraId="1BED184D">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0B637BBD">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提供3单（不得多于3单或少于3单案例）于</w:t>
            </w:r>
            <w:r>
              <w:rPr>
                <w:rFonts w:hint="eastAsia" w:ascii="宋体" w:hAnsi="宋体" w:eastAsia="宋体" w:cs="宋体"/>
                <w:kern w:val="0"/>
                <w:sz w:val="18"/>
                <w:szCs w:val="18"/>
                <w:highlight w:val="none"/>
                <w:lang w:eastAsia="zh-CN"/>
              </w:rPr>
              <w:t>202</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lang w:eastAsia="zh-CN"/>
              </w:rPr>
              <w:t>年</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lang w:eastAsia="zh-CN"/>
              </w:rPr>
              <w:t>月1日-2025年9月30日</w:t>
            </w:r>
            <w:r>
              <w:rPr>
                <w:rFonts w:hint="eastAsia" w:ascii="宋体" w:hAnsi="宋体" w:eastAsia="宋体" w:cs="宋体"/>
                <w:kern w:val="0"/>
                <w:sz w:val="18"/>
                <w:szCs w:val="18"/>
                <w:highlight w:val="none"/>
              </w:rPr>
              <w:t>期间，投标人承销并发行成功的</w:t>
            </w:r>
            <w:r>
              <w:rPr>
                <w:rFonts w:hint="eastAsia" w:ascii="宋体" w:hAnsi="宋体" w:eastAsia="宋体" w:cs="宋体"/>
                <w:color w:val="0000FF"/>
                <w:kern w:val="0"/>
                <w:sz w:val="18"/>
                <w:szCs w:val="18"/>
                <w:highlight w:val="none"/>
                <w:lang w:val="en-US" w:eastAsia="zh-CN"/>
              </w:rPr>
              <w:t>全国</w:t>
            </w:r>
            <w:r>
              <w:rPr>
                <w:rFonts w:hint="eastAsia" w:ascii="宋体" w:hAnsi="宋体" w:eastAsia="宋体" w:cs="宋体"/>
                <w:b/>
                <w:bCs/>
                <w:color w:val="auto"/>
                <w:kern w:val="2"/>
                <w:sz w:val="18"/>
                <w:szCs w:val="18"/>
                <w:highlight w:val="none"/>
                <w:vertAlign w:val="baseline"/>
                <w:lang w:val="en-US" w:eastAsia="zh-CN" w:bidi="ar-SA"/>
              </w:rPr>
              <w:t>AA+</w:t>
            </w:r>
            <w:r>
              <w:rPr>
                <w:rFonts w:hint="eastAsia" w:ascii="宋体" w:hAnsi="宋体" w:eastAsia="宋体" w:cs="宋体"/>
                <w:kern w:val="0"/>
                <w:sz w:val="18"/>
                <w:szCs w:val="18"/>
                <w:highlight w:val="none"/>
                <w:lang w:val="en-US" w:eastAsia="zh-CN"/>
              </w:rPr>
              <w:t>永续</w:t>
            </w:r>
            <w:r>
              <w:rPr>
                <w:rFonts w:hint="eastAsia" w:ascii="宋体" w:hAnsi="宋体" w:eastAsia="宋体" w:cs="宋体"/>
                <w:kern w:val="0"/>
                <w:sz w:val="18"/>
                <w:szCs w:val="18"/>
                <w:highlight w:val="none"/>
              </w:rPr>
              <w:t>中期票据案例，3单案例的票面利率算术平均值由低到高</w:t>
            </w:r>
            <w:r>
              <w:rPr>
                <w:rFonts w:hint="eastAsia" w:ascii="宋体" w:hAnsi="宋体" w:eastAsia="宋体" w:cs="宋体"/>
                <w:kern w:val="0"/>
                <w:sz w:val="18"/>
                <w:szCs w:val="18"/>
                <w:highlight w:val="none"/>
                <w:lang w:val="en-US" w:eastAsia="zh-CN"/>
              </w:rPr>
              <w:t>进行评审</w:t>
            </w:r>
            <w:r>
              <w:rPr>
                <w:rFonts w:hint="eastAsia" w:ascii="宋体" w:hAnsi="宋体" w:eastAsia="宋体" w:cs="宋体"/>
                <w:kern w:val="0"/>
                <w:sz w:val="18"/>
                <w:szCs w:val="18"/>
                <w:highlight w:val="none"/>
              </w:rPr>
              <w:t>现场排名，利率最低的为该评分项排序第</w:t>
            </w: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名，得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分，每降一个名次扣0.</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分，依次类推，本项最低得分为1分。若投标人无法提供3个合格案例的，不得分。</w:t>
            </w:r>
          </w:p>
        </w:tc>
        <w:tc>
          <w:tcPr>
            <w:tcW w:w="4092" w:type="dxa"/>
            <w:tcBorders>
              <w:top w:val="single" w:color="auto" w:sz="4" w:space="0"/>
              <w:left w:val="single" w:color="auto" w:sz="4" w:space="0"/>
              <w:bottom w:val="single" w:color="auto" w:sz="4" w:space="0"/>
              <w:right w:val="single" w:color="auto" w:sz="4" w:space="0"/>
            </w:tcBorders>
            <w:vAlign w:val="center"/>
          </w:tcPr>
          <w:p w14:paraId="187E89EA">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数据来源为Wind：债券专题——一级市场——承销统计——债券承销分地域排名，选择板块——债券分类（Wind）选择“中期票据”，概念板块选择永续债，起止日期“</w:t>
            </w:r>
            <w:r>
              <w:rPr>
                <w:rFonts w:hint="eastAsia" w:ascii="宋体" w:hAnsi="宋体" w:eastAsia="宋体" w:cs="宋体"/>
                <w:color w:val="auto"/>
                <w:sz w:val="18"/>
                <w:szCs w:val="18"/>
                <w:highlight w:val="none"/>
                <w:vertAlign w:val="baseline"/>
                <w:lang w:val="en-US" w:eastAsia="zh-CN"/>
              </w:rPr>
              <w:t>2023年1月1日-2025年9月30日</w:t>
            </w:r>
            <w:r>
              <w:rPr>
                <w:rFonts w:hint="eastAsia" w:ascii="宋体" w:hAnsi="宋体" w:eastAsia="宋体" w:cs="宋体"/>
                <w:color w:val="auto"/>
                <w:kern w:val="2"/>
                <w:sz w:val="18"/>
                <w:szCs w:val="18"/>
                <w:highlight w:val="none"/>
                <w:vertAlign w:val="baseline"/>
                <w:lang w:val="en-US" w:eastAsia="zh-CN" w:bidi="ar-SA"/>
              </w:rPr>
              <w:t>”，机构类型勾选“银行”，主体口径选择“穿透信用主体”，地域维度选择“全国”，选择“合并母子公司”，提取承销明细，承销明细中筛选发行主体评级为“AA+”的债券</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color w:val="auto"/>
                <w:kern w:val="2"/>
                <w:sz w:val="18"/>
                <w:szCs w:val="18"/>
                <w:highlight w:val="none"/>
                <w:vertAlign w:val="baseline"/>
                <w:lang w:val="en-US" w:eastAsia="zh-CN" w:bidi="ar-SA"/>
              </w:rPr>
              <w:t>按照发行利率由低至高进行排序，选择满足条件的三单利率最低案例，并分别截图这三单案例的债券基本条款。</w:t>
            </w:r>
          </w:p>
          <w:p w14:paraId="05611C1E">
            <w:pPr>
              <w:pStyle w:val="1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评审依据：投标人提供Wind截图并加盖公章，按照三单利率最低案例的票面利率算术平均值，对投标人排序计算。</w:t>
            </w:r>
          </w:p>
        </w:tc>
      </w:tr>
      <w:tr w14:paraId="5FF3EBED">
        <w:tblPrEx>
          <w:tblCellMar>
            <w:top w:w="0" w:type="dxa"/>
            <w:left w:w="108" w:type="dxa"/>
            <w:bottom w:w="0" w:type="dxa"/>
            <w:right w:w="108" w:type="dxa"/>
          </w:tblCellMar>
        </w:tblPrEx>
        <w:trPr>
          <w:trHeight w:val="740"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7FDB44D9">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6</w:t>
            </w:r>
          </w:p>
        </w:tc>
        <w:tc>
          <w:tcPr>
            <w:tcW w:w="889" w:type="dxa"/>
            <w:tcBorders>
              <w:top w:val="single" w:color="auto" w:sz="4" w:space="0"/>
              <w:left w:val="single" w:color="auto" w:sz="4" w:space="0"/>
              <w:bottom w:val="single" w:color="auto" w:sz="4" w:space="0"/>
              <w:right w:val="single" w:color="auto" w:sz="4" w:space="0"/>
            </w:tcBorders>
            <w:vAlign w:val="center"/>
          </w:tcPr>
          <w:p w14:paraId="04E8AFBF">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余额包销能力</w:t>
            </w:r>
          </w:p>
        </w:tc>
        <w:tc>
          <w:tcPr>
            <w:tcW w:w="467" w:type="dxa"/>
            <w:tcBorders>
              <w:top w:val="single" w:color="auto" w:sz="4" w:space="0"/>
              <w:left w:val="single" w:color="auto" w:sz="4" w:space="0"/>
              <w:bottom w:val="single" w:color="auto" w:sz="4" w:space="0"/>
              <w:right w:val="single" w:color="auto" w:sz="4" w:space="0"/>
            </w:tcBorders>
            <w:vAlign w:val="center"/>
          </w:tcPr>
          <w:p w14:paraId="4F79B916">
            <w:pPr>
              <w:widowControl/>
              <w:spacing w:line="240" w:lineRule="exact"/>
              <w:ind w:left="-63" w:leftChars="-30" w:right="-63" w:rightChars="-3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w:t>
            </w:r>
          </w:p>
        </w:tc>
        <w:tc>
          <w:tcPr>
            <w:tcW w:w="3273" w:type="dxa"/>
            <w:tcBorders>
              <w:top w:val="single" w:color="auto" w:sz="4" w:space="0"/>
              <w:left w:val="single" w:color="auto" w:sz="4" w:space="0"/>
              <w:bottom w:val="single" w:color="auto" w:sz="4" w:space="0"/>
              <w:right w:val="single" w:color="auto" w:sz="4" w:space="0"/>
            </w:tcBorders>
            <w:vAlign w:val="center"/>
          </w:tcPr>
          <w:p w14:paraId="72A75A7E">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可提供余额包销得</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分。</w:t>
            </w:r>
            <w:r>
              <w:rPr>
                <w:rFonts w:hint="eastAsia" w:ascii="宋体" w:hAnsi="宋体" w:eastAsia="宋体" w:cs="宋体"/>
                <w:b/>
                <w:bCs/>
                <w:kern w:val="0"/>
                <w:sz w:val="18"/>
                <w:szCs w:val="18"/>
                <w:highlight w:val="none"/>
                <w:u w:val="single"/>
              </w:rPr>
              <w:t>需提供余额包销承诺函加盖投标人盖章，无法提供余额包销（包括未提供余额包销承诺函）的不得分。</w:t>
            </w:r>
          </w:p>
        </w:tc>
        <w:tc>
          <w:tcPr>
            <w:tcW w:w="4092" w:type="dxa"/>
            <w:tcBorders>
              <w:top w:val="single" w:color="auto" w:sz="4" w:space="0"/>
              <w:left w:val="single" w:color="auto" w:sz="4" w:space="0"/>
              <w:bottom w:val="single" w:color="auto" w:sz="4" w:space="0"/>
              <w:right w:val="single" w:color="auto" w:sz="4" w:space="0"/>
            </w:tcBorders>
            <w:vAlign w:val="center"/>
          </w:tcPr>
          <w:p w14:paraId="2ED9C303">
            <w:pPr>
              <w:widowControl/>
              <w:spacing w:line="240" w:lineRule="exact"/>
              <w:ind w:left="-63" w:leftChars="-30" w:right="-63" w:rightChars="-30"/>
              <w:jc w:val="lef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提供有权审批行或一级行的盖章版承诺函,否则不得分。</w:t>
            </w:r>
          </w:p>
        </w:tc>
      </w:tr>
      <w:tr w14:paraId="26559132">
        <w:tblPrEx>
          <w:tblCellMar>
            <w:top w:w="0" w:type="dxa"/>
            <w:left w:w="108" w:type="dxa"/>
            <w:bottom w:w="0" w:type="dxa"/>
            <w:right w:w="108" w:type="dxa"/>
          </w:tblCellMar>
        </w:tblPrEx>
        <w:trPr>
          <w:trHeight w:val="101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39CFE2CF">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7</w:t>
            </w:r>
          </w:p>
        </w:tc>
        <w:tc>
          <w:tcPr>
            <w:tcW w:w="889" w:type="dxa"/>
            <w:vMerge w:val="restart"/>
            <w:tcBorders>
              <w:top w:val="single" w:color="auto" w:sz="4" w:space="0"/>
              <w:left w:val="single" w:color="auto" w:sz="4" w:space="0"/>
              <w:right w:val="single" w:color="auto" w:sz="4" w:space="0"/>
            </w:tcBorders>
            <w:vAlign w:val="center"/>
          </w:tcPr>
          <w:p w14:paraId="47C96487">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银企合作</w:t>
            </w:r>
          </w:p>
        </w:tc>
        <w:tc>
          <w:tcPr>
            <w:tcW w:w="467" w:type="dxa"/>
            <w:tcBorders>
              <w:top w:val="single" w:color="auto" w:sz="4" w:space="0"/>
              <w:left w:val="single" w:color="auto" w:sz="4" w:space="0"/>
              <w:bottom w:val="single" w:color="auto" w:sz="4" w:space="0"/>
              <w:right w:val="single" w:color="auto" w:sz="4" w:space="0"/>
            </w:tcBorders>
            <w:vAlign w:val="center"/>
          </w:tcPr>
          <w:p w14:paraId="0772E603">
            <w:pPr>
              <w:widowControl/>
              <w:spacing w:line="240" w:lineRule="exact"/>
              <w:ind w:left="-63" w:leftChars="-30"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2</w:t>
            </w:r>
          </w:p>
        </w:tc>
        <w:tc>
          <w:tcPr>
            <w:tcW w:w="3273" w:type="dxa"/>
            <w:tcBorders>
              <w:top w:val="single" w:color="auto" w:sz="4" w:space="0"/>
              <w:left w:val="single" w:color="auto" w:sz="4" w:space="0"/>
              <w:bottom w:val="single" w:color="auto" w:sz="4" w:space="0"/>
              <w:right w:val="single" w:color="auto" w:sz="4" w:space="0"/>
            </w:tcBorders>
            <w:vAlign w:val="center"/>
          </w:tcPr>
          <w:p w14:paraId="6014AC60">
            <w:pPr>
              <w:keepNext w:val="0"/>
              <w:keepLines w:val="0"/>
              <w:pageBreakBefore w:val="0"/>
              <w:kinsoku/>
              <w:wordWrap w:val="0"/>
              <w:overflowPunct/>
              <w:topLinePunct w:val="0"/>
              <w:autoSpaceDE/>
              <w:autoSpaceDN/>
              <w:bidi w:val="0"/>
              <w:adjustRightInd/>
              <w:snapToGrid/>
              <w:spacing w:line="240" w:lineRule="exact"/>
              <w:jc w:val="left"/>
              <w:rPr>
                <w:rFonts w:hint="eastAsia" w:ascii="宋体" w:hAnsi="宋体" w:eastAsia="宋体" w:cs="宋体"/>
                <w:kern w:val="2"/>
                <w:sz w:val="21"/>
                <w:szCs w:val="22"/>
                <w:highlight w:val="none"/>
                <w:lang w:val="en-US" w:eastAsia="zh-CN" w:bidi="ar-SA"/>
              </w:rPr>
            </w:pPr>
            <w:r>
              <w:rPr>
                <w:rFonts w:hint="eastAsia" w:ascii="宋体" w:hAnsi="宋体" w:eastAsia="宋体" w:cs="宋体"/>
                <w:color w:val="auto"/>
                <w:sz w:val="18"/>
                <w:szCs w:val="18"/>
                <w:highlight w:val="none"/>
              </w:rPr>
              <w:t>截至202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月末，</w:t>
            </w:r>
            <w:r>
              <w:rPr>
                <w:rFonts w:hint="eastAsia" w:ascii="宋体" w:hAnsi="宋体" w:eastAsia="宋体" w:cs="宋体"/>
                <w:color w:val="auto"/>
                <w:sz w:val="18"/>
                <w:szCs w:val="18"/>
                <w:highlight w:val="none"/>
                <w:lang w:val="en-US" w:eastAsia="zh-CN"/>
              </w:rPr>
              <w:t>有效</w:t>
            </w:r>
            <w:r>
              <w:rPr>
                <w:rFonts w:hint="eastAsia" w:ascii="宋体" w:hAnsi="宋体" w:eastAsia="宋体" w:cs="宋体"/>
                <w:color w:val="auto"/>
                <w:sz w:val="18"/>
                <w:szCs w:val="18"/>
                <w:highlight w:val="none"/>
              </w:rPr>
              <w:t>投标人对</w:t>
            </w:r>
            <w:r>
              <w:rPr>
                <w:rFonts w:hint="eastAsia" w:ascii="宋体" w:hAnsi="宋体" w:eastAsia="宋体" w:cs="宋体"/>
                <w:color w:val="auto"/>
                <w:sz w:val="18"/>
                <w:szCs w:val="18"/>
                <w:highlight w:val="none"/>
                <w:lang w:val="en-US" w:eastAsia="zh-CN"/>
              </w:rPr>
              <w:t>采购人</w:t>
            </w:r>
            <w:r>
              <w:rPr>
                <w:rFonts w:hint="eastAsia" w:ascii="宋体" w:hAnsi="宋体" w:eastAsia="宋体" w:cs="宋体"/>
                <w:color w:val="auto"/>
                <w:sz w:val="18"/>
                <w:szCs w:val="18"/>
                <w:highlight w:val="none"/>
              </w:rPr>
              <w:t>及其合并子公司的授信总额情况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总额由高到低顺序排序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第一名得2分；名次每下降1名减0.1分，扣完为止。</w:t>
            </w:r>
          </w:p>
        </w:tc>
        <w:tc>
          <w:tcPr>
            <w:tcW w:w="4092" w:type="dxa"/>
            <w:tcBorders>
              <w:top w:val="single" w:color="auto" w:sz="4" w:space="0"/>
              <w:left w:val="single" w:color="auto" w:sz="4" w:space="0"/>
              <w:bottom w:val="single" w:color="auto" w:sz="4" w:space="0"/>
              <w:right w:val="single" w:color="auto" w:sz="4" w:space="0"/>
            </w:tcBorders>
            <w:vAlign w:val="center"/>
          </w:tcPr>
          <w:p w14:paraId="6B1CBC80">
            <w:pPr>
              <w:widowControl/>
              <w:spacing w:line="240" w:lineRule="exact"/>
              <w:ind w:left="-63" w:leftChars="-30" w:right="-63" w:rightChars="-30"/>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相关数据由</w:t>
            </w:r>
            <w:r>
              <w:rPr>
                <w:rFonts w:hint="eastAsia" w:ascii="宋体" w:hAnsi="宋体" w:eastAsia="宋体" w:cs="宋体"/>
                <w:kern w:val="0"/>
                <w:sz w:val="18"/>
                <w:szCs w:val="18"/>
                <w:highlight w:val="none"/>
                <w:lang w:val="en-US" w:eastAsia="zh-CN"/>
              </w:rPr>
              <w:t>投标人</w:t>
            </w:r>
            <w:r>
              <w:rPr>
                <w:rFonts w:hint="eastAsia" w:ascii="宋体" w:hAnsi="宋体" w:eastAsia="宋体" w:cs="宋体"/>
                <w:kern w:val="0"/>
                <w:sz w:val="18"/>
                <w:szCs w:val="18"/>
                <w:highlight w:val="none"/>
              </w:rPr>
              <w:t>提供，以</w:t>
            </w:r>
            <w:r>
              <w:rPr>
                <w:rFonts w:hint="eastAsia" w:ascii="宋体" w:hAnsi="宋体" w:eastAsia="宋体" w:cs="宋体"/>
                <w:kern w:val="0"/>
                <w:sz w:val="18"/>
                <w:szCs w:val="18"/>
                <w:highlight w:val="none"/>
                <w:lang w:val="en-US" w:eastAsia="zh-CN"/>
              </w:rPr>
              <w:t>投标人提供的盖章版（单位公章或者财务盖部门章即可）有效授信批复</w:t>
            </w:r>
            <w:r>
              <w:rPr>
                <w:rFonts w:hint="eastAsia" w:ascii="宋体" w:hAnsi="宋体" w:eastAsia="宋体" w:cs="宋体"/>
                <w:kern w:val="0"/>
                <w:sz w:val="18"/>
                <w:szCs w:val="18"/>
                <w:highlight w:val="none"/>
              </w:rPr>
              <w:t>为准，由评标专家根据所提供的材料进行评分。</w:t>
            </w:r>
          </w:p>
        </w:tc>
      </w:tr>
      <w:tr w14:paraId="67B73197">
        <w:tblPrEx>
          <w:tblCellMar>
            <w:top w:w="0" w:type="dxa"/>
            <w:left w:w="108" w:type="dxa"/>
            <w:bottom w:w="0" w:type="dxa"/>
            <w:right w:w="108" w:type="dxa"/>
          </w:tblCellMar>
        </w:tblPrEx>
        <w:trPr>
          <w:trHeight w:val="1014"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6405533A">
            <w:pPr>
              <w:widowControl/>
              <w:spacing w:line="240" w:lineRule="exact"/>
              <w:ind w:left="-63" w:leftChars="-30" w:right="-63" w:rightChars="-30"/>
              <w:jc w:val="center"/>
              <w:rPr>
                <w:rFonts w:hint="eastAsia" w:ascii="宋体" w:hAnsi="宋体" w:eastAsia="宋体" w:cs="宋体"/>
                <w:b/>
                <w:bCs/>
                <w:kern w:val="0"/>
                <w:sz w:val="18"/>
                <w:szCs w:val="18"/>
                <w:highlight w:val="none"/>
              </w:rPr>
            </w:pPr>
          </w:p>
        </w:tc>
        <w:tc>
          <w:tcPr>
            <w:tcW w:w="889" w:type="dxa"/>
            <w:vMerge w:val="continue"/>
            <w:tcBorders>
              <w:left w:val="single" w:color="auto" w:sz="4" w:space="0"/>
              <w:right w:val="single" w:color="auto" w:sz="4" w:space="0"/>
            </w:tcBorders>
            <w:vAlign w:val="center"/>
          </w:tcPr>
          <w:p w14:paraId="05635F29">
            <w:pPr>
              <w:widowControl/>
              <w:spacing w:line="240" w:lineRule="exact"/>
              <w:ind w:left="-63" w:leftChars="-30" w:right="-63" w:rightChars="-30"/>
              <w:jc w:val="center"/>
              <w:rPr>
                <w:rFonts w:hint="eastAsia" w:ascii="宋体" w:hAnsi="宋体" w:eastAsia="宋体" w:cs="宋体"/>
                <w:kern w:val="0"/>
                <w:sz w:val="18"/>
                <w:szCs w:val="18"/>
                <w:highlight w:val="none"/>
                <w:lang w:val="en-US" w:eastAsia="zh-CN"/>
              </w:rPr>
            </w:pP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14:paraId="2EA0794E">
            <w:pPr>
              <w:widowControl/>
              <w:spacing w:line="240" w:lineRule="exact"/>
              <w:ind w:left="-63" w:leftChars="-30" w:right="-63" w:rightChars="-30"/>
              <w:jc w:val="center"/>
              <w:rPr>
                <w:rFonts w:hint="eastAsia" w:ascii="宋体" w:hAnsi="宋体" w:eastAsia="宋体" w:cs="宋体"/>
                <w:strike w:val="0"/>
                <w:kern w:val="0"/>
                <w:sz w:val="18"/>
                <w:szCs w:val="18"/>
                <w:highlight w:val="none"/>
                <w:lang w:val="en-US" w:eastAsia="zh-CN" w:bidi="ar-SA"/>
              </w:rPr>
            </w:pPr>
            <w:r>
              <w:rPr>
                <w:rFonts w:hint="eastAsia" w:ascii="宋体" w:hAnsi="宋体" w:eastAsia="宋体" w:cs="宋体"/>
                <w:strike w:val="0"/>
                <w:kern w:val="0"/>
                <w:sz w:val="18"/>
                <w:szCs w:val="18"/>
                <w:highlight w:val="none"/>
                <w:lang w:val="en-US" w:eastAsia="zh-CN"/>
              </w:rPr>
              <w:t>2</w:t>
            </w:r>
          </w:p>
        </w:tc>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135A59D4">
            <w:pPr>
              <w:widowControl/>
              <w:spacing w:line="240" w:lineRule="exact"/>
              <w:ind w:right="-63" w:rightChars="-30"/>
              <w:jc w:val="left"/>
              <w:rPr>
                <w:rFonts w:hint="eastAsia" w:ascii="宋体" w:hAnsi="宋体" w:eastAsia="宋体" w:cs="宋体"/>
                <w:strike/>
                <w:kern w:val="2"/>
                <w:sz w:val="18"/>
                <w:szCs w:val="18"/>
                <w:highlight w:val="none"/>
                <w:lang w:val="en-US" w:eastAsia="zh-CN" w:bidi="ar-SA"/>
              </w:rPr>
            </w:pPr>
            <w:r>
              <w:rPr>
                <w:rFonts w:hint="eastAsia" w:ascii="宋体" w:hAnsi="宋体" w:eastAsia="宋体" w:cs="宋体"/>
                <w:i w:val="0"/>
                <w:caps w:val="0"/>
                <w:color w:val="auto"/>
                <w:spacing w:val="0"/>
                <w:sz w:val="18"/>
                <w:szCs w:val="18"/>
                <w:highlight w:val="none"/>
              </w:rPr>
              <w:t>截至202</w:t>
            </w:r>
            <w:r>
              <w:rPr>
                <w:rFonts w:hint="eastAsia" w:ascii="宋体" w:hAnsi="宋体" w:eastAsia="宋体" w:cs="宋体"/>
                <w:i w:val="0"/>
                <w:caps w:val="0"/>
                <w:color w:val="auto"/>
                <w:spacing w:val="0"/>
                <w:sz w:val="18"/>
                <w:szCs w:val="18"/>
                <w:highlight w:val="none"/>
                <w:lang w:val="en-US" w:eastAsia="zh-CN"/>
              </w:rPr>
              <w:t>5</w:t>
            </w:r>
            <w:r>
              <w:rPr>
                <w:rFonts w:hint="eastAsia" w:ascii="宋体" w:hAnsi="宋体" w:eastAsia="宋体" w:cs="宋体"/>
                <w:i w:val="0"/>
                <w:caps w:val="0"/>
                <w:color w:val="auto"/>
                <w:spacing w:val="0"/>
                <w:sz w:val="18"/>
                <w:szCs w:val="18"/>
                <w:highlight w:val="none"/>
              </w:rPr>
              <w:t>年</w:t>
            </w:r>
            <w:r>
              <w:rPr>
                <w:rFonts w:hint="eastAsia" w:ascii="宋体" w:hAnsi="宋体" w:eastAsia="宋体" w:cs="宋体"/>
                <w:i w:val="0"/>
                <w:caps w:val="0"/>
                <w:color w:val="auto"/>
                <w:spacing w:val="0"/>
                <w:sz w:val="18"/>
                <w:szCs w:val="18"/>
                <w:highlight w:val="none"/>
                <w:lang w:val="en-US" w:eastAsia="zh-CN"/>
              </w:rPr>
              <w:t>6</w:t>
            </w:r>
            <w:r>
              <w:rPr>
                <w:rFonts w:hint="eastAsia" w:ascii="宋体" w:hAnsi="宋体" w:eastAsia="宋体" w:cs="宋体"/>
                <w:i w:val="0"/>
                <w:caps w:val="0"/>
                <w:color w:val="auto"/>
                <w:spacing w:val="0"/>
                <w:sz w:val="18"/>
                <w:szCs w:val="18"/>
                <w:highlight w:val="none"/>
              </w:rPr>
              <w:t>月末，</w:t>
            </w:r>
            <w:r>
              <w:rPr>
                <w:rFonts w:hint="eastAsia" w:ascii="宋体" w:hAnsi="宋体" w:eastAsia="宋体" w:cs="宋体"/>
                <w:i w:val="0"/>
                <w:caps w:val="0"/>
                <w:color w:val="auto"/>
                <w:spacing w:val="0"/>
                <w:sz w:val="18"/>
                <w:szCs w:val="18"/>
                <w:highlight w:val="none"/>
                <w:lang w:val="en-US" w:eastAsia="zh-CN"/>
              </w:rPr>
              <w:t>采购</w:t>
            </w:r>
            <w:r>
              <w:rPr>
                <w:rFonts w:hint="eastAsia" w:ascii="宋体" w:hAnsi="宋体" w:eastAsia="宋体" w:cs="宋体"/>
                <w:i w:val="0"/>
                <w:caps w:val="0"/>
                <w:color w:val="auto"/>
                <w:spacing w:val="0"/>
                <w:sz w:val="18"/>
                <w:szCs w:val="18"/>
                <w:highlight w:val="none"/>
              </w:rPr>
              <w:t>人及其合并子公司在投标人的贷款余额情况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余额由高到低顺序排序</w:t>
            </w:r>
            <w:r>
              <w:rPr>
                <w:rFonts w:hint="eastAsia" w:ascii="宋体" w:hAnsi="宋体" w:eastAsia="宋体" w:cs="宋体"/>
                <w:color w:val="auto"/>
                <w:sz w:val="18"/>
                <w:szCs w:val="18"/>
                <w:highlight w:val="none"/>
                <w:lang w:eastAsia="zh-CN"/>
              </w:rPr>
              <w:t>）</w:t>
            </w:r>
            <w:r>
              <w:rPr>
                <w:rFonts w:hint="eastAsia" w:ascii="宋体" w:hAnsi="宋体" w:eastAsia="宋体" w:cs="宋体"/>
                <w:i w:val="0"/>
                <w:caps w:val="0"/>
                <w:color w:val="auto"/>
                <w:spacing w:val="0"/>
                <w:sz w:val="18"/>
                <w:szCs w:val="18"/>
                <w:highlight w:val="none"/>
                <w:lang w:eastAsia="zh-CN"/>
              </w:rPr>
              <w:t>，</w:t>
            </w:r>
            <w:r>
              <w:rPr>
                <w:rFonts w:hint="eastAsia" w:ascii="宋体" w:hAnsi="宋体" w:eastAsia="宋体" w:cs="宋体"/>
                <w:color w:val="auto"/>
                <w:sz w:val="18"/>
                <w:szCs w:val="18"/>
                <w:highlight w:val="none"/>
                <w:lang w:val="en-US" w:eastAsia="zh-CN"/>
              </w:rPr>
              <w:t>第一名得2分；名次每下降1名减0.1分，扣完为止。</w:t>
            </w:r>
          </w:p>
        </w:tc>
        <w:tc>
          <w:tcPr>
            <w:tcW w:w="4092" w:type="dxa"/>
            <w:tcBorders>
              <w:top w:val="single" w:color="auto" w:sz="4" w:space="0"/>
              <w:left w:val="single" w:color="auto" w:sz="4" w:space="0"/>
              <w:bottom w:val="single" w:color="auto" w:sz="4" w:space="0"/>
              <w:right w:val="single" w:color="auto" w:sz="4" w:space="0"/>
            </w:tcBorders>
            <w:shd w:val="clear" w:color="auto" w:fill="auto"/>
            <w:vAlign w:val="center"/>
          </w:tcPr>
          <w:p w14:paraId="0873882E">
            <w:pPr>
              <w:rPr>
                <w:rFonts w:hint="eastAsia" w:ascii="宋体" w:hAnsi="宋体" w:eastAsia="宋体" w:cs="宋体"/>
                <w:strike/>
                <w:color w:val="auto"/>
                <w:kern w:val="2"/>
                <w:sz w:val="18"/>
                <w:szCs w:val="18"/>
                <w:highlight w:val="none"/>
                <w:lang w:val="en-US" w:eastAsia="zh-CN" w:bidi="ar-SA"/>
              </w:rPr>
            </w:pPr>
            <w:r>
              <w:rPr>
                <w:rFonts w:hint="eastAsia" w:ascii="宋体" w:hAnsi="宋体" w:eastAsia="宋体" w:cs="宋体"/>
                <w:kern w:val="0"/>
                <w:sz w:val="18"/>
                <w:szCs w:val="18"/>
                <w:highlight w:val="none"/>
              </w:rPr>
              <w:t>相关数据由发行人提供，以债务融资工具发行完成时的配售结果表为准，由评标专家根据所提供的材料进行评分。</w:t>
            </w:r>
          </w:p>
        </w:tc>
      </w:tr>
      <w:tr w14:paraId="27499722">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494E8F4D">
            <w:pPr>
              <w:widowControl/>
              <w:spacing w:line="240" w:lineRule="exact"/>
              <w:ind w:left="-63" w:leftChars="-30"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8</w:t>
            </w:r>
          </w:p>
        </w:tc>
        <w:tc>
          <w:tcPr>
            <w:tcW w:w="889" w:type="dxa"/>
            <w:vMerge w:val="continue"/>
            <w:tcBorders>
              <w:left w:val="single" w:color="auto" w:sz="4" w:space="0"/>
              <w:bottom w:val="single" w:color="auto" w:sz="4" w:space="0"/>
              <w:right w:val="single" w:color="auto" w:sz="4" w:space="0"/>
            </w:tcBorders>
            <w:vAlign w:val="center"/>
          </w:tcPr>
          <w:p w14:paraId="64155368">
            <w:pPr>
              <w:widowControl/>
              <w:spacing w:line="240" w:lineRule="exact"/>
              <w:ind w:left="-63" w:leftChars="-30" w:right="-63" w:rightChars="-30"/>
              <w:jc w:val="center"/>
              <w:rPr>
                <w:rFonts w:hint="eastAsia" w:ascii="宋体" w:hAnsi="宋体" w:eastAsia="宋体" w:cs="宋体"/>
                <w:strike/>
                <w:kern w:val="0"/>
                <w:sz w:val="18"/>
                <w:szCs w:val="18"/>
                <w:highlight w:val="none"/>
              </w:rPr>
            </w:pPr>
          </w:p>
        </w:tc>
        <w:tc>
          <w:tcPr>
            <w:tcW w:w="467" w:type="dxa"/>
            <w:tcBorders>
              <w:top w:val="single" w:color="auto" w:sz="4" w:space="0"/>
              <w:left w:val="single" w:color="auto" w:sz="4" w:space="0"/>
              <w:bottom w:val="single" w:color="auto" w:sz="4" w:space="0"/>
              <w:right w:val="single" w:color="auto" w:sz="4" w:space="0"/>
            </w:tcBorders>
            <w:vAlign w:val="center"/>
          </w:tcPr>
          <w:p w14:paraId="113E1730">
            <w:pPr>
              <w:widowControl/>
              <w:spacing w:line="240" w:lineRule="exact"/>
              <w:ind w:left="-63" w:leftChars="-30" w:right="-63" w:rightChars="-30"/>
              <w:jc w:val="center"/>
              <w:rPr>
                <w:rFonts w:hint="default" w:ascii="宋体" w:hAnsi="宋体" w:eastAsia="宋体" w:cs="宋体"/>
                <w:strike w:val="0"/>
                <w:kern w:val="0"/>
                <w:sz w:val="18"/>
                <w:szCs w:val="18"/>
                <w:highlight w:val="none"/>
                <w:lang w:val="en-US" w:eastAsia="zh-CN"/>
              </w:rPr>
            </w:pPr>
            <w:r>
              <w:rPr>
                <w:rFonts w:hint="eastAsia" w:ascii="宋体" w:hAnsi="宋体" w:eastAsia="宋体" w:cs="宋体"/>
                <w:strike w:val="0"/>
                <w:kern w:val="0"/>
                <w:sz w:val="18"/>
                <w:szCs w:val="18"/>
                <w:highlight w:val="none"/>
                <w:lang w:val="en-US" w:eastAsia="zh-CN"/>
              </w:rPr>
              <w:t>3</w:t>
            </w:r>
          </w:p>
        </w:tc>
        <w:tc>
          <w:tcPr>
            <w:tcW w:w="3273" w:type="dxa"/>
            <w:tcBorders>
              <w:top w:val="single" w:color="auto" w:sz="4" w:space="0"/>
              <w:left w:val="single" w:color="auto" w:sz="4" w:space="0"/>
              <w:bottom w:val="single" w:color="auto" w:sz="4" w:space="0"/>
              <w:right w:val="single" w:color="auto" w:sz="4" w:space="0"/>
            </w:tcBorders>
            <w:vAlign w:val="center"/>
          </w:tcPr>
          <w:p w14:paraId="3A54A241">
            <w:pPr>
              <w:widowControl/>
              <w:spacing w:line="240" w:lineRule="auto"/>
              <w:ind w:right="0" w:rightChars="0"/>
              <w:jc w:val="both"/>
              <w:textAlignment w:val="center"/>
              <w:rPr>
                <w:rFonts w:hint="eastAsia" w:ascii="宋体" w:hAnsi="宋体" w:eastAsia="宋体" w:cs="宋体"/>
                <w:strike/>
                <w:sz w:val="18"/>
                <w:szCs w:val="18"/>
                <w:highlight w:val="none"/>
              </w:rPr>
            </w:pPr>
            <w:r>
              <w:rPr>
                <w:rFonts w:hint="eastAsia" w:ascii="宋体" w:hAnsi="宋体" w:eastAsia="宋体" w:cs="宋体"/>
                <w:i w:val="0"/>
                <w:color w:val="auto"/>
                <w:kern w:val="0"/>
                <w:sz w:val="18"/>
                <w:szCs w:val="18"/>
                <w:highlight w:val="none"/>
                <w:u w:val="none"/>
                <w:lang w:val="en-US" w:eastAsia="zh-CN" w:bidi="ar"/>
              </w:rPr>
              <w:t>投标人自2023年1月1日至2025年9月30日，</w:t>
            </w:r>
            <w:r>
              <w:rPr>
                <w:rFonts w:hint="eastAsia" w:ascii="宋体" w:hAnsi="宋体" w:eastAsia="宋体" w:cs="宋体"/>
                <w:b/>
                <w:bCs/>
                <w:i w:val="0"/>
                <w:color w:val="auto"/>
                <w:kern w:val="0"/>
                <w:sz w:val="18"/>
                <w:szCs w:val="18"/>
                <w:highlight w:val="none"/>
                <w:u w:val="single"/>
                <w:lang w:val="en-US" w:eastAsia="zh-CN" w:bidi="ar"/>
              </w:rPr>
              <w:t>作为主承销商</w:t>
            </w:r>
            <w:r>
              <w:rPr>
                <w:rFonts w:hint="eastAsia" w:ascii="宋体" w:hAnsi="宋体" w:eastAsia="宋体" w:cs="宋体"/>
                <w:i w:val="0"/>
                <w:color w:val="auto"/>
                <w:kern w:val="0"/>
                <w:sz w:val="18"/>
                <w:szCs w:val="18"/>
                <w:highlight w:val="none"/>
                <w:u w:val="none"/>
                <w:lang w:val="en-US" w:eastAsia="zh-CN" w:bidi="ar"/>
              </w:rPr>
              <w:t>为采购人、温州市交通运输集团有限公司、温州市铁路与轨道交通投资集团有限公司三家单位成功进行银行间市场债务融资工具承销服务情况（指成功发行情况），与1家合作发行的得1分，最多得3分，未合作发行的不得分。</w:t>
            </w:r>
          </w:p>
        </w:tc>
        <w:tc>
          <w:tcPr>
            <w:tcW w:w="4092" w:type="dxa"/>
            <w:tcBorders>
              <w:top w:val="single" w:color="auto" w:sz="4" w:space="0"/>
              <w:left w:val="single" w:color="auto" w:sz="4" w:space="0"/>
              <w:bottom w:val="single" w:color="auto" w:sz="4" w:space="0"/>
              <w:right w:val="single" w:color="auto" w:sz="4" w:space="0"/>
            </w:tcBorders>
            <w:vAlign w:val="center"/>
          </w:tcPr>
          <w:p w14:paraId="7EAB940C">
            <w:pPr>
              <w:rPr>
                <w:rFonts w:hint="eastAsia" w:ascii="宋体" w:hAnsi="宋体" w:eastAsia="宋体" w:cs="宋体"/>
                <w:strike/>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注：提供wind截屏加盖投标人公章为证明材料，否则不予认可。</w:t>
            </w:r>
          </w:p>
        </w:tc>
      </w:tr>
      <w:tr w14:paraId="5FAFC847">
        <w:tblPrEx>
          <w:tblCellMar>
            <w:top w:w="0" w:type="dxa"/>
            <w:left w:w="108" w:type="dxa"/>
            <w:bottom w:w="0" w:type="dxa"/>
            <w:right w:w="108" w:type="dxa"/>
          </w:tblCellMar>
        </w:tblPrEx>
        <w:trPr>
          <w:trHeight w:val="23" w:hRule="atLeast"/>
          <w:jc w:val="center"/>
        </w:trPr>
        <w:tc>
          <w:tcPr>
            <w:tcW w:w="9099" w:type="dxa"/>
            <w:gridSpan w:val="5"/>
            <w:tcBorders>
              <w:top w:val="single" w:color="auto" w:sz="4" w:space="0"/>
              <w:left w:val="single" w:color="auto" w:sz="4" w:space="0"/>
              <w:bottom w:val="single" w:color="auto" w:sz="4" w:space="0"/>
              <w:right w:val="single" w:color="auto" w:sz="4" w:space="0"/>
            </w:tcBorders>
            <w:vAlign w:val="center"/>
          </w:tcPr>
          <w:p w14:paraId="5401FF72">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服务方案（</w:t>
            </w:r>
            <w:r>
              <w:rPr>
                <w:rFonts w:hint="eastAsia" w:ascii="宋体" w:hAnsi="宋体" w:eastAsia="宋体" w:cs="宋体"/>
                <w:b/>
                <w:bCs/>
                <w:kern w:val="0"/>
                <w:sz w:val="18"/>
                <w:szCs w:val="18"/>
                <w:highlight w:val="none"/>
                <w:lang w:val="en-US" w:eastAsia="zh-CN"/>
              </w:rPr>
              <w:t>18</w:t>
            </w:r>
            <w:r>
              <w:rPr>
                <w:rFonts w:hint="eastAsia" w:ascii="宋体" w:hAnsi="宋体" w:eastAsia="宋体" w:cs="宋体"/>
                <w:b/>
                <w:bCs/>
                <w:kern w:val="0"/>
                <w:sz w:val="18"/>
                <w:szCs w:val="18"/>
                <w:highlight w:val="none"/>
              </w:rPr>
              <w:t>分）</w:t>
            </w:r>
          </w:p>
        </w:tc>
      </w:tr>
      <w:tr w14:paraId="6D5FB233">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1260CF09">
            <w:pPr>
              <w:widowControl/>
              <w:spacing w:line="240" w:lineRule="exact"/>
              <w:ind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9</w:t>
            </w:r>
          </w:p>
        </w:tc>
        <w:tc>
          <w:tcPr>
            <w:tcW w:w="889" w:type="dxa"/>
            <w:tcBorders>
              <w:top w:val="single" w:color="auto" w:sz="4" w:space="0"/>
              <w:left w:val="single" w:color="auto" w:sz="4" w:space="0"/>
              <w:bottom w:val="single" w:color="auto" w:sz="4" w:space="0"/>
              <w:right w:val="single" w:color="auto" w:sz="4" w:space="0"/>
            </w:tcBorders>
            <w:vAlign w:val="center"/>
          </w:tcPr>
          <w:p w14:paraId="71A4B26A">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投标人履约能力</w:t>
            </w:r>
          </w:p>
        </w:tc>
        <w:tc>
          <w:tcPr>
            <w:tcW w:w="467" w:type="dxa"/>
            <w:tcBorders>
              <w:top w:val="single" w:color="auto" w:sz="4" w:space="0"/>
              <w:left w:val="single" w:color="auto" w:sz="4" w:space="0"/>
              <w:bottom w:val="single" w:color="auto" w:sz="4" w:space="0"/>
              <w:right w:val="single" w:color="auto" w:sz="4" w:space="0"/>
            </w:tcBorders>
            <w:vAlign w:val="center"/>
          </w:tcPr>
          <w:p w14:paraId="627C4F93">
            <w:pPr>
              <w:widowControl/>
              <w:spacing w:line="240" w:lineRule="exact"/>
              <w:ind w:right="-63" w:rightChars="-3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w:t>
            </w:r>
          </w:p>
        </w:tc>
        <w:tc>
          <w:tcPr>
            <w:tcW w:w="7365" w:type="dxa"/>
            <w:gridSpan w:val="2"/>
            <w:tcBorders>
              <w:top w:val="single" w:color="auto" w:sz="4" w:space="0"/>
              <w:left w:val="single" w:color="auto" w:sz="4" w:space="0"/>
              <w:bottom w:val="single" w:color="auto" w:sz="4" w:space="0"/>
              <w:right w:val="single" w:color="auto" w:sz="4" w:space="0"/>
            </w:tcBorders>
            <w:vAlign w:val="center"/>
          </w:tcPr>
          <w:p w14:paraId="5A5B9F0E">
            <w:pPr>
              <w:widowControl/>
              <w:spacing w:line="240" w:lineRule="exact"/>
              <w:ind w:left="0" w:leftChars="0" w:right="-63" w:rightChars="-30"/>
              <w:jc w:val="both"/>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投债资金渠道、自投比例、案例分析等情况加盖投标人公章为依据，综合比较打分。分三档给分，分别为：好4-5分，一般3-4分，差得2-3分，没有不得分</w:t>
            </w:r>
            <w:r>
              <w:rPr>
                <w:rFonts w:hint="eastAsia" w:ascii="宋体" w:hAnsi="宋体" w:eastAsia="宋体" w:cs="宋体"/>
                <w:sz w:val="18"/>
                <w:szCs w:val="18"/>
                <w:highlight w:val="none"/>
              </w:rPr>
              <w:t>。</w:t>
            </w:r>
          </w:p>
        </w:tc>
      </w:tr>
      <w:tr w14:paraId="42EEBB6E">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4042A4B5">
            <w:pPr>
              <w:widowControl/>
              <w:spacing w:line="240" w:lineRule="exact"/>
              <w:ind w:right="-63" w:rightChars="-30"/>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10</w:t>
            </w:r>
          </w:p>
        </w:tc>
        <w:tc>
          <w:tcPr>
            <w:tcW w:w="889" w:type="dxa"/>
            <w:tcBorders>
              <w:top w:val="single" w:color="auto" w:sz="4" w:space="0"/>
              <w:left w:val="single" w:color="auto" w:sz="4" w:space="0"/>
              <w:bottom w:val="single" w:color="auto" w:sz="4" w:space="0"/>
              <w:right w:val="single" w:color="auto" w:sz="4" w:space="0"/>
            </w:tcBorders>
            <w:vAlign w:val="center"/>
          </w:tcPr>
          <w:p w14:paraId="2FAFCA24">
            <w:pPr>
              <w:widowControl/>
              <w:spacing w:line="240" w:lineRule="exact"/>
              <w:ind w:left="-63" w:leftChars="-30" w:right="-63" w:rightChars="-3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投标人</w:t>
            </w:r>
            <w:r>
              <w:rPr>
                <w:rFonts w:hint="eastAsia" w:ascii="宋体" w:hAnsi="宋体" w:eastAsia="宋体" w:cs="宋体"/>
                <w:kern w:val="0"/>
                <w:sz w:val="18"/>
                <w:szCs w:val="18"/>
                <w:highlight w:val="none"/>
                <w:lang w:val="en-US" w:eastAsia="zh-CN"/>
              </w:rPr>
              <w:t>服务能力</w:t>
            </w:r>
          </w:p>
        </w:tc>
        <w:tc>
          <w:tcPr>
            <w:tcW w:w="467" w:type="dxa"/>
            <w:tcBorders>
              <w:top w:val="single" w:color="auto" w:sz="4" w:space="0"/>
              <w:left w:val="single" w:color="auto" w:sz="4" w:space="0"/>
              <w:bottom w:val="single" w:color="auto" w:sz="4" w:space="0"/>
              <w:right w:val="single" w:color="auto" w:sz="4" w:space="0"/>
            </w:tcBorders>
            <w:vAlign w:val="center"/>
          </w:tcPr>
          <w:p w14:paraId="0575784A">
            <w:pPr>
              <w:widowControl/>
              <w:spacing w:line="240" w:lineRule="exact"/>
              <w:ind w:right="-63" w:rightChars="-3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w:t>
            </w:r>
          </w:p>
        </w:tc>
        <w:tc>
          <w:tcPr>
            <w:tcW w:w="7365" w:type="dxa"/>
            <w:gridSpan w:val="2"/>
            <w:tcBorders>
              <w:top w:val="single" w:color="auto" w:sz="4" w:space="0"/>
              <w:left w:val="single" w:color="auto" w:sz="4" w:space="0"/>
              <w:bottom w:val="single" w:color="auto" w:sz="4" w:space="0"/>
              <w:right w:val="single" w:color="auto" w:sz="4" w:space="0"/>
            </w:tcBorders>
            <w:vAlign w:val="center"/>
          </w:tcPr>
          <w:p w14:paraId="478075CB">
            <w:pPr>
              <w:spacing w:line="240" w:lineRule="exact"/>
              <w:ind w:firstLine="0" w:firstLineChars="0"/>
              <w:rPr>
                <w:rFonts w:hint="eastAsia" w:ascii="宋体" w:hAnsi="宋体" w:eastAsia="宋体" w:cs="宋体"/>
                <w:kern w:val="0"/>
                <w:sz w:val="18"/>
                <w:szCs w:val="18"/>
                <w:highlight w:val="none"/>
              </w:rPr>
            </w:pPr>
            <w:r>
              <w:rPr>
                <w:rFonts w:hint="eastAsia" w:ascii="宋体" w:hAnsi="宋体" w:eastAsia="宋体" w:cs="宋体"/>
                <w:sz w:val="18"/>
                <w:szCs w:val="18"/>
                <w:highlight w:val="none"/>
              </w:rPr>
              <w:t>项目团队人员配置齐全、合理情况、综合能力情况、团队成员稳定性、常驻人员数量及常驻时间情况综合评分</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分别为：好4-5分，一般3-4分，差得2-3分，没有不得分</w:t>
            </w:r>
            <w:r>
              <w:rPr>
                <w:rFonts w:hint="eastAsia" w:ascii="宋体" w:hAnsi="宋体" w:eastAsia="宋体" w:cs="宋体"/>
                <w:sz w:val="18"/>
                <w:szCs w:val="18"/>
                <w:highlight w:val="none"/>
              </w:rPr>
              <w:t>。</w:t>
            </w:r>
          </w:p>
        </w:tc>
      </w:tr>
      <w:tr w14:paraId="395B0552">
        <w:tblPrEx>
          <w:tblCellMar>
            <w:top w:w="0" w:type="dxa"/>
            <w:left w:w="108" w:type="dxa"/>
            <w:bottom w:w="0" w:type="dxa"/>
            <w:right w:w="108" w:type="dxa"/>
          </w:tblCellMar>
        </w:tblPrEx>
        <w:trPr>
          <w:trHeight w:val="23" w:hRule="atLeast"/>
          <w:jc w:val="center"/>
        </w:trPr>
        <w:tc>
          <w:tcPr>
            <w:tcW w:w="378" w:type="dxa"/>
            <w:tcBorders>
              <w:top w:val="single" w:color="auto" w:sz="4" w:space="0"/>
              <w:left w:val="single" w:color="auto" w:sz="4" w:space="0"/>
              <w:bottom w:val="single" w:color="auto" w:sz="4" w:space="0"/>
              <w:right w:val="single" w:color="auto" w:sz="4" w:space="0"/>
            </w:tcBorders>
            <w:vAlign w:val="center"/>
          </w:tcPr>
          <w:p w14:paraId="23C5D5B0">
            <w:pPr>
              <w:widowControl/>
              <w:spacing w:line="240" w:lineRule="exact"/>
              <w:ind w:right="-63" w:rightChars="-30"/>
              <w:jc w:val="center"/>
              <w:rPr>
                <w:rFonts w:hint="eastAsia" w:ascii="宋体" w:hAnsi="宋体" w:eastAsia="宋体" w:cs="宋体"/>
                <w:b/>
                <w:bCs/>
                <w:kern w:val="0"/>
                <w:sz w:val="18"/>
                <w:szCs w:val="18"/>
                <w:highlight w:val="none"/>
                <w:lang w:eastAsia="zh-CN"/>
              </w:rPr>
            </w:pPr>
            <w:r>
              <w:rPr>
                <w:rFonts w:hint="eastAsia" w:ascii="宋体" w:hAnsi="宋体" w:eastAsia="宋体" w:cs="宋体"/>
                <w:b/>
                <w:bCs/>
                <w:kern w:val="0"/>
                <w:sz w:val="18"/>
                <w:szCs w:val="18"/>
                <w:highlight w:val="none"/>
              </w:rPr>
              <w:t>1</w:t>
            </w:r>
            <w:r>
              <w:rPr>
                <w:rFonts w:hint="eastAsia" w:ascii="宋体" w:hAnsi="宋体" w:eastAsia="宋体" w:cs="宋体"/>
                <w:b/>
                <w:bCs/>
                <w:kern w:val="0"/>
                <w:sz w:val="18"/>
                <w:szCs w:val="18"/>
                <w:highlight w:val="none"/>
                <w:lang w:val="en-US" w:eastAsia="zh-CN"/>
              </w:rPr>
              <w:t>1</w:t>
            </w:r>
          </w:p>
        </w:tc>
        <w:tc>
          <w:tcPr>
            <w:tcW w:w="889" w:type="dxa"/>
            <w:tcBorders>
              <w:top w:val="single" w:color="auto" w:sz="4" w:space="0"/>
              <w:left w:val="single" w:color="auto" w:sz="4" w:space="0"/>
              <w:bottom w:val="single" w:color="auto" w:sz="4" w:space="0"/>
              <w:right w:val="single" w:color="auto" w:sz="4" w:space="0"/>
            </w:tcBorders>
            <w:vAlign w:val="center"/>
          </w:tcPr>
          <w:p w14:paraId="713A0303">
            <w:pPr>
              <w:widowControl/>
              <w:spacing w:line="240" w:lineRule="exact"/>
              <w:ind w:left="-63" w:leftChars="-30" w:right="-63" w:rightChars="-3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投标人提供的发行方案设计</w:t>
            </w:r>
          </w:p>
        </w:tc>
        <w:tc>
          <w:tcPr>
            <w:tcW w:w="467" w:type="dxa"/>
            <w:tcBorders>
              <w:top w:val="single" w:color="auto" w:sz="4" w:space="0"/>
              <w:left w:val="single" w:color="auto" w:sz="4" w:space="0"/>
              <w:bottom w:val="single" w:color="auto" w:sz="4" w:space="0"/>
              <w:right w:val="single" w:color="auto" w:sz="4" w:space="0"/>
            </w:tcBorders>
            <w:vAlign w:val="center"/>
          </w:tcPr>
          <w:p w14:paraId="14B822DF">
            <w:pPr>
              <w:widowControl/>
              <w:spacing w:line="240" w:lineRule="exact"/>
              <w:ind w:right="-63" w:rightChars="-30"/>
              <w:jc w:val="center"/>
              <w:rPr>
                <w:rFonts w:hint="default"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8</w:t>
            </w:r>
          </w:p>
        </w:tc>
        <w:tc>
          <w:tcPr>
            <w:tcW w:w="7365" w:type="dxa"/>
            <w:gridSpan w:val="2"/>
            <w:tcBorders>
              <w:top w:val="single" w:color="auto" w:sz="4" w:space="0"/>
              <w:left w:val="single" w:color="auto" w:sz="4" w:space="0"/>
              <w:bottom w:val="single" w:color="auto" w:sz="4" w:space="0"/>
              <w:right w:val="single" w:color="auto" w:sz="4" w:space="0"/>
            </w:tcBorders>
            <w:vAlign w:val="center"/>
          </w:tcPr>
          <w:p w14:paraId="0BF15667">
            <w:pPr>
              <w:ind w:firstLine="360" w:firstLineChars="200"/>
              <w:rPr>
                <w:rStyle w:val="76"/>
                <w:rFonts w:hint="eastAsia" w:ascii="宋体" w:hAnsi="宋体" w:eastAsia="宋体" w:cs="宋体"/>
                <w:sz w:val="18"/>
                <w:szCs w:val="18"/>
                <w:highlight w:val="none"/>
                <w:lang w:bidi="ar"/>
              </w:rPr>
            </w:pPr>
            <w:r>
              <w:rPr>
                <w:rStyle w:val="76"/>
                <w:rFonts w:hint="eastAsia" w:ascii="宋体" w:hAnsi="宋体" w:eastAsia="宋体" w:cs="宋体"/>
                <w:sz w:val="18"/>
                <w:szCs w:val="18"/>
                <w:highlight w:val="none"/>
                <w:lang w:bidi="ar"/>
              </w:rPr>
              <w:t>根据各投标人对中期票据项目的基本条款设计（包括但不限于发行金额、期限、发行时间、募集资金用途及发行利率预估等）、风险分析及预案、销售工作安排及销售策略说明、发行方案是否具有针对性、建设性，项目实施进度安排的科学性、材料制作等进行综合打分。要求方案内容详实、可实施性强，有针对性。分三档给分，分别为：好7-8分，较好6-7分，一般得5-6分，没有不得分。</w:t>
            </w:r>
          </w:p>
        </w:tc>
      </w:tr>
    </w:tbl>
    <w:p w14:paraId="12CC031A">
      <w:pP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注：1）</w:t>
      </w:r>
      <w:r>
        <w:rPr>
          <w:rFonts w:hint="eastAsia" w:ascii="宋体" w:hAnsi="宋体" w:eastAsia="宋体" w:cs="宋体"/>
          <w:color w:val="auto"/>
          <w:sz w:val="22"/>
          <w:szCs w:val="22"/>
          <w:highlight w:val="none"/>
        </w:rPr>
        <w:t>投标人应保证所提供文件资料的真实性，所有文件资料必须是针对本次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的。如发现投标人提供了虚假文件资料，其投标将</w:t>
      </w:r>
      <w:r>
        <w:rPr>
          <w:rFonts w:hint="eastAsia" w:ascii="宋体" w:hAnsi="宋体" w:eastAsia="宋体" w:cs="宋体"/>
          <w:color w:val="auto"/>
          <w:sz w:val="22"/>
          <w:szCs w:val="22"/>
          <w:highlight w:val="none"/>
          <w:lang w:val="en-US" w:eastAsia="zh-CN"/>
        </w:rPr>
        <w:t>作无效标处理</w:t>
      </w:r>
      <w:r>
        <w:rPr>
          <w:rFonts w:hint="eastAsia" w:ascii="宋体" w:hAnsi="宋体" w:eastAsia="宋体" w:cs="宋体"/>
          <w:color w:val="auto"/>
          <w:sz w:val="22"/>
          <w:szCs w:val="22"/>
          <w:highlight w:val="none"/>
        </w:rPr>
        <w:t>，并自行承担相</w:t>
      </w:r>
      <w:r>
        <w:rPr>
          <w:rFonts w:hint="eastAsia" w:ascii="宋体" w:hAnsi="宋体" w:eastAsia="宋体" w:cs="宋体"/>
          <w:color w:val="auto"/>
          <w:sz w:val="22"/>
          <w:szCs w:val="22"/>
          <w:highlight w:val="none"/>
          <w:lang w:val="en-US" w:eastAsia="zh-CN"/>
        </w:rPr>
        <w:t>应的法律责任；</w:t>
      </w:r>
    </w:p>
    <w:p w14:paraId="3001D0A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2）如果上述某项评分细则在技术标中没有描述或不符合评分要求或严重离题，则此项可按零分处理。</w:t>
      </w:r>
      <w:r>
        <w:rPr>
          <w:rFonts w:hint="eastAsia" w:ascii="宋体" w:hAnsi="宋体" w:eastAsia="宋体" w:cs="宋体"/>
          <w:color w:val="auto"/>
          <w:sz w:val="22"/>
          <w:highlight w:val="none"/>
        </w:rPr>
        <w:t>。</w:t>
      </w:r>
    </w:p>
    <w:p w14:paraId="6E8930AD">
      <w:pPr>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3）投标人提供的相关证明资料、截图查询证明等资料模糊不清，评委无法判断或者难以辨认时，评委评审时将视作未提供相关资料处理。</w:t>
      </w:r>
      <w:bookmarkStart w:id="217" w:name="_Hlk11188594"/>
    </w:p>
    <w:p w14:paraId="0E60001B">
      <w:pPr>
        <w:ind w:firstLine="442" w:firstLineChars="200"/>
        <w:rPr>
          <w:rFonts w:hint="eastAsia" w:ascii="宋体" w:hAnsi="宋体" w:eastAsia="宋体" w:cs="宋体"/>
          <w:b/>
          <w:color w:val="auto"/>
          <w:sz w:val="22"/>
          <w:highlight w:val="none"/>
        </w:rPr>
      </w:pPr>
    </w:p>
    <w:p w14:paraId="43820B3C">
      <w:pPr>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30</w:t>
      </w:r>
      <w:r>
        <w:rPr>
          <w:rFonts w:hint="eastAsia" w:ascii="宋体" w:hAnsi="宋体" w:eastAsia="宋体" w:cs="宋体"/>
          <w:b/>
          <w:color w:val="auto"/>
          <w:sz w:val="22"/>
          <w:highlight w:val="none"/>
        </w:rPr>
        <w:t>分）：</w:t>
      </w:r>
    </w:p>
    <w:bookmarkEnd w:id="217"/>
    <w:p w14:paraId="4C1108A2">
      <w:pPr>
        <w:ind w:firstLine="442" w:firstLineChars="200"/>
        <w:rPr>
          <w:rFonts w:hint="eastAsia" w:ascii="宋体" w:hAnsi="宋体" w:eastAsia="宋体" w:cs="宋体"/>
          <w:b/>
          <w:bCs/>
          <w:color w:val="auto"/>
          <w:sz w:val="22"/>
          <w:highlight w:val="none"/>
        </w:rPr>
      </w:pPr>
      <w:bookmarkStart w:id="218" w:name="_Hlk11191261"/>
      <w:r>
        <w:rPr>
          <w:rFonts w:hint="eastAsia" w:ascii="宋体" w:hAnsi="宋体" w:eastAsia="宋体" w:cs="宋体"/>
          <w:b/>
          <w:bCs/>
          <w:color w:val="auto"/>
          <w:sz w:val="22"/>
          <w:highlight w:val="none"/>
          <w:lang w:val="en-US" w:eastAsia="zh-CN"/>
        </w:rPr>
        <w:t>2.1</w:t>
      </w:r>
      <w:r>
        <w:rPr>
          <w:rFonts w:hint="eastAsia" w:ascii="宋体" w:hAnsi="宋体" w:eastAsia="宋体" w:cs="宋体"/>
          <w:b/>
          <w:bCs/>
          <w:color w:val="auto"/>
          <w:sz w:val="22"/>
          <w:highlight w:val="none"/>
        </w:rPr>
        <w:t>评标基准价的计算：</w:t>
      </w:r>
    </w:p>
    <w:p w14:paraId="2C3738BA">
      <w:pPr>
        <w:keepNext w:val="0"/>
        <w:keepLines w:val="0"/>
        <w:pageBreakBefore w:val="0"/>
        <w:widowControl w:val="0"/>
        <w:kinsoku/>
        <w:wordWrap/>
        <w:overflowPunct w:val="0"/>
        <w:topLinePunct w:val="0"/>
        <w:autoSpaceDE/>
        <w:autoSpaceDN/>
        <w:bidi w:val="0"/>
        <w:adjustRightInd/>
        <w:snapToGrid/>
        <w:spacing w:line="240" w:lineRule="auto"/>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rPr>
        <w:t>年承销费率以BP为</w:t>
      </w:r>
      <w:r>
        <w:rPr>
          <w:rFonts w:hint="eastAsia" w:ascii="宋体" w:hAnsi="宋体" w:eastAsia="宋体" w:cs="宋体"/>
          <w:b/>
          <w:bCs/>
          <w:color w:val="auto"/>
          <w:kern w:val="0"/>
          <w:sz w:val="22"/>
          <w:szCs w:val="22"/>
          <w:highlight w:val="none"/>
          <w:u w:val="none"/>
          <w:lang w:bidi="ar"/>
        </w:rPr>
        <w:t>单位</w:t>
      </w:r>
      <w:r>
        <w:rPr>
          <w:rFonts w:hint="eastAsia" w:ascii="宋体" w:hAnsi="宋体" w:eastAsia="宋体" w:cs="宋体"/>
          <w:b/>
          <w:bCs/>
          <w:color w:val="auto"/>
          <w:kern w:val="0"/>
          <w:sz w:val="22"/>
          <w:szCs w:val="22"/>
          <w:highlight w:val="none"/>
        </w:rPr>
        <w:t>进行报价，</w:t>
      </w:r>
      <w:r>
        <w:rPr>
          <w:rFonts w:hint="eastAsia" w:ascii="宋体" w:hAnsi="宋体" w:eastAsia="宋体" w:cs="宋体"/>
          <w:b/>
          <w:bCs/>
          <w:color w:val="auto"/>
          <w:sz w:val="22"/>
          <w:highlight w:val="none"/>
        </w:rPr>
        <w:t>年承销费率商务（报价）得分以BP为单位进行计算。</w:t>
      </w:r>
    </w:p>
    <w:p w14:paraId="345A474C">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以有效投标报价的算术平均值为评标基准价（有效</w:t>
      </w:r>
      <w:r>
        <w:rPr>
          <w:rFonts w:hint="eastAsia" w:ascii="宋体" w:hAnsi="宋体" w:eastAsia="宋体" w:cs="宋体"/>
          <w:color w:val="auto"/>
          <w:sz w:val="22"/>
          <w:szCs w:val="22"/>
          <w:highlight w:val="none"/>
        </w:rPr>
        <w:t>投标报价在5个及以上</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且小于8家</w:t>
      </w:r>
      <w:r>
        <w:rPr>
          <w:rFonts w:hint="eastAsia" w:ascii="宋体" w:hAnsi="宋体" w:eastAsia="宋体" w:cs="宋体"/>
          <w:color w:val="auto"/>
          <w:sz w:val="22"/>
          <w:szCs w:val="22"/>
          <w:highlight w:val="none"/>
        </w:rPr>
        <w:t>时，去除一个最高价和一个最低价；有效投标报价在8个及以上时，去除一个最高、次高价和一个最低、次低价</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w:t>
      </w:r>
    </w:p>
    <w:p w14:paraId="4FD290B1">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▲本项目要求投标供应商以年承销费率进行报价，年承销费率最高限价为</w:t>
      </w:r>
      <w:r>
        <w:rPr>
          <w:rFonts w:hint="eastAsia" w:ascii="宋体" w:hAnsi="宋体" w:eastAsia="宋体" w:cs="宋体"/>
          <w:color w:val="auto"/>
          <w:sz w:val="22"/>
          <w:szCs w:val="22"/>
          <w:highlight w:val="none"/>
          <w:u w:val="single"/>
          <w:lang w:val="en-US" w:eastAsia="zh-CN"/>
        </w:rPr>
        <w:t>0.08%</w:t>
      </w:r>
      <w:r>
        <w:rPr>
          <w:rFonts w:hint="eastAsia" w:ascii="宋体" w:hAnsi="宋体" w:eastAsia="宋体" w:cs="宋体"/>
          <w:color w:val="auto"/>
          <w:sz w:val="22"/>
          <w:szCs w:val="22"/>
          <w:highlight w:val="none"/>
          <w:u w:val="single"/>
        </w:rPr>
        <w:t>（即</w:t>
      </w:r>
      <w:r>
        <w:rPr>
          <w:rFonts w:hint="eastAsia" w:ascii="宋体" w:hAnsi="宋体" w:eastAsia="宋体" w:cs="宋体"/>
          <w:color w:val="auto"/>
          <w:sz w:val="22"/>
          <w:szCs w:val="22"/>
          <w:highlight w:val="none"/>
          <w:u w:val="single"/>
          <w:lang w:val="en-US" w:eastAsia="zh-CN"/>
        </w:rPr>
        <w:t>8</w:t>
      </w:r>
      <w:r>
        <w:rPr>
          <w:rFonts w:hint="eastAsia" w:ascii="宋体" w:hAnsi="宋体" w:eastAsia="宋体" w:cs="宋体"/>
          <w:color w:val="auto"/>
          <w:sz w:val="22"/>
          <w:szCs w:val="22"/>
          <w:highlight w:val="none"/>
          <w:u w:val="single"/>
        </w:rPr>
        <w:t>BP），投标报价超过最高限价的，作无效标处理。</w:t>
      </w:r>
    </w:p>
    <w:p w14:paraId="79B05374">
      <w:pPr>
        <w:keepNext w:val="0"/>
        <w:keepLines w:val="0"/>
        <w:pageBreakBefore w:val="0"/>
        <w:widowControl w:val="0"/>
        <w:kinsoku/>
        <w:wordWrap/>
        <w:overflowPunct w:val="0"/>
        <w:topLinePunct w:val="0"/>
        <w:autoSpaceDE/>
        <w:autoSpaceDN/>
        <w:bidi w:val="0"/>
        <w:adjustRightInd/>
        <w:snapToGrid/>
        <w:spacing w:line="24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2.2</w:t>
      </w:r>
      <w:r>
        <w:rPr>
          <w:rFonts w:hint="eastAsia" w:ascii="宋体" w:hAnsi="宋体" w:eastAsia="宋体" w:cs="宋体"/>
          <w:b/>
          <w:bCs/>
          <w:color w:val="auto"/>
          <w:sz w:val="22"/>
          <w:szCs w:val="22"/>
          <w:highlight w:val="none"/>
        </w:rPr>
        <w:t>报价得分计算时将承销费率折算成BP，以便于计算。</w:t>
      </w:r>
    </w:p>
    <w:p w14:paraId="3E8C0D1B">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投标评标报价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评标基准价时,得满</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p w14:paraId="539AC5B8">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投标评标报价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评标基准值价时，投标评标价每高于评标基准价1个BP，扣</w:t>
      </w:r>
      <w:r>
        <w:rPr>
          <w:rFonts w:hint="eastAsia" w:ascii="宋体" w:hAnsi="宋体" w:eastAsia="宋体" w:cs="宋体"/>
          <w:color w:val="auto"/>
          <w:sz w:val="22"/>
          <w:szCs w:val="22"/>
          <w:highlight w:val="none"/>
          <w:lang w:val="en-US" w:eastAsia="zh-CN"/>
        </w:rPr>
        <w:t>0.8</w:t>
      </w:r>
      <w:r>
        <w:rPr>
          <w:rFonts w:hint="eastAsia" w:ascii="宋体" w:hAnsi="宋体" w:eastAsia="宋体" w:cs="宋体"/>
          <w:color w:val="auto"/>
          <w:sz w:val="22"/>
          <w:szCs w:val="22"/>
          <w:highlight w:val="none"/>
        </w:rPr>
        <w:t>分；投标评标报价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评标基准值价时，投标评标价每低于评标基准价1个BP，扣</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rPr>
        <w:t>分；</w:t>
      </w:r>
    </w:p>
    <w:p w14:paraId="3CBC7E81">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计算商务（报价）得分不足1个BP时，使用直线插入法计算商务（报价）得分；</w:t>
      </w:r>
    </w:p>
    <w:p w14:paraId="75BE5935">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以上</w:t>
      </w:r>
      <w:r>
        <w:rPr>
          <w:rFonts w:hint="eastAsia" w:ascii="宋体" w:hAnsi="宋体" w:eastAsia="宋体" w:cs="宋体"/>
          <w:color w:val="auto"/>
          <w:sz w:val="22"/>
          <w:szCs w:val="22"/>
          <w:highlight w:val="none"/>
          <w:lang w:val="en-US" w:eastAsia="zh-CN"/>
        </w:rPr>
        <w:t>商务（</w:t>
      </w:r>
      <w:r>
        <w:rPr>
          <w:rFonts w:hint="eastAsia" w:ascii="宋体" w:hAnsi="宋体" w:eastAsia="宋体" w:cs="宋体"/>
          <w:color w:val="auto"/>
          <w:sz w:val="22"/>
          <w:szCs w:val="22"/>
          <w:highlight w:val="none"/>
        </w:rPr>
        <w:t>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得分保留小数</w:t>
      </w:r>
      <w:r>
        <w:rPr>
          <w:rFonts w:hint="eastAsia" w:ascii="宋体" w:hAnsi="宋体" w:eastAsia="宋体" w:cs="宋体"/>
          <w:color w:val="auto"/>
          <w:sz w:val="22"/>
          <w:szCs w:val="22"/>
          <w:highlight w:val="none"/>
          <w:lang w:val="en-US" w:eastAsia="zh-CN"/>
        </w:rPr>
        <w:t>点</w:t>
      </w:r>
      <w:r>
        <w:rPr>
          <w:rFonts w:hint="eastAsia" w:ascii="宋体" w:hAnsi="宋体" w:eastAsia="宋体" w:cs="宋体"/>
          <w:color w:val="auto"/>
          <w:sz w:val="22"/>
          <w:szCs w:val="22"/>
          <w:highlight w:val="none"/>
        </w:rPr>
        <w:t>后2位数字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第3位四舍五入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,报价得分最低为0分。</w:t>
      </w:r>
    </w:p>
    <w:p w14:paraId="04192AC7">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 A=投标评标报价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B=评标基准价</w:t>
      </w:r>
    </w:p>
    <w:p w14:paraId="380D6AAA">
      <w:pPr>
        <w:keepNext w:val="0"/>
        <w:keepLines w:val="0"/>
        <w:pageBreakBefore w:val="0"/>
        <w:widowControl w:val="0"/>
        <w:kinsoku/>
        <w:wordWrap/>
        <w:overflowPunct w:val="0"/>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当A ＞B时，报价得分</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30</w:t>
      </w:r>
      <w:r>
        <w:rPr>
          <w:rFonts w:hint="eastAsia" w:ascii="宋体" w:hAnsi="宋体" w:eastAsia="宋体" w:cs="宋体"/>
          <w:b w:val="0"/>
          <w:color w:val="auto"/>
          <w:sz w:val="22"/>
          <w:szCs w:val="22"/>
          <w:highlight w:val="none"/>
          <w:lang w:val="en-US" w:eastAsia="zh-CN"/>
        </w:rPr>
        <w:t xml:space="preserve"> </w:t>
      </w:r>
      <w:r>
        <w:rPr>
          <w:rFonts w:hint="eastAsia" w:ascii="宋体" w:hAnsi="宋体" w:eastAsia="宋体" w:cs="宋体"/>
          <w:color w:val="auto"/>
          <w:sz w:val="22"/>
          <w:szCs w:val="22"/>
          <w:highlight w:val="none"/>
        </w:rPr>
        <w:t>-（A-B）*</w:t>
      </w:r>
      <w:r>
        <w:rPr>
          <w:rFonts w:hint="eastAsia" w:ascii="宋体" w:hAnsi="宋体" w:eastAsia="宋体" w:cs="宋体"/>
          <w:color w:val="auto"/>
          <w:sz w:val="22"/>
          <w:szCs w:val="22"/>
          <w:highlight w:val="none"/>
          <w:lang w:val="en-US" w:eastAsia="zh-CN"/>
        </w:rPr>
        <w:t>0.8</w:t>
      </w:r>
      <w:r>
        <w:rPr>
          <w:rFonts w:hint="eastAsia" w:ascii="宋体" w:hAnsi="宋体" w:eastAsia="宋体" w:cs="宋体"/>
          <w:color w:val="auto"/>
          <w:sz w:val="22"/>
          <w:szCs w:val="22"/>
          <w:highlight w:val="none"/>
          <w:lang w:eastAsia="zh-CN"/>
        </w:rPr>
        <w:t>；</w:t>
      </w:r>
    </w:p>
    <w:p w14:paraId="001523C2">
      <w:pPr>
        <w:keepNext w:val="0"/>
        <w:keepLines w:val="0"/>
        <w:pageBreakBefore w:val="0"/>
        <w:widowControl w:val="0"/>
        <w:kinsoku/>
        <w:wordWrap/>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当A ＜B时，报价得分</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30 </w:t>
      </w:r>
      <w:r>
        <w:rPr>
          <w:rFonts w:hint="eastAsia" w:ascii="宋体" w:hAnsi="宋体" w:eastAsia="宋体" w:cs="宋体"/>
          <w:color w:val="auto"/>
          <w:sz w:val="22"/>
          <w:szCs w:val="22"/>
          <w:highlight w:val="none"/>
        </w:rPr>
        <w:t>-（B-A）*</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lang w:eastAsia="zh-CN"/>
        </w:rPr>
        <w:t>。</w:t>
      </w:r>
    </w:p>
    <w:p w14:paraId="121F6CFE">
      <w:pPr>
        <w:ind w:firstLine="442" w:firstLineChars="200"/>
        <w:rPr>
          <w:rFonts w:hint="eastAsia" w:ascii="宋体" w:hAnsi="宋体" w:eastAsia="宋体" w:cs="宋体"/>
          <w:b/>
          <w:sz w:val="22"/>
          <w:szCs w:val="24"/>
          <w:highlight w:val="none"/>
        </w:rPr>
      </w:pPr>
      <w:r>
        <w:rPr>
          <w:rFonts w:hint="eastAsia" w:ascii="宋体" w:hAnsi="宋体" w:eastAsia="宋体" w:cs="宋体"/>
          <w:b/>
          <w:bCs/>
          <w:sz w:val="22"/>
          <w:highlight w:val="none"/>
        </w:rPr>
        <w:t>3、有效投标人的综合得分为技术资信分和商务（报价）分的总和</w:t>
      </w:r>
      <w:bookmarkEnd w:id="218"/>
      <w:r>
        <w:rPr>
          <w:rFonts w:hint="eastAsia" w:ascii="宋体" w:hAnsi="宋体" w:eastAsia="宋体" w:cs="宋体"/>
          <w:b/>
          <w:bCs/>
          <w:sz w:val="22"/>
          <w:highlight w:val="none"/>
        </w:rPr>
        <w:t>。</w:t>
      </w:r>
    </w:p>
    <w:p w14:paraId="6111B0CE">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六、定标办法</w:t>
      </w:r>
      <w:bookmarkStart w:id="219" w:name="_Toc221356967"/>
      <w:bookmarkStart w:id="220" w:name="_Toc221356904"/>
    </w:p>
    <w:p w14:paraId="22D693E3">
      <w:pPr>
        <w:ind w:firstLine="440" w:firstLineChars="200"/>
        <w:rPr>
          <w:rFonts w:hint="eastAsia" w:ascii="宋体" w:hAnsi="宋体" w:eastAsia="宋体" w:cs="宋体"/>
          <w:sz w:val="22"/>
          <w:highlight w:val="none"/>
        </w:rPr>
      </w:pPr>
      <w:r>
        <w:rPr>
          <w:rFonts w:hint="eastAsia" w:ascii="宋体" w:hAnsi="宋体" w:eastAsia="宋体" w:cs="宋体"/>
          <w:color w:val="auto"/>
          <w:sz w:val="22"/>
        </w:rPr>
        <w:t>评标委员会依据法律、法规及采购文件有关规定在有效投标人的综合得分由高到低进行排序（综合得分相同的，按投标报价由低到高进行排序；综合得分且投标报价相同的，由评标委员会抽签决定排序。），确定中标入围候选人数量，并向采购人推荐。</w:t>
      </w:r>
      <w:r>
        <w:rPr>
          <w:rFonts w:hint="eastAsia" w:ascii="宋体" w:hAnsi="宋体" w:eastAsia="宋体" w:cs="宋体"/>
          <w:b/>
          <w:bCs/>
          <w:color w:val="auto"/>
          <w:sz w:val="22"/>
          <w:u w:val="single"/>
        </w:rPr>
        <w:t>确定中标入围人的原则详见投标须知前附表的规定</w:t>
      </w:r>
      <w:r>
        <w:rPr>
          <w:rFonts w:hint="eastAsia" w:ascii="宋体" w:hAnsi="宋体" w:eastAsia="宋体" w:cs="宋体"/>
          <w:color w:val="auto"/>
          <w:sz w:val="22"/>
        </w:rPr>
        <w:t>。</w:t>
      </w:r>
    </w:p>
    <w:p w14:paraId="680CEA76">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19"/>
      <w:bookmarkEnd w:id="220"/>
    </w:p>
    <w:p w14:paraId="2A60F1C8">
      <w:pPr>
        <w:ind w:firstLine="440" w:firstLineChars="200"/>
        <w:rPr>
          <w:rFonts w:hint="eastAsia" w:ascii="宋体" w:hAnsi="宋体" w:eastAsia="宋体" w:cs="宋体"/>
          <w:color w:val="auto"/>
          <w:sz w:val="22"/>
        </w:rPr>
      </w:pPr>
      <w:r>
        <w:rPr>
          <w:rFonts w:hint="eastAsia" w:ascii="宋体" w:hAnsi="宋体" w:eastAsia="宋体" w:cs="宋体"/>
          <w:color w:val="auto"/>
          <w:sz w:val="22"/>
        </w:rPr>
        <w:t>评标结束后，采购人将在发布采购公告的网站上公示中标结果。中标公告期为3日，中标公告期限结束无异议的，采购人向中标人发出中标通知书。</w:t>
      </w:r>
    </w:p>
    <w:p w14:paraId="3DC9AC77">
      <w:pPr>
        <w:ind w:firstLine="440" w:firstLineChars="200"/>
        <w:rPr>
          <w:rFonts w:hint="eastAsia" w:ascii="宋体" w:hAnsi="宋体" w:eastAsia="宋体" w:cs="宋体"/>
          <w:sz w:val="22"/>
          <w:highlight w:val="none"/>
        </w:rPr>
      </w:pPr>
      <w:r>
        <w:rPr>
          <w:rFonts w:hint="eastAsia" w:ascii="宋体" w:hAnsi="宋体" w:eastAsia="宋体" w:cs="宋体"/>
          <w:color w:val="auto"/>
          <w:sz w:val="22"/>
        </w:rPr>
        <w:t>各投标人对评标结果如有异议，可在中标公告期内以书面形式向采购人进行署名投诉或提出质疑，但需对投诉或质疑内容的真实性承担法律责任</w:t>
      </w:r>
      <w:r>
        <w:rPr>
          <w:rFonts w:hint="eastAsia" w:ascii="宋体" w:hAnsi="宋体" w:eastAsia="宋体" w:cs="宋体"/>
          <w:sz w:val="22"/>
        </w:rPr>
        <w:t>。</w:t>
      </w:r>
    </w:p>
    <w:p w14:paraId="3F021477">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14:paraId="3F6B167A">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6229">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51AF56C3">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142A">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6">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7">
    <w:nsid w:val="5D327579"/>
    <w:multiLevelType w:val="singleLevel"/>
    <w:tmpl w:val="5D327579"/>
    <w:lvl w:ilvl="0" w:tentative="0">
      <w:start w:val="1"/>
      <w:numFmt w:val="decimal"/>
      <w:suff w:val="nothing"/>
      <w:lvlText w:val="%1、"/>
      <w:lvlJc w:val="left"/>
    </w:lvl>
  </w:abstractNum>
  <w:abstractNum w:abstractNumId="18">
    <w:nsid w:val="61C91FB3"/>
    <w:multiLevelType w:val="multilevel"/>
    <w:tmpl w:val="61C91FB3"/>
    <w:lvl w:ilvl="0" w:tentative="0">
      <w:start w:val="1"/>
      <w:numFmt w:val="decimal"/>
      <w:pStyle w:val="59"/>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6336BBCE"/>
    <w:multiLevelType w:val="singleLevel"/>
    <w:tmpl w:val="6336BBCE"/>
    <w:lvl w:ilvl="0" w:tentative="0">
      <w:start w:val="1"/>
      <w:numFmt w:val="chineseCounting"/>
      <w:suff w:val="nothing"/>
      <w:lvlText w:val="%1、"/>
      <w:lvlJc w:val="left"/>
    </w:lvl>
  </w:abstractNum>
  <w:abstractNum w:abstractNumId="20">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21"/>
  </w:num>
  <w:num w:numId="3">
    <w:abstractNumId w:val="4"/>
  </w:num>
  <w:num w:numId="4">
    <w:abstractNumId w:val="3"/>
  </w:num>
  <w:num w:numId="5">
    <w:abstractNumId w:val="6"/>
  </w:num>
  <w:num w:numId="6">
    <w:abstractNumId w:val="14"/>
  </w:num>
  <w:num w:numId="7">
    <w:abstractNumId w:val="11"/>
  </w:num>
  <w:num w:numId="8">
    <w:abstractNumId w:val="13"/>
  </w:num>
  <w:num w:numId="9">
    <w:abstractNumId w:val="22"/>
  </w:num>
  <w:num w:numId="10">
    <w:abstractNumId w:val="9"/>
  </w:num>
  <w:num w:numId="11">
    <w:abstractNumId w:val="10"/>
  </w:num>
  <w:num w:numId="12">
    <w:abstractNumId w:val="5"/>
  </w:num>
  <w:num w:numId="13">
    <w:abstractNumId w:val="1"/>
  </w:num>
  <w:num w:numId="14">
    <w:abstractNumId w:val="12"/>
  </w:num>
  <w:num w:numId="15">
    <w:abstractNumId w:val="7"/>
  </w:num>
  <w:num w:numId="16">
    <w:abstractNumId w:val="8"/>
  </w:num>
  <w:num w:numId="17">
    <w:abstractNumId w:val="15"/>
  </w:num>
  <w:num w:numId="18">
    <w:abstractNumId w:val="2"/>
  </w:num>
  <w:num w:numId="19">
    <w:abstractNumId w:val="0"/>
  </w:num>
  <w:num w:numId="20">
    <w:abstractNumId w:val="20"/>
  </w:num>
  <w:num w:numId="21">
    <w:abstractNumId w:val="19"/>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3BDE"/>
    <w:rsid w:val="000B78F9"/>
    <w:rsid w:val="000C1346"/>
    <w:rsid w:val="000D11D0"/>
    <w:rsid w:val="000E618F"/>
    <w:rsid w:val="001362B5"/>
    <w:rsid w:val="001722E2"/>
    <w:rsid w:val="001B5FCD"/>
    <w:rsid w:val="001C6521"/>
    <w:rsid w:val="001E6FC7"/>
    <w:rsid w:val="00224B63"/>
    <w:rsid w:val="00242376"/>
    <w:rsid w:val="0026550F"/>
    <w:rsid w:val="00293F84"/>
    <w:rsid w:val="002D3124"/>
    <w:rsid w:val="002F4EEF"/>
    <w:rsid w:val="003525B4"/>
    <w:rsid w:val="00367145"/>
    <w:rsid w:val="00371AB3"/>
    <w:rsid w:val="003A00F9"/>
    <w:rsid w:val="003B1312"/>
    <w:rsid w:val="00411F28"/>
    <w:rsid w:val="00421B87"/>
    <w:rsid w:val="00427082"/>
    <w:rsid w:val="0044502A"/>
    <w:rsid w:val="00450D7D"/>
    <w:rsid w:val="00451648"/>
    <w:rsid w:val="00451C63"/>
    <w:rsid w:val="004C0DAD"/>
    <w:rsid w:val="004C5425"/>
    <w:rsid w:val="004D7813"/>
    <w:rsid w:val="00553944"/>
    <w:rsid w:val="00561D6D"/>
    <w:rsid w:val="005B0A7C"/>
    <w:rsid w:val="005B7971"/>
    <w:rsid w:val="0060281D"/>
    <w:rsid w:val="00643E84"/>
    <w:rsid w:val="0064661C"/>
    <w:rsid w:val="006609C0"/>
    <w:rsid w:val="006947FE"/>
    <w:rsid w:val="006A31BD"/>
    <w:rsid w:val="006A6A05"/>
    <w:rsid w:val="006A7317"/>
    <w:rsid w:val="006C681A"/>
    <w:rsid w:val="006E7A33"/>
    <w:rsid w:val="006F47BA"/>
    <w:rsid w:val="00701640"/>
    <w:rsid w:val="00763F7B"/>
    <w:rsid w:val="007658FB"/>
    <w:rsid w:val="007A4CCF"/>
    <w:rsid w:val="007C268B"/>
    <w:rsid w:val="008029EA"/>
    <w:rsid w:val="00810666"/>
    <w:rsid w:val="00895C97"/>
    <w:rsid w:val="008B0C7F"/>
    <w:rsid w:val="008C23B2"/>
    <w:rsid w:val="009565A1"/>
    <w:rsid w:val="009603C0"/>
    <w:rsid w:val="00960815"/>
    <w:rsid w:val="00993496"/>
    <w:rsid w:val="00995E81"/>
    <w:rsid w:val="009B2DFA"/>
    <w:rsid w:val="009D2146"/>
    <w:rsid w:val="00AB610C"/>
    <w:rsid w:val="00AC4A5E"/>
    <w:rsid w:val="00AC4E1A"/>
    <w:rsid w:val="00B048F6"/>
    <w:rsid w:val="00B11B43"/>
    <w:rsid w:val="00B45D1F"/>
    <w:rsid w:val="00B5717E"/>
    <w:rsid w:val="00B626A3"/>
    <w:rsid w:val="00BB31F2"/>
    <w:rsid w:val="00BB3236"/>
    <w:rsid w:val="00BB5A01"/>
    <w:rsid w:val="00BF396E"/>
    <w:rsid w:val="00C13189"/>
    <w:rsid w:val="00C16302"/>
    <w:rsid w:val="00C175F6"/>
    <w:rsid w:val="00C33D7E"/>
    <w:rsid w:val="00C56301"/>
    <w:rsid w:val="00C946C8"/>
    <w:rsid w:val="00CA71C7"/>
    <w:rsid w:val="00CC659D"/>
    <w:rsid w:val="00CD6746"/>
    <w:rsid w:val="00CE34A0"/>
    <w:rsid w:val="00D32D61"/>
    <w:rsid w:val="00D4194F"/>
    <w:rsid w:val="00D90920"/>
    <w:rsid w:val="00DB322A"/>
    <w:rsid w:val="00DC5486"/>
    <w:rsid w:val="00DD5DF5"/>
    <w:rsid w:val="00DE3315"/>
    <w:rsid w:val="00E47644"/>
    <w:rsid w:val="00E6656A"/>
    <w:rsid w:val="00E931CA"/>
    <w:rsid w:val="00ED7B43"/>
    <w:rsid w:val="00EE64DB"/>
    <w:rsid w:val="00EF703B"/>
    <w:rsid w:val="00F03F37"/>
    <w:rsid w:val="00F213A8"/>
    <w:rsid w:val="00F56231"/>
    <w:rsid w:val="00F80823"/>
    <w:rsid w:val="00FC1656"/>
    <w:rsid w:val="01050DD1"/>
    <w:rsid w:val="011D0AED"/>
    <w:rsid w:val="01274FF8"/>
    <w:rsid w:val="014C4493"/>
    <w:rsid w:val="02167E2E"/>
    <w:rsid w:val="02197961"/>
    <w:rsid w:val="021C1D55"/>
    <w:rsid w:val="02944914"/>
    <w:rsid w:val="02D24484"/>
    <w:rsid w:val="02DF57A3"/>
    <w:rsid w:val="03211158"/>
    <w:rsid w:val="03366DBC"/>
    <w:rsid w:val="03836586"/>
    <w:rsid w:val="03EF1052"/>
    <w:rsid w:val="040A2A2B"/>
    <w:rsid w:val="04824617"/>
    <w:rsid w:val="04D83AD1"/>
    <w:rsid w:val="055022DD"/>
    <w:rsid w:val="057E621A"/>
    <w:rsid w:val="05BE4CB2"/>
    <w:rsid w:val="06AE5C02"/>
    <w:rsid w:val="06CE2EE3"/>
    <w:rsid w:val="078139DC"/>
    <w:rsid w:val="07B211EB"/>
    <w:rsid w:val="07E24FCA"/>
    <w:rsid w:val="07E27C7A"/>
    <w:rsid w:val="083557CE"/>
    <w:rsid w:val="091778FF"/>
    <w:rsid w:val="09177B1B"/>
    <w:rsid w:val="097C02F6"/>
    <w:rsid w:val="0990123E"/>
    <w:rsid w:val="09A75981"/>
    <w:rsid w:val="0A0C1598"/>
    <w:rsid w:val="0A0D1766"/>
    <w:rsid w:val="0A4D33DB"/>
    <w:rsid w:val="0A80447C"/>
    <w:rsid w:val="0AB15DFF"/>
    <w:rsid w:val="0B984BB0"/>
    <w:rsid w:val="0BD04BB3"/>
    <w:rsid w:val="0C222966"/>
    <w:rsid w:val="0C404D2E"/>
    <w:rsid w:val="0CAC58A9"/>
    <w:rsid w:val="0D0A276B"/>
    <w:rsid w:val="0D166094"/>
    <w:rsid w:val="0D2D73E9"/>
    <w:rsid w:val="0D4F3E54"/>
    <w:rsid w:val="0D860F93"/>
    <w:rsid w:val="0E0E0A00"/>
    <w:rsid w:val="0E2528AD"/>
    <w:rsid w:val="0E4C50C0"/>
    <w:rsid w:val="0F015427"/>
    <w:rsid w:val="0F181026"/>
    <w:rsid w:val="0F5F1B8F"/>
    <w:rsid w:val="0FA90764"/>
    <w:rsid w:val="0FBD70B2"/>
    <w:rsid w:val="0FEE2258"/>
    <w:rsid w:val="0FF178EE"/>
    <w:rsid w:val="10057D2D"/>
    <w:rsid w:val="1033462A"/>
    <w:rsid w:val="10553CBF"/>
    <w:rsid w:val="105B53C5"/>
    <w:rsid w:val="10AC216A"/>
    <w:rsid w:val="10DC4179"/>
    <w:rsid w:val="10E74FC8"/>
    <w:rsid w:val="11837AE7"/>
    <w:rsid w:val="11B5192B"/>
    <w:rsid w:val="12132094"/>
    <w:rsid w:val="1233379C"/>
    <w:rsid w:val="12612D42"/>
    <w:rsid w:val="12D60804"/>
    <w:rsid w:val="12FA5CC9"/>
    <w:rsid w:val="13193720"/>
    <w:rsid w:val="131F731B"/>
    <w:rsid w:val="13855179"/>
    <w:rsid w:val="14250C9D"/>
    <w:rsid w:val="14362C14"/>
    <w:rsid w:val="144607CD"/>
    <w:rsid w:val="14532C1A"/>
    <w:rsid w:val="14E775D9"/>
    <w:rsid w:val="154D045C"/>
    <w:rsid w:val="158F0058"/>
    <w:rsid w:val="159F3468"/>
    <w:rsid w:val="161636D3"/>
    <w:rsid w:val="16371AE2"/>
    <w:rsid w:val="16F0162C"/>
    <w:rsid w:val="17204078"/>
    <w:rsid w:val="175D20E7"/>
    <w:rsid w:val="1777230E"/>
    <w:rsid w:val="17951D53"/>
    <w:rsid w:val="17F42F7B"/>
    <w:rsid w:val="18032530"/>
    <w:rsid w:val="1833336E"/>
    <w:rsid w:val="18440CDE"/>
    <w:rsid w:val="194873ED"/>
    <w:rsid w:val="194A795A"/>
    <w:rsid w:val="195C04C4"/>
    <w:rsid w:val="196F67D9"/>
    <w:rsid w:val="197868BE"/>
    <w:rsid w:val="19BB06CF"/>
    <w:rsid w:val="1A19705E"/>
    <w:rsid w:val="1A831E6C"/>
    <w:rsid w:val="1A832753"/>
    <w:rsid w:val="1AA84175"/>
    <w:rsid w:val="1AB7139C"/>
    <w:rsid w:val="1B406140"/>
    <w:rsid w:val="1B55070F"/>
    <w:rsid w:val="1BAB4386"/>
    <w:rsid w:val="1BCC3D8C"/>
    <w:rsid w:val="1C1A3373"/>
    <w:rsid w:val="1C200774"/>
    <w:rsid w:val="1C74219B"/>
    <w:rsid w:val="1C8F3C79"/>
    <w:rsid w:val="1CA9457D"/>
    <w:rsid w:val="1CC47E3D"/>
    <w:rsid w:val="1CFE561E"/>
    <w:rsid w:val="1D132BED"/>
    <w:rsid w:val="1D505608"/>
    <w:rsid w:val="1EED2144"/>
    <w:rsid w:val="1F6F32E2"/>
    <w:rsid w:val="1FD33B2E"/>
    <w:rsid w:val="201179B6"/>
    <w:rsid w:val="20400917"/>
    <w:rsid w:val="204E5122"/>
    <w:rsid w:val="20525F7C"/>
    <w:rsid w:val="20A255F0"/>
    <w:rsid w:val="20E12C42"/>
    <w:rsid w:val="211D2FFF"/>
    <w:rsid w:val="2187489E"/>
    <w:rsid w:val="221107BD"/>
    <w:rsid w:val="22AE0075"/>
    <w:rsid w:val="22D25589"/>
    <w:rsid w:val="22D83A93"/>
    <w:rsid w:val="23701F89"/>
    <w:rsid w:val="23E20B30"/>
    <w:rsid w:val="242D4E69"/>
    <w:rsid w:val="24497D13"/>
    <w:rsid w:val="25012D45"/>
    <w:rsid w:val="253B607A"/>
    <w:rsid w:val="25722EEF"/>
    <w:rsid w:val="25887673"/>
    <w:rsid w:val="2589495C"/>
    <w:rsid w:val="25A10903"/>
    <w:rsid w:val="25D1643E"/>
    <w:rsid w:val="2610216E"/>
    <w:rsid w:val="262113C9"/>
    <w:rsid w:val="26411586"/>
    <w:rsid w:val="267E7AA6"/>
    <w:rsid w:val="26CE7BDC"/>
    <w:rsid w:val="27025B40"/>
    <w:rsid w:val="270F29F5"/>
    <w:rsid w:val="2710044B"/>
    <w:rsid w:val="27322093"/>
    <w:rsid w:val="276649E8"/>
    <w:rsid w:val="276C31C2"/>
    <w:rsid w:val="27761B43"/>
    <w:rsid w:val="279F44FE"/>
    <w:rsid w:val="27A0246B"/>
    <w:rsid w:val="27A25135"/>
    <w:rsid w:val="27A92032"/>
    <w:rsid w:val="27CB4942"/>
    <w:rsid w:val="292170A7"/>
    <w:rsid w:val="2939535D"/>
    <w:rsid w:val="297B7724"/>
    <w:rsid w:val="2A0F2878"/>
    <w:rsid w:val="2A4F3B9E"/>
    <w:rsid w:val="2A5735B5"/>
    <w:rsid w:val="2A5D30E7"/>
    <w:rsid w:val="2A822135"/>
    <w:rsid w:val="2AD2594C"/>
    <w:rsid w:val="2B291D79"/>
    <w:rsid w:val="2BAE17FF"/>
    <w:rsid w:val="2BE91F37"/>
    <w:rsid w:val="2BEC2B5B"/>
    <w:rsid w:val="2BEC74F3"/>
    <w:rsid w:val="2CF325E7"/>
    <w:rsid w:val="2CFC12F4"/>
    <w:rsid w:val="2D473ED9"/>
    <w:rsid w:val="2D773EA6"/>
    <w:rsid w:val="2D8C35AC"/>
    <w:rsid w:val="2D8D700C"/>
    <w:rsid w:val="2DE46FCA"/>
    <w:rsid w:val="2E6433AC"/>
    <w:rsid w:val="2EAE08C1"/>
    <w:rsid w:val="2F922452"/>
    <w:rsid w:val="2FD52688"/>
    <w:rsid w:val="2FD76B14"/>
    <w:rsid w:val="2FEF547F"/>
    <w:rsid w:val="303B76F3"/>
    <w:rsid w:val="30856178"/>
    <w:rsid w:val="30EA3383"/>
    <w:rsid w:val="31724B56"/>
    <w:rsid w:val="31A37AA5"/>
    <w:rsid w:val="31EF7474"/>
    <w:rsid w:val="31F26504"/>
    <w:rsid w:val="32330741"/>
    <w:rsid w:val="32970ED6"/>
    <w:rsid w:val="3382177E"/>
    <w:rsid w:val="338E169D"/>
    <w:rsid w:val="3398092F"/>
    <w:rsid w:val="33B87E44"/>
    <w:rsid w:val="341A30EC"/>
    <w:rsid w:val="342662C1"/>
    <w:rsid w:val="34325E16"/>
    <w:rsid w:val="34402E73"/>
    <w:rsid w:val="34870358"/>
    <w:rsid w:val="34CE4C2F"/>
    <w:rsid w:val="350C2877"/>
    <w:rsid w:val="351B2ACD"/>
    <w:rsid w:val="359F4FBF"/>
    <w:rsid w:val="360664CB"/>
    <w:rsid w:val="367A561E"/>
    <w:rsid w:val="36B227C1"/>
    <w:rsid w:val="36EE4DAA"/>
    <w:rsid w:val="36FD1B31"/>
    <w:rsid w:val="370E5AB9"/>
    <w:rsid w:val="37177D7E"/>
    <w:rsid w:val="37321422"/>
    <w:rsid w:val="373B5261"/>
    <w:rsid w:val="376744CD"/>
    <w:rsid w:val="37A07DF4"/>
    <w:rsid w:val="37CD6D9B"/>
    <w:rsid w:val="37E40B2B"/>
    <w:rsid w:val="381F005C"/>
    <w:rsid w:val="382B4F9A"/>
    <w:rsid w:val="38762798"/>
    <w:rsid w:val="3879381B"/>
    <w:rsid w:val="38A27523"/>
    <w:rsid w:val="38C559F5"/>
    <w:rsid w:val="394669D6"/>
    <w:rsid w:val="39644506"/>
    <w:rsid w:val="396E7463"/>
    <w:rsid w:val="397702BB"/>
    <w:rsid w:val="3A3B0A05"/>
    <w:rsid w:val="3A952B0A"/>
    <w:rsid w:val="3AFE4CD3"/>
    <w:rsid w:val="3B274F84"/>
    <w:rsid w:val="3B665F58"/>
    <w:rsid w:val="3BAF5709"/>
    <w:rsid w:val="3BE0412D"/>
    <w:rsid w:val="3C294FC1"/>
    <w:rsid w:val="3C4E0CF1"/>
    <w:rsid w:val="3D4C5F1D"/>
    <w:rsid w:val="3D602EC0"/>
    <w:rsid w:val="3D690C41"/>
    <w:rsid w:val="3D6B3046"/>
    <w:rsid w:val="3D9F2DFF"/>
    <w:rsid w:val="3DAB00F5"/>
    <w:rsid w:val="3E0366D8"/>
    <w:rsid w:val="3E3060C3"/>
    <w:rsid w:val="3E651782"/>
    <w:rsid w:val="3E8E785C"/>
    <w:rsid w:val="3E98448F"/>
    <w:rsid w:val="3ECA4190"/>
    <w:rsid w:val="3F2A0CE7"/>
    <w:rsid w:val="3F534796"/>
    <w:rsid w:val="3F785467"/>
    <w:rsid w:val="400A66DC"/>
    <w:rsid w:val="40224F8B"/>
    <w:rsid w:val="407E4FC9"/>
    <w:rsid w:val="40BB7B8F"/>
    <w:rsid w:val="40C867A4"/>
    <w:rsid w:val="41261373"/>
    <w:rsid w:val="41E16035"/>
    <w:rsid w:val="425618E5"/>
    <w:rsid w:val="42B025C8"/>
    <w:rsid w:val="43025652"/>
    <w:rsid w:val="43255009"/>
    <w:rsid w:val="433E574E"/>
    <w:rsid w:val="43523E67"/>
    <w:rsid w:val="435C06CE"/>
    <w:rsid w:val="436822EB"/>
    <w:rsid w:val="437E3540"/>
    <w:rsid w:val="43E2309D"/>
    <w:rsid w:val="43FD01BA"/>
    <w:rsid w:val="44697B1C"/>
    <w:rsid w:val="449B38F5"/>
    <w:rsid w:val="4513485D"/>
    <w:rsid w:val="457703BB"/>
    <w:rsid w:val="45F33AA2"/>
    <w:rsid w:val="4631487B"/>
    <w:rsid w:val="465B19C6"/>
    <w:rsid w:val="46D87095"/>
    <w:rsid w:val="46F359A1"/>
    <w:rsid w:val="473863AA"/>
    <w:rsid w:val="476A5291"/>
    <w:rsid w:val="47B26204"/>
    <w:rsid w:val="47CF2F88"/>
    <w:rsid w:val="486B260B"/>
    <w:rsid w:val="48C31447"/>
    <w:rsid w:val="494814D0"/>
    <w:rsid w:val="49637556"/>
    <w:rsid w:val="497579EF"/>
    <w:rsid w:val="499015D2"/>
    <w:rsid w:val="49B7682C"/>
    <w:rsid w:val="49EB34D3"/>
    <w:rsid w:val="49ED53A8"/>
    <w:rsid w:val="4A613619"/>
    <w:rsid w:val="4A6142EA"/>
    <w:rsid w:val="4A7C50FD"/>
    <w:rsid w:val="4A803F91"/>
    <w:rsid w:val="4A9443A2"/>
    <w:rsid w:val="4AC13D8B"/>
    <w:rsid w:val="4AFC2447"/>
    <w:rsid w:val="4B9C0783"/>
    <w:rsid w:val="4B9C5A94"/>
    <w:rsid w:val="4BC573A8"/>
    <w:rsid w:val="4BD106A4"/>
    <w:rsid w:val="4C1C3E43"/>
    <w:rsid w:val="4C6C4534"/>
    <w:rsid w:val="4CBD124A"/>
    <w:rsid w:val="4CF71B02"/>
    <w:rsid w:val="4D064303"/>
    <w:rsid w:val="4E3626F1"/>
    <w:rsid w:val="4E400F51"/>
    <w:rsid w:val="4ECB70F3"/>
    <w:rsid w:val="4F5D3335"/>
    <w:rsid w:val="4F6164F5"/>
    <w:rsid w:val="4FA97952"/>
    <w:rsid w:val="4FC92F74"/>
    <w:rsid w:val="506F4E1E"/>
    <w:rsid w:val="50A2598A"/>
    <w:rsid w:val="510324AE"/>
    <w:rsid w:val="51E92D35"/>
    <w:rsid w:val="51F35615"/>
    <w:rsid w:val="52670F00"/>
    <w:rsid w:val="529828E1"/>
    <w:rsid w:val="529C2E16"/>
    <w:rsid w:val="52A41E47"/>
    <w:rsid w:val="53212A24"/>
    <w:rsid w:val="532E13BE"/>
    <w:rsid w:val="53476745"/>
    <w:rsid w:val="53F44CB7"/>
    <w:rsid w:val="540E20B0"/>
    <w:rsid w:val="54187DF2"/>
    <w:rsid w:val="542670CE"/>
    <w:rsid w:val="54504666"/>
    <w:rsid w:val="54BA5D49"/>
    <w:rsid w:val="54FB77E7"/>
    <w:rsid w:val="55482FE4"/>
    <w:rsid w:val="55741F80"/>
    <w:rsid w:val="55D40B98"/>
    <w:rsid w:val="55E536AF"/>
    <w:rsid w:val="560243B3"/>
    <w:rsid w:val="561127FF"/>
    <w:rsid w:val="562D645A"/>
    <w:rsid w:val="56BC54AA"/>
    <w:rsid w:val="56F02839"/>
    <w:rsid w:val="574A0176"/>
    <w:rsid w:val="57784CE1"/>
    <w:rsid w:val="57845F12"/>
    <w:rsid w:val="57D44328"/>
    <w:rsid w:val="585D5833"/>
    <w:rsid w:val="58A514A0"/>
    <w:rsid w:val="58D20B4F"/>
    <w:rsid w:val="58ED7447"/>
    <w:rsid w:val="59610CE5"/>
    <w:rsid w:val="59675039"/>
    <w:rsid w:val="599E3DD5"/>
    <w:rsid w:val="59AB1A66"/>
    <w:rsid w:val="59B33345"/>
    <w:rsid w:val="5A10384E"/>
    <w:rsid w:val="5A431DCD"/>
    <w:rsid w:val="5A59012C"/>
    <w:rsid w:val="5A7C484C"/>
    <w:rsid w:val="5AD5503F"/>
    <w:rsid w:val="5AEC1F37"/>
    <w:rsid w:val="5B305168"/>
    <w:rsid w:val="5B653D13"/>
    <w:rsid w:val="5BB950AD"/>
    <w:rsid w:val="5BD330F7"/>
    <w:rsid w:val="5C4B3F59"/>
    <w:rsid w:val="5C510905"/>
    <w:rsid w:val="5C6250D5"/>
    <w:rsid w:val="5D01173C"/>
    <w:rsid w:val="5D1C7AB0"/>
    <w:rsid w:val="5D317F73"/>
    <w:rsid w:val="5D5940AE"/>
    <w:rsid w:val="5D84417A"/>
    <w:rsid w:val="5DC153D7"/>
    <w:rsid w:val="5E3507C2"/>
    <w:rsid w:val="5E3B41ED"/>
    <w:rsid w:val="5E525F9E"/>
    <w:rsid w:val="5F99219D"/>
    <w:rsid w:val="5FE25EFA"/>
    <w:rsid w:val="6012282E"/>
    <w:rsid w:val="6094575A"/>
    <w:rsid w:val="60AB6EDD"/>
    <w:rsid w:val="60B17F46"/>
    <w:rsid w:val="6110713E"/>
    <w:rsid w:val="61E66498"/>
    <w:rsid w:val="62477447"/>
    <w:rsid w:val="62686B36"/>
    <w:rsid w:val="62825746"/>
    <w:rsid w:val="63007260"/>
    <w:rsid w:val="63160A12"/>
    <w:rsid w:val="6387366D"/>
    <w:rsid w:val="638F5573"/>
    <w:rsid w:val="63E4074B"/>
    <w:rsid w:val="63F2448D"/>
    <w:rsid w:val="641D786A"/>
    <w:rsid w:val="65172004"/>
    <w:rsid w:val="65AE6E94"/>
    <w:rsid w:val="65D10845"/>
    <w:rsid w:val="65F9165C"/>
    <w:rsid w:val="66264901"/>
    <w:rsid w:val="665453E1"/>
    <w:rsid w:val="66951383"/>
    <w:rsid w:val="66C57899"/>
    <w:rsid w:val="66C87228"/>
    <w:rsid w:val="66FA57C5"/>
    <w:rsid w:val="674A15DC"/>
    <w:rsid w:val="683424D2"/>
    <w:rsid w:val="684A741D"/>
    <w:rsid w:val="684A7DB3"/>
    <w:rsid w:val="68B41D2F"/>
    <w:rsid w:val="68BA687B"/>
    <w:rsid w:val="68BD0A98"/>
    <w:rsid w:val="68FE51D1"/>
    <w:rsid w:val="69085B72"/>
    <w:rsid w:val="69577E2F"/>
    <w:rsid w:val="69CA14CB"/>
    <w:rsid w:val="69F04C89"/>
    <w:rsid w:val="6A4F3A57"/>
    <w:rsid w:val="6A6E2984"/>
    <w:rsid w:val="6AA27AAC"/>
    <w:rsid w:val="6B253BC7"/>
    <w:rsid w:val="6B776FCE"/>
    <w:rsid w:val="6B900048"/>
    <w:rsid w:val="6B924AC0"/>
    <w:rsid w:val="6BD32866"/>
    <w:rsid w:val="6BE14F0E"/>
    <w:rsid w:val="6C00528B"/>
    <w:rsid w:val="6C5D5B58"/>
    <w:rsid w:val="6C5F5B1E"/>
    <w:rsid w:val="6C6E222D"/>
    <w:rsid w:val="6C6E57C2"/>
    <w:rsid w:val="6C8B0282"/>
    <w:rsid w:val="6CEE2778"/>
    <w:rsid w:val="6D0C1B1C"/>
    <w:rsid w:val="6D8049B5"/>
    <w:rsid w:val="6D8F4B19"/>
    <w:rsid w:val="6DA1559B"/>
    <w:rsid w:val="6DEC77D0"/>
    <w:rsid w:val="6E0747E4"/>
    <w:rsid w:val="6F344E0E"/>
    <w:rsid w:val="6F551753"/>
    <w:rsid w:val="6F8E604A"/>
    <w:rsid w:val="6F9371EB"/>
    <w:rsid w:val="6F9E68AE"/>
    <w:rsid w:val="6FB16D04"/>
    <w:rsid w:val="6FC97F5A"/>
    <w:rsid w:val="6FDB3E77"/>
    <w:rsid w:val="6FF7E813"/>
    <w:rsid w:val="70091876"/>
    <w:rsid w:val="70223C79"/>
    <w:rsid w:val="70BE3A2F"/>
    <w:rsid w:val="70E5412C"/>
    <w:rsid w:val="71043D74"/>
    <w:rsid w:val="715218B4"/>
    <w:rsid w:val="71746CAB"/>
    <w:rsid w:val="717604C9"/>
    <w:rsid w:val="719C5A25"/>
    <w:rsid w:val="71A26702"/>
    <w:rsid w:val="71C47077"/>
    <w:rsid w:val="71DA30A4"/>
    <w:rsid w:val="71FC588F"/>
    <w:rsid w:val="72223A16"/>
    <w:rsid w:val="72245523"/>
    <w:rsid w:val="726E1CDF"/>
    <w:rsid w:val="72B91084"/>
    <w:rsid w:val="72BB0AD8"/>
    <w:rsid w:val="72D82EF8"/>
    <w:rsid w:val="73126DD8"/>
    <w:rsid w:val="739A71DD"/>
    <w:rsid w:val="74047F8F"/>
    <w:rsid w:val="741A2023"/>
    <w:rsid w:val="7465193A"/>
    <w:rsid w:val="747E68DD"/>
    <w:rsid w:val="7496133F"/>
    <w:rsid w:val="75490ACD"/>
    <w:rsid w:val="756F76B9"/>
    <w:rsid w:val="759E0068"/>
    <w:rsid w:val="75BE5C74"/>
    <w:rsid w:val="75D463C2"/>
    <w:rsid w:val="76110A91"/>
    <w:rsid w:val="7649793B"/>
    <w:rsid w:val="76B7345E"/>
    <w:rsid w:val="77AD0A02"/>
    <w:rsid w:val="77DA00A3"/>
    <w:rsid w:val="77F01D4E"/>
    <w:rsid w:val="7835150D"/>
    <w:rsid w:val="78A35E38"/>
    <w:rsid w:val="78DC63A2"/>
    <w:rsid w:val="78F1468E"/>
    <w:rsid w:val="792716D1"/>
    <w:rsid w:val="79F57DFF"/>
    <w:rsid w:val="7A1537CD"/>
    <w:rsid w:val="7A3D153B"/>
    <w:rsid w:val="7A97671A"/>
    <w:rsid w:val="7A9D283A"/>
    <w:rsid w:val="7AEE600D"/>
    <w:rsid w:val="7AEE79C2"/>
    <w:rsid w:val="7B18470E"/>
    <w:rsid w:val="7B21616F"/>
    <w:rsid w:val="7B4C4049"/>
    <w:rsid w:val="7C3C6D3B"/>
    <w:rsid w:val="7C66113B"/>
    <w:rsid w:val="7D6D1629"/>
    <w:rsid w:val="7DE9162E"/>
    <w:rsid w:val="7E2B2601"/>
    <w:rsid w:val="7E361CA4"/>
    <w:rsid w:val="7E6F0C8B"/>
    <w:rsid w:val="7EA44C35"/>
    <w:rsid w:val="7EB04C6F"/>
    <w:rsid w:val="7F055BF1"/>
    <w:rsid w:val="7F0A5FAD"/>
    <w:rsid w:val="7F3F6DE4"/>
    <w:rsid w:val="7F416A9F"/>
    <w:rsid w:val="7F8A3445"/>
    <w:rsid w:val="7F8F268D"/>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6" w:lineRule="auto"/>
      <w:outlineLvl w:val="4"/>
    </w:pPr>
    <w:rPr>
      <w:b/>
      <w:bCs/>
      <w:sz w:val="28"/>
      <w:szCs w:val="28"/>
    </w:rPr>
  </w:style>
  <w:style w:type="paragraph" w:styleId="10">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11">
    <w:name w:val="Normal Indent"/>
    <w:basedOn w:val="1"/>
    <w:qFormat/>
    <w:uiPriority w:val="0"/>
    <w:pPr>
      <w:adjustRightInd w:val="0"/>
      <w:spacing w:line="312" w:lineRule="atLeast"/>
      <w:ind w:firstLine="420"/>
      <w:textAlignment w:val="baseline"/>
    </w:pPr>
    <w:rPr>
      <w:rFonts w:eastAsia="Wingdings" w:cs="Arial"/>
    </w:rPr>
  </w:style>
  <w:style w:type="paragraph" w:styleId="12">
    <w:name w:val="annotation text"/>
    <w:basedOn w:val="1"/>
    <w:link w:val="40"/>
    <w:qFormat/>
    <w:uiPriority w:val="0"/>
    <w:pPr>
      <w:jc w:val="left"/>
    </w:pPr>
  </w:style>
  <w:style w:type="paragraph" w:styleId="13">
    <w:name w:val="Body Text Indent"/>
    <w:basedOn w:val="1"/>
    <w:next w:val="1"/>
    <w:qFormat/>
    <w:uiPriority w:val="0"/>
    <w:pPr>
      <w:ind w:left="480" w:hanging="480" w:hangingChars="200"/>
    </w:pPr>
    <w:rPr>
      <w:sz w:val="24"/>
    </w:rPr>
  </w:style>
  <w:style w:type="paragraph" w:styleId="14">
    <w:name w:val="Block Text"/>
    <w:basedOn w:val="1"/>
    <w:qFormat/>
    <w:uiPriority w:val="0"/>
    <w:pPr>
      <w:spacing w:line="572" w:lineRule="exact"/>
      <w:ind w:left="1264" w:leftChars="100" w:right="316" w:hanging="948" w:hangingChars="300"/>
    </w:pPr>
    <w:rPr>
      <w:rFonts w:ascii="Times New Roman" w:hAnsi="Times New Roman" w:eastAsia="仿宋_GB2312"/>
      <w:snapToGrid w:val="0"/>
      <w:sz w:val="32"/>
      <w:szCs w:val="20"/>
    </w:rPr>
  </w:style>
  <w:style w:type="paragraph" w:styleId="15">
    <w:name w:val="Plain Text"/>
    <w:basedOn w:val="1"/>
    <w:next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6">
    <w:name w:val="Date"/>
    <w:basedOn w:val="1"/>
    <w:next w:val="1"/>
    <w:qFormat/>
    <w:uiPriority w:val="0"/>
    <w:pPr>
      <w:ind w:left="100" w:leftChars="2500"/>
    </w:pPr>
    <w:rPr>
      <w:rFonts w:ascii="Times New Roman" w:hAnsi="Times New Roman"/>
    </w:rPr>
  </w:style>
  <w:style w:type="paragraph" w:styleId="17">
    <w:name w:val="Body Text Indent 2"/>
    <w:basedOn w:val="1"/>
    <w:qFormat/>
    <w:uiPriority w:val="0"/>
    <w:pPr>
      <w:ind w:firstLine="568" w:firstLineChars="203"/>
    </w:pPr>
    <w:rPr>
      <w:rFonts w:ascii="宋体" w:hAnsi="宋体"/>
      <w:sz w:val="28"/>
    </w:rPr>
  </w:style>
  <w:style w:type="paragraph" w:styleId="18">
    <w:name w:val="Balloon Text"/>
    <w:basedOn w:val="1"/>
    <w:link w:val="67"/>
    <w:qFormat/>
    <w:uiPriority w:val="0"/>
    <w:rPr>
      <w:sz w:val="18"/>
      <w:szCs w:val="18"/>
    </w:rPr>
  </w:style>
  <w:style w:type="paragraph" w:styleId="19">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1">
    <w:name w:val="toc 1"/>
    <w:basedOn w:val="1"/>
    <w:next w:val="1"/>
    <w:qFormat/>
    <w:uiPriority w:val="39"/>
    <w:pPr>
      <w:tabs>
        <w:tab w:val="right" w:leader="dot" w:pos="9660"/>
      </w:tabs>
      <w:spacing w:line="480" w:lineRule="auto"/>
    </w:pPr>
  </w:style>
  <w:style w:type="paragraph" w:styleId="22">
    <w:name w:val="toc 4"/>
    <w:basedOn w:val="1"/>
    <w:next w:val="1"/>
    <w:qFormat/>
    <w:uiPriority w:val="0"/>
    <w:pPr>
      <w:wordWrap w:val="0"/>
      <w:ind w:left="850"/>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39"/>
    <w:pPr>
      <w:ind w:left="420" w:leftChars="200"/>
    </w:pPr>
    <w:rPr>
      <w:rFonts w:ascii="Times New Roman" w:hAnsi="Times New Roman"/>
    </w:rPr>
  </w:style>
  <w:style w:type="paragraph" w:styleId="25">
    <w:name w:val="Normal (Web)"/>
    <w:basedOn w:val="1"/>
    <w:qFormat/>
    <w:uiPriority w:val="0"/>
    <w:pPr>
      <w:spacing w:after="210"/>
      <w:jc w:val="left"/>
    </w:pPr>
    <w:rPr>
      <w:kern w:val="0"/>
      <w:sz w:val="24"/>
    </w:rPr>
  </w:style>
  <w:style w:type="paragraph" w:styleId="26">
    <w:name w:val="annotation subject"/>
    <w:basedOn w:val="12"/>
    <w:next w:val="12"/>
    <w:link w:val="41"/>
    <w:qFormat/>
    <w:uiPriority w:val="0"/>
    <w:rPr>
      <w:b/>
      <w:bCs/>
    </w:rPr>
  </w:style>
  <w:style w:type="paragraph" w:styleId="27">
    <w:name w:val="Body Text First Indent 2"/>
    <w:basedOn w:val="13"/>
    <w:qFormat/>
    <w:uiPriority w:val="99"/>
    <w:pPr>
      <w:ind w:firstLine="420" w:firstLineChars="200"/>
    </w:p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FollowedHyperlink"/>
    <w:basedOn w:val="30"/>
    <w:qFormat/>
    <w:uiPriority w:val="0"/>
    <w:rPr>
      <w:color w:val="1890FF"/>
      <w:u w:val="none"/>
    </w:rPr>
  </w:style>
  <w:style w:type="character" w:styleId="33">
    <w:name w:val="HTML Definition"/>
    <w:basedOn w:val="30"/>
    <w:qFormat/>
    <w:uiPriority w:val="0"/>
    <w:rPr>
      <w:i/>
      <w:iCs/>
    </w:rPr>
  </w:style>
  <w:style w:type="character" w:styleId="34">
    <w:name w:val="Hyperlink"/>
    <w:qFormat/>
    <w:uiPriority w:val="99"/>
    <w:rPr>
      <w:color w:val="0000FF"/>
      <w:u w:val="single"/>
    </w:rPr>
  </w:style>
  <w:style w:type="character" w:styleId="35">
    <w:name w:val="HTML Code"/>
    <w:basedOn w:val="30"/>
    <w:qFormat/>
    <w:uiPriority w:val="0"/>
    <w:rPr>
      <w:rFonts w:ascii="Consolas" w:hAnsi="Consolas" w:eastAsia="Consolas" w:cs="Consolas"/>
      <w:sz w:val="21"/>
      <w:szCs w:val="21"/>
    </w:rPr>
  </w:style>
  <w:style w:type="character" w:styleId="36">
    <w:name w:val="annotation reference"/>
    <w:basedOn w:val="30"/>
    <w:qFormat/>
    <w:uiPriority w:val="0"/>
    <w:rPr>
      <w:sz w:val="21"/>
      <w:szCs w:val="21"/>
    </w:rPr>
  </w:style>
  <w:style w:type="character" w:styleId="37">
    <w:name w:val="HTML Keyboard"/>
    <w:basedOn w:val="30"/>
    <w:qFormat/>
    <w:uiPriority w:val="0"/>
    <w:rPr>
      <w:rFonts w:hint="default" w:ascii="Consolas" w:hAnsi="Consolas" w:eastAsia="Consolas" w:cs="Consolas"/>
      <w:sz w:val="21"/>
      <w:szCs w:val="21"/>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批注文字 字符"/>
    <w:basedOn w:val="30"/>
    <w:link w:val="12"/>
    <w:qFormat/>
    <w:uiPriority w:val="0"/>
    <w:rPr>
      <w:rFonts w:ascii="等线" w:hAnsi="等线" w:eastAsia="等线"/>
      <w:kern w:val="2"/>
      <w:sz w:val="21"/>
      <w:szCs w:val="22"/>
    </w:rPr>
  </w:style>
  <w:style w:type="character" w:customStyle="1" w:styleId="41">
    <w:name w:val="批注主题 字符"/>
    <w:basedOn w:val="40"/>
    <w:link w:val="26"/>
    <w:qFormat/>
    <w:uiPriority w:val="0"/>
    <w:rPr>
      <w:rFonts w:ascii="等线" w:hAnsi="等线" w:eastAsia="等线"/>
      <w:b/>
      <w:bCs/>
      <w:kern w:val="2"/>
      <w:sz w:val="21"/>
      <w:szCs w:val="22"/>
    </w:rPr>
  </w:style>
  <w:style w:type="character" w:customStyle="1" w:styleId="42">
    <w:name w:val="user-acct"/>
    <w:basedOn w:val="30"/>
    <w:qFormat/>
    <w:uiPriority w:val="0"/>
    <w:rPr>
      <w:color w:val="7C7070"/>
    </w:rPr>
  </w:style>
  <w:style w:type="character" w:customStyle="1" w:styleId="43">
    <w:name w:val="hover12"/>
    <w:basedOn w:val="30"/>
    <w:qFormat/>
    <w:uiPriority w:val="0"/>
  </w:style>
  <w:style w:type="character" w:customStyle="1" w:styleId="44">
    <w:name w:val="current"/>
    <w:basedOn w:val="30"/>
    <w:qFormat/>
    <w:uiPriority w:val="0"/>
    <w:rPr>
      <w:color w:val="00C1DE"/>
    </w:rPr>
  </w:style>
  <w:style w:type="character" w:customStyle="1" w:styleId="45">
    <w:name w:val="current1"/>
    <w:basedOn w:val="30"/>
    <w:qFormat/>
    <w:uiPriority w:val="0"/>
    <w:rPr>
      <w:color w:val="00C1DE"/>
    </w:rPr>
  </w:style>
  <w:style w:type="character" w:customStyle="1" w:styleId="46">
    <w:name w:val="selected"/>
    <w:basedOn w:val="30"/>
    <w:qFormat/>
    <w:uiPriority w:val="0"/>
    <w:rPr>
      <w:color w:val="1C81FE"/>
    </w:rPr>
  </w:style>
  <w:style w:type="character" w:customStyle="1" w:styleId="47">
    <w:name w:val="selected1"/>
    <w:basedOn w:val="30"/>
    <w:qFormat/>
    <w:uiPriority w:val="0"/>
    <w:rPr>
      <w:color w:val="1C81FE"/>
    </w:rPr>
  </w:style>
  <w:style w:type="character" w:customStyle="1" w:styleId="48">
    <w:name w:val="desc"/>
    <w:basedOn w:val="30"/>
    <w:qFormat/>
    <w:uiPriority w:val="0"/>
    <w:rPr>
      <w:b/>
      <w:bCs/>
      <w:color w:val="404040"/>
    </w:rPr>
  </w:style>
  <w:style w:type="character" w:customStyle="1" w:styleId="49">
    <w:name w:val="desc1"/>
    <w:basedOn w:val="30"/>
    <w:qFormat/>
    <w:uiPriority w:val="0"/>
    <w:rPr>
      <w:b/>
      <w:bCs/>
      <w:color w:val="404040"/>
    </w:rPr>
  </w:style>
  <w:style w:type="character" w:customStyle="1" w:styleId="50">
    <w:name w:val="helper"/>
    <w:basedOn w:val="30"/>
    <w:qFormat/>
    <w:uiPriority w:val="0"/>
    <w:rPr>
      <w:b/>
      <w:bCs/>
      <w:color w:val="404040"/>
      <w:sz w:val="38"/>
      <w:szCs w:val="38"/>
    </w:rPr>
  </w:style>
  <w:style w:type="character" w:customStyle="1" w:styleId="51">
    <w:name w:val="icon6"/>
    <w:basedOn w:val="30"/>
    <w:qFormat/>
    <w:uiPriority w:val="0"/>
  </w:style>
  <w:style w:type="character" w:customStyle="1" w:styleId="52">
    <w:name w:val="ant-typography-ellipsis"/>
    <w:basedOn w:val="30"/>
    <w:qFormat/>
    <w:uiPriority w:val="0"/>
  </w:style>
  <w:style w:type="character" w:customStyle="1" w:styleId="53">
    <w:name w:val="ant-radio+*"/>
    <w:basedOn w:val="30"/>
    <w:qFormat/>
    <w:uiPriority w:val="0"/>
  </w:style>
  <w:style w:type="character" w:customStyle="1" w:styleId="54">
    <w:name w:val="content72"/>
    <w:basedOn w:val="30"/>
    <w:qFormat/>
    <w:uiPriority w:val="0"/>
    <w:rPr>
      <w:color w:val="7C7070"/>
      <w:sz w:val="14"/>
      <w:szCs w:val="14"/>
    </w:rPr>
  </w:style>
  <w:style w:type="character" w:customStyle="1" w:styleId="55">
    <w:name w:val="info-label"/>
    <w:basedOn w:val="30"/>
    <w:qFormat/>
    <w:uiPriority w:val="0"/>
    <w:rPr>
      <w:b/>
      <w:bCs/>
    </w:rPr>
  </w:style>
  <w:style w:type="character" w:customStyle="1" w:styleId="56">
    <w:name w:val="info-content"/>
    <w:basedOn w:val="30"/>
    <w:qFormat/>
    <w:uiPriority w:val="0"/>
    <w:rPr>
      <w:color w:val="808080"/>
    </w:rPr>
  </w:style>
  <w:style w:type="character" w:customStyle="1" w:styleId="57">
    <w:name w:val="phone-number1"/>
    <w:basedOn w:val="30"/>
    <w:qFormat/>
    <w:uiPriority w:val="0"/>
    <w:rPr>
      <w:color w:val="0876FF"/>
    </w:rPr>
  </w:style>
  <w:style w:type="paragraph" w:styleId="58">
    <w:name w:val="List Paragraph"/>
    <w:basedOn w:val="1"/>
    <w:qFormat/>
    <w:uiPriority w:val="34"/>
    <w:pPr>
      <w:ind w:firstLine="420" w:firstLineChars="200"/>
    </w:pPr>
  </w:style>
  <w:style w:type="paragraph" w:customStyle="1" w:styleId="59">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60">
    <w:name w:val="正文_0_0"/>
    <w:basedOn w:val="1"/>
    <w:qFormat/>
    <w:uiPriority w:val="0"/>
    <w:rPr>
      <w:rFonts w:ascii="Calibri" w:hAnsi="Calibri" w:cs="Calibri"/>
      <w:szCs w:val="21"/>
    </w:rPr>
  </w:style>
  <w:style w:type="paragraph" w:customStyle="1" w:styleId="61">
    <w:name w:val="[Normal]"/>
    <w:qFormat/>
    <w:uiPriority w:val="0"/>
    <w:rPr>
      <w:rFonts w:ascii="宋体" w:hAnsi="宋体" w:eastAsia="宋体" w:cs="Times New Roman"/>
      <w:sz w:val="24"/>
      <w:szCs w:val="22"/>
      <w:lang w:val="zh-CN" w:eastAsia="zh-CN" w:bidi="ar-SA"/>
    </w:rPr>
  </w:style>
  <w:style w:type="paragraph" w:customStyle="1" w:styleId="62">
    <w:name w:val="正文文本首行缩进1"/>
    <w:basedOn w:val="3"/>
    <w:qFormat/>
    <w:uiPriority w:val="0"/>
    <w:pPr>
      <w:ind w:firstLine="420" w:firstLineChars="100"/>
    </w:pPr>
    <w:rPr>
      <w:szCs w:val="21"/>
    </w:rPr>
  </w:style>
  <w:style w:type="paragraph" w:customStyle="1" w:styleId="6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4">
    <w:name w:val="p5"/>
    <w:basedOn w:val="30"/>
    <w:qFormat/>
    <w:uiPriority w:val="0"/>
  </w:style>
  <w:style w:type="paragraph" w:customStyle="1" w:styleId="65">
    <w:name w:val="正文首行缩进1"/>
    <w:basedOn w:val="3"/>
    <w:qFormat/>
    <w:uiPriority w:val="0"/>
    <w:pPr>
      <w:ind w:firstLine="420" w:firstLineChars="100"/>
    </w:pPr>
    <w:rPr>
      <w:rFonts w:ascii="Times New Roman" w:hAnsi="Times New Roman"/>
    </w:rPr>
  </w:style>
  <w:style w:type="paragraph" w:customStyle="1" w:styleId="66">
    <w:name w:val="列出段落1"/>
    <w:basedOn w:val="1"/>
    <w:qFormat/>
    <w:uiPriority w:val="0"/>
    <w:pPr>
      <w:ind w:firstLine="420" w:firstLineChars="200"/>
    </w:pPr>
    <w:rPr>
      <w:szCs w:val="20"/>
    </w:rPr>
  </w:style>
  <w:style w:type="character" w:customStyle="1" w:styleId="67">
    <w:name w:val="批注框文本 字符"/>
    <w:basedOn w:val="30"/>
    <w:link w:val="18"/>
    <w:qFormat/>
    <w:uiPriority w:val="0"/>
    <w:rPr>
      <w:rFonts w:ascii="等线" w:hAnsi="等线" w:eastAsia="等线"/>
      <w:kern w:val="2"/>
      <w:sz w:val="18"/>
      <w:szCs w:val="18"/>
    </w:rPr>
  </w:style>
  <w:style w:type="paragraph" w:customStyle="1" w:styleId="68">
    <w:name w:val="hb.1"/>
    <w:basedOn w:val="1"/>
    <w:qFormat/>
    <w:uiPriority w:val="0"/>
    <w:pPr>
      <w:tabs>
        <w:tab w:val="left" w:pos="992"/>
      </w:tabs>
      <w:spacing w:after="156"/>
      <w:ind w:left="992" w:hanging="567"/>
    </w:pPr>
    <w:rPr>
      <w:rFonts w:ascii="Times New Roman" w:hAnsi="Times New Roman"/>
      <w:szCs w:val="20"/>
    </w:rPr>
  </w:style>
  <w:style w:type="paragraph" w:customStyle="1" w:styleId="69">
    <w:name w:val="htbh"/>
    <w:basedOn w:val="7"/>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70">
    <w:name w:val="Body Text First Indent 21"/>
    <w:basedOn w:val="71"/>
    <w:qFormat/>
    <w:uiPriority w:val="0"/>
    <w:pPr>
      <w:ind w:firstLine="420"/>
    </w:pPr>
    <w:rPr>
      <w:rFonts w:cs="宋体"/>
    </w:rPr>
  </w:style>
  <w:style w:type="paragraph" w:customStyle="1" w:styleId="71">
    <w:name w:val="Body Text Indent1"/>
    <w:basedOn w:val="1"/>
    <w:next w:val="1"/>
    <w:qFormat/>
    <w:uiPriority w:val="0"/>
    <w:pPr>
      <w:spacing w:after="120"/>
      <w:ind w:left="420" w:leftChars="200"/>
    </w:pPr>
  </w:style>
  <w:style w:type="paragraph" w:customStyle="1" w:styleId="72">
    <w:name w:val="ne-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3">
    <w:name w:val="ne-text"/>
    <w:basedOn w:val="30"/>
    <w:qFormat/>
    <w:uiPriority w:val="0"/>
  </w:style>
  <w:style w:type="character" w:customStyle="1" w:styleId="74">
    <w:name w:val="font11"/>
    <w:qFormat/>
    <w:uiPriority w:val="0"/>
    <w:rPr>
      <w:rFonts w:hint="eastAsia" w:ascii="宋体" w:hAnsi="宋体" w:eastAsia="宋体" w:cs="宋体"/>
      <w:color w:val="000000"/>
      <w:sz w:val="22"/>
      <w:szCs w:val="22"/>
      <w:u w:val="none"/>
    </w:rPr>
  </w:style>
  <w:style w:type="character" w:customStyle="1" w:styleId="75">
    <w:name w:val="font51"/>
    <w:basedOn w:val="30"/>
    <w:qFormat/>
    <w:uiPriority w:val="0"/>
    <w:rPr>
      <w:rFonts w:hint="eastAsia" w:ascii="宋体" w:hAnsi="宋体" w:eastAsia="宋体" w:cs="宋体"/>
      <w:b/>
      <w:bCs/>
      <w:color w:val="000000"/>
      <w:sz w:val="21"/>
      <w:szCs w:val="21"/>
      <w:u w:val="none"/>
    </w:rPr>
  </w:style>
  <w:style w:type="character" w:customStyle="1" w:styleId="76">
    <w:name w:val="font61"/>
    <w:basedOn w:val="30"/>
    <w:qFormat/>
    <w:uiPriority w:val="0"/>
    <w:rPr>
      <w:rFonts w:hint="eastAsia" w:ascii="宋体" w:hAnsi="宋体" w:eastAsia="宋体" w:cs="宋体"/>
      <w:color w:val="000000"/>
      <w:sz w:val="21"/>
      <w:szCs w:val="21"/>
      <w:u w:val="none"/>
    </w:rPr>
  </w:style>
  <w:style w:type="character" w:customStyle="1" w:styleId="77">
    <w:name w:val="font31"/>
    <w:basedOn w:val="30"/>
    <w:qFormat/>
    <w:uiPriority w:val="0"/>
    <w:rPr>
      <w:rFonts w:hint="default" w:ascii="Times New Roman" w:hAnsi="Times New Roman" w:cs="Times New Roman"/>
      <w:color w:val="000000"/>
      <w:sz w:val="21"/>
      <w:szCs w:val="21"/>
      <w:u w:val="none"/>
    </w:rPr>
  </w:style>
  <w:style w:type="character" w:customStyle="1" w:styleId="78">
    <w:name w:val="NormalCharacter"/>
    <w:qFormat/>
    <w:uiPriority w:val="0"/>
    <w:rPr>
      <w:rFonts w:eastAsia="宋体"/>
      <w:kern w:val="2"/>
      <w:sz w:val="21"/>
      <w:szCs w:val="24"/>
      <w:lang w:val="en-US" w:eastAsia="zh-CN" w:bidi="ar-SA"/>
    </w:rPr>
  </w:style>
  <w:style w:type="paragraph" w:customStyle="1" w:styleId="79">
    <w:name w:val="Revision"/>
    <w:hidden/>
    <w:unhideWhenUsed/>
    <w:qFormat/>
    <w:uiPriority w:val="99"/>
    <w:rPr>
      <w:rFonts w:ascii="等线" w:hAnsi="等线" w:eastAsia="等线" w:cs="Times New Roman"/>
      <w:kern w:val="2"/>
      <w:sz w:val="21"/>
      <w:szCs w:val="22"/>
      <w:lang w:val="en-US" w:eastAsia="zh-CN" w:bidi="ar-SA"/>
    </w:rPr>
  </w:style>
  <w:style w:type="character" w:customStyle="1" w:styleId="80">
    <w:name w:val="contetn"/>
    <w:qFormat/>
    <w:uiPriority w:val="0"/>
    <w:rPr>
      <w:rFonts w:cs="Times New Roman"/>
    </w:rPr>
  </w:style>
  <w:style w:type="character" w:customStyle="1" w:styleId="81">
    <w:name w:val="font41"/>
    <w:basedOn w:val="30"/>
    <w:qFormat/>
    <w:uiPriority w:val="0"/>
    <w:rPr>
      <w:rFonts w:hint="eastAsia" w:ascii="宋体" w:hAnsi="宋体" w:eastAsia="宋体" w:cs="宋体"/>
      <w:color w:val="000000"/>
      <w:sz w:val="22"/>
      <w:szCs w:val="22"/>
      <w:u w:val="none"/>
    </w:rPr>
  </w:style>
  <w:style w:type="character" w:customStyle="1" w:styleId="82">
    <w:name w:val="font21"/>
    <w:basedOn w:val="30"/>
    <w:qFormat/>
    <w:uiPriority w:val="0"/>
    <w:rPr>
      <w:rFonts w:hint="eastAsia" w:ascii="微软雅黑" w:hAnsi="微软雅黑" w:eastAsia="微软雅黑" w:cs="微软雅黑"/>
      <w:b/>
      <w:bCs/>
      <w:color w:val="000000"/>
      <w:sz w:val="18"/>
      <w:szCs w:val="18"/>
      <w:u w:val="none"/>
    </w:rPr>
  </w:style>
  <w:style w:type="paragraph" w:customStyle="1" w:styleId="83">
    <w:name w:val="样式3"/>
    <w:next w:val="1"/>
    <w:qFormat/>
    <w:uiPriority w:val="0"/>
    <w:pPr>
      <w:widowControl w:val="0"/>
      <w:spacing w:line="360" w:lineRule="auto"/>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F8E6A-71FB-42E0-AC06-8C2F63B6CCC5}">
  <ds:schemaRefs/>
</ds:datastoreItem>
</file>

<file path=docProps/app.xml><?xml version="1.0" encoding="utf-8"?>
<Properties xmlns="http://schemas.openxmlformats.org/officeDocument/2006/extended-properties" xmlns:vt="http://schemas.openxmlformats.org/officeDocument/2006/docPropsVTypes">
  <Template>Normal</Template>
  <Company>中国移动</Company>
  <Pages>46</Pages>
  <Words>10665</Words>
  <Characters>11453</Characters>
  <Lines>265</Lines>
  <Paragraphs>74</Paragraphs>
  <TotalTime>82</TotalTime>
  <ScaleCrop>false</ScaleCrop>
  <LinksUpToDate>false</LinksUpToDate>
  <CharactersWithSpaces>11547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2023-09-25T02:24:00Z</dcterms:created>
  <dc:creator>rr</dc:creator>
  <cp:lastModifiedBy>金楷啊</cp:lastModifiedBy>
  <cp:lastPrinted>2023-11-07T00:43:00Z</cp:lastPrinted>
  <dcterms:modified xsi:type="dcterms:W3CDTF">2025-11-30T07:01:47Z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B1E32C0CB9014CE3BD9D08798BA2CC35</vt:lpwstr>
  </property>
  <property fmtid="{D5CDD505-2E9C-101B-9397-08002B2CF9AE}" pid="4" name="commondata">
    <vt:lpwstr>eyJoZGlkIjoiZDU0NmQxZWQ4YzcyMjkzOWM5ZjAwZGZkMDI5NzQxOGYifQ==</vt:lpwstr>
  </property>
  <property fmtid="{D5CDD505-2E9C-101B-9397-08002B2CF9AE}" pid="5" name="KSOTemplateDocerSaveRecord">
    <vt:lpwstr>eyJoZGlkIjoiYjljOTBkMTM2NTFiZTgyZThjMmVjYWFlOGJjYTJlNGMiLCJ1c2VySWQiOiI0Mjg0Nzg5MDgifQ==</vt:lpwstr>
  </property>
</Properties>
</file>