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rPr>
          <w:rFonts w:hint="eastAsia" w:ascii="宋体" w:hAnsi="宋体" w:eastAsia="宋体" w:cs="宋体"/>
          <w:b/>
          <w:bCs/>
          <w:spacing w:val="120"/>
          <w:sz w:val="72"/>
          <w:szCs w:val="72"/>
          <w:highlight w:val="none"/>
          <w:lang w:val="en-US" w:eastAsia="zh-CN"/>
        </w:rPr>
      </w:pPr>
    </w:p>
    <w:p>
      <w:pPr>
        <w:autoSpaceDE w:val="0"/>
        <w:autoSpaceDN w:val="0"/>
        <w:spacing w:line="500" w:lineRule="atLeast"/>
        <w:jc w:val="center"/>
        <w:textAlignment w:val="bottom"/>
        <w:rPr>
          <w:rFonts w:hint="eastAsia" w:ascii="宋体" w:hAnsi="宋体" w:eastAsia="宋体" w:cs="宋体"/>
          <w:b/>
          <w:spacing w:val="227"/>
          <w:sz w:val="72"/>
          <w:szCs w:val="72"/>
          <w:highlight w:val="none"/>
        </w:rPr>
      </w:pPr>
      <w:r>
        <w:rPr>
          <w:rFonts w:hint="eastAsia" w:ascii="宋体" w:hAnsi="宋体" w:eastAsia="宋体" w:cs="宋体"/>
          <w:b/>
          <w:spacing w:val="227"/>
          <w:sz w:val="72"/>
          <w:szCs w:val="72"/>
          <w:highlight w:val="none"/>
        </w:rPr>
        <w:t>温州市国有企业</w:t>
      </w:r>
    </w:p>
    <w:p>
      <w:pPr>
        <w:spacing w:line="400" w:lineRule="atLeast"/>
        <w:jc w:val="center"/>
        <w:rPr>
          <w:rFonts w:hint="eastAsia" w:ascii="宋体" w:hAnsi="宋体" w:eastAsia="宋体" w:cs="宋体"/>
          <w:b/>
          <w:sz w:val="52"/>
          <w:szCs w:val="24"/>
          <w:highlight w:val="none"/>
        </w:rPr>
      </w:pPr>
    </w:p>
    <w:p>
      <w:pPr>
        <w:spacing w:line="400" w:lineRule="atLeast"/>
        <w:jc w:val="center"/>
        <w:rPr>
          <w:rFonts w:hint="eastAsia" w:ascii="宋体" w:hAnsi="宋体" w:eastAsia="宋体" w:cs="宋体"/>
          <w:b/>
          <w:sz w:val="52"/>
          <w:szCs w:val="24"/>
          <w:highlight w:val="none"/>
        </w:rPr>
      </w:pPr>
    </w:p>
    <w:p>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pPr>
        <w:spacing w:line="400" w:lineRule="exact"/>
        <w:jc w:val="center"/>
        <w:rPr>
          <w:rFonts w:hint="eastAsia" w:ascii="宋体" w:hAnsi="宋体" w:eastAsia="宋体" w:cs="宋体"/>
          <w:b/>
          <w:sz w:val="32"/>
          <w:szCs w:val="24"/>
          <w:highlight w:val="none"/>
        </w:rPr>
      </w:pPr>
    </w:p>
    <w:tbl>
      <w:tblPr>
        <w:tblStyle w:val="29"/>
        <w:tblW w:w="0" w:type="auto"/>
        <w:jc w:val="center"/>
        <w:tblLayout w:type="fixed"/>
        <w:tblCellMar>
          <w:top w:w="0" w:type="dxa"/>
          <w:left w:w="108" w:type="dxa"/>
          <w:bottom w:w="0" w:type="dxa"/>
          <w:right w:w="108" w:type="dxa"/>
        </w:tblCellMar>
      </w:tblPr>
      <w:tblGrid>
        <w:gridCol w:w="1751"/>
        <w:gridCol w:w="360"/>
        <w:gridCol w:w="3340"/>
      </w:tblGrid>
      <w:tr>
        <w:tblPrEx>
          <w:tblCellMar>
            <w:top w:w="0" w:type="dxa"/>
            <w:left w:w="108" w:type="dxa"/>
            <w:bottom w:w="0" w:type="dxa"/>
            <w:right w:w="108" w:type="dxa"/>
          </w:tblCellMar>
        </w:tblPrEx>
        <w:trPr>
          <w:trHeight w:val="659" w:hRule="atLeast"/>
          <w:jc w:val="center"/>
        </w:trPr>
        <w:tc>
          <w:tcPr>
            <w:tcW w:w="1751"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340" w:type="dxa"/>
            <w:vAlign w:val="center"/>
          </w:tcPr>
          <w:p>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WGSS-JFJT-X-2025011</w:t>
            </w:r>
          </w:p>
        </w:tc>
      </w:tr>
      <w:tr>
        <w:tblPrEx>
          <w:tblCellMar>
            <w:top w:w="0" w:type="dxa"/>
            <w:left w:w="108" w:type="dxa"/>
            <w:bottom w:w="0" w:type="dxa"/>
            <w:right w:w="108" w:type="dxa"/>
          </w:tblCellMar>
        </w:tblPrEx>
        <w:trPr>
          <w:trHeight w:val="614" w:hRule="atLeast"/>
          <w:jc w:val="center"/>
        </w:trPr>
        <w:tc>
          <w:tcPr>
            <w:tcW w:w="1751"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340"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val="en-US" w:eastAsia="zh-CN"/>
              </w:rPr>
              <w:t>集团系统生产经营用车保险服务</w:t>
            </w:r>
          </w:p>
        </w:tc>
      </w:tr>
      <w:tr>
        <w:tblPrEx>
          <w:tblCellMar>
            <w:top w:w="0" w:type="dxa"/>
            <w:left w:w="108" w:type="dxa"/>
            <w:bottom w:w="0" w:type="dxa"/>
            <w:right w:w="108" w:type="dxa"/>
          </w:tblCellMar>
        </w:tblPrEx>
        <w:trPr>
          <w:trHeight w:val="614" w:hRule="atLeast"/>
          <w:jc w:val="center"/>
        </w:trPr>
        <w:tc>
          <w:tcPr>
            <w:tcW w:w="1751"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340" w:type="dxa"/>
            <w:vAlign w:val="center"/>
          </w:tcPr>
          <w:p>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tbl>
      <w:tblPr>
        <w:tblStyle w:val="29"/>
        <w:tblW w:w="0" w:type="auto"/>
        <w:jc w:val="center"/>
        <w:tblLayout w:type="fixed"/>
        <w:tblCellMar>
          <w:top w:w="0" w:type="dxa"/>
          <w:left w:w="108" w:type="dxa"/>
          <w:bottom w:w="0" w:type="dxa"/>
          <w:right w:w="108" w:type="dxa"/>
        </w:tblCellMar>
      </w:tblPr>
      <w:tblGrid>
        <w:gridCol w:w="2199"/>
        <w:gridCol w:w="360"/>
        <w:gridCol w:w="4306"/>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306"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温州市交通发展集团有限公司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306"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浙江国际招投标有限公司</w:t>
            </w:r>
          </w:p>
        </w:tc>
      </w:tr>
    </w:tbl>
    <w:p>
      <w:pPr>
        <w:spacing w:before="120" w:beforeLines="50" w:line="360" w:lineRule="auto"/>
        <w:jc w:val="center"/>
        <w:rPr>
          <w:rFonts w:hint="eastAsia" w:ascii="宋体" w:hAnsi="宋体" w:eastAsia="宋体" w:cs="宋体"/>
          <w:spacing w:val="40"/>
          <w:sz w:val="30"/>
          <w:szCs w:val="30"/>
          <w:highlight w:val="none"/>
          <w:lang w:val="en-US" w:eastAsia="zh-CN"/>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五</w:t>
      </w:r>
      <w:r>
        <w:rPr>
          <w:rFonts w:hint="eastAsia" w:ascii="宋体" w:hAnsi="宋体" w:eastAsia="宋体" w:cs="宋体"/>
          <w:spacing w:val="40"/>
          <w:sz w:val="30"/>
          <w:szCs w:val="30"/>
          <w:highlight w:val="none"/>
        </w:rPr>
        <w:t>年</w:t>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pPr>
        <w:tabs>
          <w:tab w:val="right" w:leader="dot" w:pos="9660"/>
        </w:tabs>
        <w:spacing w:line="480" w:lineRule="auto"/>
        <w:jc w:val="center"/>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napToGrid w:val="0"/>
          <w:spacing w:val="-20"/>
          <w:kern w:val="0"/>
          <w:szCs w:val="24"/>
          <w:highlight w:val="none"/>
          <w:u w:val="single"/>
          <w:lang w:eastAsia="zh-CN"/>
        </w:rPr>
        <w:t>温州市交通发展集团有限公司</w:t>
      </w:r>
      <w:r>
        <w:rPr>
          <w:rFonts w:hint="eastAsia" w:ascii="宋体" w:hAnsi="宋体" w:eastAsia="宋体" w:cs="宋体"/>
          <w:snapToGrid w:val="0"/>
          <w:spacing w:val="-20"/>
          <w:kern w:val="0"/>
          <w:szCs w:val="24"/>
          <w:highlight w:val="none"/>
          <w:u w:val="single"/>
        </w:rPr>
        <w:t>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"_Toc491780521" </w:instrText>
      </w:r>
      <w:r>
        <w:rPr>
          <w:rFonts w:hint="eastAsia" w:ascii="宋体" w:hAnsi="宋体" w:eastAsia="宋体" w:cs="宋体"/>
          <w:highlight w:val="none"/>
        </w:rPr>
        <w:fldChar w:fldCharType="separate"/>
      </w:r>
      <w:r>
        <w:rPr>
          <w:rFonts w:hint="eastAsia" w:ascii="宋体" w:hAnsi="宋体" w:eastAsia="宋体" w:cs="宋体"/>
          <w:snapToGrid w:val="0"/>
          <w:spacing w:val="-20"/>
          <w:kern w:val="0"/>
          <w:szCs w:val="24"/>
          <w:highlight w:val="none"/>
          <w:u w:val="single"/>
          <w:lang w:val="en-US" w:eastAsia="zh-CN"/>
        </w:rPr>
        <w:t>集团系统生产经营用车保险服务</w:t>
      </w:r>
      <w:r>
        <w:rPr>
          <w:rFonts w:hint="eastAsia" w:ascii="宋体" w:hAnsi="宋体" w:eastAsia="宋体" w:cs="宋体"/>
          <w:snapToGrid w:val="0"/>
          <w:spacing w:val="-20"/>
          <w:kern w:val="0"/>
          <w:szCs w:val="24"/>
          <w:highlight w:val="none"/>
          <w:u w:val="single"/>
        </w:rPr>
        <w:t>项目的采购公告</w:t>
      </w:r>
      <w:r>
        <w:rPr>
          <w:rFonts w:hint="eastAsia" w:ascii="宋体" w:hAnsi="宋体" w:eastAsia="宋体" w:cs="宋体"/>
          <w:snapToGrid w:val="0"/>
          <w:spacing w:val="-20"/>
          <w:kern w:val="0"/>
          <w:szCs w:val="24"/>
          <w:highlight w:val="none"/>
          <w:u w:val="single"/>
        </w:rPr>
        <w:tab/>
      </w:r>
      <w:r>
        <w:rPr>
          <w:rFonts w:hint="eastAsia" w:ascii="宋体" w:hAnsi="宋体" w:eastAsia="宋体" w:cs="宋体"/>
          <w:snapToGrid w:val="0"/>
          <w:spacing w:val="-20"/>
          <w:kern w:val="0"/>
          <w:szCs w:val="24"/>
          <w:highlight w:val="none"/>
          <w:u w:val="single"/>
        </w:rPr>
        <w:t>3</w:t>
      </w:r>
      <w:r>
        <w:rPr>
          <w:rFonts w:hint="eastAsia" w:ascii="宋体" w:hAnsi="宋体" w:eastAsia="宋体" w:cs="宋体"/>
          <w:snapToGrid w:val="0"/>
          <w:spacing w:val="-20"/>
          <w:kern w:val="0"/>
          <w:szCs w:val="24"/>
          <w:highlight w:val="none"/>
          <w:u w:val="single"/>
        </w:rPr>
        <w:fldChar w:fldCharType="end"/>
      </w:r>
    </w:p>
    <w:p>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pacing w:val="-20"/>
          <w:szCs w:val="24"/>
          <w:highlight w:val="none"/>
          <w:u w:val="single"/>
          <w:lang w:eastAsia="zh-CN"/>
        </w:rPr>
        <w:t>温州市交通发展集团有限公司</w:t>
      </w:r>
      <w:r>
        <w:rPr>
          <w:rFonts w:hint="eastAsia" w:ascii="宋体" w:hAnsi="宋体" w:eastAsia="宋体" w:cs="宋体"/>
          <w:spacing w:val="-20"/>
          <w:szCs w:val="24"/>
          <w:highlight w:val="none"/>
          <w:u w:val="single"/>
        </w:rPr>
        <w:t>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"_Toc491780522" </w:instrText>
      </w:r>
      <w:r>
        <w:rPr>
          <w:rFonts w:hint="eastAsia" w:ascii="宋体" w:hAnsi="宋体" w:eastAsia="宋体" w:cs="宋体"/>
          <w:highlight w:val="none"/>
        </w:rPr>
        <w:fldChar w:fldCharType="separate"/>
      </w:r>
      <w:r>
        <w:rPr>
          <w:rFonts w:hint="eastAsia" w:ascii="宋体" w:hAnsi="宋体" w:eastAsia="宋体" w:cs="宋体"/>
          <w:spacing w:val="-20"/>
          <w:szCs w:val="24"/>
          <w:highlight w:val="none"/>
          <w:u w:val="single"/>
          <w:lang w:val="en-US" w:eastAsia="zh-CN"/>
        </w:rPr>
        <w:t>集团系统生产经营用车保险服务</w:t>
      </w:r>
      <w:r>
        <w:rPr>
          <w:rFonts w:hint="eastAsia" w:ascii="宋体" w:hAnsi="宋体" w:eastAsia="宋体" w:cs="宋体"/>
          <w:spacing w:val="-20"/>
          <w:szCs w:val="24"/>
          <w:highlight w:val="none"/>
          <w:u w:val="single"/>
        </w:rPr>
        <w:t>项目征求意见公示</w:t>
      </w:r>
      <w:r>
        <w:rPr>
          <w:rFonts w:hint="eastAsia" w:ascii="宋体" w:hAnsi="宋体" w:eastAsia="宋体" w:cs="宋体"/>
          <w:spacing w:val="-20"/>
          <w:szCs w:val="24"/>
          <w:highlight w:val="none"/>
          <w:u w:val="single"/>
        </w:rPr>
        <w:tab/>
      </w:r>
      <w:r>
        <w:rPr>
          <w:rFonts w:hint="eastAsia" w:ascii="宋体" w:hAnsi="宋体" w:eastAsia="宋体" w:cs="宋体"/>
          <w:spacing w:val="-20"/>
          <w:szCs w:val="24"/>
          <w:highlight w:val="none"/>
          <w:u w:val="single"/>
        </w:rPr>
        <w:t>5</w:t>
      </w:r>
      <w:r>
        <w:rPr>
          <w:rFonts w:hint="eastAsia" w:ascii="宋体" w:hAnsi="宋体" w:eastAsia="宋体" w:cs="宋体"/>
          <w:spacing w:val="-20"/>
          <w:szCs w:val="24"/>
          <w:highlight w:val="none"/>
          <w:u w:val="single"/>
        </w:rPr>
        <w:fldChar w:fldCharType="end"/>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pPr>
        <w:tabs>
          <w:tab w:val="right" w:leader="dot" w:pos="9660"/>
        </w:tabs>
        <w:spacing w:line="480" w:lineRule="auto"/>
        <w:rPr>
          <w:rFonts w:hint="eastAsia" w:ascii="宋体" w:hAnsi="宋体" w:eastAsia="宋体" w:cs="宋体"/>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val="en-US" w:eastAsia="zh-CN"/>
        </w:rPr>
        <w:t>18</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p>
    <w:p>
      <w:pPr>
        <w:tabs>
          <w:tab w:val="right" w:leader="dot" w:pos="9660"/>
        </w:tabs>
        <w:spacing w:line="480" w:lineRule="auto"/>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24</w:t>
      </w:r>
    </w:p>
    <w:p>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39</w:t>
      </w:r>
    </w:p>
    <w:p>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49</w:t>
      </w:r>
    </w:p>
    <w:p>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同时加下划线的条款，为采购文件的实质性要求和条件，着重提醒各投标人注意（不响应“▲”同时加下划线条款的作无效标处理），并认真查看采购文件中的每一个条款及要求，因误读采购文件而造成的后果，采购人概不负责。</w:t>
      </w:r>
    </w:p>
    <w:p>
      <w:pPr>
        <w:jc w:val="center"/>
        <w:rPr>
          <w:rFonts w:hint="eastAsia" w:ascii="宋体" w:hAnsi="宋体" w:eastAsia="宋体" w:cs="宋体"/>
          <w:b/>
          <w:bCs/>
          <w:sz w:val="28"/>
          <w:szCs w:val="28"/>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b/>
          <w:bCs/>
          <w:sz w:val="28"/>
          <w:szCs w:val="28"/>
          <w:highlight w:val="none"/>
          <w:lang w:eastAsia="zh-CN"/>
        </w:rPr>
        <w:t>温州市交通发展集团有限公司</w:t>
      </w:r>
      <w:r>
        <w:rPr>
          <w:rFonts w:hint="eastAsia" w:ascii="宋体" w:hAnsi="宋体" w:eastAsia="宋体" w:cs="宋体"/>
          <w:b/>
          <w:bCs/>
          <w:sz w:val="28"/>
          <w:szCs w:val="28"/>
          <w:highlight w:val="none"/>
        </w:rPr>
        <w:t>关于</w:t>
      </w:r>
      <w:r>
        <w:rPr>
          <w:rFonts w:hint="eastAsia" w:ascii="宋体" w:hAnsi="宋体" w:eastAsia="宋体" w:cs="宋体"/>
          <w:b/>
          <w:bCs/>
          <w:sz w:val="28"/>
          <w:szCs w:val="28"/>
          <w:highlight w:val="none"/>
          <w:lang w:val="en-US" w:eastAsia="zh-CN"/>
        </w:rPr>
        <w:t>集团系统生产经营用车保险服务</w:t>
      </w:r>
      <w:r>
        <w:rPr>
          <w:rFonts w:hint="eastAsia" w:ascii="宋体" w:hAnsi="宋体" w:eastAsia="宋体" w:cs="宋体"/>
          <w:b/>
          <w:bCs/>
          <w:sz w:val="28"/>
          <w:szCs w:val="28"/>
          <w:highlight w:val="none"/>
        </w:rPr>
        <w:t>项目的采购公告</w:t>
      </w:r>
    </w:p>
    <w:p>
      <w:pPr>
        <w:widowControl/>
        <w:spacing w:before="60" w:after="60" w:line="280" w:lineRule="exact"/>
        <w:ind w:right="60" w:firstLine="420" w:firstLineChars="200"/>
        <w:jc w:val="left"/>
        <w:rPr>
          <w:rFonts w:hint="eastAsia" w:ascii="宋体" w:hAnsi="宋体" w:eastAsia="宋体" w:cs="宋体"/>
          <w:highlight w:val="none"/>
        </w:rPr>
      </w:pPr>
    </w:p>
    <w:p>
      <w:pPr>
        <w:widowControl/>
        <w:spacing w:before="60" w:after="60" w:line="280" w:lineRule="exact"/>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根据《温州市市属国有企业采购管理办法》（温国资委【2024】51号）等有关规定，浙江国际招投标有限公司受</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的委托，就</w:t>
      </w:r>
      <w:r>
        <w:rPr>
          <w:rFonts w:hint="eastAsia" w:ascii="宋体" w:hAnsi="宋体" w:eastAsia="宋体" w:cs="宋体"/>
          <w:highlight w:val="none"/>
          <w:lang w:val="en-US" w:eastAsia="zh-CN"/>
        </w:rPr>
        <w:t>集团系统生产经营用车保险服务</w:t>
      </w:r>
      <w:r>
        <w:rPr>
          <w:rFonts w:hint="eastAsia" w:ascii="宋体" w:hAnsi="宋体" w:eastAsia="宋体" w:cs="宋体"/>
          <w:highlight w:val="none"/>
        </w:rPr>
        <w:t>项目以公开招标方式进行国企采购，欢迎国内合格的投标人前来投标。</w:t>
      </w:r>
    </w:p>
    <w:p>
      <w:pPr>
        <w:widowControl/>
        <w:spacing w:before="60" w:after="60" w:line="280" w:lineRule="exact"/>
        <w:ind w:right="60"/>
        <w:jc w:val="left"/>
        <w:rPr>
          <w:rFonts w:hint="eastAsia" w:ascii="宋体" w:hAnsi="宋体" w:eastAsia="宋体" w:cs="宋体"/>
          <w:bCs/>
          <w:kern w:val="0"/>
          <w:szCs w:val="21"/>
          <w:highlight w:val="none"/>
          <w:lang w:eastAsia="zh-CN"/>
        </w:rPr>
      </w:pPr>
      <w:r>
        <w:rPr>
          <w:rFonts w:hint="eastAsia" w:ascii="宋体" w:hAnsi="宋体" w:eastAsia="宋体" w:cs="宋体"/>
          <w:b/>
          <w:bCs w:val="0"/>
          <w:kern w:val="0"/>
          <w:szCs w:val="21"/>
          <w:highlight w:val="none"/>
        </w:rPr>
        <w:t>一、项目编号：</w:t>
      </w:r>
      <w:r>
        <w:rPr>
          <w:rFonts w:hint="eastAsia" w:ascii="宋体" w:hAnsi="宋体" w:eastAsia="宋体" w:cs="宋体"/>
          <w:bCs/>
          <w:kern w:val="0"/>
          <w:szCs w:val="21"/>
          <w:highlight w:val="none"/>
          <w:lang w:eastAsia="zh-CN"/>
        </w:rPr>
        <w:t>WGSS-JFJT-X-2025011</w:t>
      </w:r>
    </w:p>
    <w:p>
      <w:pPr>
        <w:widowControl/>
        <w:spacing w:before="60" w:after="60" w:line="280" w:lineRule="exact"/>
        <w:ind w:right="60"/>
        <w:jc w:val="left"/>
        <w:rPr>
          <w:rFonts w:hint="eastAsia" w:ascii="宋体" w:hAnsi="宋体" w:eastAsia="宋体" w:cs="宋体"/>
          <w:bCs/>
          <w:color w:val="auto"/>
          <w:kern w:val="0"/>
          <w:szCs w:val="21"/>
          <w:highlight w:val="none"/>
          <w:lang w:eastAsia="zh-CN"/>
        </w:rPr>
      </w:pPr>
      <w:r>
        <w:rPr>
          <w:rFonts w:hint="eastAsia" w:ascii="宋体" w:hAnsi="宋体" w:eastAsia="宋体" w:cs="宋体"/>
          <w:b/>
          <w:bCs w:val="0"/>
          <w:color w:val="auto"/>
          <w:kern w:val="0"/>
          <w:szCs w:val="21"/>
          <w:highlight w:val="none"/>
        </w:rPr>
        <w:t>二、项目名称：</w:t>
      </w:r>
      <w:r>
        <w:rPr>
          <w:rFonts w:hint="eastAsia" w:ascii="宋体" w:hAnsi="宋体" w:eastAsia="宋体" w:cs="宋体"/>
          <w:bCs/>
          <w:color w:val="auto"/>
          <w:kern w:val="0"/>
          <w:szCs w:val="21"/>
          <w:highlight w:val="none"/>
          <w:lang w:eastAsia="zh-CN"/>
        </w:rPr>
        <w:t>集团系统生产经营用车保险服务</w:t>
      </w:r>
    </w:p>
    <w:p>
      <w:pPr>
        <w:widowControl/>
        <w:spacing w:before="60" w:after="60" w:line="280" w:lineRule="exact"/>
        <w:ind w:right="60"/>
        <w:jc w:val="left"/>
        <w:rPr>
          <w:rFonts w:hint="eastAsia" w:ascii="宋体" w:hAnsi="宋体" w:eastAsia="宋体" w:cs="宋体"/>
          <w:bCs/>
          <w:color w:val="auto"/>
          <w:kern w:val="0"/>
          <w:szCs w:val="21"/>
          <w:highlight w:val="none"/>
        </w:rPr>
      </w:pPr>
      <w:r>
        <w:rPr>
          <w:rFonts w:hint="eastAsia" w:ascii="宋体" w:hAnsi="宋体" w:eastAsia="宋体" w:cs="宋体"/>
          <w:b/>
          <w:bCs w:val="0"/>
          <w:color w:val="auto"/>
          <w:kern w:val="0"/>
          <w:szCs w:val="21"/>
          <w:highlight w:val="none"/>
        </w:rPr>
        <w:t>三、项目性质：</w:t>
      </w:r>
      <w:r>
        <w:rPr>
          <w:rFonts w:hint="eastAsia" w:ascii="宋体" w:hAnsi="宋体" w:eastAsia="宋体" w:cs="宋体"/>
          <w:bCs/>
          <w:color w:val="auto"/>
          <w:kern w:val="0"/>
          <w:szCs w:val="21"/>
          <w:highlight w:val="none"/>
        </w:rPr>
        <w:t>国企采购（非政府采购）</w:t>
      </w:r>
    </w:p>
    <w:p>
      <w:pPr>
        <w:widowControl/>
        <w:spacing w:before="60" w:after="60" w:line="280" w:lineRule="exact"/>
        <w:ind w:right="60"/>
        <w:jc w:val="left"/>
        <w:rPr>
          <w:rFonts w:hint="eastAsia" w:ascii="宋体" w:hAnsi="宋体" w:eastAsia="宋体" w:cs="宋体"/>
          <w:bCs/>
          <w:color w:val="auto"/>
          <w:kern w:val="0"/>
          <w:szCs w:val="21"/>
          <w:highlight w:val="none"/>
          <w:lang w:eastAsia="zh-CN"/>
        </w:rPr>
      </w:pPr>
      <w:r>
        <w:rPr>
          <w:rFonts w:hint="eastAsia" w:ascii="宋体" w:hAnsi="宋体" w:eastAsia="宋体" w:cs="宋体"/>
          <w:b/>
          <w:bCs w:val="0"/>
          <w:color w:val="auto"/>
          <w:kern w:val="0"/>
          <w:szCs w:val="21"/>
          <w:highlight w:val="none"/>
        </w:rPr>
        <w:t>四、预算金额：</w:t>
      </w:r>
      <w:r>
        <w:rPr>
          <w:rFonts w:hint="eastAsia" w:ascii="宋体" w:hAnsi="宋体" w:eastAsia="宋体" w:cs="宋体"/>
          <w:bCs/>
          <w:color w:val="auto"/>
          <w:kern w:val="0"/>
          <w:szCs w:val="21"/>
          <w:highlight w:val="none"/>
        </w:rPr>
        <w:t>人民币</w:t>
      </w:r>
      <w:r>
        <w:rPr>
          <w:rFonts w:hint="eastAsia" w:ascii="宋体" w:hAnsi="宋体" w:eastAsia="宋体" w:cs="宋体"/>
          <w:bCs/>
          <w:color w:val="auto"/>
          <w:kern w:val="0"/>
          <w:szCs w:val="21"/>
          <w:highlight w:val="none"/>
          <w:lang w:val="en-US" w:eastAsia="zh-CN"/>
        </w:rPr>
        <w:t>256</w:t>
      </w:r>
      <w:r>
        <w:rPr>
          <w:rFonts w:hint="eastAsia" w:ascii="宋体" w:hAnsi="宋体" w:eastAsia="宋体" w:cs="宋体"/>
          <w:bCs/>
          <w:color w:val="auto"/>
          <w:kern w:val="0"/>
          <w:szCs w:val="21"/>
          <w:highlight w:val="none"/>
        </w:rPr>
        <w:t>万元</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标段1、标段2年合计</w:t>
      </w:r>
      <w:r>
        <w:rPr>
          <w:rFonts w:hint="eastAsia" w:ascii="宋体" w:hAnsi="宋体" w:eastAsia="宋体" w:cs="宋体"/>
          <w:bCs/>
          <w:color w:val="auto"/>
          <w:kern w:val="0"/>
          <w:szCs w:val="21"/>
          <w:highlight w:val="none"/>
          <w:lang w:eastAsia="zh-CN"/>
        </w:rPr>
        <w:t>）</w:t>
      </w:r>
    </w:p>
    <w:p>
      <w:pPr>
        <w:widowControl/>
        <w:spacing w:before="60" w:after="60" w:line="280" w:lineRule="exact"/>
        <w:ind w:right="60"/>
        <w:jc w:val="left"/>
        <w:rPr>
          <w:rFonts w:hint="eastAsia" w:ascii="宋体" w:hAnsi="宋体" w:eastAsia="宋体" w:cs="宋体"/>
          <w:strike w:val="0"/>
          <w:color w:val="auto"/>
          <w:highlight w:val="none"/>
        </w:rPr>
      </w:pPr>
      <w:r>
        <w:rPr>
          <w:rFonts w:hint="eastAsia" w:ascii="宋体" w:hAnsi="宋体" w:eastAsia="宋体" w:cs="宋体"/>
          <w:b/>
          <w:bCs w:val="0"/>
          <w:strike w:val="0"/>
          <w:color w:val="auto"/>
          <w:kern w:val="0"/>
          <w:szCs w:val="21"/>
          <w:highlight w:val="none"/>
          <w:lang w:val="en-US" w:eastAsia="zh-CN"/>
        </w:rPr>
        <w:t>五、</w:t>
      </w:r>
      <w:r>
        <w:rPr>
          <w:rFonts w:hint="eastAsia" w:ascii="宋体" w:hAnsi="宋体" w:eastAsia="宋体" w:cs="宋体"/>
          <w:b/>
          <w:bCs w:val="0"/>
          <w:strike w:val="0"/>
          <w:color w:val="auto"/>
          <w:kern w:val="0"/>
          <w:szCs w:val="21"/>
          <w:highlight w:val="none"/>
        </w:rPr>
        <w:t>采购内容（内容、用途、数量、简要技术要求等）：</w:t>
      </w:r>
    </w:p>
    <w:tbl>
      <w:tblPr>
        <w:tblStyle w:val="29"/>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132"/>
        <w:gridCol w:w="1103"/>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Mar>
              <w:top w:w="0" w:type="dxa"/>
              <w:left w:w="108" w:type="dxa"/>
              <w:bottom w:w="0" w:type="dxa"/>
              <w:right w:w="108" w:type="dxa"/>
            </w:tcMar>
            <w:vAlign w:val="center"/>
          </w:tcPr>
          <w:p>
            <w:pPr>
              <w:widowControl/>
              <w:spacing w:before="60" w:after="60"/>
              <w:ind w:left="60" w:leftChars="0" w:right="60" w:rightChars="0"/>
              <w:jc w:val="center"/>
              <w:rPr>
                <w:rFonts w:hint="eastAsia" w:ascii="宋体" w:hAnsi="宋体" w:eastAsia="宋体" w:cs="宋体"/>
                <w:b/>
                <w:color w:val="auto"/>
                <w:kern w:val="0"/>
                <w:sz w:val="18"/>
                <w:szCs w:val="18"/>
                <w:highlight w:val="none"/>
                <w:lang w:val="en-US" w:eastAsia="zh-CN" w:bidi="ar-SA"/>
              </w:rPr>
            </w:pPr>
            <w:r>
              <w:rPr>
                <w:rFonts w:hint="eastAsia" w:ascii="宋体" w:hAnsi="宋体" w:eastAsia="宋体" w:cs="宋体"/>
                <w:b/>
                <w:color w:val="auto"/>
                <w:kern w:val="0"/>
                <w:sz w:val="18"/>
                <w:szCs w:val="18"/>
                <w:highlight w:val="none"/>
                <w:lang w:val="en-US" w:eastAsia="zh-CN"/>
              </w:rPr>
              <w:t>标段编号</w:t>
            </w:r>
          </w:p>
        </w:tc>
        <w:tc>
          <w:tcPr>
            <w:tcW w:w="2132" w:type="dxa"/>
            <w:tcMar>
              <w:top w:w="0" w:type="dxa"/>
              <w:left w:w="108" w:type="dxa"/>
              <w:bottom w:w="0" w:type="dxa"/>
              <w:right w:w="108" w:type="dxa"/>
            </w:tcMar>
            <w:vAlign w:val="center"/>
          </w:tcPr>
          <w:p>
            <w:pPr>
              <w:widowControl/>
              <w:spacing w:before="60" w:after="60" w:line="240" w:lineRule="exact"/>
              <w:ind w:left="60" w:right="60"/>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标项名称</w:t>
            </w:r>
          </w:p>
        </w:tc>
        <w:tc>
          <w:tcPr>
            <w:tcW w:w="1103" w:type="dxa"/>
            <w:tcMar>
              <w:top w:w="0" w:type="dxa"/>
              <w:left w:w="108" w:type="dxa"/>
              <w:bottom w:w="0" w:type="dxa"/>
              <w:right w:w="108" w:type="dxa"/>
            </w:tcMar>
            <w:vAlign w:val="center"/>
          </w:tcPr>
          <w:p>
            <w:pPr>
              <w:widowControl/>
              <w:spacing w:before="60" w:after="60" w:line="240" w:lineRule="exact"/>
              <w:ind w:left="60" w:right="60"/>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需要保险的车辆数量（暂定）</w:t>
            </w:r>
          </w:p>
        </w:tc>
        <w:tc>
          <w:tcPr>
            <w:tcW w:w="4459" w:type="dxa"/>
            <w:tcMar>
              <w:top w:w="0" w:type="dxa"/>
              <w:left w:w="108" w:type="dxa"/>
              <w:bottom w:w="0" w:type="dxa"/>
              <w:right w:w="108" w:type="dxa"/>
            </w:tcMar>
            <w:vAlign w:val="center"/>
          </w:tcPr>
          <w:p>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简要技术要求、用途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Mar>
              <w:top w:w="0" w:type="dxa"/>
              <w:left w:w="108" w:type="dxa"/>
              <w:bottom w:w="0" w:type="dxa"/>
              <w:right w:w="108" w:type="dxa"/>
            </w:tcMar>
            <w:vAlign w:val="center"/>
          </w:tcPr>
          <w:p>
            <w:pPr>
              <w:widowControl/>
              <w:spacing w:before="60" w:after="60" w:line="240" w:lineRule="exact"/>
              <w:jc w:val="center"/>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WGSS-JFJT-X-2025011-01</w:t>
            </w:r>
          </w:p>
        </w:tc>
        <w:tc>
          <w:tcPr>
            <w:tcW w:w="2132" w:type="dxa"/>
            <w:tcMar>
              <w:top w:w="0" w:type="dxa"/>
              <w:left w:w="108" w:type="dxa"/>
              <w:bottom w:w="0" w:type="dxa"/>
              <w:right w:w="108" w:type="dxa"/>
            </w:tcMar>
            <w:vAlign w:val="center"/>
          </w:tcPr>
          <w:p>
            <w:pPr>
              <w:widowControl/>
              <w:spacing w:before="60" w:after="60" w:line="24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bidi="ar-SA"/>
              </w:rPr>
              <w:t>温州市交通发展集团有限公司本部等四个单位生产经营用车保险服务</w:t>
            </w:r>
          </w:p>
        </w:tc>
        <w:tc>
          <w:tcPr>
            <w:tcW w:w="1103" w:type="dxa"/>
            <w:tcMar>
              <w:top w:w="0" w:type="dxa"/>
              <w:left w:w="108" w:type="dxa"/>
              <w:bottom w:w="0" w:type="dxa"/>
              <w:right w:w="108" w:type="dxa"/>
            </w:tcMar>
            <w:vAlign w:val="center"/>
          </w:tcPr>
          <w:p>
            <w:pPr>
              <w:widowControl/>
              <w:spacing w:before="60" w:after="60" w:line="240" w:lineRule="exact"/>
              <w:jc w:val="center"/>
              <w:rPr>
                <w:rFonts w:hint="default" w:ascii="宋体" w:hAnsi="宋体" w:eastAsia="宋体" w:cs="宋体"/>
                <w:bCs/>
                <w:strike w:val="0"/>
                <w:color w:val="auto"/>
                <w:kern w:val="0"/>
                <w:sz w:val="18"/>
                <w:szCs w:val="18"/>
                <w:highlight w:val="none"/>
                <w:lang w:val="en-US" w:eastAsia="zh-CN" w:bidi="ar-SA"/>
              </w:rPr>
            </w:pPr>
            <w:r>
              <w:rPr>
                <w:rFonts w:hint="eastAsia" w:ascii="宋体" w:hAnsi="宋体" w:eastAsia="宋体" w:cs="宋体"/>
                <w:bCs/>
                <w:strike w:val="0"/>
                <w:color w:val="auto"/>
                <w:kern w:val="0"/>
                <w:sz w:val="18"/>
                <w:szCs w:val="18"/>
                <w:highlight w:val="none"/>
                <w:lang w:val="en-US" w:eastAsia="zh-CN" w:bidi="ar-SA"/>
              </w:rPr>
              <w:t>179</w:t>
            </w:r>
          </w:p>
        </w:tc>
        <w:tc>
          <w:tcPr>
            <w:tcW w:w="4459" w:type="dxa"/>
            <w:tcMar>
              <w:top w:w="0" w:type="dxa"/>
              <w:left w:w="108" w:type="dxa"/>
              <w:bottom w:w="0" w:type="dxa"/>
              <w:right w:w="108" w:type="dxa"/>
            </w:tcMar>
            <w:vAlign w:val="center"/>
          </w:tcPr>
          <w:p>
            <w:pPr>
              <w:widowControl/>
              <w:spacing w:before="60" w:after="60"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bidi="ar-SA"/>
              </w:rPr>
              <w:t>温州市交通发展集团有限公司本部等四个单位生产经营用车保险服务</w:t>
            </w:r>
            <w:r>
              <w:rPr>
                <w:rFonts w:hint="eastAsia" w:ascii="宋体" w:hAnsi="宋体" w:eastAsia="宋体" w:cs="宋体"/>
                <w:sz w:val="18"/>
                <w:szCs w:val="18"/>
                <w:highlight w:val="none"/>
                <w:u w:val="none"/>
              </w:rPr>
              <w:t>，服务年限为1年，合同采用1年+1年+1年模式</w:t>
            </w:r>
            <w:r>
              <w:rPr>
                <w:rFonts w:hint="eastAsia" w:ascii="宋体" w:hAnsi="宋体" w:eastAsia="宋体" w:cs="宋体"/>
                <w:color w:val="auto"/>
                <w:kern w:val="2"/>
                <w:sz w:val="18"/>
                <w:szCs w:val="18"/>
                <w:highlight w:val="none"/>
                <w:lang w:val="en-US" w:eastAsia="zh-CN" w:bidi="ar-SA"/>
              </w:rPr>
              <w:t>，</w:t>
            </w:r>
            <w:r>
              <w:rPr>
                <w:rFonts w:hint="eastAsia" w:ascii="宋体" w:hAnsi="宋体" w:eastAsia="宋体" w:cs="宋体"/>
                <w:sz w:val="18"/>
                <w:szCs w:val="18"/>
                <w:highlight w:val="none"/>
                <w:u w:val="none"/>
              </w:rPr>
              <w:t>具体采购内容及详细技术要求见采购文件相关部分。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Mar>
              <w:top w:w="0" w:type="dxa"/>
              <w:left w:w="108" w:type="dxa"/>
              <w:bottom w:w="0" w:type="dxa"/>
              <w:right w:w="108" w:type="dxa"/>
            </w:tcMar>
            <w:vAlign w:val="center"/>
          </w:tcPr>
          <w:p>
            <w:pPr>
              <w:widowControl/>
              <w:spacing w:before="60" w:after="60" w:line="240" w:lineRule="exact"/>
              <w:jc w:val="center"/>
              <w:rPr>
                <w:rFonts w:hint="default"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WGSS-JFJT-X-2025011-02</w:t>
            </w:r>
          </w:p>
        </w:tc>
        <w:tc>
          <w:tcPr>
            <w:tcW w:w="2132" w:type="dxa"/>
            <w:tcMar>
              <w:top w:w="0" w:type="dxa"/>
              <w:left w:w="108" w:type="dxa"/>
              <w:bottom w:w="0" w:type="dxa"/>
              <w:right w:w="108" w:type="dxa"/>
            </w:tcMar>
            <w:vAlign w:val="center"/>
          </w:tcPr>
          <w:p>
            <w:pPr>
              <w:widowControl/>
              <w:spacing w:before="60" w:after="60" w:line="240" w:lineRule="exact"/>
              <w:jc w:val="center"/>
              <w:rPr>
                <w:rFonts w:hint="eastAsia" w:ascii="宋体" w:hAnsi="宋体" w:eastAsia="宋体" w:cs="宋体"/>
                <w:color w:val="auto"/>
                <w:sz w:val="18"/>
                <w:szCs w:val="18"/>
                <w:highlight w:val="none"/>
              </w:rPr>
            </w:pPr>
            <w:r>
              <w:rPr>
                <w:rFonts w:hint="eastAsia" w:ascii="宋体" w:hAnsi="宋体" w:eastAsia="宋体" w:cs="宋体"/>
                <w:kern w:val="0"/>
                <w:sz w:val="18"/>
                <w:szCs w:val="18"/>
                <w:highlight w:val="none"/>
                <w:u w:val="none"/>
                <w:lang w:val="en-US" w:eastAsia="zh-CN" w:bidi="ar-SA"/>
              </w:rPr>
              <w:t>温州苍泰高速公路有限公司</w:t>
            </w:r>
            <w:r>
              <w:rPr>
                <w:rFonts w:hint="eastAsia" w:ascii="宋体" w:hAnsi="宋体" w:eastAsia="宋体" w:cs="宋体"/>
                <w:bCs/>
                <w:color w:val="auto"/>
                <w:kern w:val="0"/>
                <w:sz w:val="18"/>
                <w:szCs w:val="18"/>
                <w:highlight w:val="none"/>
                <w:lang w:val="en-US" w:eastAsia="zh-CN" w:bidi="ar-SA"/>
              </w:rPr>
              <w:t>等十个单位生产经营用车保险服务</w:t>
            </w:r>
          </w:p>
        </w:tc>
        <w:tc>
          <w:tcPr>
            <w:tcW w:w="1103" w:type="dxa"/>
            <w:tcMar>
              <w:top w:w="0" w:type="dxa"/>
              <w:left w:w="108" w:type="dxa"/>
              <w:bottom w:w="0" w:type="dxa"/>
              <w:right w:w="108" w:type="dxa"/>
            </w:tcMar>
            <w:vAlign w:val="center"/>
          </w:tcPr>
          <w:p>
            <w:pPr>
              <w:widowControl/>
              <w:spacing w:before="60" w:after="60" w:line="240" w:lineRule="exact"/>
              <w:jc w:val="center"/>
              <w:rPr>
                <w:rFonts w:hint="default" w:ascii="宋体" w:hAnsi="宋体" w:eastAsia="宋体" w:cs="宋体"/>
                <w:bCs/>
                <w:strike w:val="0"/>
                <w:color w:val="auto"/>
                <w:kern w:val="0"/>
                <w:sz w:val="18"/>
                <w:szCs w:val="18"/>
                <w:highlight w:val="none"/>
                <w:lang w:val="en-US" w:eastAsia="zh-CN" w:bidi="ar-SA"/>
              </w:rPr>
            </w:pPr>
            <w:r>
              <w:rPr>
                <w:rFonts w:hint="eastAsia" w:ascii="宋体" w:hAnsi="宋体" w:eastAsia="宋体" w:cs="宋体"/>
                <w:bCs/>
                <w:strike w:val="0"/>
                <w:color w:val="auto"/>
                <w:kern w:val="0"/>
                <w:sz w:val="18"/>
                <w:szCs w:val="18"/>
                <w:highlight w:val="none"/>
                <w:lang w:val="en-US" w:eastAsia="zh-CN" w:bidi="ar-SA"/>
              </w:rPr>
              <w:t>155</w:t>
            </w:r>
          </w:p>
        </w:tc>
        <w:tc>
          <w:tcPr>
            <w:tcW w:w="4459" w:type="dxa"/>
            <w:shd w:val="clear" w:color="auto" w:fill="auto"/>
            <w:tcMar>
              <w:top w:w="0" w:type="dxa"/>
              <w:left w:w="108" w:type="dxa"/>
              <w:bottom w:w="0" w:type="dxa"/>
              <w:right w:w="108" w:type="dxa"/>
            </w:tcMar>
            <w:vAlign w:val="center"/>
          </w:tcPr>
          <w:p>
            <w:pPr>
              <w:widowControl/>
              <w:spacing w:before="60" w:after="60"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bidi="ar-SA"/>
              </w:rPr>
              <w:t>温州市交通发展集团有限公司本部等十个单位生产经营用车保险服务</w:t>
            </w:r>
            <w:r>
              <w:rPr>
                <w:rFonts w:hint="eastAsia" w:ascii="宋体" w:hAnsi="宋体" w:eastAsia="宋体" w:cs="宋体"/>
                <w:sz w:val="18"/>
                <w:szCs w:val="18"/>
                <w:highlight w:val="none"/>
                <w:u w:val="none"/>
              </w:rPr>
              <w:t>，服务年限为1年，合同采用1年+1年+1年模式</w:t>
            </w:r>
            <w:r>
              <w:rPr>
                <w:rFonts w:hint="eastAsia" w:ascii="宋体" w:hAnsi="宋体" w:eastAsia="宋体" w:cs="宋体"/>
                <w:color w:val="auto"/>
                <w:kern w:val="2"/>
                <w:sz w:val="18"/>
                <w:szCs w:val="18"/>
                <w:highlight w:val="none"/>
                <w:lang w:val="en-US" w:eastAsia="zh-CN" w:bidi="ar-SA"/>
              </w:rPr>
              <w:t>，</w:t>
            </w:r>
            <w:r>
              <w:rPr>
                <w:rFonts w:hint="eastAsia" w:ascii="宋体" w:hAnsi="宋体" w:eastAsia="宋体" w:cs="宋体"/>
                <w:sz w:val="18"/>
                <w:szCs w:val="18"/>
                <w:highlight w:val="none"/>
                <w:u w:val="none"/>
              </w:rPr>
              <w:t>具体采购内容及详细技术要求见采购文件相关部分。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9" w:type="dxa"/>
            <w:gridSpan w:val="4"/>
            <w:shd w:val="clear" w:color="auto" w:fill="auto"/>
            <w:tcMar>
              <w:top w:w="0" w:type="dxa"/>
              <w:left w:w="108" w:type="dxa"/>
              <w:bottom w:w="0" w:type="dxa"/>
              <w:right w:w="108" w:type="dxa"/>
            </w:tcMar>
            <w:vAlign w:val="center"/>
          </w:tcPr>
          <w:p>
            <w:pPr>
              <w:widowControl/>
              <w:spacing w:before="60" w:after="60"/>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color w:val="auto"/>
                <w:sz w:val="18"/>
                <w:szCs w:val="18"/>
                <w:highlight w:val="none"/>
              </w:rPr>
              <w:t>备注：本项目分</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个标段，投标人可</w:t>
            </w:r>
            <w:r>
              <w:rPr>
                <w:rFonts w:hint="eastAsia" w:ascii="宋体" w:hAnsi="宋体" w:eastAsia="宋体" w:cs="宋体"/>
                <w:color w:val="auto"/>
                <w:sz w:val="18"/>
                <w:szCs w:val="18"/>
                <w:highlight w:val="none"/>
                <w:lang w:val="en-US" w:eastAsia="zh-CN"/>
              </w:rPr>
              <w:t>仅对其中1个标段进行投标，也可以同时参与其中的2个标段的投标</w:t>
            </w:r>
            <w:r>
              <w:rPr>
                <w:rFonts w:hint="eastAsia" w:ascii="宋体" w:hAnsi="宋体" w:eastAsia="宋体" w:cs="宋体"/>
                <w:color w:val="auto"/>
                <w:sz w:val="18"/>
                <w:szCs w:val="18"/>
                <w:highlight w:val="none"/>
              </w:rPr>
              <w:t>，本项目</w:t>
            </w:r>
            <w:r>
              <w:rPr>
                <w:rFonts w:hint="eastAsia" w:ascii="宋体" w:hAnsi="宋体" w:eastAsia="宋体" w:cs="宋体"/>
                <w:color w:val="auto"/>
                <w:sz w:val="18"/>
                <w:szCs w:val="18"/>
                <w:highlight w:val="none"/>
                <w:lang w:val="en-US" w:eastAsia="zh-CN"/>
              </w:rPr>
              <w:t>同一</w:t>
            </w:r>
            <w:r>
              <w:rPr>
                <w:rFonts w:hint="eastAsia" w:ascii="宋体" w:hAnsi="宋体" w:eastAsia="宋体" w:cs="宋体"/>
                <w:color w:val="auto"/>
                <w:sz w:val="18"/>
                <w:szCs w:val="18"/>
                <w:highlight w:val="none"/>
              </w:rPr>
              <w:t>投标人最多只允许中</w:t>
            </w:r>
            <w:r>
              <w:rPr>
                <w:rFonts w:hint="eastAsia" w:ascii="宋体" w:hAnsi="宋体" w:eastAsia="宋体" w:cs="宋体"/>
                <w:color w:val="auto"/>
                <w:sz w:val="18"/>
                <w:szCs w:val="18"/>
                <w:highlight w:val="none"/>
                <w:lang w:val="en-US" w:eastAsia="zh-CN"/>
              </w:rPr>
              <w:t>标1</w:t>
            </w:r>
            <w:r>
              <w:rPr>
                <w:rFonts w:hint="eastAsia" w:ascii="宋体" w:hAnsi="宋体" w:eastAsia="宋体" w:cs="宋体"/>
                <w:color w:val="auto"/>
                <w:sz w:val="18"/>
                <w:szCs w:val="18"/>
                <w:highlight w:val="none"/>
              </w:rPr>
              <w:t>个标段，具体</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内容及服务要求见</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文件相关部分。</w:t>
            </w:r>
          </w:p>
        </w:tc>
      </w:tr>
    </w:tbl>
    <w:p>
      <w:pPr>
        <w:widowControl/>
        <w:spacing w:before="60" w:after="60" w:line="280" w:lineRule="exact"/>
        <w:ind w:right="60"/>
        <w:jc w:val="left"/>
        <w:rPr>
          <w:rFonts w:hint="eastAsia" w:ascii="宋体" w:hAnsi="宋体" w:eastAsia="宋体" w:cs="宋体"/>
          <w:b/>
          <w:bCs w:val="0"/>
          <w:color w:val="auto"/>
          <w:kern w:val="0"/>
          <w:szCs w:val="21"/>
          <w:highlight w:val="none"/>
        </w:rPr>
      </w:pPr>
      <w:bookmarkStart w:id="3" w:name="B09_招标内容"/>
      <w:bookmarkEnd w:id="3"/>
      <w:r>
        <w:rPr>
          <w:rFonts w:hint="eastAsia" w:ascii="宋体" w:hAnsi="宋体" w:eastAsia="宋体" w:cs="宋体"/>
          <w:b/>
          <w:bCs w:val="0"/>
          <w:color w:val="auto"/>
          <w:kern w:val="0"/>
          <w:szCs w:val="21"/>
          <w:highlight w:val="none"/>
        </w:rPr>
        <w:t>五、投标人资格要求（标段1、标段2通用）：</w:t>
      </w:r>
    </w:p>
    <w:p>
      <w:pPr>
        <w:widowControl/>
        <w:spacing w:line="280" w:lineRule="exact"/>
        <w:ind w:firstLine="420" w:firstLineChars="200"/>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符合《</w:t>
      </w:r>
      <w:r>
        <w:rPr>
          <w:rFonts w:hint="eastAsia" w:ascii="宋体" w:hAnsi="宋体" w:eastAsia="宋体" w:cs="宋体"/>
          <w:color w:val="auto"/>
          <w:kern w:val="0"/>
          <w:szCs w:val="21"/>
          <w:highlight w:val="none"/>
          <w:lang w:eastAsia="zh-CN"/>
        </w:rPr>
        <w:t>温州市市属国有企业采购管理办法</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shd w:val="clear" w:color="auto" w:fill="auto"/>
          <w:lang w:eastAsia="zh-CN"/>
        </w:rPr>
        <w:t>（温国资委〔2024〕第51号）第十八条</w:t>
      </w:r>
      <w:r>
        <w:rPr>
          <w:rFonts w:hint="eastAsia" w:ascii="宋体" w:hAnsi="宋体" w:eastAsia="宋体" w:cs="宋体"/>
          <w:color w:val="auto"/>
          <w:kern w:val="0"/>
          <w:szCs w:val="21"/>
          <w:highlight w:val="none"/>
          <w:shd w:val="clear" w:color="auto" w:fill="auto"/>
        </w:rPr>
        <w:t>对投标人参加温州市国有企业采购活动应当具备的基本资格条件；</w:t>
      </w:r>
    </w:p>
    <w:p>
      <w:pPr>
        <w:widowControl/>
        <w:spacing w:line="280" w:lineRule="exact"/>
        <w:ind w:firstLine="420" w:firstLineChars="200"/>
        <w:jc w:val="left"/>
        <w:rPr>
          <w:rFonts w:hint="eastAsia" w:ascii="宋体" w:hAnsi="宋体" w:eastAsia="宋体" w:cs="宋体"/>
          <w:strike/>
          <w:color w:val="auto"/>
          <w:szCs w:val="21"/>
          <w:highlight w:val="yellow"/>
          <w:lang w:val="en-US" w:eastAsia="zh-CN"/>
        </w:rPr>
      </w:pPr>
      <w:r>
        <w:rPr>
          <w:rFonts w:hint="eastAsia" w:ascii="宋体" w:hAnsi="宋体" w:eastAsia="宋体" w:cs="宋体"/>
          <w:color w:val="auto"/>
          <w:szCs w:val="21"/>
          <w:highlight w:val="none"/>
          <w:lang w:val="en-US" w:eastAsia="zh-CN"/>
        </w:rPr>
        <w:t>2、经中国银行保险监督管理委员会批准的，具有法定保险执业资格，可以开展机动车辆保险业务的保险公司或其合法的分支机构；</w:t>
      </w:r>
    </w:p>
    <w:p>
      <w:pPr>
        <w:widowControl/>
        <w:spacing w:line="2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3、截至投标截止时间，</w:t>
      </w:r>
      <w:r>
        <w:rPr>
          <w:rFonts w:hint="eastAsia" w:ascii="宋体" w:hAnsi="宋体" w:eastAsia="宋体" w:cs="宋体"/>
          <w:color w:val="auto"/>
          <w:szCs w:val="21"/>
          <w:highlight w:val="none"/>
        </w:rPr>
        <w:t>投标人未被“信用中国”网(www.creditchina.gov.cn)列入失信被执行人、重大税收违法案件当事人名单；</w:t>
      </w:r>
    </w:p>
    <w:p>
      <w:pPr>
        <w:widowControl/>
        <w:spacing w:line="2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单位负责人为同一人或者存在直接控股、管理关系的不同</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，不得同时参加本项目投标活动，</w:t>
      </w:r>
      <w:r>
        <w:rPr>
          <w:rFonts w:hint="eastAsia" w:ascii="宋体" w:hAnsi="宋体" w:eastAsia="宋体" w:cs="宋体"/>
          <w:color w:val="auto"/>
          <w:kern w:val="0"/>
          <w:szCs w:val="21"/>
          <w:highlight w:val="none"/>
        </w:rPr>
        <w:t>违反该款规定的，相关投标均无效；</w:t>
      </w:r>
    </w:p>
    <w:p>
      <w:pPr>
        <w:widowControl/>
        <w:spacing w:before="0" w:after="0" w:line="280" w:lineRule="exact"/>
        <w:ind w:right="0" w:firstLine="420" w:firstLineChars="200"/>
        <w:jc w:val="left"/>
        <w:rPr>
          <w:rFonts w:hint="eastAsia" w:ascii="宋体" w:hAnsi="宋体" w:eastAsia="宋体" w:cs="宋体"/>
          <w:bCs w:val="0"/>
          <w:color w:val="auto"/>
          <w:kern w:val="2"/>
          <w:szCs w:val="21"/>
          <w:highlight w:val="none"/>
          <w:lang w:val="en-US" w:eastAsia="zh-CN"/>
        </w:rPr>
      </w:pPr>
      <w:r>
        <w:rPr>
          <w:rFonts w:hint="eastAsia" w:ascii="宋体" w:hAnsi="宋体" w:eastAsia="宋体" w:cs="宋体"/>
          <w:color w:val="auto"/>
          <w:szCs w:val="21"/>
          <w:highlight w:val="none"/>
          <w:lang w:eastAsia="zh-CN"/>
        </w:rPr>
        <w:t>5、本</w:t>
      </w:r>
      <w:r>
        <w:rPr>
          <w:rFonts w:hint="eastAsia" w:ascii="宋体" w:hAnsi="宋体" w:eastAsia="宋体" w:cs="宋体"/>
          <w:color w:val="auto"/>
          <w:szCs w:val="21"/>
          <w:highlight w:val="none"/>
          <w:lang w:val="en-US" w:eastAsia="zh-CN"/>
        </w:rPr>
        <w:t>项目不</w:t>
      </w:r>
      <w:r>
        <w:rPr>
          <w:rFonts w:hint="eastAsia" w:ascii="宋体" w:hAnsi="宋体" w:eastAsia="宋体" w:cs="宋体"/>
          <w:color w:val="auto"/>
          <w:szCs w:val="21"/>
          <w:highlight w:val="none"/>
          <w:lang w:eastAsia="zh-CN"/>
        </w:rPr>
        <w:t>接受联合体投标。</w:t>
      </w:r>
    </w:p>
    <w:p>
      <w:pPr>
        <w:widowControl/>
        <w:spacing w:before="60" w:after="60" w:line="280" w:lineRule="exact"/>
        <w:ind w:right="60"/>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六、</w:t>
      </w:r>
      <w:r>
        <w:rPr>
          <w:rFonts w:hint="eastAsia" w:ascii="宋体" w:hAnsi="宋体" w:eastAsia="宋体" w:cs="宋体"/>
          <w:b/>
          <w:bCs w:val="0"/>
          <w:color w:val="auto"/>
          <w:kern w:val="0"/>
          <w:szCs w:val="21"/>
          <w:highlight w:val="none"/>
          <w:lang w:val="en-US" w:eastAsia="zh-CN"/>
        </w:rPr>
        <w:t>获取</w:t>
      </w:r>
      <w:r>
        <w:rPr>
          <w:rFonts w:hint="eastAsia" w:ascii="宋体" w:hAnsi="宋体" w:eastAsia="宋体" w:cs="宋体"/>
          <w:b/>
          <w:bCs w:val="0"/>
          <w:color w:val="auto"/>
          <w:kern w:val="0"/>
          <w:szCs w:val="21"/>
          <w:highlight w:val="none"/>
        </w:rPr>
        <w:t>采购文件时间及地点：</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1、报名时间及采购文件发售时间：公告发布之日起至投标截止时间止（08：30-11：30，14：30-17：00，节假日除外，未购买采购文件的潜在投标</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拒绝参加投标）。</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2、购领采购文件地点：</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（1）乐采云平台（https://www.lecaiyun.com）；</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（2）供应商网上报名操作指南：“乐采云-注册-供应商注册”（https://middle-lcy.lecaiyun.com/luban/registry/promotion?utm=luban.luban-PC-55609.387-pc-self-banner-new-front.d2001.886f5af0534611efa282f378895b071f）。</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3、采购文件获取方式：潜在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登陆乐采云平台，在线申请获取采购文件（进入“项目采购”应用，在获取采购文件菜单中选择项目，申请获取采购文件。仅需浏览采购文件的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潜在投标人</w:t>
      </w:r>
      <w:r>
        <w:rPr>
          <w:rFonts w:hint="eastAsia" w:ascii="宋体" w:hAnsi="宋体" w:eastAsia="宋体" w:cs="宋体"/>
          <w:color w:val="000000" w:themeColor="text1"/>
          <w:kern w:val="0"/>
          <w:szCs w:val="21"/>
          <w:highlight w:val="none"/>
          <w14:textFill>
            <w14:solidFill>
              <w14:schemeClr w14:val="tx1"/>
            </w14:solidFill>
          </w14:textFill>
        </w:rPr>
        <w:t>可点击“游客，浏览采购文件”直接下载采购文件浏览）。</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4、投标</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获取采购文件时须提交的文件资料：</w:t>
      </w:r>
      <w:r>
        <w:rPr>
          <w:rFonts w:hint="eastAsia" w:ascii="宋体" w:hAnsi="宋体" w:eastAsia="宋体" w:cs="宋体"/>
          <w:b/>
          <w:bCs w:val="0"/>
          <w:color w:val="auto"/>
          <w:kern w:val="0"/>
          <w:szCs w:val="21"/>
          <w:highlight w:val="none"/>
          <w:lang w:val="en-US" w:eastAsia="zh-CN"/>
        </w:rPr>
        <w:t>报名登记表</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5、提示：采购公告附件内的采购文件（或采购需求）仅供阅览使用，</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只有在“乐采云平台”完成获取采购文件申请并下载了采购文件后才视作依法获取采购文件（法律法规所指的供应商获取采购文件时间以供应商完成获取采购文件申请后下载采购文件的时间为准）。</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注：请</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按上述要求获取采购文件，如未在“乐采云”系统内完成相关流程，引起的投标无效，责任自负。</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6、采购文件售价：人民币500元整</w:t>
      </w:r>
      <w:r>
        <w:rPr>
          <w:rFonts w:hint="eastAsia" w:ascii="宋体" w:hAnsi="宋体" w:eastAsia="宋体" w:cs="宋体"/>
          <w:color w:val="000000" w:themeColor="text1"/>
          <w:kern w:val="0"/>
          <w:szCs w:val="21"/>
          <w:highlight w:val="none"/>
          <w:lang w:val="en-US" w:eastAsia="zh-CN"/>
          <w14:textFill>
            <w14:solidFill>
              <w14:schemeClr w14:val="tx1"/>
            </w14:solidFill>
          </w14:textFill>
        </w:rPr>
        <w:t>/标段</w:t>
      </w:r>
      <w:r>
        <w:rPr>
          <w:rFonts w:hint="eastAsia" w:ascii="宋体" w:hAnsi="宋体" w:eastAsia="宋体" w:cs="宋体"/>
          <w:color w:val="000000" w:themeColor="text1"/>
          <w:kern w:val="0"/>
          <w:szCs w:val="21"/>
          <w:highlight w:val="none"/>
          <w14:textFill>
            <w14:solidFill>
              <w14:schemeClr w14:val="tx1"/>
            </w14:solidFill>
          </w14:textFill>
        </w:rPr>
        <w:t>（售后不退），购买标书及注意事项：</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网上报名后，请将标书购买费汇入代理公司账户（缴纳报名费后将缴费截图、可以拷贝的开票信息等资料发代理机构电子邮箱1826066763@qq.com）并马上联系采购代理公司审核，标书款汇入账户信息：</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单位名称：浙江国际招投标有限公司</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开户银行：工商银行杭州市武林支行</w:t>
      </w:r>
    </w:p>
    <w:p>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账    号：1202021209906782015</w:t>
      </w:r>
    </w:p>
    <w:p>
      <w:pPr>
        <w:widowControl/>
        <w:spacing w:before="60" w:after="60" w:line="280" w:lineRule="exact"/>
        <w:ind w:left="60" w:right="60"/>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rPr>
        <w:t>七、投标截止时间：</w:t>
      </w:r>
      <w:bookmarkStart w:id="4" w:name="B23_谈判响应文件提交截止日期"/>
      <w:bookmarkEnd w:id="4"/>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12</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10</w:t>
      </w:r>
      <w:r>
        <w:rPr>
          <w:rFonts w:hint="eastAsia" w:ascii="宋体" w:hAnsi="宋体" w:eastAsia="宋体" w:cs="宋体"/>
          <w:bCs/>
          <w:color w:val="0000FF"/>
          <w:kern w:val="0"/>
          <w:szCs w:val="21"/>
          <w:highlight w:val="none"/>
        </w:rPr>
        <w:t>日9时30分(北京时间，下同)</w:t>
      </w:r>
      <w:r>
        <w:rPr>
          <w:rFonts w:hint="eastAsia" w:ascii="宋体" w:hAnsi="宋体" w:eastAsia="宋体" w:cs="宋体"/>
          <w:bCs/>
          <w:kern w:val="0"/>
          <w:szCs w:val="21"/>
          <w:highlight w:val="none"/>
        </w:rPr>
        <w:t>。</w:t>
      </w:r>
    </w:p>
    <w:p>
      <w:pPr>
        <w:widowControl/>
        <w:spacing w:before="60" w:after="60" w:line="280" w:lineRule="exact"/>
        <w:ind w:left="578" w:leftChars="29" w:right="60" w:hanging="517" w:hangingChars="245"/>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rPr>
        <w:t>八、投标文件提交地点：</w:t>
      </w:r>
      <w:r>
        <w:rPr>
          <w:rFonts w:hint="eastAsia" w:ascii="宋体" w:hAnsi="宋体" w:eastAsia="宋体" w:cs="宋体"/>
          <w:bCs/>
          <w:kern w:val="0"/>
          <w:szCs w:val="21"/>
          <w:highlight w:val="none"/>
        </w:rPr>
        <w:t>温州市政务服务管理中心开标区 (温州市鹿城区会展路1268号温州市民中心A座3楼公共资源交易专区)（详见当天大厅大屏幕）。</w:t>
      </w:r>
    </w:p>
    <w:p>
      <w:pPr>
        <w:widowControl/>
        <w:spacing w:before="60" w:after="60" w:line="280" w:lineRule="exact"/>
        <w:ind w:left="60" w:right="60"/>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rPr>
        <w:t>九、开标时间：</w:t>
      </w:r>
      <w:bookmarkStart w:id="5" w:name="B26_谈判时间日期"/>
      <w:bookmarkEnd w:id="5"/>
      <w:r>
        <w:rPr>
          <w:rFonts w:hint="eastAsia" w:ascii="宋体" w:hAnsi="宋体" w:eastAsia="宋体" w:cs="宋体"/>
          <w:bCs/>
          <w:kern w:val="0"/>
          <w:szCs w:val="21"/>
          <w:highlight w:val="none"/>
        </w:rPr>
        <w:t>同投标截止时间。</w:t>
      </w:r>
    </w:p>
    <w:p>
      <w:pPr>
        <w:widowControl/>
        <w:spacing w:before="60" w:after="60" w:line="280" w:lineRule="exact"/>
        <w:ind w:left="578" w:leftChars="29" w:right="60" w:hanging="517" w:hangingChars="245"/>
        <w:jc w:val="left"/>
        <w:rPr>
          <w:rFonts w:hint="eastAsia" w:ascii="宋体" w:hAnsi="宋体" w:eastAsia="宋体" w:cs="宋体"/>
          <w:szCs w:val="21"/>
          <w:highlight w:val="none"/>
          <w:shd w:val="clear" w:color="auto" w:fill="FFFFFF"/>
        </w:rPr>
      </w:pPr>
      <w:r>
        <w:rPr>
          <w:rFonts w:hint="eastAsia" w:ascii="宋体" w:hAnsi="宋体" w:eastAsia="宋体" w:cs="宋体"/>
          <w:b/>
          <w:bCs w:val="0"/>
          <w:kern w:val="0"/>
          <w:szCs w:val="21"/>
          <w:highlight w:val="none"/>
        </w:rPr>
        <w:t>十、开标地点：</w:t>
      </w:r>
      <w:r>
        <w:rPr>
          <w:rFonts w:hint="eastAsia" w:ascii="宋体" w:hAnsi="宋体" w:eastAsia="宋体" w:cs="宋体"/>
          <w:bCs/>
          <w:kern w:val="0"/>
          <w:szCs w:val="21"/>
          <w:highlight w:val="none"/>
        </w:rPr>
        <w:t>温州市政务服务管理中心开标区 (温州市鹿城区会展路1268号温州市民中心A座3楼公共资源交易专区)（详见当天大厅大屏幕）</w:t>
      </w:r>
      <w:r>
        <w:rPr>
          <w:rFonts w:hint="eastAsia" w:ascii="宋体" w:hAnsi="宋体" w:eastAsia="宋体" w:cs="宋体"/>
          <w:szCs w:val="21"/>
          <w:highlight w:val="none"/>
          <w:shd w:val="clear" w:color="auto" w:fill="FFFFFF"/>
        </w:rPr>
        <w:t>。</w:t>
      </w:r>
    </w:p>
    <w:p>
      <w:pPr>
        <w:widowControl/>
        <w:spacing w:before="60" w:after="60" w:line="280" w:lineRule="exact"/>
        <w:ind w:left="60"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rPr>
        <w:t>十一、投标保证金及交付方式：</w:t>
      </w:r>
    </w:p>
    <w:p>
      <w:pPr>
        <w:widowControl/>
        <w:spacing w:before="60" w:after="60" w:line="280" w:lineRule="exact"/>
        <w:ind w:right="62" w:firstLine="420" w:firstLineChars="200"/>
        <w:jc w:val="left"/>
        <w:rPr>
          <w:rFonts w:hint="eastAsia" w:ascii="宋体" w:hAnsi="宋体" w:eastAsia="宋体" w:cs="宋体"/>
          <w:b w:val="0"/>
          <w:bCs w:val="0"/>
          <w:color w:val="auto"/>
          <w:kern w:val="0"/>
          <w:szCs w:val="21"/>
          <w:highlight w:val="none"/>
          <w:u w:val="single"/>
        </w:rPr>
      </w:pPr>
      <w:bookmarkStart w:id="6" w:name="B29_谈判保证金"/>
      <w:bookmarkEnd w:id="6"/>
      <w:bookmarkStart w:id="7" w:name="_Hlk516555339"/>
      <w:bookmarkStart w:id="8" w:name="_Hlk3381632"/>
      <w:r>
        <w:rPr>
          <w:rFonts w:hint="eastAsia" w:ascii="宋体" w:hAnsi="宋体" w:eastAsia="宋体" w:cs="宋体"/>
          <w:kern w:val="0"/>
          <w:szCs w:val="21"/>
          <w:highlight w:val="none"/>
        </w:rPr>
        <w:t>投标保证金：</w:t>
      </w:r>
      <w:r>
        <w:rPr>
          <w:rFonts w:hint="eastAsia" w:ascii="宋体" w:hAnsi="宋体" w:eastAsia="宋体" w:cs="宋体"/>
          <w:b/>
          <w:bCs/>
          <w:kern w:val="0"/>
          <w:szCs w:val="21"/>
          <w:highlight w:val="none"/>
        </w:rPr>
        <w:t>要求分标段缴纳，</w:t>
      </w:r>
      <w:r>
        <w:rPr>
          <w:rFonts w:hint="eastAsia" w:ascii="宋体" w:hAnsi="宋体" w:eastAsia="宋体" w:cs="宋体"/>
          <w:kern w:val="0"/>
          <w:szCs w:val="21"/>
          <w:highlight w:val="none"/>
        </w:rPr>
        <w:t>采用银行转账形</w:t>
      </w:r>
      <w:r>
        <w:rPr>
          <w:rFonts w:hint="eastAsia" w:ascii="宋体" w:hAnsi="宋体" w:eastAsia="宋体" w:cs="宋体"/>
          <w:highlight w:val="none"/>
        </w:rPr>
        <w:t>，</w:t>
      </w:r>
      <w:r>
        <w:rPr>
          <w:rFonts w:hint="eastAsia" w:ascii="宋体" w:hAnsi="宋体" w:eastAsia="宋体" w:cs="宋体"/>
          <w:b w:val="0"/>
          <w:bCs w:val="0"/>
          <w:color w:val="auto"/>
          <w:kern w:val="0"/>
          <w:szCs w:val="21"/>
          <w:highlight w:val="none"/>
          <w:u w:val="single"/>
        </w:rPr>
        <w:t>投标保证金要求从</w:t>
      </w:r>
      <w:r>
        <w:rPr>
          <w:rFonts w:hint="eastAsia" w:ascii="宋体" w:hAnsi="宋体" w:eastAsia="宋体" w:cs="宋体"/>
          <w:b w:val="0"/>
          <w:bCs w:val="0"/>
          <w:color w:val="auto"/>
          <w:kern w:val="0"/>
          <w:szCs w:val="21"/>
          <w:highlight w:val="none"/>
          <w:u w:val="single"/>
          <w:lang w:eastAsia="zh-CN"/>
        </w:rPr>
        <w:t>投标</w:t>
      </w:r>
      <w:r>
        <w:rPr>
          <w:rFonts w:hint="eastAsia" w:ascii="宋体" w:hAnsi="宋体" w:eastAsia="宋体" w:cs="宋体"/>
          <w:b w:val="0"/>
          <w:bCs w:val="0"/>
          <w:color w:val="auto"/>
          <w:kern w:val="0"/>
          <w:szCs w:val="21"/>
          <w:highlight w:val="none"/>
          <w:u w:val="single"/>
          <w:lang w:val="en-US" w:eastAsia="zh-CN"/>
        </w:rPr>
        <w:t>人</w:t>
      </w:r>
      <w:r>
        <w:rPr>
          <w:rFonts w:hint="eastAsia" w:ascii="宋体" w:hAnsi="宋体" w:eastAsia="宋体" w:cs="宋体"/>
          <w:b w:val="0"/>
          <w:bCs w:val="0"/>
          <w:color w:val="auto"/>
          <w:kern w:val="0"/>
          <w:szCs w:val="21"/>
          <w:highlight w:val="none"/>
          <w:u w:val="single"/>
        </w:rPr>
        <w:t>的银行账号汇出，保证金缴纳时间以到账时间为准（考虑到承销机构的特殊性，如投标人为特定行业的全国性企业所设立的区域性分支机构的，则可以按温州地区分支机构或省内分支机构汇入）。</w:t>
      </w:r>
    </w:p>
    <w:p>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保证金缴纳截止时间：与投标截止时间相同。</w:t>
      </w:r>
    </w:p>
    <w:p>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保证金缴纳账户信息：与标书款汇入账户信息相同。</w:t>
      </w:r>
    </w:p>
    <w:p>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b/>
          <w:bCs/>
          <w:color w:val="auto"/>
          <w:kern w:val="0"/>
          <w:szCs w:val="21"/>
          <w:highlight w:val="none"/>
          <w:u w:val="single"/>
          <w:lang w:val="en-US" w:eastAsia="zh-CN"/>
        </w:rPr>
        <w:t>各标段保证金金额要求：</w:t>
      </w:r>
    </w:p>
    <w:p>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标段1保证金：人民币¥15000.00元</w:t>
      </w:r>
    </w:p>
    <w:p>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标段2保证金：人民币¥15000.00元</w:t>
      </w:r>
    </w:p>
    <w:bookmarkEnd w:id="7"/>
    <w:bookmarkEnd w:id="8"/>
    <w:p>
      <w:pPr>
        <w:widowControl/>
        <w:spacing w:before="60" w:after="60" w:line="280" w:lineRule="exact"/>
        <w:ind w:left="60"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rPr>
        <w:t>十二、其他事项：</w:t>
      </w:r>
    </w:p>
    <w:p>
      <w:pPr>
        <w:widowControl/>
        <w:spacing w:before="60" w:after="60" w:line="280" w:lineRule="exact"/>
        <w:ind w:right="62" w:firstLine="420" w:firstLineChars="200"/>
        <w:jc w:val="left"/>
        <w:rPr>
          <w:rFonts w:hint="eastAsia" w:ascii="宋体" w:hAnsi="宋体" w:eastAsia="宋体" w:cs="宋体"/>
          <w:bCs/>
          <w:kern w:val="0"/>
          <w:szCs w:val="21"/>
          <w:u w:val="single"/>
        </w:rPr>
      </w:pPr>
      <w:r>
        <w:rPr>
          <w:rFonts w:hint="eastAsia" w:ascii="宋体" w:hAnsi="宋体" w:eastAsia="宋体" w:cs="宋体"/>
          <w:bCs/>
          <w:kern w:val="0"/>
          <w:szCs w:val="21"/>
        </w:rPr>
        <w:t>1、</w:t>
      </w:r>
      <w:r>
        <w:rPr>
          <w:rFonts w:hint="eastAsia" w:ascii="宋体" w:hAnsi="宋体" w:eastAsia="宋体" w:cs="宋体"/>
          <w:bCs/>
          <w:color w:val="auto"/>
          <w:kern w:val="0"/>
          <w:szCs w:val="21"/>
          <w:highlight w:val="none"/>
          <w:u w:val="single"/>
          <w:lang w:eastAsia="zh-CN"/>
        </w:rPr>
        <w:t>投标人</w:t>
      </w:r>
      <w:r>
        <w:rPr>
          <w:rFonts w:hint="eastAsia" w:ascii="宋体" w:hAnsi="宋体" w:eastAsia="宋体" w:cs="宋体"/>
          <w:bCs/>
          <w:color w:val="auto"/>
          <w:kern w:val="0"/>
          <w:szCs w:val="21"/>
          <w:highlight w:val="none"/>
          <w:u w:val="single"/>
        </w:rPr>
        <w:t>认为采购文件使自己的权益受到损害的，可以自采购公告发出之日（</w:t>
      </w:r>
      <w:r>
        <w:rPr>
          <w:rFonts w:hint="eastAsia" w:ascii="宋体" w:hAnsi="宋体" w:eastAsia="宋体" w:cs="宋体"/>
          <w:bCs/>
          <w:color w:val="auto"/>
          <w:kern w:val="0"/>
          <w:szCs w:val="21"/>
          <w:highlight w:val="none"/>
          <w:u w:val="single"/>
          <w:lang w:val="en-US" w:eastAsia="zh-CN"/>
        </w:rPr>
        <w:t>采购公告发布</w:t>
      </w:r>
      <w:r>
        <w:rPr>
          <w:rFonts w:hint="eastAsia" w:ascii="宋体" w:hAnsi="宋体" w:eastAsia="宋体" w:cs="宋体"/>
          <w:bCs/>
          <w:color w:val="auto"/>
          <w:kern w:val="0"/>
          <w:szCs w:val="21"/>
          <w:highlight w:val="none"/>
          <w:u w:val="single"/>
        </w:rPr>
        <w:t>当天不算）起6日内，以书面形式向采购人和采购代理机构提出质疑。</w:t>
      </w:r>
    </w:p>
    <w:p>
      <w:pPr>
        <w:widowControl/>
        <w:spacing w:before="60" w:after="60" w:line="280" w:lineRule="exact"/>
        <w:ind w:right="62" w:firstLine="420" w:firstLineChars="200"/>
        <w:jc w:val="left"/>
        <w:rPr>
          <w:rFonts w:hint="eastAsia" w:ascii="宋体" w:hAnsi="宋体" w:eastAsia="宋体" w:cs="宋体"/>
          <w:bCs/>
          <w:kern w:val="0"/>
          <w:szCs w:val="21"/>
          <w:u w:val="single"/>
        </w:rPr>
      </w:pPr>
      <w:r>
        <w:rPr>
          <w:rFonts w:hint="eastAsia" w:ascii="宋体" w:hAnsi="宋体" w:eastAsia="宋体" w:cs="宋体"/>
          <w:bCs/>
          <w:kern w:val="0"/>
          <w:szCs w:val="21"/>
          <w:u w:val="single"/>
          <w:lang w:val="en-US" w:eastAsia="zh-CN"/>
        </w:rPr>
        <w:t>2</w:t>
      </w:r>
      <w:r>
        <w:rPr>
          <w:rFonts w:hint="eastAsia" w:ascii="宋体" w:hAnsi="宋体" w:eastAsia="宋体" w:cs="宋体"/>
          <w:bCs/>
          <w:kern w:val="0"/>
          <w:szCs w:val="21"/>
          <w:u w:val="single"/>
        </w:rPr>
        <w:t>、质疑</w:t>
      </w:r>
      <w:r>
        <w:rPr>
          <w:rFonts w:hint="eastAsia" w:ascii="宋体" w:hAnsi="宋体" w:eastAsia="宋体" w:cs="宋体"/>
          <w:bCs/>
          <w:kern w:val="0"/>
          <w:szCs w:val="21"/>
          <w:u w:val="single"/>
          <w:lang w:eastAsia="zh-CN"/>
        </w:rPr>
        <w:t>投标人</w:t>
      </w:r>
      <w:r>
        <w:rPr>
          <w:rFonts w:hint="eastAsia" w:ascii="宋体" w:hAnsi="宋体" w:eastAsia="宋体" w:cs="宋体"/>
          <w:bCs/>
          <w:kern w:val="0"/>
          <w:szCs w:val="21"/>
          <w:u w:val="single"/>
        </w:rPr>
        <w:t>对采购人、采购代理机构的答复不满意或者采购人、采购代理机构未在规定的时间内作出答复的，可以在答复期满后15个工作日内向</w:t>
      </w:r>
      <w:r>
        <w:rPr>
          <w:rFonts w:hint="eastAsia" w:ascii="宋体" w:hAnsi="宋体" w:eastAsia="宋体" w:cs="宋体"/>
          <w:highlight w:val="none"/>
          <w:lang w:eastAsia="zh-CN"/>
        </w:rPr>
        <w:t>温州市交通发展集团有限公司</w:t>
      </w:r>
      <w:r>
        <w:rPr>
          <w:rFonts w:hint="eastAsia" w:ascii="宋体" w:hAnsi="宋体" w:eastAsia="宋体" w:cs="宋体"/>
          <w:bCs/>
          <w:kern w:val="0"/>
          <w:szCs w:val="21"/>
          <w:u w:val="single"/>
        </w:rPr>
        <w:t>投诉。</w:t>
      </w:r>
    </w:p>
    <w:p>
      <w:pPr>
        <w:widowControl/>
        <w:spacing w:before="60" w:after="60" w:line="280" w:lineRule="exact"/>
        <w:ind w:right="62" w:firstLine="420" w:firstLineChars="200"/>
        <w:jc w:val="left"/>
        <w:rPr>
          <w:rFonts w:hint="eastAsia" w:ascii="宋体" w:hAnsi="宋体" w:eastAsia="宋体" w:cs="宋体"/>
          <w:bCs/>
          <w:kern w:val="0"/>
          <w:szCs w:val="21"/>
          <w:u w:val="single"/>
        </w:rPr>
      </w:pPr>
      <w:r>
        <w:rPr>
          <w:rFonts w:hint="eastAsia" w:ascii="宋体" w:hAnsi="宋体" w:eastAsia="宋体" w:cs="宋体"/>
          <w:bCs/>
          <w:kern w:val="0"/>
          <w:szCs w:val="21"/>
          <w:u w:val="single"/>
          <w:lang w:val="en-US" w:eastAsia="zh-CN"/>
        </w:rPr>
        <w:t>3</w:t>
      </w:r>
      <w:r>
        <w:rPr>
          <w:rFonts w:hint="eastAsia" w:ascii="宋体" w:hAnsi="宋体" w:eastAsia="宋体" w:cs="宋体"/>
          <w:bCs/>
          <w:kern w:val="0"/>
          <w:szCs w:val="21"/>
          <w:u w:val="single"/>
        </w:rPr>
        <w:t>、</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 w:val="21"/>
          <w:szCs w:val="21"/>
          <w:u w:val="single"/>
          <w:lang w:val="en-US" w:eastAsia="zh-CN"/>
        </w:rPr>
        <w:t>会</w:t>
      </w:r>
      <w:r>
        <w:rPr>
          <w:rFonts w:hint="eastAsia" w:ascii="宋体" w:hAnsi="宋体" w:eastAsia="宋体" w:cs="宋体"/>
          <w:bCs/>
          <w:kern w:val="0"/>
          <w:szCs w:val="21"/>
          <w:u w:val="single"/>
        </w:rPr>
        <w:t>负责对投标人反映的企业本部及所属企业在采购活动中出现的违法违规问题进行</w:t>
      </w:r>
      <w:r>
        <w:rPr>
          <w:rFonts w:hint="eastAsia" w:ascii="宋体" w:hAnsi="宋体" w:eastAsia="宋体" w:cs="宋体"/>
          <w:bCs/>
          <w:kern w:val="0"/>
          <w:szCs w:val="21"/>
          <w:u w:val="single"/>
          <w:lang w:val="en-US" w:eastAsia="zh-CN"/>
        </w:rPr>
        <w:t>投诉</w:t>
      </w:r>
      <w:r>
        <w:rPr>
          <w:rFonts w:hint="eastAsia" w:ascii="宋体" w:hAnsi="宋体" w:eastAsia="宋体" w:cs="宋体"/>
          <w:bCs/>
          <w:kern w:val="0"/>
          <w:szCs w:val="21"/>
          <w:u w:val="single"/>
        </w:rPr>
        <w:t>回复。投标人认为</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 w:val="21"/>
          <w:szCs w:val="21"/>
          <w:u w:val="single"/>
          <w:lang w:val="en-US" w:eastAsia="zh-CN"/>
        </w:rPr>
        <w:t>会</w:t>
      </w:r>
      <w:r>
        <w:rPr>
          <w:rFonts w:hint="eastAsia" w:ascii="宋体" w:hAnsi="宋体" w:eastAsia="宋体" w:cs="宋体"/>
          <w:bCs/>
          <w:kern w:val="0"/>
          <w:szCs w:val="21"/>
          <w:u w:val="single"/>
          <w:lang w:val="en-US" w:eastAsia="zh-CN"/>
        </w:rPr>
        <w:t>投诉</w:t>
      </w:r>
      <w:r>
        <w:rPr>
          <w:rFonts w:hint="eastAsia" w:ascii="宋体" w:hAnsi="宋体" w:eastAsia="宋体" w:cs="宋体"/>
          <w:bCs/>
          <w:kern w:val="0"/>
          <w:szCs w:val="21"/>
          <w:u w:val="single"/>
        </w:rPr>
        <w:t>回复处理结果不合法的，可以采购人或采购代理机构为对象依法向人民法院提起诉讼。</w:t>
      </w:r>
    </w:p>
    <w:p>
      <w:pPr>
        <w:widowControl/>
        <w:spacing w:before="60" w:after="60" w:line="280" w:lineRule="exact"/>
        <w:ind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lang w:val="en-US" w:eastAsia="zh-CN"/>
        </w:rPr>
        <w:t>4</w:t>
      </w:r>
      <w:r>
        <w:rPr>
          <w:rFonts w:hint="eastAsia" w:ascii="宋体" w:hAnsi="宋体" w:eastAsia="宋体" w:cs="宋体"/>
          <w:bCs/>
          <w:kern w:val="0"/>
          <w:szCs w:val="21"/>
        </w:rPr>
        <w:t>、采购公告附件的采购文件仅供阅览使用，未按照本公告规定的方式获取采购文件的潜在</w:t>
      </w:r>
      <w:r>
        <w:rPr>
          <w:rFonts w:hint="eastAsia" w:ascii="宋体" w:hAnsi="宋体" w:eastAsia="宋体" w:cs="宋体"/>
          <w:bCs/>
          <w:kern w:val="0"/>
          <w:szCs w:val="21"/>
          <w:lang w:eastAsia="zh-CN"/>
        </w:rPr>
        <w:t>投标人</w:t>
      </w:r>
      <w:r>
        <w:rPr>
          <w:rFonts w:hint="eastAsia" w:ascii="宋体" w:hAnsi="宋体" w:eastAsia="宋体" w:cs="宋体"/>
          <w:bCs/>
          <w:kern w:val="0"/>
          <w:szCs w:val="21"/>
        </w:rPr>
        <w:t>提起的质疑，采购人及采购组织机构将不予受理、</w:t>
      </w:r>
      <w:r>
        <w:rPr>
          <w:rFonts w:hint="eastAsia" w:ascii="宋体" w:hAnsi="宋体" w:eastAsia="宋体" w:cs="宋体"/>
          <w:bCs/>
          <w:kern w:val="0"/>
          <w:szCs w:val="21"/>
          <w:lang w:val="en-US" w:eastAsia="zh-CN"/>
        </w:rPr>
        <w:t>不予</w:t>
      </w:r>
      <w:r>
        <w:rPr>
          <w:rFonts w:hint="eastAsia" w:ascii="宋体" w:hAnsi="宋体" w:eastAsia="宋体" w:cs="宋体"/>
          <w:bCs/>
          <w:kern w:val="0"/>
          <w:szCs w:val="21"/>
        </w:rPr>
        <w:t>答复。</w:t>
      </w:r>
    </w:p>
    <w:p>
      <w:pPr>
        <w:widowControl/>
        <w:spacing w:before="60" w:after="60" w:line="280" w:lineRule="exact"/>
        <w:ind w:right="62" w:firstLine="420" w:firstLineChars="200"/>
        <w:jc w:val="left"/>
        <w:rPr>
          <w:rFonts w:hint="eastAsia" w:ascii="宋体" w:hAnsi="宋体" w:eastAsia="宋体" w:cs="宋体"/>
          <w:bCs/>
          <w:color w:val="auto"/>
          <w:kern w:val="0"/>
          <w:szCs w:val="21"/>
        </w:rPr>
      </w:pPr>
      <w:r>
        <w:rPr>
          <w:rFonts w:hint="eastAsia" w:ascii="宋体" w:hAnsi="宋体" w:eastAsia="宋体" w:cs="宋体"/>
          <w:bCs/>
          <w:kern w:val="0"/>
          <w:szCs w:val="21"/>
          <w:lang w:val="en-US" w:eastAsia="zh-CN"/>
        </w:rPr>
        <w:t>5</w:t>
      </w:r>
      <w:r>
        <w:rPr>
          <w:rFonts w:hint="eastAsia" w:ascii="宋体" w:hAnsi="宋体" w:eastAsia="宋体" w:cs="宋体"/>
          <w:bCs/>
          <w:kern w:val="0"/>
          <w:szCs w:val="21"/>
        </w:rPr>
        <w:t>、</w:t>
      </w:r>
      <w:r>
        <w:rPr>
          <w:rFonts w:hint="eastAsia" w:ascii="宋体" w:hAnsi="宋体" w:eastAsia="宋体" w:cs="宋体"/>
          <w:bCs/>
          <w:kern w:val="0"/>
          <w:szCs w:val="21"/>
          <w:lang w:eastAsia="zh-CN"/>
        </w:rPr>
        <w:t>投标人</w:t>
      </w:r>
      <w:r>
        <w:rPr>
          <w:rFonts w:hint="eastAsia" w:ascii="宋体" w:hAnsi="宋体" w:eastAsia="宋体" w:cs="宋体"/>
          <w:bCs/>
          <w:kern w:val="0"/>
          <w:szCs w:val="21"/>
        </w:rPr>
        <w:t>如对采购文</w:t>
      </w:r>
      <w:r>
        <w:rPr>
          <w:rFonts w:hint="eastAsia" w:ascii="宋体" w:hAnsi="宋体" w:eastAsia="宋体" w:cs="宋体"/>
          <w:bCs/>
          <w:color w:val="auto"/>
          <w:kern w:val="0"/>
          <w:szCs w:val="21"/>
        </w:rPr>
        <w:t>件有疑问应按采购文件规定的询疑截止时间前提出，逾期提出的，采购组织机构可以不予受理、答复。</w:t>
      </w:r>
    </w:p>
    <w:p>
      <w:pPr>
        <w:widowControl/>
        <w:spacing w:before="60" w:after="60" w:line="280" w:lineRule="exact"/>
        <w:ind w:left="60"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rPr>
        <w:t>十三、联系方式</w:t>
      </w:r>
    </w:p>
    <w:p>
      <w:pPr>
        <w:widowControl/>
        <w:spacing w:before="60" w:after="60" w:line="280" w:lineRule="exact"/>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采购人名称：</w:t>
      </w:r>
      <w:r>
        <w:rPr>
          <w:rFonts w:hint="eastAsia" w:ascii="宋体" w:hAnsi="宋体" w:eastAsia="宋体" w:cs="宋体"/>
          <w:highlight w:val="none"/>
          <w:lang w:eastAsia="zh-CN"/>
        </w:rPr>
        <w:t>温州市交通发展集团有限公司</w:t>
      </w:r>
    </w:p>
    <w:p>
      <w:pPr>
        <w:widowControl/>
        <w:spacing w:before="60" w:after="60" w:line="280" w:lineRule="exact"/>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温州市鹿城区车站大道669号尚品商务楼</w:t>
      </w:r>
    </w:p>
    <w:p>
      <w:pPr>
        <w:widowControl/>
        <w:spacing w:before="60" w:after="60" w:line="280" w:lineRule="exact"/>
        <w:ind w:left="62" w:right="62"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eastAsia="zh-CN"/>
        </w:rPr>
        <w:t>林先生</w:t>
      </w:r>
      <w:r>
        <w:rPr>
          <w:rFonts w:hint="eastAsia" w:ascii="宋体" w:hAnsi="宋体" w:eastAsia="宋体" w:cs="宋体"/>
          <w:highlight w:val="none"/>
        </w:rPr>
        <w:t>，联系电话：</w:t>
      </w:r>
      <w:r>
        <w:rPr>
          <w:rFonts w:hint="eastAsia" w:ascii="宋体" w:hAnsi="宋体" w:eastAsia="宋体" w:cs="宋体"/>
          <w:highlight w:val="none"/>
          <w:lang w:eastAsia="zh-CN"/>
        </w:rPr>
        <w:t>0577-88085533</w:t>
      </w:r>
    </w:p>
    <w:p>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pPr>
        <w:widowControl/>
        <w:spacing w:before="60" w:after="60" w:line="280" w:lineRule="exact"/>
        <w:ind w:left="62" w:right="62"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rPr>
        <w:t>联系人：冯先生、</w:t>
      </w:r>
      <w:r>
        <w:rPr>
          <w:rFonts w:hint="eastAsia" w:ascii="宋体" w:hAnsi="宋体" w:eastAsia="宋体" w:cs="宋体"/>
          <w:highlight w:val="none"/>
          <w:lang w:val="en-US" w:eastAsia="zh-CN"/>
        </w:rPr>
        <w:t>周群峰</w:t>
      </w:r>
    </w:p>
    <w:p>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pPr>
        <w:widowControl/>
        <w:spacing w:before="60" w:after="60" w:line="280" w:lineRule="exact"/>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仁信大厦1412室（温州市鹿城区南汇街道法派路与牛山北路交叉口西北50米吴桥路）</w:t>
      </w:r>
    </w:p>
    <w:p>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采购监督管理部门：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pPr>
        <w:widowControl/>
        <w:spacing w:before="60" w:after="60" w:line="280" w:lineRule="exact"/>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联系电话：</w:t>
      </w:r>
      <w:r>
        <w:rPr>
          <w:rFonts w:hint="eastAsia" w:ascii="宋体" w:hAnsi="宋体" w:eastAsia="宋体" w:cs="宋体"/>
          <w:highlight w:val="none"/>
          <w:lang w:eastAsia="zh-CN"/>
        </w:rPr>
        <w:t>0577-85559092</w:t>
      </w:r>
    </w:p>
    <w:p>
      <w:pPr>
        <w:widowControl/>
        <w:spacing w:before="60" w:after="60" w:line="280" w:lineRule="exact"/>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温州市交通发展集团有限公司</w:t>
      </w:r>
      <w:r>
        <w:rPr>
          <w:rFonts w:hint="eastAsia" w:ascii="宋体" w:hAnsi="宋体" w:eastAsia="宋体" w:cs="宋体"/>
          <w:bCs/>
          <w:kern w:val="0"/>
          <w:szCs w:val="21"/>
          <w:highlight w:val="none"/>
        </w:rPr>
        <w:t xml:space="preserve"> </w:t>
      </w:r>
    </w:p>
    <w:p>
      <w:pPr>
        <w:widowControl/>
        <w:spacing w:before="60" w:after="60" w:line="280" w:lineRule="exact"/>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浙江国际招投标有限公司</w:t>
      </w:r>
    </w:p>
    <w:p>
      <w:pPr>
        <w:widowControl/>
        <w:spacing w:before="60" w:after="60" w:line="280" w:lineRule="exact"/>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5</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11</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24</w:t>
      </w:r>
      <w:r>
        <w:rPr>
          <w:rFonts w:hint="eastAsia" w:ascii="宋体" w:hAnsi="宋体" w:eastAsia="宋体" w:cs="宋体"/>
          <w:color w:val="0000FF"/>
          <w:kern w:val="0"/>
          <w:szCs w:val="21"/>
          <w:highlight w:val="none"/>
        </w:rPr>
        <w:t>日</w:t>
      </w:r>
    </w:p>
    <w:p>
      <w:pPr>
        <w:jc w:val="center"/>
        <w:rPr>
          <w:rFonts w:hint="eastAsia" w:ascii="宋体" w:hAnsi="宋体" w:eastAsia="宋体" w:cs="宋体"/>
          <w:b/>
          <w:bCs/>
          <w:sz w:val="24"/>
          <w:highlight w:val="none"/>
          <w:lang w:eastAsia="zh-CN"/>
        </w:rPr>
      </w:pPr>
      <w:bookmarkStart w:id="9" w:name="_Toc491780522"/>
    </w:p>
    <w:p>
      <w:pPr>
        <w:jc w:val="center"/>
        <w:rPr>
          <w:rFonts w:hint="eastAsia" w:ascii="宋体" w:hAnsi="宋体" w:eastAsia="宋体" w:cs="宋体"/>
          <w:b/>
          <w:bCs/>
          <w:sz w:val="24"/>
          <w:highlight w:val="none"/>
          <w:lang w:eastAsia="zh-CN"/>
        </w:rPr>
      </w:pPr>
    </w:p>
    <w:p>
      <w:pPr>
        <w:jc w:val="center"/>
        <w:rPr>
          <w:rFonts w:hint="eastAsia" w:ascii="宋体" w:hAnsi="宋体" w:eastAsia="宋体" w:cs="宋体"/>
          <w:sz w:val="24"/>
          <w:highlight w:val="none"/>
        </w:rPr>
      </w:pPr>
      <w:r>
        <w:rPr>
          <w:rFonts w:hint="eastAsia" w:ascii="宋体" w:hAnsi="宋体" w:eastAsia="宋体" w:cs="宋体"/>
          <w:b/>
          <w:bCs/>
          <w:sz w:val="24"/>
          <w:highlight w:val="none"/>
          <w:lang w:eastAsia="zh-CN"/>
        </w:rPr>
        <w:t>温州市交通发展集团有限公司</w:t>
      </w:r>
      <w:r>
        <w:rPr>
          <w:rFonts w:hint="eastAsia" w:ascii="宋体" w:hAnsi="宋体" w:eastAsia="宋体" w:cs="宋体"/>
          <w:b/>
          <w:bCs/>
          <w:sz w:val="24"/>
          <w:highlight w:val="none"/>
        </w:rPr>
        <w:t>关于</w:t>
      </w:r>
      <w:r>
        <w:rPr>
          <w:rFonts w:hint="eastAsia" w:ascii="宋体" w:hAnsi="宋体" w:eastAsia="宋体" w:cs="宋体"/>
          <w:b/>
          <w:bCs/>
          <w:sz w:val="24"/>
          <w:highlight w:val="none"/>
          <w:lang w:val="en-US" w:eastAsia="zh-CN"/>
        </w:rPr>
        <w:t>集团系统生产经营用车保险服务</w:t>
      </w:r>
      <w:r>
        <w:rPr>
          <w:rFonts w:hint="eastAsia" w:ascii="宋体" w:hAnsi="宋体" w:eastAsia="宋体" w:cs="宋体"/>
          <w:b/>
          <w:bCs/>
          <w:sz w:val="24"/>
          <w:highlight w:val="none"/>
        </w:rPr>
        <w:t>项目的征求意见公示</w:t>
      </w:r>
      <w:bookmarkEnd w:id="9"/>
    </w:p>
    <w:p>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p>
    <w:p>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浙江国际招投标有限公司受</w:t>
      </w:r>
      <w:r>
        <w:rPr>
          <w:rFonts w:hint="eastAsia" w:ascii="宋体" w:hAnsi="宋体" w:eastAsia="宋体" w:cs="宋体"/>
          <w:bCs/>
          <w:kern w:val="0"/>
          <w:szCs w:val="21"/>
          <w:highlight w:val="none"/>
          <w:lang w:eastAsia="zh-CN"/>
        </w:rPr>
        <w:t>温州市交通发展集团有限公司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val="en-US" w:eastAsia="zh-CN"/>
        </w:rPr>
        <w:t>集团系统生产经营用车保险服务</w:t>
      </w:r>
      <w:r>
        <w:rPr>
          <w:rFonts w:hint="eastAsia" w:ascii="宋体" w:hAnsi="宋体" w:eastAsia="宋体" w:cs="宋体"/>
          <w:bCs/>
          <w:kern w:val="0"/>
          <w:szCs w:val="21"/>
          <w:highlight w:val="none"/>
        </w:rPr>
        <w:t>以公开招标方式进行采购。现将本项目采购文件公布如下（详见附件），并公开征求投标人及专家意见。</w:t>
      </w:r>
    </w:p>
    <w:p>
      <w:pPr>
        <w:widowControl/>
        <w:spacing w:before="60" w:after="60" w:line="280" w:lineRule="exact"/>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2、投标人资格条件是否具有明显倾向性和歧视性；</w:t>
      </w:r>
    </w:p>
    <w:p>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pPr>
        <w:widowControl/>
        <w:spacing w:before="60" w:after="60" w:line="280" w:lineRule="exact"/>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各投标人及专家提出修改理由和建议的，请于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11</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29</w:t>
      </w:r>
      <w:r>
        <w:rPr>
          <w:rFonts w:hint="eastAsia" w:ascii="宋体" w:hAnsi="宋体" w:eastAsia="宋体" w:cs="宋体"/>
          <w:bCs/>
          <w:color w:val="0000FF"/>
          <w:kern w:val="0"/>
          <w:szCs w:val="21"/>
          <w:highlight w:val="none"/>
        </w:rPr>
        <w:t>日1</w:t>
      </w:r>
      <w:r>
        <w:rPr>
          <w:rFonts w:hint="eastAsia" w:ascii="宋体" w:hAnsi="宋体" w:eastAsia="宋体" w:cs="宋体"/>
          <w:bCs/>
          <w:color w:val="0000FF"/>
          <w:kern w:val="0"/>
          <w:szCs w:val="21"/>
          <w:highlight w:val="none"/>
          <w:lang w:val="en-US" w:eastAsia="zh-CN"/>
        </w:rPr>
        <w:t>7</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w:t>
      </w:r>
      <w:r>
        <w:rPr>
          <w:rFonts w:hint="eastAsia" w:ascii="宋体" w:hAnsi="宋体" w:eastAsia="宋体" w:cs="宋体"/>
          <w:bCs/>
          <w:kern w:val="0"/>
          <w:szCs w:val="21"/>
          <w:highlight w:val="none"/>
          <w:lang w:eastAsia="zh-CN"/>
        </w:rPr>
        <w:t>仁信大厦1412室（温州市鹿城区南汇街道法派路与牛山北路交叉口西北50米吴桥路）</w:t>
      </w:r>
      <w:r>
        <w:rPr>
          <w:rFonts w:hint="eastAsia" w:ascii="宋体" w:hAnsi="宋体" w:eastAsia="宋体" w:cs="宋体"/>
          <w:bCs/>
          <w:kern w:val="0"/>
          <w:szCs w:val="21"/>
          <w:highlight w:val="none"/>
        </w:rPr>
        <w:t>采购代理公司，或先将扫描件及电子版发送至邮箱1826066763@qq.com，并同时将该原件书面寄至浙江国际招投标有限公司。</w:t>
      </w:r>
    </w:p>
    <w:p>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联系人：冯先生，联系电话：13857723185。</w:t>
      </w:r>
    </w:p>
    <w:p>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pPr>
        <w:widowControl/>
        <w:spacing w:before="60" w:after="60" w:line="280" w:lineRule="exact"/>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pPr>
        <w:widowControl/>
        <w:spacing w:before="60" w:after="60" w:line="280" w:lineRule="exact"/>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温州市交通发展集团有限公司</w:t>
      </w:r>
    </w:p>
    <w:p>
      <w:pPr>
        <w:widowControl/>
        <w:spacing w:before="60" w:after="60" w:line="280" w:lineRule="exact"/>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浙江国际招投标有限公司</w:t>
      </w:r>
    </w:p>
    <w:p>
      <w:pPr>
        <w:widowControl/>
        <w:spacing w:before="60" w:after="60" w:line="280" w:lineRule="exact"/>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11</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24</w:t>
      </w:r>
      <w:r>
        <w:rPr>
          <w:rFonts w:hint="eastAsia" w:ascii="宋体" w:hAnsi="宋体" w:eastAsia="宋体" w:cs="宋体"/>
          <w:bCs/>
          <w:color w:val="0000FF"/>
          <w:kern w:val="0"/>
          <w:szCs w:val="21"/>
          <w:highlight w:val="none"/>
        </w:rPr>
        <w:t>日</w:t>
      </w:r>
    </w:p>
    <w:bookmarkEnd w:id="2"/>
    <w:p>
      <w:pP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218041725"/>
      <w:bookmarkStart w:id="11" w:name="_Toc227056845"/>
      <w:bookmarkStart w:id="12" w:name="_Toc216667819"/>
      <w:bookmarkStart w:id="13" w:name="_Toc215415529"/>
      <w:bookmarkStart w:id="14" w:name="_Toc223717603"/>
      <w:bookmarkStart w:id="15" w:name="_Toc223933220"/>
      <w:bookmarkStart w:id="16" w:name="_Toc227057032"/>
      <w:bookmarkStart w:id="17" w:name="_Toc227489886"/>
      <w:bookmarkStart w:id="18" w:name="_Toc219538612"/>
      <w:bookmarkStart w:id="19" w:name="_Toc491780523"/>
      <w:bookmarkStart w:id="20" w:name="_Toc217460684"/>
    </w:p>
    <w:p>
      <w:pPr>
        <w:widowControl/>
        <w:spacing w:before="60" w:after="60"/>
        <w:ind w:left="62" w:right="62" w:firstLine="720" w:firstLineChars="200"/>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pPr>
        <w:spacing w:before="120" w:beforeLines="50" w:after="120" w:afterLines="50"/>
        <w:jc w:val="center"/>
        <w:rPr>
          <w:rFonts w:hint="eastAsia" w:ascii="宋体" w:hAnsi="宋体" w:eastAsia="宋体" w:cs="宋体"/>
          <w:b/>
          <w:sz w:val="28"/>
          <w:szCs w:val="28"/>
          <w:highlight w:val="none"/>
        </w:rPr>
      </w:pPr>
      <w:bookmarkStart w:id="21" w:name="_Toc401243876"/>
      <w:bookmarkStart w:id="22" w:name="_Toc433729304"/>
      <w:bookmarkStart w:id="23" w:name="_Toc227057033"/>
      <w:bookmarkStart w:id="24" w:name="_Toc217460685"/>
      <w:bookmarkStart w:id="25" w:name="_Toc227489887"/>
      <w:bookmarkStart w:id="26" w:name="_Toc215415530"/>
      <w:bookmarkStart w:id="27" w:name="_Toc223933221"/>
      <w:bookmarkStart w:id="28" w:name="_Toc219538613"/>
      <w:bookmarkStart w:id="29" w:name="_Toc216667820"/>
      <w:bookmarkStart w:id="30" w:name="_Toc227056846"/>
      <w:bookmarkStart w:id="31" w:name="_Toc223717604"/>
      <w:bookmarkStart w:id="32" w:name="_Toc218041726"/>
      <w:r>
        <w:rPr>
          <w:rFonts w:hint="eastAsia" w:ascii="宋体" w:hAnsi="宋体" w:eastAsia="宋体" w:cs="宋体"/>
          <w:b/>
          <w:sz w:val="28"/>
          <w:szCs w:val="28"/>
          <w:highlight w:val="none"/>
        </w:rPr>
        <w:t>投标人须知前附表</w:t>
      </w:r>
      <w:bookmarkEnd w:id="21"/>
      <w:bookmarkEnd w:id="22"/>
    </w:p>
    <w:tbl>
      <w:tblPr>
        <w:tblStyle w:val="29"/>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集团系统生产经营用车保险服务</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WGSS-JFJT-X-2025011</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温州市交通发展集团有限公司</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温州市鹿城区车站大道669号尚品商务楼</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eastAsia="zh-CN"/>
              </w:rPr>
              <w:t>林先生</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0577-88085533</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项目单位</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360" w:firstLineChars="200"/>
              <w:jc w:val="left"/>
              <w:rPr>
                <w:rFonts w:hint="eastAsia" w:ascii="宋体" w:hAnsi="宋体" w:eastAsia="宋体" w:cs="宋体"/>
                <w:b w:val="0"/>
                <w:kern w:val="2"/>
                <w:sz w:val="18"/>
                <w:szCs w:val="18"/>
                <w:highlight w:val="none"/>
                <w:u w:val="none"/>
                <w:lang w:val="en-US" w:eastAsia="zh-CN"/>
              </w:rPr>
            </w:pPr>
            <w:r>
              <w:rPr>
                <w:rFonts w:hint="eastAsia" w:ascii="宋体" w:hAnsi="宋体" w:eastAsia="宋体" w:cs="宋体"/>
                <w:b w:val="0"/>
                <w:kern w:val="2"/>
                <w:sz w:val="18"/>
                <w:szCs w:val="18"/>
                <w:highlight w:val="none"/>
                <w:u w:val="none"/>
                <w:lang w:val="en-US" w:eastAsia="zh-CN"/>
              </w:rPr>
              <w:t>1、温州市交通发展集团有限公司全权负责对本项目的公开招标工作，温州市交通发展集团有限公司及其所属各单位均为本次采购的项目单位（</w:t>
            </w:r>
            <w:r>
              <w:rPr>
                <w:rFonts w:hint="eastAsia" w:ascii="宋体" w:hAnsi="宋体" w:eastAsia="宋体" w:cs="宋体"/>
                <w:b/>
                <w:bCs/>
                <w:kern w:val="2"/>
                <w:sz w:val="18"/>
                <w:szCs w:val="18"/>
                <w:highlight w:val="none"/>
                <w:u w:val="none"/>
                <w:lang w:val="en-US" w:eastAsia="zh-CN"/>
              </w:rPr>
              <w:t>需求单位</w:t>
            </w:r>
            <w:r>
              <w:rPr>
                <w:rFonts w:hint="eastAsia" w:ascii="宋体" w:hAnsi="宋体" w:eastAsia="宋体" w:cs="宋体"/>
                <w:b w:val="0"/>
                <w:kern w:val="2"/>
                <w:sz w:val="18"/>
                <w:szCs w:val="18"/>
                <w:highlight w:val="none"/>
                <w:u w:val="none"/>
                <w:lang w:val="en-US" w:eastAsia="zh-CN"/>
              </w:rPr>
              <w:t>）。</w:t>
            </w:r>
          </w:p>
          <w:p>
            <w:pPr>
              <w:spacing w:line="280" w:lineRule="exact"/>
              <w:ind w:firstLine="360" w:firstLineChars="200"/>
              <w:jc w:val="left"/>
              <w:rPr>
                <w:rFonts w:hint="eastAsia" w:ascii="宋体" w:hAnsi="宋体" w:eastAsia="宋体" w:cs="宋体"/>
                <w:b w:val="0"/>
                <w:kern w:val="2"/>
                <w:sz w:val="18"/>
                <w:szCs w:val="18"/>
                <w:highlight w:val="none"/>
                <w:u w:val="none"/>
                <w:lang w:val="en-US" w:eastAsia="zh-CN"/>
              </w:rPr>
            </w:pPr>
            <w:r>
              <w:rPr>
                <w:rFonts w:hint="eastAsia" w:ascii="宋体" w:hAnsi="宋体" w:eastAsia="宋体" w:cs="宋体"/>
                <w:b w:val="0"/>
                <w:kern w:val="2"/>
                <w:sz w:val="18"/>
                <w:szCs w:val="18"/>
                <w:highlight w:val="none"/>
                <w:u w:val="none"/>
                <w:lang w:val="en-US" w:eastAsia="zh-CN"/>
              </w:rPr>
              <w:t>2、温州市交通发展集团有限公司代表其所属各单位负责与各标段中标人签订总服务合同，合同款由各项目单位支付。</w:t>
            </w:r>
          </w:p>
          <w:p>
            <w:pPr>
              <w:spacing w:line="280" w:lineRule="exact"/>
              <w:ind w:firstLine="360" w:firstLineChars="200"/>
              <w:jc w:val="left"/>
              <w:rPr>
                <w:rFonts w:hint="eastAsia" w:ascii="宋体" w:hAnsi="宋体" w:eastAsia="宋体" w:cs="宋体"/>
                <w:b w:val="0"/>
                <w:kern w:val="2"/>
                <w:sz w:val="18"/>
                <w:szCs w:val="18"/>
                <w:highlight w:val="none"/>
                <w:u w:val="none"/>
                <w:lang w:val="en-US" w:eastAsia="zh-CN" w:bidi="ar-SA"/>
              </w:rPr>
            </w:pPr>
            <w:r>
              <w:rPr>
                <w:rFonts w:hint="eastAsia" w:ascii="宋体" w:hAnsi="宋体" w:eastAsia="宋体" w:cs="宋体"/>
                <w:b w:val="0"/>
                <w:kern w:val="2"/>
                <w:sz w:val="18"/>
                <w:szCs w:val="18"/>
                <w:highlight w:val="none"/>
                <w:u w:val="none"/>
                <w:lang w:val="en-US" w:eastAsia="zh-CN"/>
              </w:rPr>
              <w:t>3、如项目单位（</w:t>
            </w:r>
            <w:r>
              <w:rPr>
                <w:rFonts w:hint="eastAsia" w:ascii="宋体" w:hAnsi="宋体" w:eastAsia="宋体" w:cs="宋体"/>
                <w:b/>
                <w:bCs/>
                <w:kern w:val="2"/>
                <w:sz w:val="18"/>
                <w:szCs w:val="18"/>
                <w:highlight w:val="none"/>
                <w:u w:val="none"/>
                <w:lang w:val="en-US" w:eastAsia="zh-CN"/>
              </w:rPr>
              <w:t>需求单位</w:t>
            </w:r>
            <w:r>
              <w:rPr>
                <w:rFonts w:hint="eastAsia" w:ascii="宋体" w:hAnsi="宋体" w:eastAsia="宋体" w:cs="宋体"/>
                <w:b w:val="0"/>
                <w:kern w:val="2"/>
                <w:sz w:val="18"/>
                <w:szCs w:val="18"/>
                <w:highlight w:val="none"/>
                <w:u w:val="none"/>
                <w:lang w:val="en-US" w:eastAsia="zh-CN"/>
              </w:rPr>
              <w:t>）有需要增加第三者责任险保费金额等特殊需要的，可以根据本单位实际情况，提出合理要求，</w:t>
            </w:r>
            <w:r>
              <w:rPr>
                <w:rFonts w:hint="eastAsia" w:ascii="宋体" w:hAnsi="宋体" w:eastAsia="宋体" w:cs="宋体"/>
                <w:b/>
                <w:bCs/>
                <w:kern w:val="2"/>
                <w:sz w:val="18"/>
                <w:szCs w:val="18"/>
                <w:highlight w:val="none"/>
                <w:u w:val="none"/>
                <w:lang w:val="en-US" w:eastAsia="zh-CN"/>
              </w:rPr>
              <w:t>并在原总服务合同（中标自主折扣系数不变）基础上与相关中标人另行签订补充服务合同</w:t>
            </w:r>
            <w:r>
              <w:rPr>
                <w:rFonts w:hint="eastAsia" w:ascii="宋体" w:hAnsi="宋体" w:eastAsia="宋体" w:cs="宋体"/>
                <w:b w:val="0"/>
                <w:kern w:val="2"/>
                <w:sz w:val="18"/>
                <w:szCs w:val="18"/>
                <w:highlight w:val="none"/>
                <w:u w:val="none"/>
                <w:lang w:val="en-US" w:eastAsia="zh-CN"/>
              </w:rPr>
              <w:t>，各中标人应予以积极配合。</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代理机构名称：浙江国际招投标有限公司</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代理机构地址：</w:t>
            </w:r>
            <w:r>
              <w:rPr>
                <w:rFonts w:hint="eastAsia" w:ascii="宋体" w:hAnsi="宋体" w:eastAsia="宋体" w:cs="宋体"/>
                <w:kern w:val="0"/>
                <w:sz w:val="18"/>
                <w:szCs w:val="18"/>
                <w:highlight w:val="none"/>
                <w:lang w:eastAsia="zh-CN"/>
              </w:rPr>
              <w:t>仁信大厦1412室（温州市鹿城区南汇街道法派路与牛山北路交叉口西北50米吴桥路）</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联系人：冯先生</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周群峰</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联系方式：13857723185 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ind w:firstLine="360" w:firstLineChars="200"/>
              <w:rPr>
                <w:rFonts w:hint="eastAsia" w:ascii="宋体" w:hAnsi="宋体" w:eastAsia="宋体" w:cs="宋体"/>
                <w:color w:val="0000FF"/>
                <w:kern w:val="0"/>
                <w:sz w:val="18"/>
                <w:szCs w:val="18"/>
                <w:highlight w:val="none"/>
              </w:rPr>
            </w:pPr>
            <w:r>
              <w:rPr>
                <w:rFonts w:hint="eastAsia" w:ascii="宋体" w:hAnsi="宋体" w:eastAsia="宋体" w:cs="宋体"/>
                <w:sz w:val="18"/>
                <w:szCs w:val="18"/>
                <w:highlight w:val="none"/>
                <w:u w:val="none"/>
                <w:lang w:val="en-US" w:eastAsia="zh-CN"/>
              </w:rPr>
              <w:t>详见采购公告</w:t>
            </w:r>
            <w:r>
              <w:rPr>
                <w:rFonts w:hint="eastAsia" w:ascii="宋体" w:hAnsi="宋体" w:eastAsia="宋体" w:cs="宋体"/>
                <w:sz w:val="18"/>
                <w:szCs w:val="18"/>
                <w:highlight w:val="none"/>
                <w:u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标段划分</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default" w:ascii="宋体" w:hAnsi="宋体" w:eastAsia="宋体" w:cs="宋体"/>
                <w:sz w:val="18"/>
                <w:szCs w:val="18"/>
                <w:highlight w:val="none"/>
                <w:u w:val="none"/>
                <w:lang w:val="en-US" w:eastAsia="zh-CN"/>
              </w:rPr>
            </w:pPr>
            <w:r>
              <w:rPr>
                <w:rFonts w:hint="eastAsia" w:ascii="宋体" w:hAnsi="宋体" w:eastAsia="宋体" w:cs="宋体"/>
                <w:sz w:val="18"/>
                <w:szCs w:val="18"/>
                <w:highlight w:val="none"/>
                <w:u w:val="none"/>
                <w:lang w:val="en-US" w:eastAsia="zh-CN"/>
              </w:rPr>
              <w:t>本项目分2个标段，投标人可仅对其中1个标段进行投标，也可以同时参与其中的2个标段的投标，本项目同一投标人最多只允许中标1个标段，具体采购内容及服务要求见采购文件相关部分。</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投标人资格要求</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b/>
                <w:bCs/>
                <w:strike/>
                <w:kern w:val="0"/>
                <w:sz w:val="18"/>
                <w:szCs w:val="18"/>
                <w:highlight w:val="none"/>
              </w:rPr>
            </w:pPr>
            <w:r>
              <w:rPr>
                <w:rFonts w:hint="eastAsia" w:ascii="宋体" w:hAnsi="宋体" w:eastAsia="宋体" w:cs="宋体"/>
                <w:b/>
                <w:bCs/>
                <w:kern w:val="0"/>
                <w:sz w:val="18"/>
                <w:szCs w:val="18"/>
                <w:highlight w:val="none"/>
              </w:rPr>
              <w:t>见采购公告中的要求</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依据相关文件规定。金融、保险、通讯等特定行业的全国性企业所设立的区域性分支机构，如果已经依法办理了工商、税务和社保登记手续，并且获得总公司（总机构）授权或能够提供房产权证或其他有效财产证明材料（在投标文件中提供相关材料），证明其具备实际承担责任的能力和法定的缔结合同能力，可以允许其独立参加本次采购活动，并由其单位负责人签署相关文件材料。投标时提供的人员、业绩、荣誉、知识产权、项目案例等，必须为该投标分支机构本身所具有，总公司或其他分支机构的人员、业绩、荣誉、知识产权、项目案例等，不能作为该投标分支机构的文件予以确认</w:t>
            </w:r>
            <w:r>
              <w:rPr>
                <w:rFonts w:hint="eastAsia" w:ascii="宋体" w:hAnsi="宋体" w:eastAsia="宋体" w:cs="宋体"/>
                <w:kern w:val="0"/>
                <w:sz w:val="18"/>
                <w:szCs w:val="18"/>
                <w:highlight w:val="none"/>
                <w:lang w:eastAsia="zh-CN"/>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相关公告指定发布媒介</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浙江政府采购网、温州国企采购平台及</w:t>
            </w:r>
            <w:r>
              <w:rPr>
                <w:rFonts w:hint="eastAsia" w:ascii="宋体" w:hAnsi="宋体" w:eastAsia="宋体" w:cs="宋体"/>
                <w:kern w:val="0"/>
                <w:sz w:val="18"/>
                <w:szCs w:val="18"/>
                <w:highlight w:val="none"/>
                <w:lang w:val="en-US" w:eastAsia="zh-CN"/>
              </w:rPr>
              <w:t>采购人</w:t>
            </w:r>
            <w:r>
              <w:rPr>
                <w:rFonts w:hint="eastAsia" w:ascii="宋体" w:hAnsi="宋体" w:eastAsia="宋体" w:cs="宋体"/>
                <w:kern w:val="0"/>
                <w:sz w:val="18"/>
                <w:szCs w:val="18"/>
                <w:highlight w:val="none"/>
              </w:rPr>
              <w:t>集团官网。</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b/>
                <w:kern w:val="0"/>
                <w:sz w:val="18"/>
                <w:szCs w:val="18"/>
                <w:highlight w:val="none"/>
              </w:rPr>
            </w:pPr>
            <w:r>
              <w:rPr>
                <w:rFonts w:hint="eastAsia" w:ascii="宋体" w:hAnsi="宋体" w:eastAsia="宋体" w:cs="宋体"/>
                <w:b/>
                <w:bCs w:val="0"/>
                <w:kern w:val="0"/>
                <w:sz w:val="18"/>
                <w:szCs w:val="18"/>
                <w:highlight w:val="none"/>
                <w:lang w:val="en-US" w:eastAsia="zh-CN"/>
              </w:rPr>
              <w:t>本项目不接受联合体投标</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不组织</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投标人对采购文件提出疑问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询疑截止时间：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5</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11</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29</w:t>
            </w:r>
            <w:r>
              <w:rPr>
                <w:rFonts w:hint="eastAsia" w:ascii="宋体" w:hAnsi="宋体" w:eastAsia="宋体" w:cs="宋体"/>
                <w:color w:val="0000FF"/>
                <w:kern w:val="0"/>
                <w:sz w:val="18"/>
                <w:szCs w:val="18"/>
                <w:highlight w:val="none"/>
              </w:rPr>
              <w:t>日1</w:t>
            </w:r>
            <w:r>
              <w:rPr>
                <w:rFonts w:hint="eastAsia" w:ascii="宋体" w:hAnsi="宋体" w:eastAsia="宋体" w:cs="宋体"/>
                <w:color w:val="0000FF"/>
                <w:kern w:val="0"/>
                <w:sz w:val="18"/>
                <w:szCs w:val="18"/>
                <w:highlight w:val="none"/>
                <w:lang w:val="en-US" w:eastAsia="zh-CN"/>
              </w:rPr>
              <w:t>7</w:t>
            </w:r>
            <w:r>
              <w:rPr>
                <w:rFonts w:hint="eastAsia" w:ascii="宋体" w:hAnsi="宋体" w:eastAsia="宋体" w:cs="宋体"/>
                <w:color w:val="0000FF"/>
                <w:kern w:val="0"/>
                <w:sz w:val="18"/>
                <w:szCs w:val="18"/>
                <w:highlight w:val="none"/>
              </w:rPr>
              <w:t>时00分前</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询疑文件提交：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35"/>
                <w:rFonts w:hint="eastAsia" w:ascii="宋体" w:hAnsi="宋体" w:eastAsia="宋体" w:cs="宋体"/>
                <w:color w:val="auto"/>
                <w:kern w:val="0"/>
                <w:sz w:val="18"/>
                <w:szCs w:val="18"/>
                <w:highlight w:val="none"/>
              </w:rPr>
              <w:t>澄清文件加盖公章后以扫描件发送至邮箱1826066763@qq.com</w:t>
            </w:r>
            <w:r>
              <w:rPr>
                <w:rStyle w:val="35"/>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spacing w:line="280" w:lineRule="exact"/>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280" w:lineRule="exact"/>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否，证照、证件和证明文件的原件除外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投标人在评标结束前予以澄清、说明或补正，不接受要求进行的，评标委员会有权做无效标处理，详见第一部分投标人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各投标人需以“标段”为单位分别进行投标文件的编制、装订、密封，每个标段提供的投标文件要求如下：</w:t>
            </w:r>
          </w:p>
          <w:p>
            <w:pPr>
              <w:spacing w:line="240" w:lineRule="exact"/>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提供技术资信标一式</w:t>
            </w:r>
            <w:r>
              <w:rPr>
                <w:rFonts w:hint="eastAsia" w:ascii="宋体" w:hAnsi="宋体" w:eastAsia="宋体" w:cs="宋体"/>
                <w:color w:val="auto"/>
                <w:sz w:val="18"/>
                <w:szCs w:val="18"/>
                <w:highlight w:val="none"/>
                <w:lang w:val="en-US" w:eastAsia="zh-CN"/>
              </w:rPr>
              <w:t>七</w:t>
            </w:r>
            <w:r>
              <w:rPr>
                <w:rFonts w:hint="eastAsia" w:ascii="宋体" w:hAnsi="宋体" w:eastAsia="宋体" w:cs="宋体"/>
                <w:color w:val="auto"/>
                <w:sz w:val="18"/>
                <w:szCs w:val="18"/>
                <w:highlight w:val="none"/>
              </w:rPr>
              <w:t>份，正本</w:t>
            </w:r>
            <w:r>
              <w:rPr>
                <w:rFonts w:hint="eastAsia" w:ascii="宋体" w:hAnsi="宋体" w:eastAsia="宋体" w:cs="宋体"/>
                <w:color w:val="auto"/>
                <w:sz w:val="18"/>
                <w:szCs w:val="18"/>
                <w:highlight w:val="none"/>
                <w:lang w:val="en-US" w:eastAsia="zh-CN"/>
              </w:rPr>
              <w:t>一</w:t>
            </w:r>
            <w:r>
              <w:rPr>
                <w:rFonts w:hint="eastAsia" w:ascii="宋体" w:hAnsi="宋体" w:eastAsia="宋体" w:cs="宋体"/>
                <w:color w:val="auto"/>
                <w:sz w:val="18"/>
                <w:szCs w:val="18"/>
                <w:highlight w:val="none"/>
              </w:rPr>
              <w:t>份，副本</w:t>
            </w:r>
            <w:r>
              <w:rPr>
                <w:rFonts w:hint="eastAsia" w:ascii="宋体" w:hAnsi="宋体" w:eastAsia="宋体" w:cs="宋体"/>
                <w:color w:val="auto"/>
                <w:sz w:val="18"/>
                <w:szCs w:val="18"/>
                <w:highlight w:val="none"/>
                <w:lang w:val="en-US" w:eastAsia="zh-CN"/>
              </w:rPr>
              <w:t>六</w:t>
            </w:r>
            <w:r>
              <w:rPr>
                <w:rFonts w:hint="eastAsia" w:ascii="宋体" w:hAnsi="宋体" w:eastAsia="宋体" w:cs="宋体"/>
                <w:color w:val="auto"/>
                <w:sz w:val="18"/>
                <w:szCs w:val="18"/>
                <w:highlight w:val="none"/>
              </w:rPr>
              <w:t>份；</w:t>
            </w:r>
          </w:p>
          <w:p>
            <w:pPr>
              <w:spacing w:line="240" w:lineRule="exact"/>
              <w:ind w:firstLine="360" w:firstLineChars="200"/>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rPr>
              <w:t>提供商务（报价）标一式</w:t>
            </w:r>
            <w:r>
              <w:rPr>
                <w:rFonts w:hint="eastAsia" w:ascii="宋体" w:hAnsi="宋体" w:eastAsia="宋体" w:cs="宋体"/>
                <w:color w:val="auto"/>
                <w:sz w:val="18"/>
                <w:szCs w:val="18"/>
                <w:highlight w:val="none"/>
                <w:lang w:val="en-US" w:eastAsia="zh-CN"/>
              </w:rPr>
              <w:t>七</w:t>
            </w:r>
            <w:r>
              <w:rPr>
                <w:rFonts w:hint="eastAsia" w:ascii="宋体" w:hAnsi="宋体" w:eastAsia="宋体" w:cs="宋体"/>
                <w:color w:val="auto"/>
                <w:sz w:val="18"/>
                <w:szCs w:val="18"/>
                <w:highlight w:val="none"/>
              </w:rPr>
              <w:t>份，正本</w:t>
            </w:r>
            <w:r>
              <w:rPr>
                <w:rFonts w:hint="eastAsia" w:ascii="宋体" w:hAnsi="宋体" w:eastAsia="宋体" w:cs="宋体"/>
                <w:color w:val="auto"/>
                <w:sz w:val="18"/>
                <w:szCs w:val="18"/>
                <w:highlight w:val="none"/>
                <w:lang w:val="en-US" w:eastAsia="zh-CN"/>
              </w:rPr>
              <w:t>一</w:t>
            </w:r>
            <w:r>
              <w:rPr>
                <w:rFonts w:hint="eastAsia" w:ascii="宋体" w:hAnsi="宋体" w:eastAsia="宋体" w:cs="宋体"/>
                <w:color w:val="auto"/>
                <w:sz w:val="18"/>
                <w:szCs w:val="18"/>
                <w:highlight w:val="none"/>
              </w:rPr>
              <w:t>份，副本</w:t>
            </w:r>
            <w:r>
              <w:rPr>
                <w:rFonts w:hint="eastAsia" w:ascii="宋体" w:hAnsi="宋体" w:eastAsia="宋体" w:cs="宋体"/>
                <w:color w:val="auto"/>
                <w:sz w:val="18"/>
                <w:szCs w:val="18"/>
                <w:highlight w:val="none"/>
                <w:lang w:val="en-US" w:eastAsia="zh-CN"/>
              </w:rPr>
              <w:t>六</w:t>
            </w:r>
            <w:r>
              <w:rPr>
                <w:rFonts w:hint="eastAsia" w:ascii="宋体" w:hAnsi="宋体" w:eastAsia="宋体" w:cs="宋体"/>
                <w:color w:val="auto"/>
                <w:sz w:val="18"/>
                <w:szCs w:val="18"/>
                <w:highlight w:val="none"/>
              </w:rPr>
              <w:t>份；</w:t>
            </w:r>
          </w:p>
        </w:tc>
      </w:tr>
      <w:tr>
        <w:tblPrEx>
          <w:tblCellMar>
            <w:top w:w="0" w:type="dxa"/>
            <w:left w:w="108" w:type="dxa"/>
            <w:bottom w:w="0" w:type="dxa"/>
            <w:right w:w="108" w:type="dxa"/>
          </w:tblCellMar>
        </w:tblPrEx>
        <w:trPr>
          <w:trHeight w:val="17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5</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12</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10</w:t>
            </w:r>
            <w:r>
              <w:rPr>
                <w:rFonts w:hint="eastAsia" w:ascii="宋体" w:hAnsi="宋体" w:eastAsia="宋体" w:cs="宋体"/>
                <w:b/>
                <w:bCs/>
                <w:color w:val="0000FF"/>
                <w:kern w:val="0"/>
                <w:sz w:val="18"/>
                <w:szCs w:val="18"/>
                <w:highlight w:val="none"/>
              </w:rPr>
              <w:t>日9时30分</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递交地点：温州市政务服务管理中心收标区 (温州市鹿城区会展路1268号温州市民中心A座3楼公共资源交易专区)（详见当天大厅大屏幕）</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开标地点：温州市政务服务管理中心收标区 (温州市鹿城区会展路1268号温州市民中心A座3楼公共资源交易专区)（详见当天大厅大屏幕）</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pPr>
              <w:keepNext w:val="0"/>
              <w:keepLines w:val="0"/>
              <w:pageBreakBefore w:val="0"/>
              <w:kinsoku/>
              <w:wordWrap/>
              <w:overflowPunct/>
              <w:topLinePunct w:val="0"/>
              <w:bidi w:val="0"/>
              <w:snapToGrid/>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2.公布在投标截止时间前递交投标文件的投标人名称，并点名确认投标人是否派授权代表到场；</w:t>
            </w:r>
          </w:p>
          <w:p>
            <w:pPr>
              <w:keepNext w:val="0"/>
              <w:keepLines w:val="0"/>
              <w:pageBreakBefore w:val="0"/>
              <w:kinsoku/>
              <w:wordWrap/>
              <w:overflowPunct/>
              <w:topLinePunct w:val="0"/>
              <w:bidi w:val="0"/>
              <w:snapToGrid/>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pPr>
              <w:keepNext w:val="0"/>
              <w:keepLines w:val="0"/>
              <w:pageBreakBefore w:val="0"/>
              <w:kinsoku/>
              <w:wordWrap/>
              <w:overflowPunct/>
              <w:topLinePunct w:val="0"/>
              <w:bidi w:val="0"/>
              <w:snapToGrid/>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4.密封情况检查：由投标人或其推选的代表检查投标文件密封情况；</w:t>
            </w:r>
          </w:p>
          <w:p>
            <w:pPr>
              <w:keepNext w:val="0"/>
              <w:keepLines w:val="0"/>
              <w:pageBreakBefore w:val="0"/>
              <w:kinsoku/>
              <w:wordWrap/>
              <w:overflowPunct/>
              <w:topLinePunct w:val="0"/>
              <w:bidi w:val="0"/>
              <w:snapToGrid/>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5.开标顺序：同时开启技术资信部分投标文件、商务（报价）文件；</w:t>
            </w:r>
            <w:r>
              <w:rPr>
                <w:rFonts w:hint="eastAsia" w:ascii="宋体" w:hAnsi="宋体" w:eastAsia="宋体" w:cs="宋体"/>
                <w:bCs/>
                <w:sz w:val="18"/>
                <w:szCs w:val="18"/>
                <w:highlight w:val="none"/>
              </w:rPr>
              <w:t>宣读“开标一览表”中包括投标报价等内容。</w:t>
            </w:r>
          </w:p>
          <w:p>
            <w:pPr>
              <w:keepNext w:val="0"/>
              <w:keepLines w:val="0"/>
              <w:pageBreakBefore w:val="0"/>
              <w:kinsoku/>
              <w:wordWrap/>
              <w:overflowPunct/>
              <w:topLinePunct w:val="0"/>
              <w:bidi w:val="0"/>
              <w:snapToGrid/>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6.确认开标结果：投标人授权代表对开标记录进行当场校核及勘误，并签字确认；并同时由记录人、核对人当场签字确认。</w:t>
            </w:r>
          </w:p>
          <w:p>
            <w:pPr>
              <w:keepNext w:val="0"/>
              <w:keepLines w:val="0"/>
              <w:pageBreakBefore w:val="0"/>
              <w:kinsoku/>
              <w:wordWrap/>
              <w:overflowPunct/>
              <w:topLinePunct w:val="0"/>
              <w:bidi w:val="0"/>
              <w:snapToGrid/>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8.投标人授权代表未参加开标会议；未到场签字确认的，不影响开标，评标过程，视同认可开标结果；事后不得对采购相关人员、开标过程和开标结果提出异议。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履约担保的形式：履约保证金（转账形式）</w:t>
            </w:r>
          </w:p>
          <w:p>
            <w:pPr>
              <w:keepNext w:val="0"/>
              <w:keepLines w:val="0"/>
              <w:pageBreakBefore w:val="0"/>
              <w:kinsoku/>
              <w:wordWrap/>
              <w:overflowPunct/>
              <w:topLinePunct w:val="0"/>
              <w:bidi w:val="0"/>
              <w:snapToGrid/>
              <w:spacing w:line="280" w:lineRule="exact"/>
              <w:rPr>
                <w:rFonts w:hint="eastAsia" w:ascii="宋体" w:hAnsi="宋体" w:eastAsia="宋体" w:cs="宋体"/>
                <w:sz w:val="18"/>
                <w:szCs w:val="18"/>
                <w:highlight w:val="cyan"/>
                <w:lang w:val="en-US" w:eastAsia="zh-CN"/>
              </w:rPr>
            </w:pPr>
            <w:r>
              <w:rPr>
                <w:rFonts w:hint="eastAsia" w:ascii="宋体" w:hAnsi="宋体" w:eastAsia="宋体" w:cs="宋体"/>
                <w:sz w:val="18"/>
                <w:szCs w:val="18"/>
                <w:highlight w:val="none"/>
              </w:rPr>
              <w:t>履约担保的金额：</w:t>
            </w:r>
            <w:r>
              <w:rPr>
                <w:rFonts w:hint="eastAsia" w:ascii="宋体" w:hAnsi="宋体" w:eastAsia="宋体" w:cs="宋体"/>
                <w:sz w:val="18"/>
                <w:szCs w:val="18"/>
                <w:highlight w:val="none"/>
                <w:lang w:val="en-US" w:eastAsia="zh-CN"/>
              </w:rPr>
              <w:t>标段1、标段2中标</w:t>
            </w:r>
            <w:r>
              <w:rPr>
                <w:rFonts w:hint="eastAsia" w:ascii="宋体" w:hAnsi="宋体" w:eastAsia="宋体" w:cs="宋体"/>
                <w:color w:val="0000FF"/>
                <w:sz w:val="18"/>
                <w:szCs w:val="18"/>
                <w:highlight w:val="none"/>
                <w:lang w:val="en-US" w:eastAsia="zh-CN"/>
              </w:rPr>
              <w:t>人均须向采购人缴纳人民币50000元整</w:t>
            </w:r>
          </w:p>
          <w:p>
            <w:pPr>
              <w:keepNext w:val="0"/>
              <w:keepLines w:val="0"/>
              <w:pageBreakBefore w:val="0"/>
              <w:kinsoku/>
              <w:wordWrap/>
              <w:overflowPunct/>
              <w:topLinePunct w:val="0"/>
              <w:bidi w:val="0"/>
              <w:snapToGrid/>
              <w:spacing w:line="280" w:lineRule="exact"/>
              <w:rPr>
                <w:rFonts w:hint="eastAsia" w:ascii="宋体" w:hAnsi="宋体" w:eastAsia="宋体" w:cs="宋体"/>
                <w:bCs/>
                <w:kern w:val="0"/>
                <w:sz w:val="18"/>
                <w:szCs w:val="18"/>
                <w:highlight w:val="none"/>
                <w:lang w:val="en-US" w:eastAsia="zh-CN" w:bidi="ar-SA"/>
              </w:rPr>
            </w:pPr>
            <w:r>
              <w:rPr>
                <w:rFonts w:hint="eastAsia" w:ascii="宋体" w:hAnsi="宋体" w:eastAsia="宋体" w:cs="宋体"/>
                <w:sz w:val="18"/>
                <w:szCs w:val="18"/>
                <w:highlight w:val="none"/>
              </w:rPr>
              <w:t>中标人在</w:t>
            </w:r>
            <w:r>
              <w:rPr>
                <w:rFonts w:hint="eastAsia" w:ascii="宋体" w:hAnsi="宋体" w:eastAsia="宋体" w:cs="宋体"/>
                <w:sz w:val="18"/>
                <w:szCs w:val="18"/>
                <w:highlight w:val="none"/>
                <w:lang w:val="en-US" w:eastAsia="zh-CN"/>
              </w:rPr>
              <w:t>收</w:t>
            </w:r>
            <w:r>
              <w:rPr>
                <w:rFonts w:hint="eastAsia" w:ascii="宋体" w:hAnsi="宋体" w:eastAsia="宋体" w:cs="宋体"/>
                <w:sz w:val="18"/>
                <w:szCs w:val="18"/>
                <w:highlight w:val="none"/>
              </w:rPr>
              <w:t>到中标（成交）通知书后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签订合同前</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须向采购人提交履约担保，并且要保证履约担保在合同履行期间的有效性，在服务期满后无息退还。</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snapToGrid/>
              <w:spacing w:line="28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pPr>
              <w:keepNext w:val="0"/>
              <w:keepLines w:val="0"/>
              <w:pageBreakBefore w:val="0"/>
              <w:kinsoku/>
              <w:wordWrap/>
              <w:overflowPunct/>
              <w:topLinePunct w:val="0"/>
              <w:bidi w:val="0"/>
              <w:snapToGrid/>
              <w:spacing w:line="28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1、采购文件、采购公告中如有前后不一致的，一律以本“投标人须知前附表”为准；</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温州市交通发展集团有限公司</w:t>
            </w:r>
            <w:r>
              <w:rPr>
                <w:rFonts w:hint="eastAsia" w:ascii="宋体" w:hAnsi="宋体" w:eastAsia="宋体" w:cs="宋体"/>
                <w:kern w:val="0"/>
                <w:sz w:val="18"/>
                <w:szCs w:val="18"/>
                <w:highlight w:val="none"/>
              </w:rPr>
              <w:t>纪检监察室</w:t>
            </w:r>
          </w:p>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
              </w:numPr>
              <w:kinsoku/>
              <w:wordWrap/>
              <w:overflowPunct/>
              <w:topLinePunct w:val="0"/>
              <w:bidi w:val="0"/>
              <w:snapToGrid/>
              <w:spacing w:line="280" w:lineRule="exact"/>
              <w:ind w:left="239" w:leftChars="0" w:firstLineChars="0"/>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如发现采购文件中存在含糊不清的，请在规定的答疑截止时间前向采购人、采购代理书面提出，逾期不得再对采购文件的条款提出疑问。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8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pPr>
        <w:spacing w:before="120" w:beforeLines="50" w:after="120"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pPr>
        <w:numPr>
          <w:ilvl w:val="0"/>
          <w:numId w:val="3"/>
        </w:numPr>
        <w:tabs>
          <w:tab w:val="left" w:pos="525"/>
          <w:tab w:val="left" w:pos="900"/>
        </w:tabs>
        <w:wordWrap w:val="0"/>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温州市市属国有企业采购管理办法》（温国资委【2024】51号）等有关法律、法规组织和实施的。1.本项目采购公告同时在浙江政府采购网（https://zfcg.czt.zj.gov.cn/）、温州国企采购平台（https://wzgzw-cg.zhengcaiyun.cn/home.html）和温州市交通发展集团有限公司网https://www.wzjfjt.cn/）（以下简称“项目采购公告发布的网站”）发布。</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指全权代表投标人参加投标活动并签署投标文件的人。如果投标人代表不是法定代表人（负责人），须持有《法定代表人（负责人）授权书》。</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pPr>
        <w:spacing w:before="120" w:beforeLines="50" w:after="120" w:afterLines="50"/>
        <w:jc w:val="center"/>
        <w:rPr>
          <w:rFonts w:hint="eastAsia" w:ascii="宋体" w:hAnsi="宋体" w:eastAsia="宋体" w:cs="宋体"/>
          <w:b/>
          <w:sz w:val="28"/>
          <w:szCs w:val="28"/>
          <w:highlight w:val="none"/>
        </w:rPr>
      </w:pPr>
      <w:bookmarkStart w:id="33" w:name="_Toc209261366"/>
      <w:bookmarkStart w:id="34" w:name="_Toc209250720"/>
      <w:bookmarkStart w:id="35" w:name="_Toc207609182"/>
      <w:bookmarkStart w:id="36" w:name="_Toc227056847"/>
      <w:bookmarkStart w:id="37" w:name="_Toc217460686"/>
      <w:bookmarkStart w:id="38" w:name="_Toc210879709"/>
      <w:bookmarkStart w:id="39" w:name="_Toc227057034"/>
      <w:bookmarkStart w:id="40" w:name="_Toc204491318"/>
      <w:bookmarkStart w:id="41" w:name="_Toc216667821"/>
      <w:bookmarkStart w:id="42" w:name="_Toc219538614"/>
      <w:bookmarkStart w:id="43" w:name="_Toc205004969"/>
      <w:bookmarkStart w:id="44" w:name="_Toc205877558"/>
      <w:bookmarkStart w:id="45" w:name="_Toc209332634"/>
      <w:bookmarkStart w:id="46" w:name="_Toc204578576"/>
      <w:bookmarkStart w:id="47" w:name="_Toc209251128"/>
      <w:bookmarkStart w:id="48" w:name="_Toc223717605"/>
      <w:bookmarkStart w:id="49" w:name="_Toc209261433"/>
      <w:bookmarkStart w:id="50" w:name="_Toc205703103"/>
      <w:bookmarkStart w:id="51" w:name="_Toc205877453"/>
      <w:bookmarkStart w:id="52" w:name="_Toc218041727"/>
      <w:bookmarkStart w:id="53" w:name="_Toc214365791"/>
      <w:bookmarkStart w:id="54" w:name="_Toc227489888"/>
      <w:bookmarkStart w:id="55" w:name="_Toc205005287"/>
      <w:bookmarkStart w:id="56" w:name="_Toc215415531"/>
      <w:bookmarkStart w:id="57" w:name="_Toc223933222"/>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询疑截止时间之前，将书面材料（盖公章）递交或邮寄给采购人或采购代理机构，询疑截止期后的疑问将不予受理、答复。如果采购文件答疑期内未收到有关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8.1  </w:t>
      </w:r>
      <w:r>
        <w:rPr>
          <w:rFonts w:hint="eastAsia" w:ascii="宋体" w:hAnsi="宋体" w:eastAsia="宋体" w:cs="宋体"/>
          <w:sz w:val="22"/>
        </w:rPr>
        <w:t>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5日前发布更正公告，不足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在采购文件规定的答疑截止时间后，经采购人及采购机构同意购买采购文件的投标人不得对采购文件及其补充文件提出澄清答疑要求。</w:t>
      </w:r>
    </w:p>
    <w:p>
      <w:pPr>
        <w:spacing w:before="120" w:beforeLines="50" w:after="120" w:afterLines="50"/>
        <w:jc w:val="center"/>
        <w:rPr>
          <w:rFonts w:hint="eastAsia" w:ascii="宋体" w:hAnsi="宋体" w:eastAsia="宋体" w:cs="宋体"/>
          <w:b/>
          <w:sz w:val="28"/>
          <w:szCs w:val="28"/>
          <w:highlight w:val="none"/>
        </w:rPr>
      </w:pPr>
      <w:bookmarkStart w:id="58" w:name="_Toc217460687"/>
      <w:bookmarkStart w:id="59" w:name="_Toc219538615"/>
      <w:bookmarkStart w:id="60" w:name="_Toc216667822"/>
      <w:bookmarkStart w:id="61" w:name="_Toc227057035"/>
      <w:bookmarkStart w:id="62" w:name="_Toc205004970"/>
      <w:bookmarkStart w:id="63" w:name="_Toc209261434"/>
      <w:bookmarkStart w:id="64" w:name="_Toc204491319"/>
      <w:bookmarkStart w:id="65" w:name="_Toc207609183"/>
      <w:bookmarkStart w:id="66" w:name="_Toc210879710"/>
      <w:bookmarkStart w:id="67" w:name="_Toc209261367"/>
      <w:bookmarkStart w:id="68" w:name="_Toc205703104"/>
      <w:bookmarkStart w:id="69" w:name="_Toc205877454"/>
      <w:bookmarkStart w:id="70" w:name="_Toc209332635"/>
      <w:bookmarkStart w:id="71" w:name="_Toc227056848"/>
      <w:bookmarkStart w:id="72" w:name="_Toc223717606"/>
      <w:bookmarkStart w:id="73" w:name="_Toc209251129"/>
      <w:bookmarkStart w:id="74" w:name="_Toc227489889"/>
      <w:bookmarkStart w:id="75" w:name="_Toc205005288"/>
      <w:bookmarkStart w:id="76" w:name="_Toc215415532"/>
      <w:bookmarkStart w:id="77" w:name="_Toc223933223"/>
      <w:bookmarkStart w:id="78" w:name="_Toc205877559"/>
      <w:bookmarkStart w:id="79" w:name="_Toc209250721"/>
      <w:bookmarkStart w:id="80" w:name="_Toc214365792"/>
      <w:bookmarkStart w:id="81" w:name="_Toc204578577"/>
      <w:bookmarkStart w:id="82" w:name="_Toc218041728"/>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（1）技术资信标（标段1、标段2通用，要求以标段为单位进行编制）</w:t>
      </w:r>
    </w:p>
    <w:tbl>
      <w:tblPr>
        <w:tblStyle w:val="29"/>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03"/>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303"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988"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30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98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30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98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3</w:t>
            </w:r>
          </w:p>
        </w:tc>
        <w:tc>
          <w:tcPr>
            <w:tcW w:w="7303"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988"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（1）</w:t>
            </w: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法定代表人（负责人）授权书（授权代表参加投标时提供）</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法定代表人（负责人）资格证明书</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（2）</w:t>
            </w: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如投标人为金融、保险、通讯等特定行业全国性企业所设立的区域性分支机构的，需提供总公司（总机构）授权文件或提供省级机构（一级机构）授权文件（如分支机构已是直属总机构的一级机构，则无需再提供授权书），如无明显确定为省级机构（一级机构）需提供相关证明。</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（3）</w:t>
            </w:r>
          </w:p>
        </w:tc>
        <w:tc>
          <w:tcPr>
            <w:tcW w:w="7303" w:type="dxa"/>
            <w:shd w:val="clear" w:color="auto" w:fill="auto"/>
            <w:vAlign w:val="center"/>
          </w:tcPr>
          <w:p>
            <w:pPr>
              <w:tabs>
                <w:tab w:val="left" w:pos="5355"/>
              </w:tabs>
              <w:rPr>
                <w:rFonts w:hint="eastAsia" w:ascii="宋体" w:hAnsi="宋体" w:eastAsia="宋体" w:cs="宋体"/>
                <w:kern w:val="2"/>
                <w:sz w:val="18"/>
                <w:szCs w:val="18"/>
                <w:u w:val="single"/>
                <w:lang w:val="en-US" w:eastAsia="zh-CN" w:bidi="ar-SA"/>
              </w:rPr>
            </w:pPr>
            <w:r>
              <w:rPr>
                <w:rFonts w:hint="eastAsia" w:ascii="宋体" w:hAnsi="宋体" w:eastAsia="宋体" w:cs="宋体"/>
                <w:sz w:val="18"/>
                <w:szCs w:val="18"/>
                <w:u w:val="single"/>
              </w:rPr>
              <w:t>中华人民共和国经营保险业务许可证 （复印件加盖公章）</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（4）</w:t>
            </w: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投标声明书</w:t>
            </w:r>
          </w:p>
        </w:tc>
        <w:tc>
          <w:tcPr>
            <w:tcW w:w="988"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a</w:t>
            </w: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参加国企采购活动前三年内，在经营活动中没有重大违法记录。请在投标声明书中如实填写（新成立不满三年的组织机构自成立之日起算）</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b</w:t>
            </w: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4</w:t>
            </w:r>
          </w:p>
        </w:tc>
        <w:tc>
          <w:tcPr>
            <w:tcW w:w="7303" w:type="dxa"/>
            <w:shd w:val="clear" w:color="auto" w:fill="auto"/>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拟投入项目负责人及保险组成员情况表</w:t>
            </w:r>
          </w:p>
        </w:tc>
        <w:tc>
          <w:tcPr>
            <w:tcW w:w="988" w:type="dxa"/>
            <w:shd w:val="clear" w:color="auto" w:fill="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5</w:t>
            </w:r>
          </w:p>
        </w:tc>
        <w:tc>
          <w:tcPr>
            <w:tcW w:w="7303" w:type="dxa"/>
            <w:shd w:val="clear" w:color="auto" w:fill="auto"/>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2023年1月1日以来</w:t>
            </w:r>
            <w:r>
              <w:rPr>
                <w:rFonts w:hint="eastAsia" w:ascii="宋体" w:hAnsi="宋体" w:eastAsia="宋体" w:cs="宋体"/>
                <w:sz w:val="18"/>
                <w:szCs w:val="18"/>
                <w:lang w:val="en-US" w:eastAsia="zh-CN"/>
              </w:rPr>
              <w:t>类似车辆保险项目业绩</w:t>
            </w:r>
          </w:p>
        </w:tc>
        <w:tc>
          <w:tcPr>
            <w:tcW w:w="988" w:type="dxa"/>
            <w:shd w:val="clear" w:color="auto" w:fill="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6</w:t>
            </w:r>
          </w:p>
        </w:tc>
        <w:tc>
          <w:tcPr>
            <w:tcW w:w="7303" w:type="dxa"/>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根据采购文件中的采购内容及要求以及技术资信评分项目逐项编制，需编制目录索引，注明评分细则项目所在投标文件页码。）</w:t>
            </w:r>
          </w:p>
          <w:p>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本文件《第三部分  附件》附件中未提供格式的，可自行拟定格式，否则视为未提供。</w:t>
            </w:r>
          </w:p>
        </w:tc>
        <w:tc>
          <w:tcPr>
            <w:tcW w:w="988" w:type="dxa"/>
            <w:shd w:val="clear" w:color="auto" w:fill="auto"/>
            <w:vAlign w:val="center"/>
          </w:tcPr>
          <w:p>
            <w:pPr>
              <w:jc w:val="center"/>
              <w:rPr>
                <w:rFonts w:hint="eastAsia" w:ascii="宋体" w:hAnsi="宋体" w:eastAsia="宋体" w:cs="宋体"/>
                <w:kern w:val="2"/>
                <w:sz w:val="18"/>
                <w:szCs w:val="18"/>
                <w:lang w:val="en-US" w:eastAsia="zh-CN" w:bidi="ar-SA"/>
              </w:rPr>
            </w:pPr>
          </w:p>
        </w:tc>
      </w:tr>
    </w:tbl>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1）投标人可根据采购文件中的采购内容及要求以及技术资信评分表，提供投标人认为需要提供的文件和资料。</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w:t>
      </w:r>
      <w:r>
        <w:rPr>
          <w:rFonts w:hint="eastAsia" w:ascii="宋体" w:hAnsi="宋体" w:eastAsia="宋体" w:cs="宋体"/>
          <w:b/>
          <w:bCs/>
          <w:sz w:val="22"/>
          <w:highlight w:val="none"/>
          <w:u w:val="single"/>
        </w:rPr>
        <w:t>以上所需的各种证书、证件、证明、执照等若系复印件，须在复印件上加盖投标人有效的公章</w:t>
      </w:r>
      <w:r>
        <w:rPr>
          <w:rFonts w:hint="eastAsia" w:ascii="宋体" w:hAnsi="宋体" w:eastAsia="宋体" w:cs="宋体"/>
          <w:sz w:val="22"/>
          <w:highlight w:val="none"/>
        </w:rPr>
        <w:t>。</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3）投标人的投标文件必须按照采购文件要求制作。</w:t>
      </w:r>
    </w:p>
    <w:p>
      <w:pPr>
        <w:rPr>
          <w:rFonts w:hint="eastAsia" w:ascii="宋体" w:hAnsi="宋体" w:eastAsia="宋体" w:cs="宋体"/>
          <w:b/>
          <w:sz w:val="22"/>
          <w:highlight w:val="none"/>
        </w:rPr>
      </w:pPr>
      <w:r>
        <w:rPr>
          <w:rFonts w:hint="eastAsia" w:ascii="宋体" w:hAnsi="宋体" w:eastAsia="宋体" w:cs="宋体"/>
          <w:b/>
          <w:sz w:val="22"/>
          <w:highlight w:val="none"/>
        </w:rPr>
        <w:t>（2） 商务（报价）标（标段1、标段2通用，要求以标段为单位进行编制）</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七</w:t>
            </w:r>
          </w:p>
        </w:tc>
      </w:tr>
    </w:tbl>
    <w:p>
      <w:pPr>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绝。</w:t>
      </w:r>
    </w:p>
    <w:p>
      <w:pPr>
        <w:numPr>
          <w:ilvl w:val="0"/>
          <w:numId w:val="4"/>
        </w:numPr>
        <w:tabs>
          <w:tab w:val="left" w:pos="530"/>
        </w:tabs>
        <w:autoSpaceDE w:val="0"/>
        <w:autoSpaceDN w:val="0"/>
        <w:textAlignment w:val="bottom"/>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lang w:val="en-US" w:eastAsia="zh-CN"/>
        </w:rPr>
        <w:t>要求以“标段”为单位进行装订、包装、密封。</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pPr>
        <w:tabs>
          <w:tab w:val="left" w:pos="1080"/>
        </w:tabs>
        <w:ind w:left="524" w:hanging="523" w:hangingChars="238"/>
        <w:rPr>
          <w:rFonts w:hint="eastAsia" w:ascii="宋体" w:hAnsi="宋体" w:eastAsia="宋体" w:cs="宋体"/>
          <w:b/>
          <w:bCs/>
          <w:sz w:val="22"/>
          <w:szCs w:val="22"/>
          <w:highlight w:val="none"/>
          <w:u w:val="single"/>
        </w:rPr>
      </w:pPr>
      <w:r>
        <w:rPr>
          <w:rFonts w:hint="eastAsia" w:ascii="宋体" w:hAnsi="宋体" w:eastAsia="宋体" w:cs="宋体"/>
          <w:sz w:val="22"/>
          <w:szCs w:val="22"/>
          <w:highlight w:val="none"/>
        </w:rPr>
        <w:t xml:space="preserve">12.1 </w:t>
      </w:r>
      <w:r>
        <w:rPr>
          <w:rFonts w:hint="eastAsia" w:ascii="宋体" w:hAnsi="宋体" w:eastAsia="宋体" w:cs="宋体"/>
          <w:b/>
          <w:bCs/>
          <w:sz w:val="22"/>
          <w:szCs w:val="22"/>
          <w:highlight w:val="none"/>
          <w:u w:val="single"/>
        </w:rPr>
        <w:t>▲投标报价是指</w:t>
      </w:r>
      <w:r>
        <w:rPr>
          <w:rFonts w:hint="eastAsia" w:ascii="宋体" w:hAnsi="宋体" w:eastAsia="宋体" w:cs="宋体"/>
          <w:b/>
          <w:bCs/>
          <w:sz w:val="22"/>
          <w:szCs w:val="22"/>
          <w:highlight w:val="none"/>
          <w:u w:val="single"/>
          <w:lang w:eastAsia="zh-CN"/>
        </w:rPr>
        <w:t>投标人</w:t>
      </w:r>
      <w:r>
        <w:rPr>
          <w:rFonts w:hint="eastAsia" w:ascii="宋体" w:hAnsi="宋体" w:eastAsia="宋体" w:cs="宋体"/>
          <w:b/>
          <w:bCs/>
          <w:sz w:val="22"/>
          <w:szCs w:val="22"/>
          <w:highlight w:val="none"/>
          <w:u w:val="single"/>
        </w:rPr>
        <w:t>按中国银行保险监督管理委员会公布的市场保险费基准价基础上进行下浮，报折扣值</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u w:val="single"/>
          <w:lang w:val="en-US" w:eastAsia="zh-CN"/>
        </w:rPr>
        <w:t>自主定价系数</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u w:val="single"/>
        </w:rPr>
        <w:t>。</w:t>
      </w:r>
    </w:p>
    <w:p>
      <w:pPr>
        <w:tabs>
          <w:tab w:val="left" w:pos="1080"/>
        </w:tabs>
        <w:ind w:left="524" w:hanging="523" w:hangingChars="238"/>
        <w:rPr>
          <w:rFonts w:hint="eastAsia" w:ascii="宋体" w:hAnsi="宋体" w:eastAsia="宋体" w:cs="宋体"/>
          <w:sz w:val="22"/>
          <w:szCs w:val="22"/>
          <w:highlight w:val="none"/>
        </w:rPr>
      </w:pPr>
      <w:r>
        <w:rPr>
          <w:rFonts w:hint="eastAsia" w:ascii="宋体" w:hAnsi="宋体" w:eastAsia="宋体" w:cs="宋体"/>
          <w:sz w:val="22"/>
          <w:szCs w:val="22"/>
          <w:highlight w:val="none"/>
        </w:rPr>
        <w:t>12.2 投标人必须按第四部分附件中的开标一览表（统一格式）的内容填写优惠折扣值（自主定价系数）及其他事项，并由</w:t>
      </w:r>
      <w:r>
        <w:rPr>
          <w:rFonts w:hint="eastAsia" w:ascii="宋体" w:hAnsi="宋体" w:eastAsia="宋体" w:cs="宋体"/>
          <w:sz w:val="22"/>
          <w:szCs w:val="22"/>
          <w:highlight w:val="none"/>
          <w:lang w:eastAsia="zh-CN"/>
        </w:rPr>
        <w:t>法定代表人（法定负责人）</w:t>
      </w:r>
      <w:r>
        <w:rPr>
          <w:rFonts w:hint="eastAsia" w:ascii="宋体" w:hAnsi="宋体" w:eastAsia="宋体" w:cs="宋体"/>
          <w:sz w:val="22"/>
          <w:szCs w:val="22"/>
          <w:highlight w:val="none"/>
        </w:rPr>
        <w:t>或授权代表签署。</w:t>
      </w:r>
    </w:p>
    <w:p>
      <w:pPr>
        <w:ind w:left="526" w:hanging="523" w:hangingChars="238"/>
        <w:rPr>
          <w:rFonts w:hint="eastAsia" w:ascii="宋体" w:hAnsi="宋体" w:eastAsia="宋体" w:cs="宋体"/>
          <w:b/>
          <w:bCs/>
          <w:sz w:val="22"/>
          <w:highlight w:val="none"/>
        </w:rPr>
      </w:pPr>
      <w:r>
        <w:rPr>
          <w:rFonts w:hint="eastAsia" w:ascii="宋体" w:hAnsi="宋体" w:eastAsia="宋体" w:cs="宋体"/>
          <w:sz w:val="22"/>
          <w:szCs w:val="22"/>
          <w:highlight w:val="none"/>
        </w:rPr>
        <w:t xml:space="preserve">12.3 </w:t>
      </w:r>
      <w:r>
        <w:rPr>
          <w:rFonts w:hint="eastAsia" w:ascii="宋体" w:hAnsi="宋体" w:eastAsia="宋体" w:cs="宋体"/>
          <w:b/>
          <w:bCs/>
          <w:sz w:val="22"/>
          <w:szCs w:val="22"/>
          <w:highlight w:val="none"/>
          <w:u w:val="single"/>
        </w:rPr>
        <w:t>▲本项目车辆根据保监分类规定每类情形只允许报一次折扣值</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u w:val="single"/>
          <w:lang w:val="en-US" w:eastAsia="zh-CN"/>
        </w:rPr>
        <w:t>自主定价系数</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u w:val="single"/>
        </w:rPr>
        <w:t>，采购人不接受任何有选择的报价折扣值</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u w:val="single"/>
          <w:lang w:val="en-US" w:eastAsia="zh-CN"/>
        </w:rPr>
        <w:t>自主定价系数</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rPr>
        <w:t>。</w:t>
      </w:r>
    </w:p>
    <w:p>
      <w:pPr>
        <w:ind w:left="526" w:hanging="526" w:hangingChars="238"/>
        <w:rPr>
          <w:rFonts w:hint="eastAsia" w:ascii="宋体" w:hAnsi="宋体" w:eastAsia="宋体" w:cs="宋体"/>
          <w:b/>
          <w:bCs/>
          <w:sz w:val="22"/>
          <w:highlight w:val="none"/>
          <w:lang w:val="en-US" w:eastAsia="zh-CN"/>
        </w:rPr>
      </w:pPr>
      <w:r>
        <w:rPr>
          <w:rFonts w:hint="eastAsia" w:ascii="宋体" w:hAnsi="宋体" w:eastAsia="宋体" w:cs="宋体"/>
          <w:b/>
          <w:bCs/>
          <w:sz w:val="22"/>
          <w:highlight w:val="none"/>
        </w:rPr>
        <w:t>12.</w:t>
      </w:r>
      <w:r>
        <w:rPr>
          <w:rFonts w:hint="eastAsia" w:ascii="宋体" w:hAnsi="宋体" w:eastAsia="宋体" w:cs="宋体"/>
          <w:b/>
          <w:bCs/>
          <w:sz w:val="22"/>
          <w:highlight w:val="none"/>
          <w:lang w:val="en-US" w:eastAsia="zh-CN"/>
        </w:rPr>
        <w:t>4</w:t>
      </w:r>
      <w:r>
        <w:rPr>
          <w:rFonts w:hint="eastAsia" w:ascii="宋体" w:hAnsi="宋体" w:eastAsia="宋体" w:cs="宋体"/>
          <w:b/>
          <w:bCs/>
          <w:sz w:val="22"/>
          <w:highlight w:val="none"/>
        </w:rPr>
        <w:t xml:space="preserve"> </w:t>
      </w:r>
      <w:r>
        <w:rPr>
          <w:rFonts w:hint="eastAsia" w:ascii="宋体" w:hAnsi="宋体" w:eastAsia="宋体" w:cs="宋体"/>
          <w:sz w:val="22"/>
        </w:rPr>
        <w:t>采购</w:t>
      </w:r>
      <w:r>
        <w:rPr>
          <w:rFonts w:hint="eastAsia" w:ascii="宋体" w:hAnsi="宋体" w:eastAsia="宋体" w:cs="宋体"/>
          <w:sz w:val="22"/>
          <w:lang w:val="en-US" w:eastAsia="zh-CN"/>
        </w:rPr>
        <w:t>人</w:t>
      </w:r>
      <w:r>
        <w:rPr>
          <w:rFonts w:hint="eastAsia" w:ascii="宋体" w:hAnsi="宋体" w:eastAsia="宋体" w:cs="宋体"/>
          <w:sz w:val="22"/>
        </w:rPr>
        <w:t>要求分类报价是为了方便评标，但在任何情况下不限制采购人以其认为最合适的条款、条件签订合同的权利。</w:t>
      </w:r>
    </w:p>
    <w:p>
      <w:pPr>
        <w:ind w:left="526" w:hanging="526" w:hangingChars="238"/>
        <w:rPr>
          <w:rFonts w:hint="eastAsia" w:ascii="宋体" w:hAnsi="宋体" w:eastAsia="宋体" w:cs="宋体"/>
          <w:b/>
          <w:bCs/>
          <w:sz w:val="22"/>
          <w:highlight w:val="none"/>
          <w:lang w:val="en-US" w:eastAsia="zh-CN"/>
        </w:rPr>
      </w:pPr>
      <w:r>
        <w:rPr>
          <w:rFonts w:hint="eastAsia" w:ascii="宋体" w:hAnsi="宋体" w:eastAsia="宋体" w:cs="宋体"/>
          <w:b/>
          <w:bCs/>
          <w:sz w:val="22"/>
          <w:highlight w:val="none"/>
          <w:lang w:val="en-US" w:eastAsia="zh-CN"/>
        </w:rPr>
        <w:t>12.5投标人所报的投标折扣值</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u w:val="single"/>
          <w:lang w:val="en-US" w:eastAsia="zh-CN"/>
        </w:rPr>
        <w:t>自主定价系数</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highlight w:val="none"/>
          <w:lang w:val="en-US" w:eastAsia="zh-CN"/>
        </w:rPr>
        <w:t>在合同执行过程中是固定不变的，不得以任何理由予以变更。</w:t>
      </w:r>
      <w:r>
        <w:rPr>
          <w:rFonts w:hint="eastAsia" w:ascii="宋体" w:hAnsi="宋体" w:eastAsia="宋体" w:cs="宋体"/>
          <w:b/>
          <w:sz w:val="22"/>
          <w:u w:val="single"/>
        </w:rPr>
        <w:t>任何包含价格调整的要求，将被认为是非实质性响应投标而予以拒绝。</w:t>
      </w:r>
    </w:p>
    <w:p>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w:t>
      </w:r>
      <w:r>
        <w:rPr>
          <w:rFonts w:hint="eastAsia" w:ascii="宋体" w:hAnsi="宋体" w:eastAsia="宋体" w:cs="宋体"/>
          <w:b/>
          <w:bCs/>
          <w:sz w:val="22"/>
          <w:highlight w:val="none"/>
          <w:lang w:val="en-US" w:eastAsia="zh-CN"/>
        </w:rPr>
        <w:t>6</w:t>
      </w:r>
      <w:r>
        <w:rPr>
          <w:rFonts w:hint="eastAsia" w:ascii="宋体" w:hAnsi="宋体" w:eastAsia="宋体" w:cs="宋体"/>
          <w:b/>
          <w:bCs/>
          <w:sz w:val="22"/>
          <w:highlight w:val="none"/>
        </w:rPr>
        <w:t xml:space="preserve"> 投标人必须按附件中的开标一览表（均统一格式）内容填写报价，并由法定代表人（负责人）或投标人代表签署。</w:t>
      </w:r>
    </w:p>
    <w:p>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w:t>
      </w:r>
      <w:r>
        <w:rPr>
          <w:rFonts w:hint="eastAsia" w:ascii="宋体" w:hAnsi="宋体" w:eastAsia="宋体" w:cs="宋体"/>
          <w:sz w:val="22"/>
          <w:highlight w:val="none"/>
          <w:lang w:val="en-US" w:eastAsia="zh-CN"/>
        </w:rPr>
        <w:t>7</w:t>
      </w:r>
      <w:r>
        <w:rPr>
          <w:rFonts w:hint="eastAsia" w:ascii="宋体" w:hAnsi="宋体" w:eastAsia="宋体" w:cs="宋体"/>
          <w:sz w:val="22"/>
          <w:highlight w:val="none"/>
        </w:rPr>
        <w:t xml:space="preserve"> </w:t>
      </w:r>
      <w:r>
        <w:rPr>
          <w:rFonts w:hint="eastAsia" w:ascii="宋体" w:hAnsi="宋体" w:eastAsia="宋体" w:cs="宋体"/>
          <w:b/>
          <w:bCs/>
          <w:sz w:val="22"/>
          <w:highlight w:val="none"/>
        </w:rPr>
        <w:t>最低</w:t>
      </w:r>
      <w:r>
        <w:rPr>
          <w:rFonts w:hint="eastAsia" w:ascii="宋体" w:hAnsi="宋体" w:eastAsia="宋体" w:cs="宋体"/>
          <w:b/>
          <w:bCs/>
          <w:sz w:val="22"/>
          <w:szCs w:val="22"/>
        </w:rPr>
        <w:t>折扣值</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u w:val="single"/>
          <w:lang w:val="en-US" w:eastAsia="zh-CN"/>
        </w:rPr>
        <w:t>自主定价系数</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highlight w:val="none"/>
        </w:rPr>
        <w:t>报价不作为中标的保证。</w:t>
      </w:r>
    </w:p>
    <w:p>
      <w:pPr>
        <w:numPr>
          <w:ilvl w:val="0"/>
          <w:numId w:val="3"/>
        </w:numPr>
        <w:tabs>
          <w:tab w:val="left" w:pos="525"/>
          <w:tab w:val="left" w:pos="900"/>
        </w:tabs>
        <w:ind w:left="525" w:hanging="525"/>
        <w:rPr>
          <w:rFonts w:hint="eastAsia" w:ascii="宋体" w:hAnsi="宋体" w:eastAsia="宋体" w:cs="宋体"/>
          <w:b/>
          <w:sz w:val="22"/>
          <w:highlight w:val="none"/>
          <w:u w:val="single"/>
        </w:rPr>
      </w:pPr>
      <w:r>
        <w:rPr>
          <w:rFonts w:hint="eastAsia" w:ascii="宋体" w:hAnsi="宋体" w:eastAsia="宋体" w:cs="宋体"/>
          <w:b/>
          <w:sz w:val="22"/>
          <w:highlight w:val="none"/>
          <w:u w:val="single"/>
        </w:rPr>
        <w:t>▲投标保证金</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13.1 ▲</w:t>
      </w:r>
      <w:r>
        <w:rPr>
          <w:rFonts w:hint="eastAsia" w:ascii="宋体" w:hAnsi="宋体" w:eastAsia="宋体" w:cs="宋体"/>
          <w:b/>
          <w:bCs/>
          <w:sz w:val="22"/>
          <w:highlight w:val="none"/>
          <w:u w:val="single"/>
        </w:rPr>
        <w:t>投标人须按投标人须知前附表规定交纳投标保证金，否则采购人将不接受其投标</w:t>
      </w:r>
      <w:r>
        <w:rPr>
          <w:rFonts w:hint="eastAsia" w:ascii="宋体" w:hAnsi="宋体" w:eastAsia="宋体" w:cs="宋体"/>
          <w:sz w:val="22"/>
          <w:highlight w:val="none"/>
        </w:rPr>
        <w:t>。</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13.2</w:t>
      </w:r>
      <w:r>
        <w:rPr>
          <w:rFonts w:hint="eastAsia" w:ascii="宋体" w:hAnsi="宋体" w:eastAsia="宋体" w:cs="宋体"/>
          <w:b/>
          <w:bCs/>
          <w:sz w:val="22"/>
          <w:highlight w:val="none"/>
          <w:u w:val="single"/>
        </w:rPr>
        <w:t>投标保证金金额及形式详见采购公告及投标须知前附表规定。</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13.3 投标人的投标保证金在中标人提交履约担保并与采购人签订了合同且合同经备案后无息退还，未中标投标人的投标保证金将在确定中标人后无息退还。</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13.4 </w:t>
      </w:r>
      <w:r>
        <w:rPr>
          <w:rFonts w:hint="eastAsia" w:ascii="宋体" w:hAnsi="宋体" w:eastAsia="宋体" w:cs="宋体"/>
          <w:b/>
          <w:sz w:val="22"/>
          <w:highlight w:val="none"/>
          <w:u w:val="single"/>
        </w:rPr>
        <w:t>如发生下列情况之一，投标保证金将不予退还：</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投标人在采购文件规定的投标有效期内撤回投标；</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中标人未按中标通知书中规定的时间与采购人签订合同；</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投标人在投标文件中提供虚假资料，经评标委员会确认属实的；</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经国企采购监督管理部门审查认定投标人有违反《</w:t>
      </w:r>
      <w:r>
        <w:rPr>
          <w:rFonts w:hint="eastAsia" w:ascii="宋体" w:hAnsi="宋体" w:eastAsia="宋体" w:cs="宋体"/>
          <w:sz w:val="22"/>
          <w:highlight w:val="none"/>
          <w:lang w:eastAsia="zh-CN"/>
        </w:rPr>
        <w:t>温州市市属国有企业采购管理办法</w:t>
      </w:r>
      <w:r>
        <w:rPr>
          <w:rFonts w:hint="eastAsia" w:ascii="宋体" w:hAnsi="宋体" w:eastAsia="宋体" w:cs="宋体"/>
          <w:sz w:val="22"/>
          <w:highlight w:val="none"/>
        </w:rPr>
        <w:t>》</w:t>
      </w:r>
      <w:r>
        <w:rPr>
          <w:rFonts w:hint="eastAsia" w:ascii="宋体" w:hAnsi="宋体" w:eastAsia="宋体" w:cs="宋体"/>
          <w:sz w:val="22"/>
          <w:highlight w:val="none"/>
          <w:shd w:val="clear" w:color="auto" w:fill="auto"/>
        </w:rPr>
        <w:t>（</w:t>
      </w:r>
      <w:r>
        <w:rPr>
          <w:rFonts w:hint="eastAsia" w:ascii="宋体" w:hAnsi="宋体" w:eastAsia="宋体" w:cs="宋体"/>
          <w:sz w:val="22"/>
          <w:highlight w:val="none"/>
          <w:shd w:val="clear" w:color="auto" w:fill="auto"/>
          <w:lang w:eastAsia="zh-CN"/>
        </w:rPr>
        <w:t>温国资委〔2024〕第51号</w:t>
      </w:r>
      <w:r>
        <w:rPr>
          <w:rFonts w:hint="eastAsia" w:ascii="宋体" w:hAnsi="宋体" w:eastAsia="宋体" w:cs="宋体"/>
          <w:sz w:val="22"/>
          <w:highlight w:val="none"/>
          <w:shd w:val="clear" w:color="auto" w:fill="auto"/>
        </w:rPr>
        <w:t>）</w:t>
      </w:r>
      <w:r>
        <w:rPr>
          <w:rFonts w:hint="eastAsia" w:ascii="宋体" w:hAnsi="宋体" w:eastAsia="宋体" w:cs="宋体"/>
          <w:sz w:val="22"/>
          <w:highlight w:val="none"/>
        </w:rPr>
        <w:t>等有关法律法规的行为。</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pPr>
        <w:numPr>
          <w:ilvl w:val="1"/>
          <w:numId w:val="6"/>
        </w:numPr>
        <w:tabs>
          <w:tab w:val="left" w:pos="525"/>
          <w:tab w:val="clear" w:pos="992"/>
        </w:tabs>
        <w:ind w:left="525" w:hanging="525"/>
        <w:rPr>
          <w:rFonts w:hint="eastAsia" w:ascii="宋体" w:hAnsi="宋体" w:eastAsia="宋体" w:cs="宋体"/>
          <w:b/>
          <w:color w:val="auto"/>
          <w:sz w:val="22"/>
          <w:szCs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七</w:t>
      </w:r>
      <w:r>
        <w:rPr>
          <w:rFonts w:hint="eastAsia" w:ascii="宋体" w:hAnsi="宋体" w:eastAsia="宋体" w:cs="宋体"/>
          <w:b/>
          <w:sz w:val="22"/>
          <w:highlight w:val="none"/>
        </w:rPr>
        <w:t>份的投标文件，分别装订成册</w:t>
      </w:r>
      <w:r>
        <w:rPr>
          <w:rFonts w:hint="eastAsia" w:ascii="宋体" w:hAnsi="宋体" w:eastAsia="宋体" w:cs="宋体"/>
          <w:b/>
          <w:sz w:val="22"/>
          <w:highlight w:val="none"/>
          <w:lang w:eastAsia="zh-CN"/>
        </w:rPr>
        <w:t>，</w:t>
      </w:r>
      <w:r>
        <w:rPr>
          <w:rFonts w:hint="eastAsia" w:ascii="宋体" w:hAnsi="宋体" w:eastAsia="宋体" w:cs="宋体"/>
          <w:b/>
          <w:bCs/>
          <w:color w:val="auto"/>
          <w:highlight w:val="none"/>
        </w:rPr>
        <w:t>不同标段的投标文件必须分别装订密封</w:t>
      </w:r>
      <w:r>
        <w:rPr>
          <w:rFonts w:hint="eastAsia" w:ascii="宋体" w:hAnsi="宋体" w:eastAsia="宋体" w:cs="宋体"/>
          <w:b/>
          <w:bCs/>
          <w:color w:val="auto"/>
          <w:highlight w:val="none"/>
          <w:lang w:eastAsia="zh-CN"/>
        </w:rPr>
        <w:t>，</w:t>
      </w:r>
      <w:r>
        <w:rPr>
          <w:rFonts w:hint="eastAsia" w:ascii="宋体" w:hAnsi="宋体" w:eastAsia="宋体" w:cs="宋体"/>
          <w:b/>
          <w:color w:val="auto"/>
          <w:sz w:val="22"/>
          <w:szCs w:val="22"/>
          <w:highlight w:val="none"/>
        </w:rPr>
        <w:t>其中</w:t>
      </w:r>
      <w:r>
        <w:rPr>
          <w:rFonts w:hint="eastAsia" w:ascii="宋体" w:hAnsi="宋体" w:eastAsia="宋体" w:cs="宋体"/>
          <w:b/>
          <w:color w:val="auto"/>
          <w:sz w:val="22"/>
          <w:szCs w:val="22"/>
          <w:highlight w:val="none"/>
          <w:lang w:eastAsia="zh-CN"/>
        </w:rPr>
        <w:t>：</w:t>
      </w:r>
    </w:p>
    <w:p>
      <w:pPr>
        <w:numPr>
          <w:ilvl w:val="0"/>
          <w:numId w:val="0"/>
        </w:numPr>
        <w:tabs>
          <w:tab w:val="left" w:pos="525"/>
        </w:tabs>
        <w:ind w:left="437" w:leftChars="208" w:firstLine="0" w:firstLineChars="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标段1：</w:t>
      </w:r>
      <w:r>
        <w:rPr>
          <w:rFonts w:hint="eastAsia" w:ascii="宋体" w:hAnsi="宋体" w:eastAsia="宋体" w:cs="宋体"/>
          <w:b/>
          <w:color w:val="auto"/>
          <w:sz w:val="22"/>
          <w:szCs w:val="22"/>
          <w:highlight w:val="none"/>
        </w:rPr>
        <w:t>正本一份、副本</w:t>
      </w:r>
      <w:r>
        <w:rPr>
          <w:rFonts w:hint="eastAsia" w:ascii="宋体" w:hAnsi="宋体" w:eastAsia="宋体" w:cs="宋体"/>
          <w:b/>
          <w:color w:val="auto"/>
          <w:sz w:val="22"/>
          <w:szCs w:val="22"/>
          <w:highlight w:val="none"/>
          <w:lang w:val="en-US" w:eastAsia="zh-CN"/>
        </w:rPr>
        <w:t>六</w:t>
      </w:r>
      <w:r>
        <w:rPr>
          <w:rFonts w:hint="eastAsia" w:ascii="宋体" w:hAnsi="宋体" w:eastAsia="宋体" w:cs="宋体"/>
          <w:b/>
          <w:color w:val="auto"/>
          <w:sz w:val="22"/>
          <w:szCs w:val="22"/>
          <w:highlight w:val="none"/>
        </w:rPr>
        <w:t>份，每套投标文件的封面应清楚标明“正本”或“副本”字样，若“正本”与“副本”不符，以“正本”为准</w:t>
      </w:r>
      <w:r>
        <w:rPr>
          <w:rFonts w:hint="eastAsia" w:ascii="宋体" w:hAnsi="宋体" w:eastAsia="宋体" w:cs="宋体"/>
          <w:b/>
          <w:color w:val="auto"/>
          <w:sz w:val="22"/>
          <w:szCs w:val="22"/>
          <w:highlight w:val="none"/>
          <w:lang w:eastAsia="zh-CN"/>
        </w:rPr>
        <w:t>。</w:t>
      </w:r>
    </w:p>
    <w:p>
      <w:pPr>
        <w:numPr>
          <w:ilvl w:val="0"/>
          <w:numId w:val="0"/>
        </w:numPr>
        <w:tabs>
          <w:tab w:val="left" w:pos="525"/>
        </w:tabs>
        <w:ind w:left="437" w:leftChars="208" w:firstLine="0" w:firstLineChars="0"/>
        <w:rPr>
          <w:rFonts w:hint="eastAsia" w:ascii="宋体" w:hAnsi="宋体" w:eastAsia="宋体" w:cs="宋体"/>
          <w:b/>
          <w:sz w:val="22"/>
          <w:highlight w:val="none"/>
        </w:rPr>
      </w:pPr>
      <w:r>
        <w:rPr>
          <w:rFonts w:hint="eastAsia" w:ascii="宋体" w:hAnsi="宋体" w:eastAsia="宋体" w:cs="宋体"/>
          <w:b/>
          <w:color w:val="auto"/>
          <w:sz w:val="22"/>
          <w:szCs w:val="22"/>
          <w:highlight w:val="none"/>
          <w:lang w:eastAsia="zh-CN"/>
        </w:rPr>
        <w:t>标段</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lang w:eastAsia="zh-CN"/>
        </w:rPr>
        <w:t>：正本一份、副本</w:t>
      </w:r>
      <w:r>
        <w:rPr>
          <w:rFonts w:hint="eastAsia" w:ascii="宋体" w:hAnsi="宋体" w:eastAsia="宋体" w:cs="宋体"/>
          <w:b/>
          <w:color w:val="auto"/>
          <w:sz w:val="22"/>
          <w:szCs w:val="22"/>
          <w:highlight w:val="none"/>
          <w:lang w:val="en-US" w:eastAsia="zh-CN"/>
        </w:rPr>
        <w:t>六</w:t>
      </w:r>
      <w:r>
        <w:rPr>
          <w:rFonts w:hint="eastAsia" w:ascii="宋体" w:hAnsi="宋体" w:eastAsia="宋体" w:cs="宋体"/>
          <w:b/>
          <w:color w:val="auto"/>
          <w:sz w:val="22"/>
          <w:szCs w:val="22"/>
          <w:highlight w:val="none"/>
          <w:lang w:eastAsia="zh-CN"/>
        </w:rPr>
        <w:t>份，每套投标文件的封面应清楚标明“正本”或“副本”字样，若“正本”与“副本”不符，以“正本”为准。</w:t>
      </w:r>
      <w:r>
        <w:rPr>
          <w:rFonts w:hint="eastAsia" w:ascii="宋体" w:hAnsi="宋体" w:eastAsia="宋体" w:cs="宋体"/>
          <w:b/>
          <w:sz w:val="22"/>
          <w:highlight w:val="none"/>
        </w:rPr>
        <w:t>。</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投标文件的正本必须打印或用不褪色的墨水书写，并由法定代表人（负责人）或其授权代表签署，副本可用正本的复印件。</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封口处贴上封条，启封处加盖投标单位公章并由法定代表人（负责人）或其授权代表签字。</w:t>
      </w:r>
      <w:r>
        <w:rPr>
          <w:rFonts w:hint="eastAsia" w:ascii="宋体" w:hAnsi="宋体" w:eastAsia="宋体" w:cs="宋体"/>
          <w:b/>
          <w:sz w:val="22"/>
          <w:highlight w:val="none"/>
        </w:rPr>
        <w:t>封皮上写明投标项目名称、</w:t>
      </w:r>
      <w:r>
        <w:rPr>
          <w:rFonts w:hint="eastAsia" w:ascii="宋体" w:hAnsi="宋体" w:eastAsia="宋体" w:cs="宋体"/>
          <w:b/>
          <w:sz w:val="22"/>
          <w:highlight w:val="none"/>
          <w:lang w:val="en-US" w:eastAsia="zh-CN"/>
        </w:rPr>
        <w:t>标段名称、</w:t>
      </w:r>
      <w:r>
        <w:rPr>
          <w:rFonts w:hint="eastAsia" w:ascii="宋体" w:hAnsi="宋体" w:eastAsia="宋体" w:cs="宋体"/>
          <w:b/>
          <w:color w:val="auto"/>
          <w:sz w:val="22"/>
          <w:highlight w:val="none"/>
          <w:lang w:val="en-US" w:eastAsia="zh-CN"/>
        </w:rPr>
        <w:t>标段编号</w:t>
      </w:r>
      <w:r>
        <w:rPr>
          <w:rFonts w:hint="eastAsia" w:ascii="宋体" w:hAnsi="宋体" w:eastAsia="宋体" w:cs="宋体"/>
          <w:b/>
          <w:sz w:val="22"/>
          <w:highlight w:val="none"/>
        </w:rPr>
        <w:t>，并注明“开标时启封”字样。</w:t>
      </w:r>
    </w:p>
    <w:p>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pPr>
        <w:numPr>
          <w:ilvl w:val="1"/>
          <w:numId w:val="7"/>
        </w:numPr>
        <w:tabs>
          <w:tab w:val="left" w:pos="525"/>
        </w:tabs>
        <w:ind w:left="525" w:hanging="525"/>
        <w:rPr>
          <w:rFonts w:hint="eastAsia" w:ascii="宋体" w:hAnsi="宋体" w:eastAsia="宋体" w:cs="宋体"/>
        </w:rPr>
      </w:pPr>
      <w:r>
        <w:rPr>
          <w:rFonts w:hint="eastAsia" w:ascii="宋体" w:hAnsi="宋体" w:eastAsia="宋体" w:cs="宋体"/>
          <w:b/>
          <w:bCs/>
          <w:sz w:val="22"/>
        </w:rPr>
        <w:t>为了落实节约能源，保护环境</w:t>
      </w:r>
      <w:bookmarkStart w:id="83" w:name="_Hlk20129971"/>
      <w:r>
        <w:rPr>
          <w:rFonts w:hint="eastAsia" w:ascii="宋体" w:hAnsi="宋体" w:eastAsia="宋体" w:cs="宋体"/>
          <w:b/>
          <w:bCs/>
          <w:sz w:val="22"/>
        </w:rPr>
        <w:t>的政策</w:t>
      </w:r>
      <w:bookmarkEnd w:id="83"/>
      <w:r>
        <w:rPr>
          <w:rFonts w:hint="eastAsia" w:ascii="宋体" w:hAnsi="宋体" w:eastAsia="宋体" w:cs="宋体"/>
          <w:b/>
          <w:bCs/>
          <w:sz w:val="22"/>
        </w:rPr>
        <w:t>，建议投标文件双面打印，并根据采购文件的要求进行制作，内容简洁明了，编排合理有序，与采购文件内容无关或不符合采购文件要求的资料不要编入投标文件。</w:t>
      </w:r>
    </w:p>
    <w:p>
      <w:pPr>
        <w:numPr>
          <w:ilvl w:val="-1"/>
          <w:numId w:val="0"/>
        </w:numPr>
        <w:tabs>
          <w:tab w:val="left" w:pos="525"/>
        </w:tabs>
        <w:ind w:left="0" w:firstLine="0"/>
        <w:rPr>
          <w:rFonts w:hint="eastAsia" w:ascii="宋体" w:hAnsi="宋体" w:eastAsia="宋体" w:cs="宋体"/>
          <w:sz w:val="22"/>
          <w:highlight w:val="none"/>
        </w:rPr>
      </w:pPr>
    </w:p>
    <w:p>
      <w:pPr>
        <w:spacing w:before="120" w:beforeLines="50" w:after="120" w:afterLines="50"/>
        <w:jc w:val="center"/>
        <w:rPr>
          <w:rFonts w:hint="eastAsia" w:ascii="宋体" w:hAnsi="宋体" w:eastAsia="宋体" w:cs="宋体"/>
          <w:b/>
          <w:sz w:val="28"/>
          <w:szCs w:val="28"/>
          <w:highlight w:val="none"/>
        </w:rPr>
      </w:pPr>
      <w:bookmarkStart w:id="84" w:name="_Toc210879711"/>
      <w:bookmarkStart w:id="85" w:name="_Toc207609184"/>
      <w:bookmarkStart w:id="86" w:name="_Toc205005289"/>
      <w:bookmarkStart w:id="87" w:name="_Toc214365793"/>
      <w:bookmarkStart w:id="88" w:name="_Toc209261435"/>
      <w:bookmarkStart w:id="89" w:name="_Toc209251130"/>
      <w:bookmarkStart w:id="90" w:name="_Toc227056849"/>
      <w:bookmarkStart w:id="91" w:name="_Toc227489890"/>
      <w:bookmarkStart w:id="92" w:name="_Toc223717607"/>
      <w:bookmarkStart w:id="93" w:name="_Toc215415533"/>
      <w:bookmarkStart w:id="94" w:name="_Toc216667823"/>
      <w:bookmarkStart w:id="95" w:name="_Toc209332636"/>
      <w:bookmarkStart w:id="96" w:name="_Toc205004971"/>
      <w:bookmarkStart w:id="97" w:name="_Toc204491320"/>
      <w:bookmarkStart w:id="98" w:name="_Toc227057036"/>
      <w:bookmarkStart w:id="99" w:name="_Toc205877560"/>
      <w:bookmarkStart w:id="100" w:name="_Toc217460688"/>
      <w:bookmarkStart w:id="101" w:name="_Toc209250722"/>
      <w:bookmarkStart w:id="102" w:name="_Toc223933224"/>
      <w:bookmarkStart w:id="103" w:name="_Toc205703105"/>
      <w:bookmarkStart w:id="104" w:name="_Toc205877455"/>
      <w:bookmarkStart w:id="105" w:name="_Toc218041729"/>
      <w:bookmarkStart w:id="106" w:name="_Toc219538616"/>
      <w:bookmarkStart w:id="107" w:name="_Toc204578578"/>
      <w:bookmarkStart w:id="108" w:name="_Toc209261368"/>
      <w:r>
        <w:rPr>
          <w:rFonts w:hint="eastAsia" w:ascii="宋体" w:hAnsi="宋体" w:eastAsia="宋体" w:cs="宋体"/>
          <w:b/>
          <w:sz w:val="28"/>
          <w:szCs w:val="28"/>
          <w:highlight w:val="none"/>
        </w:rPr>
        <w:t>四、 投标文件的递交</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投标保证金缴纳到账凭证；</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法定代表人（负责人）委派投标人代表的，需提交法定代表人（负责人）授权书（原件）（若投标人代表为法定代表人（负责人）只需提交法定代表人（负责人）身份证明）（如密封在投标文件技术资信标中，在技术资信标开启后经评标委员会查验符合要求亦为有效）。</w:t>
      </w:r>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“投标文件修改”或“投标文件撤回通知”都应密封并在密封袋上写明投标项目名称、</w:t>
      </w:r>
      <w:r>
        <w:rPr>
          <w:rFonts w:hint="eastAsia" w:ascii="宋体" w:hAnsi="宋体" w:eastAsia="宋体" w:cs="宋体"/>
          <w:bCs/>
          <w:sz w:val="22"/>
          <w:highlight w:val="none"/>
          <w:lang w:val="en-US" w:eastAsia="zh-CN"/>
        </w:rPr>
        <w:t>标段名称、标段</w:t>
      </w:r>
      <w:r>
        <w:rPr>
          <w:rFonts w:hint="eastAsia" w:ascii="宋体" w:hAnsi="宋体" w:eastAsia="宋体" w:cs="宋体"/>
          <w:bCs/>
          <w:sz w:val="22"/>
          <w:highlight w:val="none"/>
        </w:rPr>
        <w:t>编号、投标单位名称，并注明“投标文件修改”或“投标文件撤回通知”字样。</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未按要求密封或未装订的投标文件及由于包装不妥</w:t>
      </w:r>
      <w:r>
        <w:rPr>
          <w:rFonts w:hint="eastAsia" w:ascii="宋体" w:hAnsi="宋体" w:eastAsia="宋体" w:cs="宋体"/>
          <w:bCs/>
          <w:sz w:val="22"/>
          <w:highlight w:val="none"/>
          <w:u w:val="single"/>
          <w:lang w:val="en-US" w:eastAsia="zh-CN"/>
        </w:rPr>
        <w:t>致使</w:t>
      </w:r>
      <w:r>
        <w:rPr>
          <w:rFonts w:hint="eastAsia" w:ascii="宋体" w:hAnsi="宋体" w:eastAsia="宋体" w:cs="宋体"/>
          <w:bCs/>
          <w:sz w:val="22"/>
          <w:highlight w:val="none"/>
          <w:u w:val="single"/>
        </w:rPr>
        <w:t>在送达</w:t>
      </w:r>
      <w:r>
        <w:rPr>
          <w:rFonts w:hint="eastAsia" w:ascii="宋体" w:hAnsi="宋体" w:eastAsia="宋体" w:cs="宋体"/>
          <w:bCs/>
          <w:sz w:val="22"/>
          <w:highlight w:val="none"/>
          <w:u w:val="single"/>
          <w:lang w:val="en-US" w:eastAsia="zh-CN"/>
        </w:rPr>
        <w:t>时</w:t>
      </w:r>
      <w:r>
        <w:rPr>
          <w:rFonts w:hint="eastAsia" w:ascii="宋体" w:hAnsi="宋体" w:eastAsia="宋体" w:cs="宋体"/>
          <w:bCs/>
          <w:sz w:val="22"/>
          <w:highlight w:val="none"/>
          <w:u w:val="single"/>
        </w:rPr>
        <w:t>严重破损或失散的</w:t>
      </w:r>
      <w:r>
        <w:rPr>
          <w:rFonts w:hint="eastAsia" w:ascii="宋体" w:hAnsi="宋体" w:eastAsia="宋体" w:cs="宋体"/>
          <w:bCs/>
          <w:sz w:val="22"/>
          <w:highlight w:val="none"/>
          <w:u w:val="single"/>
          <w:lang w:val="en-US" w:eastAsia="zh-CN"/>
        </w:rPr>
        <w:t>未形成有效密封的</w:t>
      </w:r>
      <w:r>
        <w:rPr>
          <w:rFonts w:hint="eastAsia" w:ascii="宋体" w:hAnsi="宋体" w:eastAsia="宋体" w:cs="宋体"/>
          <w:bCs/>
          <w:sz w:val="22"/>
          <w:highlight w:val="none"/>
          <w:u w:val="single"/>
        </w:rPr>
        <w:t>投标文件；</w:t>
      </w:r>
    </w:p>
    <w:p>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pPr>
        <w:spacing w:before="120" w:beforeLines="50" w:after="120" w:afterLines="50"/>
        <w:jc w:val="center"/>
        <w:rPr>
          <w:rFonts w:hint="eastAsia" w:ascii="宋体" w:hAnsi="宋体" w:eastAsia="宋体" w:cs="宋体"/>
          <w:b/>
          <w:sz w:val="28"/>
          <w:szCs w:val="28"/>
          <w:highlight w:val="none"/>
        </w:rPr>
      </w:pPr>
      <w:bookmarkStart w:id="109" w:name="_Toc209251131"/>
      <w:bookmarkStart w:id="110" w:name="_Toc210879712"/>
      <w:bookmarkStart w:id="111" w:name="_Toc205877561"/>
      <w:bookmarkStart w:id="112" w:name="_Toc223717608"/>
      <w:bookmarkStart w:id="113" w:name="_Toc209261436"/>
      <w:bookmarkStart w:id="114" w:name="_Toc227489891"/>
      <w:bookmarkStart w:id="115" w:name="_Toc204578579"/>
      <w:bookmarkStart w:id="116" w:name="_Toc216667824"/>
      <w:bookmarkStart w:id="117" w:name="_Toc227056850"/>
      <w:bookmarkStart w:id="118" w:name="_Toc205004972"/>
      <w:bookmarkStart w:id="119" w:name="_Toc227057037"/>
      <w:bookmarkStart w:id="120" w:name="_Toc214365794"/>
      <w:bookmarkStart w:id="121" w:name="_Toc209250723"/>
      <w:bookmarkStart w:id="122" w:name="_Toc209332637"/>
      <w:bookmarkStart w:id="123" w:name="_Toc204491321"/>
      <w:bookmarkStart w:id="124" w:name="_Toc209261369"/>
      <w:bookmarkStart w:id="125" w:name="_Toc218041730"/>
      <w:bookmarkStart w:id="126" w:name="_Toc223933225"/>
      <w:bookmarkStart w:id="127" w:name="_Toc207609185"/>
      <w:bookmarkStart w:id="128" w:name="_Toc205877456"/>
      <w:bookmarkStart w:id="129" w:name="_Toc219538617"/>
      <w:bookmarkStart w:id="130" w:name="_Toc215415534"/>
      <w:bookmarkStart w:id="131" w:name="_Toc205703106"/>
      <w:bookmarkStart w:id="132" w:name="_Toc217460689"/>
      <w:bookmarkStart w:id="133" w:name="_Toc205005290"/>
      <w:r>
        <w:rPr>
          <w:rFonts w:hint="eastAsia" w:ascii="宋体" w:hAnsi="宋体" w:eastAsia="宋体" w:cs="宋体"/>
          <w:b/>
          <w:sz w:val="28"/>
          <w:szCs w:val="28"/>
          <w:highlight w:val="none"/>
        </w:rPr>
        <w:t>五、 开标和评审</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numPr>
          <w:ilvl w:val="0"/>
          <w:numId w:val="3"/>
        </w:numPr>
        <w:tabs>
          <w:tab w:val="left" w:pos="525"/>
          <w:tab w:val="left" w:pos="900"/>
        </w:tabs>
        <w:ind w:left="525" w:hanging="525"/>
        <w:rPr>
          <w:rFonts w:hint="eastAsia" w:ascii="宋体" w:hAnsi="宋体" w:eastAsia="宋体" w:cs="宋体"/>
          <w:sz w:val="22"/>
          <w:highlight w:val="none"/>
        </w:rPr>
      </w:pPr>
      <w:bookmarkStart w:id="134" w:name="_Toc223717609"/>
      <w:bookmarkStart w:id="135" w:name="_Toc207609186"/>
      <w:bookmarkStart w:id="136" w:name="_Toc227056851"/>
      <w:bookmarkStart w:id="137" w:name="_Toc209251132"/>
      <w:bookmarkStart w:id="138" w:name="_Toc205703107"/>
      <w:bookmarkStart w:id="139" w:name="_Toc209261370"/>
      <w:bookmarkStart w:id="140" w:name="_Toc223933226"/>
      <w:bookmarkStart w:id="141" w:name="_Toc214365795"/>
      <w:bookmarkStart w:id="142" w:name="_Toc209332638"/>
      <w:bookmarkStart w:id="143" w:name="_Toc205877457"/>
      <w:bookmarkStart w:id="144" w:name="_Toc205005291"/>
      <w:bookmarkStart w:id="145" w:name="_Toc205877562"/>
      <w:bookmarkStart w:id="146" w:name="_Toc204491322"/>
      <w:bookmarkStart w:id="147" w:name="_Toc205004973"/>
      <w:bookmarkStart w:id="148" w:name="_Toc209250724"/>
      <w:bookmarkStart w:id="149" w:name="_Toc217460690"/>
      <w:bookmarkStart w:id="150" w:name="_Toc218041731"/>
      <w:bookmarkStart w:id="151" w:name="_Toc210879713"/>
      <w:bookmarkStart w:id="152" w:name="_Toc227489892"/>
      <w:bookmarkStart w:id="153" w:name="_Toc215415535"/>
      <w:bookmarkStart w:id="154" w:name="_Toc219538618"/>
      <w:bookmarkStart w:id="155" w:name="_Toc227057038"/>
      <w:bookmarkStart w:id="156" w:name="_Toc204578580"/>
      <w:bookmarkStart w:id="157" w:name="_Toc216667825"/>
      <w:bookmarkStart w:id="158" w:name="_Toc209261437"/>
      <w:r>
        <w:rPr>
          <w:rFonts w:hint="eastAsia" w:ascii="宋体" w:hAnsi="宋体" w:eastAsia="宋体" w:cs="宋体"/>
          <w:sz w:val="22"/>
          <w:highlight w:val="none"/>
        </w:rPr>
        <w:t>评标委员会</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公布在投标截止时间前递交投标文件的投标人名称，并点名确认投标人是否派授权代表到场；</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密封情况检查：由投标人或其推选的代表检查投标文件密封情况；</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开标顺序：同时开启技术资信部分投标文件、开启商务（报价）文件；</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确认开标结果：投标人授权代表对开标书面记录进行当场校核及勘误，并签字确认；并同时由记录人、核对人当场签字确认。</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投标人授权代表未参加开标会议；未到场签字确认的，不影响开标，评标过程，视同认可开标结果；事后不得对采购相关人员、开标过程和开标结果提出异议。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w:t>
      </w:r>
      <w:r>
        <w:rPr>
          <w:rFonts w:hint="eastAsia" w:ascii="宋体" w:hAnsi="宋体" w:eastAsia="宋体" w:cs="宋体"/>
          <w:b/>
          <w:bCs w:val="0"/>
          <w:color w:val="auto"/>
          <w:sz w:val="22"/>
          <w:szCs w:val="22"/>
          <w:highlight w:val="none"/>
          <w:u w:val="single"/>
        </w:rPr>
        <w:t>本次评标，以标段为单位</w:t>
      </w:r>
      <w:r>
        <w:rPr>
          <w:rFonts w:hint="eastAsia" w:ascii="宋体" w:hAnsi="宋体" w:eastAsia="宋体" w:cs="宋体"/>
          <w:b/>
          <w:bCs w:val="0"/>
          <w:color w:val="auto"/>
          <w:sz w:val="22"/>
          <w:szCs w:val="22"/>
          <w:highlight w:val="none"/>
          <w:u w:val="single"/>
          <w:lang w:eastAsia="zh-CN"/>
        </w:rPr>
        <w:t>分别</w:t>
      </w:r>
      <w:r>
        <w:rPr>
          <w:rFonts w:hint="eastAsia" w:ascii="宋体" w:hAnsi="宋体" w:eastAsia="宋体" w:cs="宋体"/>
          <w:b/>
          <w:bCs w:val="0"/>
          <w:color w:val="auto"/>
          <w:sz w:val="22"/>
          <w:szCs w:val="22"/>
          <w:highlight w:val="none"/>
          <w:u w:val="single"/>
        </w:rPr>
        <w:t>进行评审</w:t>
      </w:r>
      <w:r>
        <w:rPr>
          <w:rFonts w:hint="eastAsia" w:ascii="宋体" w:hAnsi="宋体" w:eastAsia="宋体" w:cs="宋体"/>
          <w:bCs/>
          <w:color w:val="auto"/>
          <w:sz w:val="22"/>
          <w:szCs w:val="22"/>
          <w:highlight w:val="none"/>
        </w:rPr>
        <w:t>。</w:t>
      </w:r>
      <w:r>
        <w:rPr>
          <w:rFonts w:hint="eastAsia" w:ascii="宋体" w:hAnsi="宋体" w:eastAsia="宋体" w:cs="宋体"/>
          <w:b/>
          <w:bCs w:val="0"/>
          <w:color w:val="auto"/>
          <w:sz w:val="22"/>
          <w:szCs w:val="22"/>
          <w:highlight w:val="none"/>
          <w:u w:val="single"/>
          <w:lang w:val="en-US" w:eastAsia="zh-CN"/>
        </w:rPr>
        <w:t>各标段评审程序：</w:t>
      </w:r>
      <w:r>
        <w:rPr>
          <w:rFonts w:hint="eastAsia" w:ascii="宋体" w:hAnsi="宋体" w:eastAsia="宋体" w:cs="宋体"/>
          <w:bCs/>
          <w:sz w:val="22"/>
          <w:highlight w:val="none"/>
        </w:rPr>
        <w:t>先对各投标文件进行初审，然后对初审合格的投标文件进行技术资信标评审，</w:t>
      </w:r>
      <w:r>
        <w:rPr>
          <w:rFonts w:hint="eastAsia" w:ascii="宋体" w:hAnsi="宋体" w:eastAsia="宋体" w:cs="宋体"/>
          <w:b w:val="0"/>
          <w:bCs/>
          <w:sz w:val="22"/>
          <w:highlight w:val="none"/>
          <w:lang w:val="en-US" w:eastAsia="zh-CN"/>
        </w:rPr>
        <w:t>标段1、标段2</w:t>
      </w:r>
      <w:r>
        <w:rPr>
          <w:rFonts w:hint="eastAsia" w:ascii="宋体" w:hAnsi="宋体" w:eastAsia="宋体" w:cs="宋体"/>
          <w:bCs/>
          <w:sz w:val="22"/>
          <w:highlight w:val="none"/>
        </w:rPr>
        <w:t>技术资信标评审结束后，再对</w:t>
      </w:r>
      <w:r>
        <w:rPr>
          <w:rFonts w:hint="eastAsia" w:ascii="宋体" w:hAnsi="宋体" w:eastAsia="宋体" w:cs="宋体"/>
          <w:b w:val="0"/>
          <w:bCs/>
          <w:sz w:val="22"/>
          <w:highlight w:val="none"/>
          <w:lang w:val="en-US" w:eastAsia="zh-CN"/>
        </w:rPr>
        <w:t>标段1、标段2</w:t>
      </w:r>
      <w:r>
        <w:rPr>
          <w:rFonts w:hint="eastAsia" w:ascii="宋体" w:hAnsi="宋体" w:eastAsia="宋体" w:cs="宋体"/>
          <w:bCs/>
          <w:sz w:val="22"/>
          <w:highlight w:val="none"/>
        </w:rPr>
        <w:t>各有效标进行商务（报价）评审。</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w:t>
      </w:r>
      <w:r>
        <w:rPr>
          <w:rFonts w:hint="eastAsia" w:ascii="宋体" w:hAnsi="宋体" w:eastAsia="宋体" w:cs="宋体"/>
          <w:bCs/>
          <w:color w:val="auto"/>
          <w:sz w:val="22"/>
          <w:highlight w:val="none"/>
        </w:rPr>
        <w:t>件的规定，评标委员会对各投标人进行资格性审查，资格性审查内容包括但不仅限于审查随投标文件一同提交的法定代表人（负责人）授权书（原件）、投标代表人有效身份证件、投标保证金缴纳凭证，以及投标文件所提交证明材料是否能证明符合本项目对投标人资格的实质</w:t>
      </w:r>
      <w:r>
        <w:rPr>
          <w:rFonts w:hint="eastAsia" w:ascii="宋体" w:hAnsi="宋体" w:eastAsia="宋体" w:cs="宋体"/>
          <w:bCs/>
          <w:sz w:val="22"/>
          <w:highlight w:val="none"/>
        </w:rPr>
        <w:t>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r>
        <w:rPr>
          <w:rFonts w:hint="eastAsia" w:ascii="宋体" w:hAnsi="宋体" w:eastAsia="宋体" w:cs="宋体"/>
          <w:b/>
          <w:sz w:val="22"/>
          <w:highlight w:val="none"/>
          <w:u w:val="single"/>
        </w:rPr>
        <w:t>▲审查不合格的投标文件将作无效标处理</w:t>
      </w:r>
      <w:r>
        <w:rPr>
          <w:rFonts w:hint="eastAsia" w:ascii="宋体" w:hAnsi="宋体" w:eastAsia="宋体" w:cs="宋体"/>
          <w:bCs/>
          <w:sz w:val="22"/>
          <w:highlight w:val="none"/>
        </w:rPr>
        <w:t>。</w:t>
      </w:r>
    </w:p>
    <w:p>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▲通过资格性审查与符合性审查的技术资信标由评委进行综合评审，审查确认未通过的投标文件将作无效标处理，其技术资信标不再进行后续评审。</w:t>
      </w:r>
    </w:p>
    <w:p>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▲在对各投标人的投标文件进行综合评审时，某投标人某标段投标文件有下列情况之一的，经评标委员会认定后</w:t>
      </w:r>
      <w:r>
        <w:rPr>
          <w:rFonts w:hint="eastAsia" w:ascii="宋体" w:hAnsi="宋体" w:eastAsia="宋体" w:cs="宋体"/>
          <w:b/>
          <w:bCs/>
          <w:color w:val="auto"/>
          <w:sz w:val="22"/>
          <w:highlight w:val="none"/>
          <w:u w:val="single"/>
          <w:lang w:val="en-US" w:eastAsia="zh-CN"/>
        </w:rPr>
        <w:t>该投标人关于该标段的投标</w:t>
      </w:r>
      <w:r>
        <w:rPr>
          <w:rFonts w:hint="eastAsia" w:ascii="宋体" w:hAnsi="宋体" w:eastAsia="宋体" w:cs="宋体"/>
          <w:b/>
          <w:bCs/>
          <w:sz w:val="22"/>
          <w:highlight w:val="none"/>
          <w:u w:val="single"/>
        </w:rPr>
        <w:t>按无效标处理：</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投标文件未按要求（非实质性条款除外）加盖单位公章、无法定代表人（负责人）或其授权代表签字或盖章的；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授权代表参加投标没有法定代表人（负责人）合法、有效委托的；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未实质性响应采购文件中加“▲”同时加下划线条款的；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投标自主定价系数报价</w:t>
      </w:r>
      <w:r>
        <w:rPr>
          <w:rFonts w:hint="eastAsia" w:ascii="宋体" w:hAnsi="宋体" w:eastAsia="宋体" w:cs="宋体"/>
          <w:bCs/>
          <w:sz w:val="22"/>
          <w:highlight w:val="none"/>
          <w:u w:val="single"/>
          <w:lang w:val="en-US" w:eastAsia="zh-CN"/>
        </w:rPr>
        <w:t>小于50%，或者大于150%的</w:t>
      </w:r>
      <w:r>
        <w:rPr>
          <w:rFonts w:hint="eastAsia" w:ascii="宋体" w:hAnsi="宋体" w:eastAsia="宋体" w:cs="宋体"/>
          <w:bCs/>
          <w:sz w:val="22"/>
          <w:highlight w:val="none"/>
          <w:u w:val="single"/>
        </w:rPr>
        <w:t>；</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w:t>
      </w:r>
      <w:r>
        <w:rPr>
          <w:rFonts w:hint="eastAsia" w:ascii="宋体" w:hAnsi="宋体" w:eastAsia="宋体" w:cs="宋体"/>
          <w:color w:val="C00000"/>
          <w:kern w:val="0"/>
          <w:sz w:val="22"/>
          <w:highlight w:val="none"/>
          <w:u w:val="single"/>
        </w:rPr>
        <w:t>主要内容</w:t>
      </w:r>
      <w:r>
        <w:rPr>
          <w:rFonts w:hint="eastAsia" w:ascii="宋体" w:hAnsi="宋体" w:eastAsia="宋体" w:cs="宋体"/>
          <w:kern w:val="0"/>
          <w:sz w:val="22"/>
          <w:highlight w:val="none"/>
          <w:u w:val="single"/>
        </w:rPr>
        <w:t>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w:t>
      </w:r>
      <w:r>
        <w:rPr>
          <w:rFonts w:hint="eastAsia" w:ascii="宋体" w:hAnsi="宋体" w:eastAsia="宋体" w:cs="宋体"/>
          <w:kern w:val="0"/>
          <w:sz w:val="22"/>
          <w:highlight w:val="none"/>
          <w:u w:val="single"/>
          <w:lang w:val="en-US" w:eastAsia="zh-CN"/>
        </w:rPr>
        <w:t>技术</w:t>
      </w:r>
      <w:r>
        <w:rPr>
          <w:rFonts w:hint="eastAsia" w:ascii="宋体" w:hAnsi="宋体" w:eastAsia="宋体" w:cs="宋体"/>
          <w:kern w:val="0"/>
          <w:sz w:val="22"/>
          <w:highlight w:val="none"/>
          <w:u w:val="single"/>
        </w:rPr>
        <w:t>服务内容要求、</w:t>
      </w:r>
      <w:r>
        <w:rPr>
          <w:rFonts w:hint="eastAsia" w:ascii="宋体" w:hAnsi="宋体" w:eastAsia="宋体" w:cs="宋体"/>
          <w:kern w:val="0"/>
          <w:sz w:val="22"/>
          <w:highlight w:val="none"/>
          <w:u w:val="single"/>
          <w:lang w:val="en-US" w:eastAsia="zh-CN"/>
        </w:rPr>
        <w:t>不符合</w:t>
      </w:r>
      <w:r>
        <w:rPr>
          <w:rFonts w:hint="eastAsia" w:ascii="宋体" w:hAnsi="宋体" w:eastAsia="宋体" w:cs="宋体"/>
          <w:kern w:val="0"/>
          <w:sz w:val="22"/>
          <w:highlight w:val="none"/>
          <w:u w:val="single"/>
        </w:rPr>
        <w:t>服务标准要求</w:t>
      </w:r>
      <w:r>
        <w:rPr>
          <w:rFonts w:hint="eastAsia" w:ascii="宋体" w:hAnsi="宋体" w:eastAsia="宋体" w:cs="宋体"/>
          <w:bCs/>
          <w:sz w:val="22"/>
          <w:highlight w:val="none"/>
          <w:u w:val="single"/>
        </w:rPr>
        <w:t>，对</w:t>
      </w:r>
      <w:r>
        <w:rPr>
          <w:rFonts w:hint="eastAsia" w:ascii="宋体" w:hAnsi="宋体" w:eastAsia="宋体" w:cs="宋体"/>
          <w:bCs/>
          <w:sz w:val="22"/>
          <w:highlight w:val="none"/>
          <w:u w:val="single"/>
          <w:lang w:val="en-US" w:eastAsia="zh-CN"/>
        </w:rPr>
        <w:t>项目</w:t>
      </w:r>
      <w:r>
        <w:rPr>
          <w:rFonts w:hint="eastAsia" w:ascii="宋体" w:hAnsi="宋体" w:eastAsia="宋体" w:cs="宋体"/>
          <w:bCs/>
          <w:sz w:val="22"/>
          <w:highlight w:val="none"/>
          <w:u w:val="single"/>
        </w:rPr>
        <w:t>服务质量产生重大影响</w:t>
      </w:r>
      <w:r>
        <w:rPr>
          <w:rFonts w:hint="eastAsia" w:ascii="宋体" w:hAnsi="宋体" w:eastAsia="宋体" w:cs="宋体"/>
          <w:kern w:val="0"/>
          <w:sz w:val="22"/>
          <w:highlight w:val="none"/>
          <w:u w:val="single"/>
        </w:rPr>
        <w:t>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3）除22.4条款以外，出现投标项目服务工作</w:t>
      </w:r>
      <w:r>
        <w:rPr>
          <w:rFonts w:hint="eastAsia" w:ascii="宋体" w:hAnsi="宋体" w:eastAsia="宋体" w:cs="宋体"/>
          <w:kern w:val="0"/>
          <w:sz w:val="22"/>
          <w:highlight w:val="none"/>
          <w:u w:val="single"/>
          <w:lang w:val="en-US" w:eastAsia="zh-CN"/>
        </w:rPr>
        <w:t>内容、工作</w:t>
      </w:r>
      <w:r>
        <w:rPr>
          <w:rFonts w:hint="eastAsia" w:ascii="宋体" w:hAnsi="宋体" w:eastAsia="宋体" w:cs="宋体"/>
          <w:kern w:val="0"/>
          <w:sz w:val="22"/>
          <w:highlight w:val="none"/>
          <w:u w:val="single"/>
        </w:rPr>
        <w:t>量与采购文件对比出现较大差</w:t>
      </w:r>
      <w:r>
        <w:rPr>
          <w:rFonts w:hint="eastAsia" w:ascii="宋体" w:hAnsi="宋体" w:eastAsia="宋体" w:cs="宋体"/>
          <w:kern w:val="0"/>
          <w:sz w:val="22"/>
          <w:highlight w:val="none"/>
          <w:u w:val="single"/>
          <w:lang w:val="en-US" w:eastAsia="zh-CN"/>
        </w:rPr>
        <w:t>错</w:t>
      </w:r>
      <w:r>
        <w:rPr>
          <w:rFonts w:hint="eastAsia" w:ascii="宋体" w:hAnsi="宋体" w:eastAsia="宋体" w:cs="宋体"/>
          <w:kern w:val="0"/>
          <w:sz w:val="22"/>
          <w:highlight w:val="none"/>
          <w:u w:val="singl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pPr>
        <w:numPr>
          <w:ilvl w:val="1"/>
          <w:numId w:val="12"/>
        </w:numPr>
        <w:tabs>
          <w:tab w:val="left" w:pos="525"/>
        </w:tabs>
        <w:ind w:left="525" w:hanging="525"/>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有下列情形之一的，视为投标人串通投标，其投标无效</w:t>
      </w:r>
      <w:r>
        <w:rPr>
          <w:rFonts w:hint="eastAsia" w:ascii="宋体" w:hAnsi="宋体" w:eastAsia="宋体" w:cs="宋体"/>
          <w:kern w:val="0"/>
          <w:sz w:val="22"/>
          <w:highlight w:val="none"/>
          <w:u w:val="singl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w:t>
      </w:r>
      <w:r>
        <w:rPr>
          <w:rFonts w:hint="eastAsia" w:ascii="宋体" w:hAnsi="宋体" w:eastAsia="宋体" w:cs="宋体"/>
          <w:kern w:val="0"/>
          <w:sz w:val="22"/>
          <w:highlight w:val="none"/>
          <w:u w:val="single"/>
          <w:lang w:eastAsia="zh-CN"/>
        </w:rPr>
        <w:t>）</w:t>
      </w:r>
      <w:r>
        <w:rPr>
          <w:rFonts w:hint="eastAsia" w:ascii="宋体" w:hAnsi="宋体" w:eastAsia="宋体" w:cs="宋体"/>
          <w:kern w:val="0"/>
          <w:sz w:val="22"/>
          <w:highlight w:val="none"/>
          <w:u w:val="single"/>
        </w:rPr>
        <w:t>不同投标人的投标文件由同一单位或者个人编制；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w:t>
      </w:r>
      <w:r>
        <w:rPr>
          <w:rFonts w:hint="eastAsia" w:ascii="宋体" w:hAnsi="宋体" w:eastAsia="宋体" w:cs="宋体"/>
          <w:kern w:val="0"/>
          <w:sz w:val="22"/>
          <w:highlight w:val="none"/>
          <w:u w:val="single"/>
          <w:lang w:eastAsia="zh-CN"/>
        </w:rPr>
        <w:t>）</w:t>
      </w:r>
      <w:r>
        <w:rPr>
          <w:rFonts w:hint="eastAsia" w:ascii="宋体" w:hAnsi="宋体" w:eastAsia="宋体" w:cs="宋体"/>
          <w:kern w:val="0"/>
          <w:sz w:val="22"/>
          <w:highlight w:val="none"/>
          <w:u w:val="single"/>
        </w:rPr>
        <w:t>不同投标人委托同一单位或者个人办理投标事宜；</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w:t>
      </w:r>
      <w:r>
        <w:rPr>
          <w:rFonts w:hint="eastAsia" w:ascii="宋体" w:hAnsi="宋体" w:eastAsia="宋体" w:cs="宋体"/>
          <w:kern w:val="0"/>
          <w:sz w:val="22"/>
          <w:highlight w:val="none"/>
          <w:u w:val="single"/>
          <w:lang w:eastAsia="zh-CN"/>
        </w:rPr>
        <w:t>）</w:t>
      </w:r>
      <w:r>
        <w:rPr>
          <w:rFonts w:hint="eastAsia" w:ascii="宋体" w:hAnsi="宋体" w:eastAsia="宋体" w:cs="宋体"/>
          <w:kern w:val="0"/>
          <w:sz w:val="22"/>
          <w:highlight w:val="none"/>
          <w:u w:val="single"/>
        </w:rPr>
        <w:t>不同投标人的投标文件载明的项目管理成员或者联系人员为同一人；</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4）不同投标人的投标文件异常一致或者投标报价呈规律性差异；</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5）不同投标人的投标文件相互混装；</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6）不同投标人的投标保证金从同一单位或者个人的账户转出。</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同时出现两种不一致的，按照前款规定的顺序修正（前款优先顺序为1）→2））。</w:t>
      </w:r>
    </w:p>
    <w:p>
      <w:pPr>
        <w:tabs>
          <w:tab w:val="left" w:pos="735"/>
        </w:tabs>
        <w:ind w:left="420"/>
        <w:rPr>
          <w:rFonts w:hint="eastAsia" w:ascii="宋体" w:hAnsi="宋体" w:eastAsia="宋体" w:cs="宋体"/>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实质上没有响应采购文件要求的投标将被拒绝，投标人不得通过修正或撤消不合要求的偏离或保留从而使其投标成为实质上响应的投标。</w:t>
      </w:r>
    </w:p>
    <w:p>
      <w:pPr>
        <w:numPr>
          <w:ilvl w:val="1"/>
          <w:numId w:val="12"/>
        </w:numPr>
        <w:tabs>
          <w:tab w:val="left" w:pos="525"/>
        </w:tabs>
        <w:ind w:left="525" w:hanging="525"/>
        <w:rPr>
          <w:rFonts w:hint="eastAsia" w:ascii="宋体" w:hAnsi="宋体" w:eastAsia="宋体" w:cs="宋体"/>
          <w:szCs w:val="24"/>
          <w:highlight w:val="none"/>
        </w:rPr>
      </w:pPr>
      <w:r>
        <w:rPr>
          <w:rFonts w:hint="eastAsia" w:ascii="宋体" w:hAnsi="宋体" w:eastAsia="宋体" w:cs="宋体"/>
          <w:kern w:val="0"/>
          <w:sz w:val="22"/>
          <w:highlight w:val="none"/>
        </w:rPr>
        <w:t>▲</w:t>
      </w:r>
      <w:r>
        <w:rPr>
          <w:rFonts w:hint="eastAsia" w:ascii="宋体" w:hAnsi="宋体" w:eastAsia="宋体" w:cs="宋体"/>
          <w:b/>
          <w:bCs/>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highlight w:val="none"/>
        </w:rPr>
        <w:t>。</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评标委员会对审查合格的投标文件按照采购文件中制订的评标方法进行综合评定打分。</w:t>
      </w:r>
    </w:p>
    <w:p>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评标过程中遇到特殊情况，由评标委员会遵循公开、公正原则，采取投票方式按照少数服从多数原则决定。</w:t>
      </w:r>
    </w:p>
    <w:p>
      <w:pPr>
        <w:numPr>
          <w:ilvl w:val="1"/>
          <w:numId w:val="12"/>
        </w:numPr>
        <w:tabs>
          <w:tab w:val="left" w:pos="525"/>
        </w:tabs>
        <w:ind w:left="525" w:hanging="525"/>
        <w:rPr>
          <w:rFonts w:hint="eastAsia" w:ascii="宋体" w:hAnsi="宋体" w:eastAsia="宋体" w:cs="宋体"/>
          <w:b/>
          <w:bCs/>
          <w:color w:val="auto"/>
          <w:sz w:val="22"/>
          <w:highlight w:val="none"/>
          <w:u w:val="single"/>
          <w:shd w:val="clear" w:color="auto" w:fill="FFFF00"/>
        </w:rPr>
      </w:pPr>
      <w:r>
        <w:rPr>
          <w:rFonts w:hint="eastAsia" w:ascii="宋体" w:hAnsi="宋体" w:eastAsia="宋体" w:cs="宋体"/>
          <w:b/>
          <w:bCs/>
          <w:color w:val="auto"/>
          <w:sz w:val="22"/>
          <w:highlight w:val="none"/>
          <w:u w:val="single"/>
        </w:rPr>
        <w:t>▲</w:t>
      </w:r>
      <w:r>
        <w:rPr>
          <w:rFonts w:hint="eastAsia" w:ascii="宋体" w:hAnsi="宋体" w:eastAsia="宋体" w:cs="宋体"/>
          <w:b/>
          <w:bCs/>
          <w:color w:val="auto"/>
          <w:sz w:val="22"/>
          <w:highlight w:val="none"/>
          <w:u w:val="single"/>
          <w:lang w:val="en-US" w:eastAsia="zh-CN"/>
        </w:rPr>
        <w:t>本项目以标段未单位进行评审，</w:t>
      </w:r>
      <w:r>
        <w:rPr>
          <w:rFonts w:hint="eastAsia" w:ascii="宋体" w:hAnsi="宋体" w:eastAsia="宋体" w:cs="宋体"/>
          <w:b/>
          <w:bCs/>
          <w:color w:val="auto"/>
          <w:sz w:val="22"/>
          <w:highlight w:val="none"/>
          <w:u w:val="single"/>
        </w:rPr>
        <w:t>如果</w:t>
      </w:r>
      <w:r>
        <w:rPr>
          <w:rFonts w:hint="eastAsia" w:ascii="宋体" w:hAnsi="宋体" w:eastAsia="宋体" w:cs="宋体"/>
          <w:b/>
          <w:bCs/>
          <w:color w:val="auto"/>
          <w:sz w:val="22"/>
          <w:highlight w:val="none"/>
          <w:u w:val="single"/>
          <w:lang w:val="en-US" w:eastAsia="zh-CN"/>
        </w:rPr>
        <w:t>某标段</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的自主定价系数报价小于50%，或者大于150%的，则该</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的报价作无效标处理。本次</w:t>
      </w:r>
      <w:r>
        <w:rPr>
          <w:rFonts w:hint="eastAsia" w:ascii="宋体" w:hAnsi="宋体" w:eastAsia="宋体" w:cs="宋体"/>
          <w:b/>
          <w:bCs/>
          <w:color w:val="auto"/>
          <w:sz w:val="22"/>
          <w:highlight w:val="none"/>
          <w:u w:val="single"/>
          <w:lang w:val="en-US" w:eastAsia="zh-CN"/>
        </w:rPr>
        <w:t>某标段</w:t>
      </w:r>
      <w:r>
        <w:rPr>
          <w:rFonts w:hint="eastAsia" w:ascii="宋体" w:hAnsi="宋体" w:eastAsia="宋体" w:cs="宋体"/>
          <w:b/>
          <w:bCs/>
          <w:color w:val="auto"/>
          <w:sz w:val="22"/>
          <w:highlight w:val="none"/>
          <w:u w:val="single"/>
        </w:rPr>
        <w:t>如果所有</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的投标自主定价系数报价</w:t>
      </w:r>
      <w:r>
        <w:rPr>
          <w:rFonts w:hint="eastAsia" w:ascii="宋体" w:hAnsi="宋体" w:eastAsia="宋体" w:cs="宋体"/>
          <w:b/>
          <w:bCs/>
          <w:color w:val="auto"/>
          <w:sz w:val="22"/>
          <w:highlight w:val="none"/>
          <w:u w:val="single"/>
          <w:lang w:val="en-US" w:eastAsia="zh-CN"/>
        </w:rPr>
        <w:t>均</w:t>
      </w:r>
      <w:r>
        <w:rPr>
          <w:rFonts w:hint="eastAsia" w:ascii="宋体" w:hAnsi="宋体" w:eastAsia="宋体" w:cs="宋体"/>
          <w:b/>
          <w:bCs/>
          <w:color w:val="auto"/>
          <w:sz w:val="22"/>
          <w:highlight w:val="none"/>
          <w:u w:val="single"/>
        </w:rPr>
        <w:t>小于50%，或者</w:t>
      </w:r>
      <w:r>
        <w:rPr>
          <w:rFonts w:hint="eastAsia" w:ascii="宋体" w:hAnsi="宋体" w:eastAsia="宋体" w:cs="宋体"/>
          <w:b/>
          <w:bCs/>
          <w:color w:val="auto"/>
          <w:sz w:val="22"/>
          <w:highlight w:val="none"/>
          <w:u w:val="single"/>
          <w:lang w:val="en-US" w:eastAsia="zh-CN"/>
        </w:rPr>
        <w:t>均</w:t>
      </w:r>
      <w:r>
        <w:rPr>
          <w:rFonts w:hint="eastAsia" w:ascii="宋体" w:hAnsi="宋体" w:eastAsia="宋体" w:cs="宋体"/>
          <w:b/>
          <w:bCs/>
          <w:color w:val="auto"/>
          <w:sz w:val="22"/>
          <w:highlight w:val="none"/>
          <w:u w:val="single"/>
        </w:rPr>
        <w:t>大于150%的，则</w:t>
      </w:r>
      <w:r>
        <w:rPr>
          <w:rFonts w:hint="eastAsia" w:ascii="宋体" w:hAnsi="宋体" w:eastAsia="宋体" w:cs="宋体"/>
          <w:b/>
          <w:bCs/>
          <w:color w:val="auto"/>
          <w:sz w:val="22"/>
          <w:highlight w:val="none"/>
          <w:u w:val="single"/>
          <w:lang w:val="en-US" w:eastAsia="zh-CN"/>
        </w:rPr>
        <w:t>该标段</w:t>
      </w:r>
      <w:r>
        <w:rPr>
          <w:rFonts w:hint="eastAsia" w:ascii="宋体" w:hAnsi="宋体" w:eastAsia="宋体" w:cs="宋体"/>
          <w:b/>
          <w:bCs/>
          <w:color w:val="auto"/>
          <w:sz w:val="22"/>
          <w:highlight w:val="none"/>
          <w:u w:val="single"/>
        </w:rPr>
        <w:t>做废标处理。</w:t>
      </w:r>
    </w:p>
    <w:p>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投标文件的澄清</w:t>
      </w:r>
    </w:p>
    <w:p>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color w:val="auto"/>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负责人）或其授权代表签署，但澄清内容不得</w:t>
      </w:r>
      <w:r>
        <w:rPr>
          <w:rFonts w:hint="eastAsia" w:ascii="宋体" w:hAnsi="宋体" w:eastAsia="宋体" w:cs="宋体"/>
          <w:sz w:val="22"/>
          <w:highlight w:val="none"/>
        </w:rPr>
        <w:t>超出投标文件的范围或者改变投标文件的实质性内容。</w:t>
      </w:r>
      <w:r>
        <w:rPr>
          <w:rFonts w:hint="eastAsia" w:ascii="宋体" w:hAnsi="宋体" w:eastAsia="宋体" w:cs="宋体"/>
          <w:b/>
          <w:bCs/>
          <w:color w:val="auto"/>
          <w:sz w:val="22"/>
          <w:highlight w:val="none"/>
          <w:u w:val="singl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rPr>
        <w:t>。</w:t>
      </w:r>
    </w:p>
    <w:p>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color w:val="auto"/>
          <w:sz w:val="22"/>
          <w:highlight w:val="none"/>
          <w:u w:val="single"/>
        </w:rPr>
        <w:t>▲</w:t>
      </w:r>
      <w:r>
        <w:rPr>
          <w:rFonts w:hint="eastAsia" w:ascii="宋体" w:hAnsi="宋体" w:eastAsia="宋体" w:cs="宋体"/>
          <w:b/>
          <w:bCs/>
          <w:sz w:val="22"/>
          <w:highlight w:val="none"/>
          <w:u w:val="single"/>
        </w:rPr>
        <w:t>经澄清后，若偏差仍存在，且不可接受，评标委员会有权认定其为“没有实质性响应采购文件要求”，其投标不进入下一步评审</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bCs/>
          <w:sz w:val="22"/>
        </w:rPr>
        <w:t>确定中标候选人细则详见采购文件第五部分“</w:t>
      </w:r>
      <w:r>
        <w:rPr>
          <w:rFonts w:hint="eastAsia" w:ascii="宋体" w:hAnsi="宋体" w:eastAsia="宋体" w:cs="宋体"/>
          <w:b/>
          <w:bCs/>
          <w:sz w:val="22"/>
        </w:rPr>
        <w:t>评标原则及方法</w:t>
      </w:r>
      <w:r>
        <w:rPr>
          <w:rFonts w:hint="eastAsia" w:ascii="宋体" w:hAnsi="宋体" w:eastAsia="宋体" w:cs="宋体"/>
          <w:bCs/>
          <w:sz w:val="22"/>
        </w:rPr>
        <w:t>”</w:t>
      </w:r>
      <w:r>
        <w:rPr>
          <w:rFonts w:hint="eastAsia" w:ascii="宋体" w:hAnsi="宋体" w:eastAsia="宋体" w:cs="宋体"/>
          <w:sz w:val="22"/>
        </w:rPr>
        <w:t>。</w:t>
      </w:r>
      <w:r>
        <w:rPr>
          <w:rFonts w:hint="eastAsia" w:ascii="宋体" w:hAnsi="宋体" w:eastAsia="宋体" w:cs="宋体"/>
          <w:sz w:val="22"/>
          <w:highlight w:val="none"/>
        </w:rPr>
        <w:t>。</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采购人、采购代理机构及评标委员会不向落标的投标人解释落标原因，也不公布评标过程中的相关细节。</w:t>
      </w:r>
    </w:p>
    <w:p>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以标段为单位进行评审，某标段如第一次采购因有效投标人数量不足3家的则该标段作废标处理，根据《温州市市属国有企业采购管理办法》（温国资委〔2024〕第51号）相关条款规定，采购人将重新组织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采购项目，如重新采购后，在投标截止时间止及评审期间，某标段出现有效投标人不足三家的情形，采购人可根据实际情况决定该标段继续按原有采购方式继续进行采购活动或转变采购方式或废标。</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w:t>
      </w:r>
      <w:r>
        <w:rPr>
          <w:rFonts w:hint="eastAsia" w:ascii="宋体" w:hAnsi="宋体" w:eastAsia="宋体" w:cs="宋体"/>
          <w:bCs/>
          <w:sz w:val="22"/>
          <w:highlight w:val="none"/>
        </w:rPr>
        <w:t>第五部分“</w:t>
      </w:r>
      <w:r>
        <w:rPr>
          <w:rFonts w:hint="eastAsia" w:ascii="宋体" w:hAnsi="宋体" w:eastAsia="宋体" w:cs="宋体"/>
          <w:b/>
          <w:bCs/>
          <w:sz w:val="22"/>
          <w:highlight w:val="none"/>
        </w:rPr>
        <w:t>评标原则及方法</w:t>
      </w:r>
      <w:r>
        <w:rPr>
          <w:rFonts w:hint="eastAsia" w:ascii="宋体" w:hAnsi="宋体" w:eastAsia="宋体" w:cs="宋体"/>
          <w:bCs/>
          <w:sz w:val="22"/>
          <w:highlight w:val="none"/>
        </w:rPr>
        <w:t>”</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w:t>
      </w:r>
      <w:r>
        <w:rPr>
          <w:rFonts w:hint="eastAsia" w:ascii="宋体" w:hAnsi="宋体" w:eastAsia="宋体" w:cs="宋体"/>
          <w:bCs/>
          <w:sz w:val="22"/>
          <w:highlight w:val="none"/>
          <w:lang w:eastAsia="zh-CN"/>
        </w:rPr>
        <w:t>中标人</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lang w:eastAsia="zh-CN"/>
        </w:rPr>
        <w:t>中标人</w:t>
      </w:r>
      <w:r>
        <w:rPr>
          <w:rFonts w:hint="eastAsia" w:ascii="宋体" w:hAnsi="宋体" w:eastAsia="宋体" w:cs="宋体"/>
          <w:bCs/>
          <w:sz w:val="22"/>
          <w:highlight w:val="none"/>
        </w:rPr>
        <w:t>确定之日起2个工作日内，在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公告中标结果，中标公告期限为3日。</w:t>
      </w:r>
    </w:p>
    <w:p>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投标供应商对评标结果如有异议，可在中标结果公告期内以书面形式向采购人署名提出质疑，但需对质疑内容的真实性承担法律责任。提出质疑的投标供应商应当是参与所质疑项目采购活动的投标供应商，投标供应商提出质疑应当提交质疑函和必要的证明材料。质疑投标供应商对采购人、采购代理机构的答复不满意或者采购人、采购代理机构未在规定的时间内作出答复的，可以在答复期满后15个工作日内向温州市交通发展集团有限公司</w:t>
      </w:r>
      <w:r>
        <w:rPr>
          <w:rFonts w:hint="eastAsia" w:ascii="宋体" w:hAnsi="宋体" w:eastAsia="宋体" w:cs="宋体"/>
          <w:b/>
          <w:bCs/>
          <w:color w:val="auto"/>
          <w:sz w:val="22"/>
          <w:u w:val="single"/>
        </w:rPr>
        <w:t>纪检监察室</w:t>
      </w:r>
      <w:r>
        <w:rPr>
          <w:rFonts w:hint="eastAsia" w:ascii="宋体" w:hAnsi="宋体" w:eastAsia="宋体" w:cs="宋体"/>
          <w:b/>
          <w:bCs/>
          <w:sz w:val="22"/>
          <w:highlight w:val="none"/>
          <w:u w:val="single"/>
        </w:rPr>
        <w:t>投诉。</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中标投标人应当在收到中标通知书之日起30日内与采购人签订合同。中标投标人未经采购人许可，在规定时间内未到采购人处与采购人签订合同，则视为拒签合同。</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采购文件、中标投标人的投标文件及投标修改文件、评标过程中有关澄清文件及经双方签字的询标纪要（承诺）和中标通知书均作为合同附件。</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拒签合同的责任</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中标投标人在规定时间内（30日历天）借故否认已经承诺的条件、拒签合同，以投标违约处理，其投标保证金不予退回，并赔偿采购人由此造成的直接经济损失；采购人重新组织采购的，所需费用由原中标投标人承担。</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履约担保：</w:t>
      </w:r>
    </w:p>
    <w:p>
      <w:pPr>
        <w:numPr>
          <w:ilvl w:val="0"/>
          <w:numId w:val="21"/>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中标人在收到中标通知书后，须按投标须知前附表的规定向采购人提交履约担保。</w:t>
      </w:r>
    </w:p>
    <w:p>
      <w:pPr>
        <w:numPr>
          <w:ilvl w:val="0"/>
          <w:numId w:val="21"/>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履约担保用于补偿采购人因中标人不能履行其合同义务而蒙受的损失。</w:t>
      </w:r>
    </w:p>
    <w:p>
      <w:pPr>
        <w:keepNext w:val="0"/>
        <w:keepLines w:val="0"/>
        <w:pageBreakBefore w:val="0"/>
        <w:widowControl w:val="0"/>
        <w:numPr>
          <w:ilvl w:val="0"/>
          <w:numId w:val="0"/>
        </w:numPr>
        <w:tabs>
          <w:tab w:val="left" w:pos="540"/>
        </w:tabs>
        <w:kinsoku/>
        <w:wordWrap w:val="0"/>
        <w:overflowPunct/>
        <w:topLinePunct w:val="0"/>
        <w:autoSpaceDE/>
        <w:autoSpaceDN/>
        <w:bidi w:val="0"/>
        <w:adjustRightInd/>
        <w:snapToGrid/>
        <w:ind w:left="440" w:leftChars="0" w:hanging="440" w:hangingChars="200"/>
        <w:textAlignment w:val="auto"/>
        <w:rPr>
          <w:rFonts w:hint="eastAsia" w:ascii="宋体" w:hAnsi="宋体" w:eastAsia="宋体" w:cs="宋体"/>
          <w:bCs/>
          <w:sz w:val="22"/>
          <w:highlight w:val="none"/>
        </w:rPr>
      </w:pPr>
      <w:r>
        <w:rPr>
          <w:rFonts w:hint="eastAsia" w:ascii="宋体" w:hAnsi="宋体" w:eastAsia="宋体" w:cs="宋体"/>
          <w:b w:val="0"/>
          <w:bCs/>
          <w:color w:val="auto"/>
          <w:sz w:val="22"/>
          <w:szCs w:val="22"/>
          <w:highlight w:val="none"/>
          <w:lang w:val="en-US" w:eastAsia="zh-CN"/>
        </w:rPr>
        <w:t>30.3</w:t>
      </w:r>
      <w:r>
        <w:rPr>
          <w:rFonts w:hint="eastAsia" w:ascii="宋体" w:hAnsi="宋体" w:eastAsia="宋体" w:cs="宋体"/>
          <w:b w:val="0"/>
          <w:bCs/>
          <w:color w:val="auto"/>
          <w:sz w:val="22"/>
          <w:szCs w:val="22"/>
          <w:highlight w:val="none"/>
        </w:rPr>
        <w:t>履约担保自合同签订之日起至项目验收合格止有效。有效期满后，采购人应及时将履约保证金无息退还给中标人。</w:t>
      </w:r>
    </w:p>
    <w:p>
      <w:pPr>
        <w:numPr>
          <w:ilvl w:val="0"/>
          <w:numId w:val="3"/>
        </w:numPr>
        <w:tabs>
          <w:tab w:val="left" w:pos="540"/>
          <w:tab w:val="left" w:pos="900"/>
        </w:tabs>
        <w:ind w:left="525" w:hanging="525"/>
        <w:rPr>
          <w:rFonts w:hint="eastAsia" w:ascii="宋体" w:hAnsi="宋体" w:eastAsia="宋体" w:cs="宋体"/>
          <w:bCs/>
          <w:sz w:val="22"/>
          <w:highlight w:val="none"/>
          <w:shd w:val="clear" w:color="auto" w:fill="FFFF00"/>
        </w:rPr>
      </w:pPr>
      <w:r>
        <w:rPr>
          <w:rFonts w:hint="eastAsia" w:ascii="宋体" w:hAnsi="宋体" w:eastAsia="宋体" w:cs="宋体"/>
          <w:bCs/>
          <w:sz w:val="22"/>
          <w:highlight w:val="none"/>
        </w:rPr>
        <w:t>采购代理服务费</w:t>
      </w:r>
    </w:p>
    <w:p>
      <w:pPr>
        <w:wordWrap w:val="0"/>
        <w:ind w:left="538" w:leftChars="256"/>
        <w:rPr>
          <w:rFonts w:hint="eastAsia" w:ascii="宋体" w:hAnsi="宋体" w:eastAsia="宋体" w:cs="宋体"/>
          <w:bCs/>
          <w:sz w:val="22"/>
          <w:highlight w:val="none"/>
        </w:rPr>
      </w:pPr>
      <w:bookmarkStart w:id="159" w:name="_Toc227489893"/>
      <w:bookmarkStart w:id="160" w:name="_Toc227056852"/>
      <w:bookmarkStart w:id="161" w:name="_Toc219538619"/>
      <w:bookmarkStart w:id="162" w:name="_Toc215415536"/>
      <w:bookmarkStart w:id="163" w:name="_Toc223933227"/>
      <w:bookmarkStart w:id="164" w:name="_Toc223717610"/>
      <w:bookmarkStart w:id="165" w:name="_Toc216667826"/>
      <w:bookmarkStart w:id="166" w:name="_Toc217460691"/>
      <w:bookmarkStart w:id="167" w:name="_Toc227057039"/>
      <w:bookmarkStart w:id="168" w:name="_Toc218041732"/>
      <w:r>
        <w:rPr>
          <w:rFonts w:hint="eastAsia" w:ascii="宋体" w:hAnsi="宋体" w:eastAsia="宋体" w:cs="宋体"/>
          <w:bCs/>
          <w:sz w:val="22"/>
          <w:highlight w:val="none"/>
        </w:rPr>
        <w:t>本次采购，采购代理服务费为人民币</w:t>
      </w:r>
      <w:r>
        <w:rPr>
          <w:rFonts w:hint="eastAsia" w:ascii="宋体" w:hAnsi="宋体" w:eastAsia="宋体" w:cs="宋体"/>
          <w:bCs/>
          <w:sz w:val="22"/>
          <w:highlight w:val="none"/>
          <w:lang w:val="en-US" w:eastAsia="zh-CN"/>
        </w:rPr>
        <w:t>贰万柒仟</w:t>
      </w:r>
      <w:r>
        <w:rPr>
          <w:rFonts w:hint="eastAsia" w:ascii="宋体" w:hAnsi="宋体" w:eastAsia="宋体" w:cs="宋体"/>
          <w:bCs/>
          <w:sz w:val="22"/>
          <w:highlight w:val="none"/>
        </w:rPr>
        <w:t>元整（¥</w:t>
      </w:r>
      <w:r>
        <w:rPr>
          <w:rFonts w:hint="eastAsia" w:ascii="宋体" w:hAnsi="宋体" w:eastAsia="宋体" w:cs="宋体"/>
          <w:bCs/>
          <w:sz w:val="22"/>
          <w:highlight w:val="none"/>
          <w:lang w:val="en-US" w:eastAsia="zh-CN"/>
        </w:rPr>
        <w:t>270</w:t>
      </w:r>
      <w:r>
        <w:rPr>
          <w:rFonts w:hint="eastAsia" w:ascii="宋体" w:hAnsi="宋体" w:eastAsia="宋体" w:cs="宋体"/>
          <w:bCs/>
          <w:sz w:val="22"/>
          <w:highlight w:val="none"/>
        </w:rPr>
        <w:t>00元），由各</w:t>
      </w:r>
      <w:r>
        <w:rPr>
          <w:rFonts w:hint="eastAsia" w:ascii="宋体" w:hAnsi="宋体" w:eastAsia="宋体" w:cs="宋体"/>
          <w:bCs/>
          <w:sz w:val="22"/>
          <w:highlight w:val="none"/>
          <w:lang w:val="en-US" w:eastAsia="zh-CN"/>
        </w:rPr>
        <w:t>标段</w:t>
      </w:r>
      <w:r>
        <w:rPr>
          <w:rFonts w:hint="eastAsia" w:ascii="宋体" w:hAnsi="宋体" w:eastAsia="宋体" w:cs="宋体"/>
          <w:bCs/>
          <w:sz w:val="22"/>
          <w:highlight w:val="none"/>
        </w:rPr>
        <w:t>中标供应商均摊</w:t>
      </w:r>
      <w:r>
        <w:rPr>
          <w:rFonts w:hint="eastAsia" w:ascii="宋体" w:hAnsi="宋体" w:eastAsia="宋体" w:cs="宋体"/>
          <w:bCs/>
          <w:sz w:val="22"/>
          <w:highlight w:val="none"/>
          <w:lang w:val="en-US" w:eastAsia="zh-CN"/>
        </w:rPr>
        <w:t>支付（即标段1、标段2中标人均支付13500元）</w:t>
      </w:r>
      <w:r>
        <w:rPr>
          <w:rFonts w:hint="eastAsia" w:ascii="宋体" w:hAnsi="宋体" w:eastAsia="宋体" w:cs="宋体"/>
          <w:bCs/>
          <w:sz w:val="22"/>
          <w:highlight w:val="none"/>
        </w:rPr>
        <w:t>，并在领取中标通知书前支付给采购代理机构，采购代理服务费包含在投标总价中（报价不需要单列）。代理服务费汇入以下账号：</w:t>
      </w:r>
    </w:p>
    <w:p>
      <w:pPr>
        <w:ind w:left="538" w:leftChars="256" w:firstLine="440" w:firstLineChars="200"/>
        <w:rPr>
          <w:rFonts w:hint="eastAsia" w:ascii="宋体" w:hAnsi="宋体" w:eastAsia="宋体" w:cs="宋体"/>
          <w:bCs/>
          <w:sz w:val="22"/>
          <w:highlight w:val="none"/>
        </w:rPr>
      </w:pPr>
      <w:r>
        <w:rPr>
          <w:rFonts w:hint="eastAsia" w:ascii="宋体" w:hAnsi="宋体" w:eastAsia="宋体" w:cs="宋体"/>
          <w:bCs/>
          <w:sz w:val="22"/>
          <w:highlight w:val="none"/>
        </w:rPr>
        <w:t>开户名称：浙江国际招投标有限公司</w:t>
      </w:r>
    </w:p>
    <w:p>
      <w:pPr>
        <w:ind w:left="538" w:leftChars="256" w:firstLine="440" w:firstLineChars="200"/>
        <w:rPr>
          <w:rFonts w:hint="eastAsia" w:ascii="宋体" w:hAnsi="宋体" w:eastAsia="宋体" w:cs="宋体"/>
          <w:bCs/>
          <w:sz w:val="22"/>
          <w:highlight w:val="none"/>
        </w:rPr>
      </w:pPr>
      <w:r>
        <w:rPr>
          <w:rFonts w:hint="eastAsia" w:ascii="宋体" w:hAnsi="宋体" w:eastAsia="宋体" w:cs="宋体"/>
          <w:bCs/>
          <w:sz w:val="22"/>
          <w:highlight w:val="none"/>
        </w:rPr>
        <w:t>开户银行：工商银行杭州市武林支行</w:t>
      </w:r>
    </w:p>
    <w:p>
      <w:pPr>
        <w:ind w:left="538" w:leftChars="256" w:firstLine="440" w:firstLineChars="200"/>
        <w:rPr>
          <w:rFonts w:hint="eastAsia" w:ascii="宋体" w:hAnsi="宋体" w:eastAsia="宋体" w:cs="宋体"/>
          <w:bCs/>
          <w:sz w:val="22"/>
          <w:highlight w:val="none"/>
        </w:rPr>
      </w:pPr>
      <w:r>
        <w:rPr>
          <w:rFonts w:hint="eastAsia" w:ascii="宋体" w:hAnsi="宋体" w:eastAsia="宋体" w:cs="宋体"/>
          <w:bCs/>
          <w:sz w:val="22"/>
          <w:highlight w:val="none"/>
        </w:rPr>
        <w:t>开户账号：1202021209906782015</w:t>
      </w:r>
    </w:p>
    <w:p>
      <w:pPr>
        <w:ind w:left="538" w:leftChars="256"/>
        <w:rPr>
          <w:rFonts w:hint="eastAsia" w:ascii="宋体" w:hAnsi="宋体" w:eastAsia="宋体" w:cs="宋体"/>
          <w:bCs/>
          <w:highlight w:val="none"/>
        </w:rPr>
      </w:pPr>
      <w:r>
        <w:rPr>
          <w:rFonts w:hint="eastAsia" w:ascii="宋体" w:hAnsi="宋体" w:eastAsia="宋体" w:cs="宋体"/>
          <w:bCs/>
          <w:sz w:val="22"/>
          <w:highlight w:val="none"/>
        </w:rPr>
        <w:t>采购代理服务费可以是现金、支票或汇票。</w:t>
      </w:r>
    </w:p>
    <w:p>
      <w:pPr>
        <w:numPr>
          <w:ilvl w:val="0"/>
          <w:numId w:val="3"/>
        </w:numPr>
        <w:tabs>
          <w:tab w:val="left" w:pos="540"/>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乐采云</w:t>
      </w:r>
      <w:r>
        <w:rPr>
          <w:rFonts w:hint="eastAsia" w:ascii="宋体" w:hAnsi="宋体" w:eastAsia="宋体" w:cs="宋体"/>
          <w:b/>
          <w:sz w:val="22"/>
          <w:highlight w:val="none"/>
          <w:lang w:val="en-US" w:eastAsia="zh-CN"/>
        </w:rPr>
        <w:t>国企采购平台项目</w:t>
      </w:r>
      <w:r>
        <w:rPr>
          <w:rFonts w:hint="eastAsia" w:ascii="宋体" w:hAnsi="宋体" w:eastAsia="宋体" w:cs="宋体"/>
          <w:b/>
          <w:sz w:val="22"/>
          <w:highlight w:val="none"/>
        </w:rPr>
        <w:t>技术服务费：</w:t>
      </w:r>
    </w:p>
    <w:p>
      <w:pPr>
        <w:numPr>
          <w:ilvl w:val="0"/>
          <w:numId w:val="0"/>
        </w:numPr>
        <w:tabs>
          <w:tab w:val="left" w:pos="540"/>
        </w:tabs>
        <w:ind w:left="660" w:leftChars="0" w:hanging="660" w:hangingChars="3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32.1 本次国企采购平台项目采购平台费用由</w:t>
      </w:r>
      <w:r>
        <w:rPr>
          <w:rFonts w:hint="eastAsia" w:ascii="宋体" w:hAnsi="宋体" w:eastAsia="宋体" w:cs="宋体"/>
          <w:b w:val="0"/>
          <w:bCs/>
          <w:sz w:val="22"/>
          <w:szCs w:val="22"/>
          <w:highlight w:val="none"/>
          <w:lang w:eastAsia="zh-CN"/>
        </w:rPr>
        <w:t>中标人</w:t>
      </w:r>
      <w:r>
        <w:rPr>
          <w:rFonts w:hint="eastAsia" w:ascii="宋体" w:hAnsi="宋体" w:eastAsia="宋体" w:cs="宋体"/>
          <w:b w:val="0"/>
          <w:bCs/>
          <w:sz w:val="22"/>
          <w:szCs w:val="22"/>
          <w:highlight w:val="none"/>
        </w:rPr>
        <w:t>在中标结果公示后支付该项目的技术服务费。</w:t>
      </w:r>
    </w:p>
    <w:p>
      <w:pPr>
        <w:keepNext w:val="0"/>
        <w:keepLines w:val="0"/>
        <w:pageBreakBefore w:val="0"/>
        <w:widowControl w:val="0"/>
        <w:numPr>
          <w:ilvl w:val="0"/>
          <w:numId w:val="0"/>
        </w:numPr>
        <w:tabs>
          <w:tab w:val="left" w:pos="540"/>
        </w:tabs>
        <w:kinsoku/>
        <w:wordWrap w:val="0"/>
        <w:overflowPunct/>
        <w:topLinePunct w:val="0"/>
        <w:autoSpaceDE/>
        <w:autoSpaceDN/>
        <w:bidi w:val="0"/>
        <w:adjustRightInd/>
        <w:snapToGrid/>
        <w:ind w:left="660" w:leftChars="0" w:hanging="660" w:hangingChars="300"/>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32.2  收费标准链接：https://www.lecaiyun.com/helpcenter/document#/document/detail?siteCode=lecaiyun&amp;manualId=2061&amp;topicId=8625；收费标准如下图（具体以系统实际收费为准）</w:t>
      </w:r>
    </w:p>
    <w:p>
      <w:pPr>
        <w:wordWrap w:val="0"/>
        <w:jc w:val="center"/>
        <w:rPr>
          <w:rFonts w:hint="eastAsia" w:ascii="宋体" w:hAnsi="宋体" w:eastAsia="宋体" w:cs="宋体"/>
          <w:b/>
          <w:sz w:val="22"/>
          <w:highlight w:val="none"/>
        </w:rPr>
      </w:pPr>
      <w:r>
        <w:rPr>
          <w:rFonts w:hint="eastAsia" w:ascii="宋体" w:hAnsi="宋体" w:eastAsia="宋体" w:cs="宋体"/>
        </w:rPr>
        <w:drawing>
          <wp:inline distT="0" distB="0" distL="114300" distR="114300">
            <wp:extent cx="4601210" cy="21336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01210" cy="2133600"/>
                    </a:xfrm>
                    <a:prstGeom prst="rect">
                      <a:avLst/>
                    </a:prstGeom>
                    <a:noFill/>
                    <a:ln>
                      <a:noFill/>
                    </a:ln>
                  </pic:spPr>
                </pic:pic>
              </a:graphicData>
            </a:graphic>
          </wp:inline>
        </w:drawing>
      </w:r>
    </w:p>
    <w:p>
      <w:pPr>
        <w:keepNext w:val="0"/>
        <w:keepLines w:val="0"/>
        <w:pageBreakBefore w:val="0"/>
        <w:widowControl w:val="0"/>
        <w:numPr>
          <w:ilvl w:val="0"/>
          <w:numId w:val="0"/>
        </w:numPr>
        <w:tabs>
          <w:tab w:val="left" w:pos="540"/>
        </w:tabs>
        <w:kinsoku/>
        <w:wordWrap w:val="0"/>
        <w:overflowPunct/>
        <w:topLinePunct w:val="0"/>
        <w:autoSpaceDE/>
        <w:autoSpaceDN/>
        <w:bidi w:val="0"/>
        <w:adjustRightInd/>
        <w:snapToGrid/>
        <w:ind w:left="440" w:leftChars="0" w:hanging="440" w:hangingChars="200"/>
        <w:textAlignment w:val="auto"/>
        <w:rPr>
          <w:rFonts w:hint="eastAsia" w:ascii="宋体" w:hAnsi="宋体" w:eastAsia="宋体" w:cs="宋体"/>
          <w:b/>
          <w:sz w:val="22"/>
          <w:highlight w:val="none"/>
        </w:rPr>
      </w:pPr>
      <w:r>
        <w:rPr>
          <w:rFonts w:hint="eastAsia" w:ascii="宋体" w:hAnsi="宋体" w:eastAsia="宋体" w:cs="宋体"/>
          <w:b w:val="0"/>
          <w:bCs/>
          <w:sz w:val="22"/>
          <w:highlight w:val="none"/>
          <w:lang w:val="en-US" w:eastAsia="zh-CN"/>
        </w:rPr>
        <w:t>32.3</w:t>
      </w:r>
      <w:r>
        <w:rPr>
          <w:rFonts w:hint="eastAsia" w:ascii="宋体" w:hAnsi="宋体" w:eastAsia="宋体" w:cs="宋体"/>
          <w:b w:val="0"/>
          <w:bCs/>
          <w:sz w:val="22"/>
          <w:highlight w:val="none"/>
        </w:rPr>
        <w:t>根据乐采云2023年9月6日发布的乐采云国企采购平台项目采购收费标准（温州市市属国企区）规定，本项目为不涉及具体金额的采购项目，技术服务费800元/件。由</w:t>
      </w:r>
      <w:r>
        <w:rPr>
          <w:rFonts w:hint="eastAsia" w:ascii="宋体" w:hAnsi="宋体" w:eastAsia="宋体" w:cs="宋体"/>
          <w:b w:val="0"/>
          <w:bCs/>
          <w:sz w:val="22"/>
          <w:highlight w:val="none"/>
          <w:lang w:val="en-US" w:eastAsia="zh-CN"/>
        </w:rPr>
        <w:t>中标人</w:t>
      </w:r>
      <w:r>
        <w:rPr>
          <w:rFonts w:hint="eastAsia" w:ascii="宋体" w:hAnsi="宋体" w:eastAsia="宋体" w:cs="宋体"/>
          <w:b w:val="0"/>
          <w:bCs/>
          <w:sz w:val="22"/>
          <w:highlight w:val="none"/>
        </w:rPr>
        <w:t>于中标结果公示后支付该项目的技术服务费。各供应商投标总报价须包含该乐采云技术服务费。</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b w:val="0"/>
          <w:bCs/>
          <w:sz w:val="22"/>
          <w:highlight w:val="none"/>
        </w:rPr>
        <w:t>采购文件的解释权均属于采购人</w:t>
      </w:r>
      <w:r>
        <w:rPr>
          <w:rFonts w:hint="eastAsia" w:ascii="宋体" w:hAnsi="宋体" w:eastAsia="宋体" w:cs="宋体"/>
          <w:sz w:val="22"/>
          <w:highlight w:val="none"/>
        </w:rPr>
        <w:t>和浙江国际招投标有限公司。</w:t>
      </w:r>
    </w:p>
    <w:p>
      <w:pPr>
        <w:spacing w:before="120" w:beforeLines="50" w:after="120" w:afterLines="50"/>
        <w:jc w:val="center"/>
        <w:rPr>
          <w:rFonts w:hint="eastAsia" w:ascii="宋体" w:hAnsi="宋体" w:eastAsia="宋体" w:cs="宋体"/>
          <w:b/>
          <w:sz w:val="28"/>
          <w:szCs w:val="28"/>
          <w:highlight w:val="none"/>
        </w:rPr>
      </w:pPr>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七、 质疑与投诉</w:t>
      </w:r>
    </w:p>
    <w:p>
      <w:pPr>
        <w:tabs>
          <w:tab w:val="left" w:pos="210"/>
        </w:tabs>
        <w:snapToGrid w:val="0"/>
        <w:ind w:left="400"/>
        <w:jc w:val="left"/>
        <w:outlineLvl w:val="2"/>
        <w:rPr>
          <w:rFonts w:hint="eastAsia" w:ascii="宋体" w:hAnsi="宋体" w:eastAsia="宋体" w:cs="宋体"/>
          <w:b/>
          <w:sz w:val="22"/>
          <w:szCs w:val="22"/>
          <w:highlight w:val="none"/>
          <w:lang w:val="zh-CN"/>
        </w:rPr>
      </w:pPr>
      <w:r>
        <w:rPr>
          <w:rFonts w:hint="eastAsia" w:ascii="宋体" w:hAnsi="宋体" w:eastAsia="宋体" w:cs="宋体"/>
          <w:b/>
          <w:sz w:val="22"/>
          <w:szCs w:val="22"/>
          <w:highlight w:val="none"/>
        </w:rPr>
        <w:t>1</w:t>
      </w:r>
      <w:r>
        <w:rPr>
          <w:rFonts w:hint="eastAsia" w:ascii="宋体" w:hAnsi="宋体" w:eastAsia="宋体" w:cs="宋体"/>
          <w:b/>
          <w:sz w:val="22"/>
          <w:szCs w:val="22"/>
          <w:highlight w:val="none"/>
          <w:lang w:val="en-US" w:eastAsia="zh-CN"/>
        </w:rPr>
        <w:t>.</w:t>
      </w:r>
      <w:r>
        <w:rPr>
          <w:rFonts w:hint="eastAsia" w:ascii="宋体" w:hAnsi="宋体" w:eastAsia="宋体" w:cs="宋体"/>
          <w:b/>
          <w:sz w:val="22"/>
          <w:szCs w:val="22"/>
          <w:highlight w:val="none"/>
          <w:lang w:val="zh-CN"/>
        </w:rPr>
        <w:t>供应商质疑</w:t>
      </w:r>
    </w:p>
    <w:p>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1.1</w:t>
      </w:r>
      <w:r>
        <w:rPr>
          <w:rFonts w:hint="eastAsia" w:ascii="宋体" w:hAnsi="宋体" w:eastAsia="宋体" w:cs="宋体"/>
          <w:bCs/>
          <w:sz w:val="22"/>
          <w:szCs w:val="22"/>
          <w:highlight w:val="none"/>
          <w:lang w:val="zh-CN"/>
        </w:rPr>
        <w:t>提出质疑的供应商（以下简称质疑供应商）应当是参与所质疑项目采购活动的供应商。潜在供应商已依法获取其可质疑的采购文件的，可以对该文件提出质疑。</w:t>
      </w:r>
    </w:p>
    <w:p>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sz w:val="22"/>
          <w:szCs w:val="22"/>
          <w:highlight w:val="none"/>
          <w:lang w:val="en-US" w:eastAsia="zh-CN"/>
        </w:rPr>
        <w:t>1.2</w:t>
      </w:r>
      <w:r>
        <w:rPr>
          <w:rFonts w:hint="eastAsia" w:ascii="宋体" w:hAnsi="宋体" w:eastAsia="宋体" w:cs="宋体"/>
          <w:bCs/>
          <w:color w:val="auto"/>
          <w:sz w:val="22"/>
          <w:szCs w:val="22"/>
          <w:highlight w:val="none"/>
          <w:lang w:val="zh-CN"/>
        </w:rPr>
        <w:t>供应商认为采购文件、采购过程、中标</w:t>
      </w:r>
      <w:r>
        <w:rPr>
          <w:rFonts w:hint="eastAsia" w:ascii="宋体" w:hAnsi="宋体" w:eastAsia="宋体" w:cs="宋体"/>
          <w:bCs/>
          <w:color w:val="auto"/>
          <w:sz w:val="22"/>
          <w:szCs w:val="22"/>
          <w:highlight w:val="none"/>
        </w:rPr>
        <w:t>或者成交</w:t>
      </w:r>
      <w:r>
        <w:rPr>
          <w:rFonts w:hint="eastAsia" w:ascii="宋体" w:hAnsi="宋体" w:eastAsia="宋体" w:cs="宋体"/>
          <w:bCs/>
          <w:color w:val="auto"/>
          <w:sz w:val="22"/>
          <w:szCs w:val="22"/>
          <w:highlight w:val="none"/>
          <w:lang w:val="zh-CN"/>
        </w:rPr>
        <w:t>结果使自己的权益受到损害的，可以在知道或者应知其权益受到损害之日起</w:t>
      </w:r>
      <w:r>
        <w:rPr>
          <w:rFonts w:hint="eastAsia" w:ascii="宋体" w:hAnsi="宋体" w:eastAsia="宋体" w:cs="宋体"/>
          <w:bCs/>
          <w:color w:val="auto"/>
          <w:sz w:val="22"/>
          <w:szCs w:val="22"/>
          <w:highlight w:val="none"/>
        </w:rPr>
        <w:t>规定的时间</w:t>
      </w:r>
      <w:r>
        <w:rPr>
          <w:rFonts w:hint="eastAsia" w:ascii="宋体" w:hAnsi="宋体" w:eastAsia="宋体" w:cs="宋体"/>
          <w:bCs/>
          <w:color w:val="auto"/>
          <w:sz w:val="22"/>
          <w:szCs w:val="22"/>
          <w:highlight w:val="none"/>
          <w:lang w:val="zh-CN"/>
        </w:rPr>
        <w:t>内，以书面形式向采购人或者采购代理机构提出质疑，否则，采购人或者采购代理机构不予受理：</w:t>
      </w:r>
    </w:p>
    <w:p>
      <w:pPr>
        <w:numPr>
          <w:ilvl w:val="0"/>
          <w:numId w:val="0"/>
        </w:numPr>
        <w:tabs>
          <w:tab w:val="left" w:pos="210"/>
          <w:tab w:val="left" w:pos="105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sz w:val="22"/>
          <w:highlight w:val="none"/>
          <w:lang w:val="en-US" w:eastAsia="zh-CN"/>
        </w:rPr>
        <w:t>1）对采购文件提出质疑</w:t>
      </w:r>
      <w:r>
        <w:rPr>
          <w:rFonts w:hint="eastAsia" w:ascii="宋体" w:hAnsi="宋体" w:eastAsia="宋体" w:cs="宋体"/>
          <w:bCs/>
          <w:color w:val="auto"/>
          <w:sz w:val="22"/>
          <w:highlight w:val="none"/>
          <w:lang w:val="en-US" w:eastAsia="zh-CN"/>
        </w:rPr>
        <w:t>的，</w:t>
      </w:r>
      <w:r>
        <w:rPr>
          <w:rFonts w:hint="eastAsia" w:ascii="宋体" w:hAnsi="宋体" w:eastAsia="宋体" w:cs="宋体"/>
          <w:bCs/>
          <w:color w:val="auto"/>
          <w:sz w:val="22"/>
          <w:highlight w:val="none"/>
          <w:u w:val="none"/>
          <w:lang w:val="en-US" w:eastAsia="zh-CN"/>
        </w:rPr>
        <w:t>质疑期限为</w:t>
      </w:r>
      <w:r>
        <w:rPr>
          <w:rFonts w:hint="eastAsia" w:ascii="宋体" w:hAnsi="宋体" w:eastAsia="宋体" w:cs="宋体"/>
          <w:bCs/>
          <w:color w:val="auto"/>
          <w:kern w:val="0"/>
          <w:szCs w:val="21"/>
          <w:highlight w:val="none"/>
          <w:u w:val="none"/>
        </w:rPr>
        <w:t>自采购公告发出之日（</w:t>
      </w:r>
      <w:r>
        <w:rPr>
          <w:rFonts w:hint="eastAsia" w:ascii="宋体" w:hAnsi="宋体" w:eastAsia="宋体" w:cs="宋体"/>
          <w:bCs/>
          <w:color w:val="auto"/>
          <w:kern w:val="0"/>
          <w:szCs w:val="21"/>
          <w:highlight w:val="none"/>
          <w:u w:val="none"/>
          <w:lang w:val="en-US" w:eastAsia="zh-CN"/>
        </w:rPr>
        <w:t>采购公告发布</w:t>
      </w:r>
      <w:r>
        <w:rPr>
          <w:rFonts w:hint="eastAsia" w:ascii="宋体" w:hAnsi="宋体" w:eastAsia="宋体" w:cs="宋体"/>
          <w:bCs/>
          <w:color w:val="auto"/>
          <w:kern w:val="0"/>
          <w:szCs w:val="21"/>
          <w:highlight w:val="none"/>
          <w:u w:val="none"/>
        </w:rPr>
        <w:t>当天不算）起6日内，以书面形式向采购人和采购代理机构提出质疑</w:t>
      </w:r>
      <w:r>
        <w:rPr>
          <w:rFonts w:hint="eastAsia" w:ascii="宋体" w:hAnsi="宋体" w:eastAsia="宋体" w:cs="宋体"/>
          <w:bCs/>
          <w:sz w:val="22"/>
          <w:highlight w:val="none"/>
          <w:lang w:val="en-US" w:eastAsia="zh-CN"/>
        </w:rPr>
        <w:t>。</w:t>
      </w:r>
    </w:p>
    <w:p>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对采购结果提出质疑的，质疑</w:t>
      </w:r>
      <w:r>
        <w:rPr>
          <w:rFonts w:hint="eastAsia" w:ascii="宋体" w:hAnsi="宋体" w:eastAsia="宋体" w:cs="宋体"/>
          <w:bCs/>
          <w:color w:val="auto"/>
          <w:sz w:val="22"/>
          <w:szCs w:val="22"/>
          <w:highlight w:val="none"/>
          <w:lang w:val="en-US" w:eastAsia="zh-CN"/>
        </w:rPr>
        <w:t>须在</w:t>
      </w:r>
      <w:r>
        <w:rPr>
          <w:rFonts w:hint="eastAsia" w:ascii="宋体" w:hAnsi="宋体" w:eastAsia="宋体" w:cs="宋体"/>
          <w:bCs/>
          <w:color w:val="auto"/>
          <w:sz w:val="22"/>
          <w:szCs w:val="22"/>
          <w:highlight w:val="none"/>
        </w:rPr>
        <w:t>采购结果公</w:t>
      </w:r>
      <w:r>
        <w:rPr>
          <w:rFonts w:hint="eastAsia" w:ascii="宋体" w:hAnsi="宋体" w:eastAsia="宋体" w:cs="宋体"/>
          <w:bCs/>
          <w:color w:val="auto"/>
          <w:sz w:val="22"/>
          <w:szCs w:val="22"/>
          <w:highlight w:val="none"/>
          <w:lang w:val="en-US" w:eastAsia="zh-CN"/>
        </w:rPr>
        <w:t>告</w:t>
      </w:r>
      <w:r>
        <w:rPr>
          <w:rFonts w:hint="eastAsia" w:ascii="宋体" w:hAnsi="宋体" w:eastAsia="宋体" w:cs="宋体"/>
          <w:bCs/>
          <w:color w:val="auto"/>
          <w:sz w:val="22"/>
          <w:szCs w:val="22"/>
          <w:highlight w:val="none"/>
        </w:rPr>
        <w:t>期</w:t>
      </w:r>
      <w:r>
        <w:rPr>
          <w:rFonts w:hint="eastAsia" w:ascii="宋体" w:hAnsi="宋体" w:eastAsia="宋体" w:cs="宋体"/>
          <w:bCs/>
          <w:color w:val="auto"/>
          <w:sz w:val="22"/>
          <w:szCs w:val="22"/>
          <w:highlight w:val="none"/>
          <w:lang w:val="zh-CN"/>
        </w:rPr>
        <w:t>内提出。</w:t>
      </w:r>
    </w:p>
    <w:p>
      <w:pPr>
        <w:tabs>
          <w:tab w:val="left" w:pos="210"/>
        </w:tabs>
        <w:snapToGrid w:val="0"/>
        <w:ind w:left="402"/>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1.3</w:t>
      </w:r>
      <w:r>
        <w:rPr>
          <w:rFonts w:hint="eastAsia" w:ascii="宋体" w:hAnsi="宋体" w:eastAsia="宋体" w:cs="宋体"/>
          <w:bCs/>
          <w:color w:val="auto"/>
          <w:sz w:val="22"/>
          <w:szCs w:val="22"/>
          <w:highlight w:val="none"/>
          <w:lang w:val="zh-CN"/>
        </w:rPr>
        <w:t>供应商提出质疑应当提交质疑函和必要的证明材料。质疑函应当包括下列内容：</w:t>
      </w:r>
    </w:p>
    <w:p>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供应商的姓名或者名称、地址、邮编、联系</w:t>
      </w:r>
      <w:r>
        <w:rPr>
          <w:rFonts w:hint="eastAsia" w:ascii="宋体" w:hAnsi="宋体" w:eastAsia="宋体" w:cs="宋体"/>
          <w:bCs/>
          <w:sz w:val="22"/>
          <w:szCs w:val="22"/>
          <w:highlight w:val="none"/>
          <w:lang w:val="zh-CN"/>
        </w:rPr>
        <w:t>人及联系电话；</w:t>
      </w:r>
    </w:p>
    <w:p>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lang w:val="zh-CN"/>
        </w:rPr>
        <w:t>质疑项目的名称、编号；</w:t>
      </w:r>
    </w:p>
    <w:p>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3）</w:t>
      </w:r>
      <w:r>
        <w:rPr>
          <w:rFonts w:hint="eastAsia" w:ascii="宋体" w:hAnsi="宋体" w:eastAsia="宋体" w:cs="宋体"/>
          <w:bCs/>
          <w:sz w:val="22"/>
          <w:szCs w:val="22"/>
          <w:highlight w:val="none"/>
          <w:lang w:val="zh-CN"/>
        </w:rPr>
        <w:t>具体、明确的质疑事项和与质疑事项相关的请求；</w:t>
      </w:r>
    </w:p>
    <w:p>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4）</w:t>
      </w:r>
      <w:r>
        <w:rPr>
          <w:rFonts w:hint="eastAsia" w:ascii="宋体" w:hAnsi="宋体" w:eastAsia="宋体" w:cs="宋体"/>
          <w:bCs/>
          <w:sz w:val="22"/>
          <w:szCs w:val="22"/>
          <w:highlight w:val="none"/>
          <w:lang w:val="zh-CN"/>
        </w:rPr>
        <w:t>事实依据；</w:t>
      </w:r>
    </w:p>
    <w:p>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5）</w:t>
      </w:r>
      <w:r>
        <w:rPr>
          <w:rFonts w:hint="eastAsia" w:ascii="宋体" w:hAnsi="宋体" w:eastAsia="宋体" w:cs="宋体"/>
          <w:bCs/>
          <w:sz w:val="22"/>
          <w:szCs w:val="22"/>
          <w:highlight w:val="none"/>
          <w:lang w:val="zh-CN"/>
        </w:rPr>
        <w:t>必要的法律依据；</w:t>
      </w:r>
    </w:p>
    <w:p>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6）</w:t>
      </w:r>
      <w:r>
        <w:rPr>
          <w:rFonts w:hint="eastAsia" w:ascii="宋体" w:hAnsi="宋体" w:eastAsia="宋体" w:cs="宋体"/>
          <w:bCs/>
          <w:sz w:val="22"/>
          <w:szCs w:val="22"/>
          <w:highlight w:val="none"/>
          <w:lang w:val="zh-CN"/>
        </w:rPr>
        <w:t>提出质疑的日期。</w:t>
      </w:r>
    </w:p>
    <w:p>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zh-CN"/>
        </w:rPr>
        <w:t>供应商提交的质疑函需一式三份。供应商为自然人的，应当由本人签字；供应商为法人或者其他组织的，应当由法定代表人（负责人）、主要负责人，或者其授权代表签字或者盖章，并加盖公章。</w:t>
      </w:r>
    </w:p>
    <w:p>
      <w:pPr>
        <w:tabs>
          <w:tab w:val="left" w:pos="210"/>
        </w:tabs>
        <w:wordWrap w:val="0"/>
        <w:snapToGrid w:val="0"/>
        <w:ind w:firstLine="440" w:firstLineChars="200"/>
        <w:jc w:val="left"/>
        <w:outlineLvl w:val="2"/>
        <w:rPr>
          <w:rFonts w:hint="eastAsia" w:ascii="宋体" w:hAnsi="宋体" w:eastAsia="宋体" w:cs="宋体"/>
          <w:b w:val="0"/>
          <w:bCs/>
          <w:sz w:val="22"/>
          <w:szCs w:val="22"/>
          <w:highlight w:val="none"/>
          <w:u w:val="none"/>
          <w:lang w:val="zh-CN"/>
        </w:rPr>
      </w:pPr>
      <w:r>
        <w:rPr>
          <w:rFonts w:hint="eastAsia" w:ascii="宋体" w:hAnsi="宋体" w:eastAsia="宋体" w:cs="宋体"/>
          <w:b w:val="0"/>
          <w:bCs/>
          <w:sz w:val="22"/>
          <w:szCs w:val="22"/>
          <w:highlight w:val="none"/>
          <w:u w:val="none"/>
          <w:lang w:val="zh-CN"/>
        </w:rPr>
        <w:t>质疑供应商的《质疑函》可参考政府采购质疑函范本的格式进行编写。下载地址如下：“https://sitecdn.zcycdn.com/site_group/prod/site_1/2018/06/12/15-22-570613413750772.docx”。供应商可以先发电子版质疑函，但质疑函的收到日期以采购代理或采购人收到纸质原件的日期为准。</w:t>
      </w:r>
    </w:p>
    <w:p>
      <w:pPr>
        <w:tabs>
          <w:tab w:val="left" w:pos="210"/>
          <w:tab w:val="left" w:pos="840"/>
        </w:tabs>
        <w:snapToGrid w:val="0"/>
        <w:ind w:firstLine="442" w:firstLineChars="200"/>
        <w:jc w:val="left"/>
        <w:outlineLvl w:val="2"/>
        <w:rPr>
          <w:rFonts w:hint="eastAsia" w:ascii="宋体" w:hAnsi="宋体" w:eastAsia="宋体" w:cs="宋体"/>
          <w:b/>
          <w:sz w:val="22"/>
          <w:szCs w:val="22"/>
          <w:highlight w:val="none"/>
          <w:u w:val="single"/>
          <w:lang w:val="zh-CN"/>
        </w:rPr>
      </w:pPr>
      <w:r>
        <w:rPr>
          <w:rFonts w:hint="eastAsia" w:ascii="宋体" w:hAnsi="宋体" w:eastAsia="宋体" w:cs="宋体"/>
          <w:b/>
          <w:sz w:val="22"/>
          <w:szCs w:val="22"/>
          <w:highlight w:val="none"/>
          <w:u w:val="single"/>
          <w:lang w:val="en-US" w:eastAsia="zh-CN"/>
        </w:rPr>
        <w:t>1.4</w:t>
      </w:r>
      <w:r>
        <w:rPr>
          <w:rFonts w:hint="eastAsia" w:ascii="宋体" w:hAnsi="宋体" w:eastAsia="宋体" w:cs="宋体"/>
          <w:b/>
          <w:sz w:val="22"/>
          <w:szCs w:val="22"/>
          <w:highlight w:val="none"/>
          <w:u w:val="single"/>
          <w:lang w:val="zh-CN"/>
        </w:rPr>
        <w:t>对同一采购程序环节的质疑</w:t>
      </w:r>
      <w:r>
        <w:rPr>
          <w:rFonts w:hint="eastAsia" w:ascii="宋体" w:hAnsi="宋体" w:eastAsia="宋体" w:cs="宋体"/>
          <w:b/>
          <w:sz w:val="22"/>
          <w:szCs w:val="22"/>
          <w:highlight w:val="none"/>
          <w:u w:val="single"/>
        </w:rPr>
        <w:t>时</w:t>
      </w:r>
      <w:r>
        <w:rPr>
          <w:rFonts w:hint="eastAsia" w:ascii="宋体" w:hAnsi="宋体" w:eastAsia="宋体" w:cs="宋体"/>
          <w:b/>
          <w:sz w:val="22"/>
          <w:szCs w:val="22"/>
          <w:highlight w:val="none"/>
          <w:u w:val="single"/>
          <w:lang w:val="zh-CN"/>
        </w:rPr>
        <w:t>，供应商须在法定质疑期内一次性提出，</w:t>
      </w:r>
      <w:r>
        <w:rPr>
          <w:rFonts w:hint="eastAsia" w:ascii="宋体" w:hAnsi="宋体" w:eastAsia="宋体" w:cs="宋体"/>
          <w:b/>
          <w:sz w:val="22"/>
          <w:highlight w:val="none"/>
          <w:u w:val="single"/>
          <w:lang w:val="zh-CN"/>
        </w:rPr>
        <w:t>已经提出过质疑的投标供应商在质疑期内不能提出新的质疑。</w:t>
      </w:r>
    </w:p>
    <w:p>
      <w:pPr>
        <w:tabs>
          <w:tab w:val="left" w:pos="210"/>
          <w:tab w:val="left" w:pos="84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1.5</w:t>
      </w:r>
      <w:r>
        <w:rPr>
          <w:rFonts w:hint="eastAsia" w:ascii="宋体" w:hAnsi="宋体" w:eastAsia="宋体" w:cs="宋体"/>
          <w:bCs/>
          <w:sz w:val="22"/>
          <w:szCs w:val="22"/>
          <w:highlight w:val="none"/>
          <w:lang w:val="zh-CN"/>
        </w:rPr>
        <w:t>采购人负责供应商质疑答复。采购人委托采购代理机构采购的，采购代理机构对委托授权范围内质疑事项作出答复。委托授权范围应当在采购代理协议中明确。</w:t>
      </w:r>
    </w:p>
    <w:p>
      <w:pPr>
        <w:tabs>
          <w:tab w:val="left" w:pos="210"/>
          <w:tab w:val="left" w:pos="84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1.6</w:t>
      </w:r>
      <w:r>
        <w:rPr>
          <w:rFonts w:hint="eastAsia" w:ascii="宋体" w:hAnsi="宋体" w:eastAsia="宋体" w:cs="宋体"/>
          <w:bCs/>
          <w:sz w:val="22"/>
          <w:szCs w:val="22"/>
          <w:highlight w:val="none"/>
          <w:lang w:val="zh-CN"/>
        </w:rPr>
        <w:t>采购人或者采购代理机构应当在收到供应商的书面质疑后七个工作日内作出答复，但答复的内容不得涉及商业秘密。</w:t>
      </w:r>
    </w:p>
    <w:p>
      <w:pPr>
        <w:tabs>
          <w:tab w:val="left" w:pos="210"/>
        </w:tabs>
        <w:snapToGrid w:val="0"/>
        <w:ind w:firstLine="442" w:firstLineChars="200"/>
        <w:jc w:val="left"/>
        <w:outlineLvl w:val="2"/>
        <w:rPr>
          <w:rFonts w:hint="eastAsia" w:ascii="宋体" w:hAnsi="宋体" w:eastAsia="宋体" w:cs="宋体"/>
          <w:b/>
          <w:sz w:val="22"/>
          <w:szCs w:val="22"/>
          <w:highlight w:val="none"/>
          <w:lang w:val="zh-CN"/>
        </w:rPr>
      </w:pPr>
      <w:r>
        <w:rPr>
          <w:rFonts w:hint="eastAsia" w:ascii="宋体" w:hAnsi="宋体" w:eastAsia="宋体" w:cs="宋体"/>
          <w:b/>
          <w:sz w:val="22"/>
          <w:szCs w:val="22"/>
          <w:highlight w:val="none"/>
        </w:rPr>
        <w:t>2</w:t>
      </w:r>
      <w:r>
        <w:rPr>
          <w:rFonts w:hint="eastAsia" w:ascii="宋体" w:hAnsi="宋体" w:eastAsia="宋体" w:cs="宋体"/>
          <w:b/>
          <w:sz w:val="22"/>
          <w:szCs w:val="22"/>
          <w:highlight w:val="none"/>
          <w:lang w:val="en-US" w:eastAsia="zh-CN"/>
        </w:rPr>
        <w:t>.</w:t>
      </w:r>
      <w:r>
        <w:rPr>
          <w:rFonts w:hint="eastAsia" w:ascii="宋体" w:hAnsi="宋体" w:eastAsia="宋体" w:cs="宋体"/>
          <w:b/>
          <w:sz w:val="22"/>
          <w:szCs w:val="22"/>
          <w:highlight w:val="none"/>
          <w:lang w:val="zh-CN"/>
        </w:rPr>
        <w:t>供应商投诉</w:t>
      </w:r>
    </w:p>
    <w:p>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2.1</w:t>
      </w:r>
      <w:r>
        <w:rPr>
          <w:rFonts w:hint="eastAsia" w:ascii="宋体" w:hAnsi="宋体" w:eastAsia="宋体" w:cs="宋体"/>
          <w:bCs/>
          <w:sz w:val="22"/>
          <w:szCs w:val="22"/>
          <w:highlight w:val="none"/>
          <w:lang w:val="zh-CN"/>
        </w:rPr>
        <w:t>质疑供应商对采购人、采购代理机构的答复不满意或者采购人、采购代理机构未在规定的时间内作出答复的，可以在答复期满后</w:t>
      </w:r>
      <w:r>
        <w:rPr>
          <w:rFonts w:hint="eastAsia" w:ascii="宋体" w:hAnsi="宋体" w:eastAsia="宋体" w:cs="宋体"/>
          <w:bCs/>
          <w:sz w:val="22"/>
          <w:szCs w:val="22"/>
          <w:highlight w:val="none"/>
        </w:rPr>
        <w:t>15</w:t>
      </w:r>
      <w:r>
        <w:rPr>
          <w:rFonts w:hint="eastAsia" w:ascii="宋体" w:hAnsi="宋体" w:eastAsia="宋体" w:cs="宋体"/>
          <w:bCs/>
          <w:sz w:val="22"/>
          <w:szCs w:val="22"/>
          <w:highlight w:val="none"/>
          <w:lang w:val="zh-CN"/>
        </w:rPr>
        <w:t>个工作日内向温州市城市建设发展集团有限公司</w:t>
      </w:r>
      <w:r>
        <w:rPr>
          <w:rFonts w:hint="eastAsia" w:ascii="宋体" w:hAnsi="宋体" w:eastAsia="宋体" w:cs="宋体"/>
          <w:bCs/>
          <w:sz w:val="22"/>
          <w:szCs w:val="22"/>
          <w:highlight w:val="none"/>
          <w:lang w:val="zh-CN" w:eastAsia="zh-CN"/>
        </w:rPr>
        <w:t>采购管理委员会</w:t>
      </w:r>
      <w:r>
        <w:rPr>
          <w:rFonts w:hint="eastAsia" w:ascii="宋体" w:hAnsi="宋体" w:eastAsia="宋体" w:cs="宋体"/>
          <w:bCs/>
          <w:sz w:val="22"/>
          <w:szCs w:val="22"/>
          <w:highlight w:val="none"/>
          <w:lang w:val="zh-CN"/>
        </w:rPr>
        <w:t>投诉。</w:t>
      </w:r>
    </w:p>
    <w:p>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rPr>
        <w:t>2</w:t>
      </w:r>
      <w:r>
        <w:rPr>
          <w:rFonts w:hint="eastAsia" w:ascii="宋体" w:hAnsi="宋体" w:eastAsia="宋体" w:cs="宋体"/>
          <w:bCs/>
          <w:sz w:val="22"/>
          <w:szCs w:val="22"/>
          <w:highlight w:val="none"/>
          <w:lang w:val="zh-CN"/>
        </w:rPr>
        <w:t>供应商投诉的事项不得超出已质疑事项的范围，基于质疑答复内容提出的投诉事项除外。</w:t>
      </w:r>
    </w:p>
    <w:p>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2.3</w:t>
      </w:r>
      <w:r>
        <w:rPr>
          <w:rFonts w:hint="eastAsia" w:ascii="宋体" w:hAnsi="宋体" w:eastAsia="宋体" w:cs="宋体"/>
          <w:bCs/>
          <w:sz w:val="22"/>
          <w:szCs w:val="22"/>
          <w:highlight w:val="none"/>
          <w:lang w:val="zh-CN"/>
        </w:rPr>
        <w:t>供应商投诉应当有明确的请求和必要的证明材料。</w:t>
      </w:r>
    </w:p>
    <w:p>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2.4</w:t>
      </w:r>
      <w:r>
        <w:rPr>
          <w:rFonts w:hint="eastAsia" w:ascii="宋体" w:hAnsi="宋体" w:eastAsia="宋体" w:cs="宋体"/>
          <w:bCs/>
          <w:sz w:val="22"/>
          <w:szCs w:val="22"/>
          <w:highlight w:val="none"/>
          <w:lang w:val="zh-CN"/>
        </w:rPr>
        <w:t>以联合体形式参加采购活动的，其投诉应当由组成联合体的所有供应商共同提出。</w:t>
      </w:r>
    </w:p>
    <w:p>
      <w:pPr>
        <w:ind w:firstLine="440" w:firstLineChars="200"/>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2.5投诉供应商认为投诉回复处理结果不合法的，可以依法向采购人所在地人民法院提起诉讼。投诉供应商</w:t>
      </w:r>
      <w:r>
        <w:rPr>
          <w:rFonts w:hint="eastAsia" w:ascii="宋体" w:hAnsi="宋体" w:eastAsia="宋体" w:cs="宋体"/>
          <w:bCs/>
          <w:sz w:val="22"/>
          <w:szCs w:val="22"/>
          <w:highlight w:val="none"/>
          <w:lang w:val="zh-CN"/>
        </w:rPr>
        <w:t>对投诉的真实性负责，恶意投诉将承当相应的法律责任和民事责任。</w:t>
      </w:r>
    </w:p>
    <w:p>
      <w:pPr>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3.投诉处理过程中，有下列情形之一的，采购监管部门应当驳回投诉：</w:t>
      </w:r>
    </w:p>
    <w:p>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3.1受理后发现投诉不符合法定受理条件；</w:t>
      </w:r>
    </w:p>
    <w:p>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3.2投诉事项缺乏事实依据，投诉事项不成立；</w:t>
      </w:r>
    </w:p>
    <w:p>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3.3投诉人捏造事实或者提供虚假材料；</w:t>
      </w:r>
    </w:p>
    <w:p>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3.4投诉人以非法手段取得证明材料。证据来源的合法性存在明显疑问，投诉人无法证明其取得方式合法的，视为以非法手段取得证明材料。</w:t>
      </w:r>
    </w:p>
    <w:p>
      <w:pPr>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4其他</w:t>
      </w:r>
    </w:p>
    <w:p>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4.1</w:t>
      </w:r>
      <w:r>
        <w:rPr>
          <w:rFonts w:hint="eastAsia" w:ascii="宋体" w:hAnsi="宋体" w:eastAsia="宋体" w:cs="宋体"/>
          <w:bCs/>
          <w:color w:val="auto"/>
          <w:sz w:val="22"/>
          <w:szCs w:val="22"/>
          <w:highlight w:val="none"/>
          <w:lang w:val="zh-CN"/>
        </w:rPr>
        <w:t>质疑供应商或投诉供应商应当承担投诉事项的举证责任，质疑供应商或投诉供应商未提供相关证据、依据和其他有关材料的，视为该质疑或投诉事项不成立；被质疑供应商或被投诉供应商未按照质疑答复通知书或投诉答复通知书要求提交相关证据、依据和其他有关材料的，视同其放弃说明权利，依法承担不利后果。</w:t>
      </w:r>
    </w:p>
    <w:p>
      <w:pPr>
        <w:numPr>
          <w:ilvl w:val="0"/>
          <w:numId w:val="0"/>
        </w:numPr>
        <w:tabs>
          <w:tab w:val="left" w:pos="210"/>
        </w:tabs>
        <w:snapToGrid w:val="0"/>
        <w:spacing w:line="240" w:lineRule="auto"/>
        <w:ind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.2如有发现不实的质疑或投诉（包括但不限于未提供证据、证据与质疑或投诉内容无关联、虚假证据等），采购人有权视其为不实的质疑投诉，同时保留对外公布的权利</w:t>
      </w:r>
      <w:r>
        <w:rPr>
          <w:rFonts w:hint="eastAsia" w:ascii="宋体" w:hAnsi="宋体" w:eastAsia="宋体" w:cs="宋体"/>
          <w:bCs/>
          <w:sz w:val="22"/>
          <w:szCs w:val="22"/>
          <w:highlight w:val="none"/>
          <w:lang w:val="zh-CN"/>
        </w:rPr>
        <w:t>。</w:t>
      </w:r>
    </w:p>
    <w:p>
      <w:pPr>
        <w:keepNext/>
        <w:spacing w:before="240"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bookmarkStart w:id="169" w:name="_Toc491780524"/>
      <w:r>
        <w:rPr>
          <w:rFonts w:hint="eastAsia" w:ascii="宋体" w:hAnsi="宋体" w:eastAsia="宋体" w:cs="宋体"/>
          <w:b/>
          <w:bCs/>
          <w:sz w:val="36"/>
          <w:szCs w:val="36"/>
          <w:highlight w:val="none"/>
        </w:rPr>
        <w:t>第二部分 合同条款</w:t>
      </w:r>
      <w:bookmarkEnd w:id="169"/>
    </w:p>
    <w:bookmarkEnd w:id="159"/>
    <w:bookmarkEnd w:id="160"/>
    <w:bookmarkEnd w:id="161"/>
    <w:bookmarkEnd w:id="162"/>
    <w:bookmarkEnd w:id="163"/>
    <w:bookmarkEnd w:id="164"/>
    <w:bookmarkEnd w:id="165"/>
    <w:bookmarkEnd w:id="166"/>
    <w:bookmarkEnd w:id="167"/>
    <w:bookmarkEnd w:id="168"/>
    <w:p>
      <w:pPr>
        <w:pStyle w:val="5"/>
        <w:keepNext w:val="0"/>
        <w:keepLines w:val="0"/>
        <w:adjustRightInd w:val="0"/>
        <w:snapToGrid w:val="0"/>
        <w:spacing w:before="0" w:after="0" w:line="440" w:lineRule="exact"/>
        <w:jc w:val="center"/>
        <w:rPr>
          <w:rFonts w:hint="eastAsia" w:ascii="宋体" w:hAnsi="宋体" w:eastAsia="宋体" w:cs="宋体"/>
          <w:sz w:val="24"/>
          <w:szCs w:val="24"/>
        </w:rPr>
      </w:pPr>
      <w:bookmarkStart w:id="170" w:name="_Toc227489895"/>
      <w:bookmarkStart w:id="171" w:name="_Toc223933229"/>
      <w:bookmarkStart w:id="172" w:name="_Toc218041734"/>
      <w:bookmarkStart w:id="173" w:name="_Toc216667828"/>
      <w:bookmarkStart w:id="174" w:name="_Toc217460693"/>
      <w:bookmarkStart w:id="175" w:name="_Toc227056854"/>
      <w:bookmarkStart w:id="176" w:name="_Toc223717612"/>
      <w:bookmarkStart w:id="177" w:name="_Toc227057041"/>
      <w:bookmarkStart w:id="178" w:name="_Toc219538621"/>
      <w:bookmarkStart w:id="179" w:name="_Toc215415538"/>
      <w:bookmarkStart w:id="180" w:name="_Toc491780525"/>
      <w:r>
        <w:rPr>
          <w:rFonts w:hint="eastAsia" w:ascii="宋体" w:hAnsi="宋体" w:eastAsia="宋体" w:cs="宋体"/>
          <w:sz w:val="24"/>
          <w:szCs w:val="24"/>
        </w:rPr>
        <w:t>合同主要条款</w:t>
      </w:r>
    </w:p>
    <w:p>
      <w:pPr>
        <w:pStyle w:val="5"/>
        <w:keepNext w:val="0"/>
        <w:keepLines w:val="0"/>
        <w:adjustRightInd w:val="0"/>
        <w:snapToGrid w:val="0"/>
        <w:spacing w:before="0" w:after="0" w:line="440" w:lineRule="exact"/>
        <w:jc w:val="center"/>
        <w:rPr>
          <w:rFonts w:hint="eastAsia" w:ascii="宋体" w:hAnsi="宋体" w:eastAsia="宋体" w:cs="宋体"/>
          <w:sz w:val="24"/>
          <w:szCs w:val="24"/>
        </w:rPr>
      </w:pPr>
      <w:r>
        <w:rPr>
          <w:rFonts w:hint="eastAsia" w:ascii="宋体" w:hAnsi="宋体" w:eastAsia="宋体" w:cs="宋体"/>
          <w:sz w:val="24"/>
          <w:szCs w:val="24"/>
        </w:rPr>
        <w:t>（此条款为范本，最终以双方签订的合同为主）</w:t>
      </w:r>
    </w:p>
    <w:p>
      <w:pPr>
        <w:rPr>
          <w:rFonts w:hint="eastAsia" w:ascii="宋体" w:hAnsi="宋体" w:eastAsia="宋体" w:cs="宋体"/>
          <w:b/>
          <w:bCs/>
          <w:szCs w:val="21"/>
        </w:rPr>
      </w:pPr>
    </w:p>
    <w:p>
      <w:pPr>
        <w:rPr>
          <w:rFonts w:hint="eastAsia" w:ascii="宋体" w:hAnsi="宋体" w:eastAsia="宋体" w:cs="宋体"/>
          <w:b/>
          <w:bCs/>
          <w:szCs w:val="21"/>
        </w:rPr>
      </w:pPr>
      <w:r>
        <w:rPr>
          <w:rFonts w:hint="eastAsia" w:ascii="宋体" w:hAnsi="宋体" w:eastAsia="宋体" w:cs="宋体"/>
          <w:b/>
          <w:bCs/>
          <w:szCs w:val="21"/>
        </w:rPr>
        <w:t>甲方（投保方）：温州市交通发展集团有限公司</w:t>
      </w:r>
    </w:p>
    <w:p>
      <w:pPr>
        <w:rPr>
          <w:rFonts w:hint="eastAsia" w:ascii="宋体" w:hAnsi="宋体" w:eastAsia="宋体" w:cs="宋体"/>
          <w:b/>
          <w:bCs/>
          <w:szCs w:val="21"/>
        </w:rPr>
      </w:pPr>
      <w:r>
        <w:rPr>
          <w:rFonts w:hint="eastAsia" w:ascii="宋体" w:hAnsi="宋体" w:eastAsia="宋体" w:cs="宋体"/>
          <w:b/>
          <w:bCs/>
          <w:szCs w:val="21"/>
        </w:rPr>
        <w:t>乙方：</w:t>
      </w:r>
    </w:p>
    <w:p>
      <w:pPr>
        <w:ind w:firstLine="422" w:firstLineChars="200"/>
        <w:rPr>
          <w:rFonts w:hint="eastAsia" w:ascii="宋体" w:hAnsi="宋体" w:eastAsia="宋体" w:cs="宋体"/>
          <w:b/>
          <w:bCs/>
          <w:szCs w:val="21"/>
        </w:rPr>
      </w:pPr>
    </w:p>
    <w:p>
      <w:pPr>
        <w:ind w:firstLine="422" w:firstLineChars="200"/>
        <w:rPr>
          <w:rFonts w:hint="eastAsia" w:ascii="宋体" w:hAnsi="宋体" w:eastAsia="宋体" w:cs="宋体"/>
          <w:b/>
          <w:bCs/>
          <w:szCs w:val="21"/>
        </w:rPr>
      </w:pPr>
      <w:r>
        <w:rPr>
          <w:rFonts w:hint="eastAsia" w:ascii="宋体" w:hAnsi="宋体" w:eastAsia="宋体" w:cs="宋体"/>
          <w:b/>
          <w:bCs/>
          <w:szCs w:val="21"/>
        </w:rPr>
        <w:t>第一条、承保范围</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本次承保范围为温州市交通发展集团有限公司</w:t>
      </w:r>
      <w:r>
        <w:rPr>
          <w:rFonts w:hint="eastAsia" w:ascii="宋体" w:hAnsi="宋体" w:eastAsia="宋体" w:cs="宋体"/>
          <w:sz w:val="21"/>
          <w:szCs w:val="21"/>
          <w:highlight w:val="none"/>
        </w:rPr>
        <w:t>集团本部及二级公司生产经营用车的保险，根据工作实际</w:t>
      </w:r>
      <w:r>
        <w:rPr>
          <w:rFonts w:hint="eastAsia" w:ascii="宋体" w:hAnsi="宋体" w:eastAsia="宋体" w:cs="宋体"/>
          <w:sz w:val="21"/>
          <w:szCs w:val="21"/>
          <w:highlight w:val="none"/>
          <w:lang w:val="en-US" w:eastAsia="zh-CN"/>
        </w:rPr>
        <w:t>需求</w:t>
      </w:r>
      <w:r>
        <w:rPr>
          <w:rFonts w:hint="eastAsia" w:ascii="宋体" w:hAnsi="宋体" w:eastAsia="宋体" w:cs="宋体"/>
          <w:sz w:val="21"/>
          <w:szCs w:val="21"/>
          <w:highlight w:val="none"/>
        </w:rPr>
        <w:t>，购买车损、第三者责任险、司机及乘客人身险、不计免赔、交强险、车船税等税种。</w:t>
      </w:r>
    </w:p>
    <w:p>
      <w:pPr>
        <w:ind w:firstLine="422" w:firstLineChars="200"/>
        <w:rPr>
          <w:rFonts w:hint="default" w:ascii="宋体" w:hAnsi="宋体" w:eastAsia="宋体" w:cs="宋体"/>
          <w:b/>
          <w:bCs/>
          <w:szCs w:val="21"/>
          <w:lang w:val="en-US" w:eastAsia="zh-CN"/>
        </w:rPr>
      </w:pPr>
      <w:r>
        <w:rPr>
          <w:rFonts w:hint="eastAsia" w:ascii="宋体" w:hAnsi="宋体" w:eastAsia="宋体" w:cs="宋体"/>
          <w:b/>
          <w:bCs/>
          <w:szCs w:val="21"/>
          <w:lang w:val="en-US" w:eastAsia="zh-CN"/>
        </w:rPr>
        <w:t>2、需要保险车辆情况：</w:t>
      </w:r>
    </w:p>
    <w:p>
      <w:pPr>
        <w:ind w:firstLine="422" w:firstLineChars="200"/>
        <w:rPr>
          <w:rFonts w:hint="default" w:ascii="宋体" w:hAnsi="宋体" w:eastAsia="宋体" w:cs="宋体"/>
          <w:b/>
          <w:bCs/>
          <w:szCs w:val="21"/>
          <w:lang w:val="en-US" w:eastAsia="zh-CN"/>
        </w:rPr>
      </w:pPr>
      <w:r>
        <w:rPr>
          <w:rFonts w:hint="eastAsia" w:ascii="宋体" w:hAnsi="宋体" w:eastAsia="宋体" w:cs="宋体"/>
          <w:b/>
          <w:bCs/>
          <w:szCs w:val="21"/>
          <w:lang w:val="en-US" w:eastAsia="zh-CN"/>
        </w:rPr>
        <w:t>标段1需要保险车辆情况：</w:t>
      </w:r>
    </w:p>
    <w:tbl>
      <w:tblPr>
        <w:tblStyle w:val="29"/>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583"/>
        <w:gridCol w:w="3105"/>
        <w:gridCol w:w="1500"/>
        <w:gridCol w:w="1425"/>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rPr>
            </w:pPr>
            <w:r>
              <w:rPr>
                <w:rFonts w:hint="eastAsia" w:ascii="宋体" w:hAnsi="宋体" w:eastAsia="宋体" w:cs="宋体"/>
                <w:color w:val="auto"/>
                <w:sz w:val="18"/>
                <w:szCs w:val="18"/>
                <w:highlight w:val="none"/>
                <w:u w:val="none"/>
              </w:rPr>
              <w:t>序号</w:t>
            </w:r>
          </w:p>
        </w:tc>
        <w:tc>
          <w:tcPr>
            <w:tcW w:w="583" w:type="dxa"/>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标段划分</w:t>
            </w:r>
          </w:p>
        </w:tc>
        <w:tc>
          <w:tcPr>
            <w:tcW w:w="3105" w:type="dxa"/>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rPr>
            </w:pPr>
            <w:r>
              <w:rPr>
                <w:rFonts w:hint="eastAsia" w:ascii="宋体" w:hAnsi="宋体" w:eastAsia="宋体" w:cs="宋体"/>
                <w:color w:val="auto"/>
                <w:kern w:val="0"/>
                <w:sz w:val="18"/>
                <w:szCs w:val="18"/>
                <w:highlight w:val="none"/>
                <w:u w:val="none"/>
                <w:lang w:val="en-US" w:eastAsia="zh-CN"/>
              </w:rPr>
              <w:t>项目单位（需求单位）</w:t>
            </w:r>
          </w:p>
        </w:tc>
        <w:tc>
          <w:tcPr>
            <w:tcW w:w="1500" w:type="dxa"/>
            <w:noWrap w:val="0"/>
            <w:vAlign w:val="center"/>
          </w:tcPr>
          <w:p>
            <w:pPr>
              <w:widowControl/>
              <w:adjustRightInd w:val="0"/>
              <w:snapToGrid w:val="0"/>
              <w:spacing w:line="240" w:lineRule="exact"/>
              <w:jc w:val="center"/>
              <w:rPr>
                <w:rFonts w:hint="default" w:ascii="宋体" w:hAnsi="宋体" w:eastAsia="宋体" w:cs="宋体"/>
                <w:color w:val="auto"/>
                <w:kern w:val="0"/>
                <w:sz w:val="18"/>
                <w:szCs w:val="18"/>
                <w:highlight w:val="none"/>
                <w:u w:val="none"/>
                <w:lang w:val="en-US" w:eastAsia="zh-CN"/>
              </w:rPr>
            </w:pPr>
            <w:r>
              <w:rPr>
                <w:rFonts w:hint="eastAsia" w:ascii="宋体" w:hAnsi="宋体" w:eastAsia="宋体" w:cs="宋体"/>
                <w:color w:val="auto"/>
                <w:kern w:val="0"/>
                <w:sz w:val="18"/>
                <w:szCs w:val="18"/>
                <w:highlight w:val="none"/>
                <w:u w:val="none"/>
                <w:lang w:val="en-US" w:eastAsia="zh-CN"/>
              </w:rPr>
              <w:t>需要保险的车辆数量（暂定）</w:t>
            </w:r>
          </w:p>
        </w:tc>
        <w:tc>
          <w:tcPr>
            <w:tcW w:w="1425" w:type="dxa"/>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lang w:eastAsia="zh-CN"/>
              </w:rPr>
            </w:pPr>
            <w:r>
              <w:rPr>
                <w:rFonts w:hint="eastAsia" w:ascii="宋体" w:hAnsi="宋体" w:eastAsia="宋体" w:cs="宋体"/>
                <w:color w:val="auto"/>
                <w:kern w:val="0"/>
                <w:sz w:val="18"/>
                <w:szCs w:val="18"/>
                <w:highlight w:val="none"/>
                <w:u w:val="none"/>
                <w:lang w:eastAsia="zh-CN"/>
              </w:rPr>
              <w:t>合同签订单位（</w:t>
            </w:r>
            <w:r>
              <w:rPr>
                <w:rFonts w:hint="eastAsia" w:ascii="宋体" w:hAnsi="宋体" w:eastAsia="宋体" w:cs="宋体"/>
                <w:color w:val="auto"/>
                <w:kern w:val="0"/>
                <w:sz w:val="18"/>
                <w:szCs w:val="18"/>
                <w:highlight w:val="none"/>
                <w:u w:val="none"/>
                <w:lang w:val="en-US" w:eastAsia="zh-CN"/>
              </w:rPr>
              <w:t>合同甲方</w:t>
            </w:r>
            <w:r>
              <w:rPr>
                <w:rFonts w:hint="eastAsia" w:ascii="宋体" w:hAnsi="宋体" w:eastAsia="宋体" w:cs="宋体"/>
                <w:color w:val="auto"/>
                <w:kern w:val="0"/>
                <w:sz w:val="18"/>
                <w:szCs w:val="18"/>
                <w:highlight w:val="none"/>
                <w:u w:val="none"/>
                <w:lang w:eastAsia="zh-CN"/>
              </w:rPr>
              <w:t>）</w:t>
            </w:r>
          </w:p>
        </w:tc>
        <w:tc>
          <w:tcPr>
            <w:tcW w:w="1761" w:type="dxa"/>
            <w:noWrap w:val="0"/>
            <w:vAlign w:val="center"/>
          </w:tcPr>
          <w:p>
            <w:pPr>
              <w:widowControl/>
              <w:adjustRightInd w:val="0"/>
              <w:snapToGrid w:val="0"/>
              <w:jc w:val="center"/>
              <w:rPr>
                <w:rFonts w:hint="default" w:ascii="宋体" w:hAnsi="宋体" w:eastAsia="宋体" w:cs="宋体"/>
                <w:color w:val="auto"/>
                <w:kern w:val="0"/>
                <w:sz w:val="18"/>
                <w:szCs w:val="18"/>
                <w:highlight w:val="none"/>
                <w:u w:val="none"/>
                <w:lang w:val="en-US"/>
              </w:rPr>
            </w:pPr>
            <w:r>
              <w:rPr>
                <w:rFonts w:hint="eastAsia" w:ascii="宋体" w:hAnsi="宋体" w:eastAsia="宋体" w:cs="宋体"/>
                <w:color w:val="auto"/>
                <w:kern w:val="0"/>
                <w:sz w:val="18"/>
                <w:szCs w:val="18"/>
                <w:highlight w:val="none"/>
                <w:u w:val="none"/>
                <w:lang w:val="en-US" w:eastAsia="zh-CN"/>
              </w:rPr>
              <w:t>中标人（乙方）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r>
              <w:rPr>
                <w:rFonts w:hint="eastAsia" w:ascii="宋体" w:hAnsi="宋体" w:eastAsia="宋体" w:cs="宋体"/>
                <w:sz w:val="18"/>
                <w:szCs w:val="18"/>
                <w:highlight w:val="none"/>
                <w:u w:val="none"/>
              </w:rPr>
              <w:t>1</w:t>
            </w:r>
          </w:p>
        </w:tc>
        <w:tc>
          <w:tcPr>
            <w:tcW w:w="583" w:type="dxa"/>
            <w:vMerge w:val="restart"/>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r>
              <w:rPr>
                <w:rFonts w:hint="eastAsia" w:ascii="宋体" w:hAnsi="宋体" w:eastAsia="宋体" w:cs="宋体"/>
                <w:sz w:val="18"/>
                <w:szCs w:val="18"/>
                <w:highlight w:val="none"/>
                <w:u w:val="none"/>
                <w:lang w:val="en-US" w:eastAsia="zh-CN"/>
              </w:rPr>
              <w:t>标段1</w:t>
            </w:r>
          </w:p>
        </w:tc>
        <w:tc>
          <w:tcPr>
            <w:tcW w:w="3105"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sz w:val="18"/>
                <w:szCs w:val="18"/>
                <w:highlight w:val="none"/>
                <w:u w:val="none"/>
              </w:rPr>
              <w:t>温州市交通发展集团有限公司本部</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8</w:t>
            </w:r>
          </w:p>
        </w:tc>
        <w:tc>
          <w:tcPr>
            <w:tcW w:w="1425" w:type="dxa"/>
            <w:vMerge w:val="restart"/>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eastAsia="zh-CN"/>
              </w:rPr>
            </w:pPr>
            <w:r>
              <w:rPr>
                <w:rFonts w:hint="eastAsia" w:ascii="宋体" w:hAnsi="宋体" w:eastAsia="宋体" w:cs="宋体"/>
                <w:sz w:val="18"/>
                <w:szCs w:val="18"/>
                <w:highlight w:val="none"/>
                <w:u w:val="none"/>
              </w:rPr>
              <w:t>温州市交通发展集团有限公司</w:t>
            </w:r>
          </w:p>
        </w:tc>
        <w:tc>
          <w:tcPr>
            <w:tcW w:w="1761" w:type="dxa"/>
            <w:vMerge w:val="restart"/>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sz w:val="18"/>
                <w:szCs w:val="18"/>
                <w:highlight w:val="none"/>
                <w:u w:val="none"/>
                <w:lang w:val="en-US" w:eastAsia="zh-CN"/>
              </w:rPr>
              <w:t>2</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3105"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温州诚达交通发展股份有限公司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bidi="ar-SA"/>
              </w:rPr>
            </w:pPr>
            <w:r>
              <w:rPr>
                <w:rFonts w:hint="eastAsia" w:ascii="宋体" w:hAnsi="宋体" w:eastAsia="宋体" w:cs="宋体"/>
                <w:kern w:val="0"/>
                <w:sz w:val="18"/>
                <w:szCs w:val="18"/>
                <w:highlight w:val="none"/>
                <w:u w:val="none"/>
                <w:lang w:val="en-US" w:eastAsia="zh-CN" w:bidi="ar-SA"/>
              </w:rPr>
              <w:t>74</w:t>
            </w:r>
          </w:p>
        </w:tc>
        <w:tc>
          <w:tcPr>
            <w:tcW w:w="1425" w:type="dxa"/>
            <w:vMerge w:val="continue"/>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sz w:val="18"/>
                <w:szCs w:val="18"/>
                <w:highlight w:val="none"/>
                <w:u w:val="none"/>
                <w:lang w:val="en-US" w:eastAsia="zh-CN"/>
              </w:rPr>
              <w:t>3</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3105"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sz w:val="18"/>
                <w:szCs w:val="18"/>
                <w:highlight w:val="none"/>
                <w:u w:val="none"/>
                <w:lang w:eastAsia="zh-CN"/>
              </w:rPr>
              <w:t>温州甬莞高速公路联络线有限公司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bidi="ar-SA"/>
              </w:rPr>
            </w:pPr>
            <w:r>
              <w:rPr>
                <w:rFonts w:hint="eastAsia" w:ascii="宋体" w:hAnsi="宋体" w:eastAsia="宋体" w:cs="宋体"/>
                <w:kern w:val="0"/>
                <w:sz w:val="18"/>
                <w:szCs w:val="18"/>
                <w:highlight w:val="none"/>
                <w:u w:val="none"/>
                <w:lang w:val="en-US" w:eastAsia="zh-CN" w:bidi="ar-SA"/>
              </w:rPr>
              <w:t>64</w:t>
            </w:r>
          </w:p>
        </w:tc>
        <w:tc>
          <w:tcPr>
            <w:tcW w:w="1425" w:type="dxa"/>
            <w:vMerge w:val="continue"/>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default" w:ascii="宋体" w:hAnsi="宋体" w:eastAsia="宋体" w:cs="宋体"/>
                <w:sz w:val="18"/>
                <w:szCs w:val="18"/>
                <w:highlight w:val="none"/>
                <w:u w:val="none"/>
                <w:lang w:val="en-US" w:eastAsia="zh-CN"/>
              </w:rPr>
            </w:pPr>
            <w:r>
              <w:rPr>
                <w:rFonts w:hint="eastAsia" w:ascii="宋体" w:hAnsi="宋体" w:eastAsia="宋体" w:cs="宋体"/>
                <w:sz w:val="18"/>
                <w:szCs w:val="18"/>
                <w:highlight w:val="none"/>
                <w:u w:val="none"/>
                <w:lang w:val="en-US" w:eastAsia="zh-CN"/>
              </w:rPr>
              <w:t>4</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3105"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温州市公路工程有限公司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33</w:t>
            </w:r>
          </w:p>
        </w:tc>
        <w:tc>
          <w:tcPr>
            <w:tcW w:w="1425" w:type="dxa"/>
            <w:vMerge w:val="continue"/>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1" w:type="dxa"/>
            <w:gridSpan w:val="3"/>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r>
              <w:rPr>
                <w:rFonts w:hint="eastAsia" w:ascii="宋体" w:hAnsi="宋体" w:eastAsia="宋体" w:cs="宋体"/>
                <w:sz w:val="18"/>
                <w:szCs w:val="18"/>
                <w:highlight w:val="none"/>
                <w:u w:val="none"/>
                <w:lang w:val="en-US" w:eastAsia="zh-CN"/>
              </w:rPr>
              <w:t>标段1小计</w:t>
            </w:r>
          </w:p>
        </w:tc>
        <w:tc>
          <w:tcPr>
            <w:tcW w:w="1500" w:type="dxa"/>
            <w:noWrap w:val="0"/>
            <w:vAlign w:val="center"/>
          </w:tcPr>
          <w:p>
            <w:pPr>
              <w:widowControl/>
              <w:adjustRightInd w:val="0"/>
              <w:snapToGrid w:val="0"/>
              <w:spacing w:line="240" w:lineRule="exact"/>
              <w:jc w:val="center"/>
              <w:rPr>
                <w:rFonts w:hint="default" w:ascii="宋体" w:hAnsi="宋体" w:eastAsia="宋体" w:cs="宋体"/>
                <w:sz w:val="18"/>
                <w:szCs w:val="18"/>
                <w:highlight w:val="none"/>
                <w:u w:val="none"/>
                <w:lang w:val="en-US" w:eastAsia="zh-CN"/>
              </w:rPr>
            </w:pPr>
            <w:r>
              <w:rPr>
                <w:rFonts w:hint="eastAsia" w:ascii="宋体" w:hAnsi="宋体" w:eastAsia="宋体" w:cs="宋体"/>
                <w:sz w:val="18"/>
                <w:szCs w:val="18"/>
                <w:highlight w:val="none"/>
                <w:u w:val="none"/>
                <w:lang w:val="en-US" w:eastAsia="zh-CN"/>
              </w:rPr>
              <w:t>179</w:t>
            </w:r>
          </w:p>
        </w:tc>
        <w:tc>
          <w:tcPr>
            <w:tcW w:w="1425"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eastAsia="zh-CN"/>
              </w:rPr>
            </w:pPr>
          </w:p>
        </w:tc>
        <w:tc>
          <w:tcPr>
            <w:tcW w:w="1761" w:type="dxa"/>
            <w:vMerge w:val="continue"/>
            <w:noWrap w:val="0"/>
            <w:vAlign w:val="center"/>
          </w:tcPr>
          <w:p>
            <w:pPr>
              <w:widowControl/>
              <w:adjustRightInd w:val="0"/>
              <w:snapToGrid w:val="0"/>
              <w:jc w:val="center"/>
              <w:rPr>
                <w:rFonts w:hint="eastAsia" w:ascii="宋体" w:hAnsi="宋体" w:eastAsia="宋体" w:cs="宋体"/>
                <w:kern w:val="0"/>
                <w:sz w:val="18"/>
                <w:szCs w:val="18"/>
                <w:highlight w:val="none"/>
                <w:u w:val="none"/>
              </w:rPr>
            </w:pPr>
          </w:p>
        </w:tc>
      </w:tr>
    </w:tbl>
    <w:p>
      <w:pPr>
        <w:ind w:firstLine="422" w:firstLineChars="200"/>
        <w:rPr>
          <w:rFonts w:hint="eastAsia" w:ascii="宋体" w:hAnsi="宋体" w:eastAsia="宋体" w:cs="宋体"/>
          <w:b/>
          <w:bCs/>
          <w:szCs w:val="21"/>
          <w:lang w:val="en-US" w:eastAsia="zh-CN"/>
        </w:rPr>
      </w:pPr>
    </w:p>
    <w:p>
      <w:pPr>
        <w:ind w:firstLine="422" w:firstLineChars="200"/>
      </w:pPr>
      <w:r>
        <w:rPr>
          <w:rFonts w:hint="eastAsia" w:ascii="宋体" w:hAnsi="宋体" w:eastAsia="宋体" w:cs="宋体"/>
          <w:b/>
          <w:bCs/>
          <w:szCs w:val="21"/>
          <w:lang w:val="en-US" w:eastAsia="zh-CN"/>
        </w:rPr>
        <w:t>标段2需要保险车辆情况：</w:t>
      </w:r>
    </w:p>
    <w:tbl>
      <w:tblPr>
        <w:tblStyle w:val="29"/>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583"/>
        <w:gridCol w:w="3105"/>
        <w:gridCol w:w="1500"/>
        <w:gridCol w:w="1425"/>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rPr>
            </w:pPr>
            <w:r>
              <w:rPr>
                <w:rFonts w:hint="eastAsia" w:ascii="宋体" w:hAnsi="宋体" w:eastAsia="宋体" w:cs="宋体"/>
                <w:color w:val="auto"/>
                <w:sz w:val="18"/>
                <w:szCs w:val="18"/>
                <w:highlight w:val="none"/>
                <w:u w:val="none"/>
              </w:rPr>
              <w:t>序号</w:t>
            </w:r>
          </w:p>
        </w:tc>
        <w:tc>
          <w:tcPr>
            <w:tcW w:w="583" w:type="dxa"/>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标段划分</w:t>
            </w:r>
          </w:p>
        </w:tc>
        <w:tc>
          <w:tcPr>
            <w:tcW w:w="3105" w:type="dxa"/>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rPr>
            </w:pPr>
            <w:r>
              <w:rPr>
                <w:rFonts w:hint="eastAsia" w:ascii="宋体" w:hAnsi="宋体" w:eastAsia="宋体" w:cs="宋体"/>
                <w:color w:val="auto"/>
                <w:kern w:val="0"/>
                <w:sz w:val="18"/>
                <w:szCs w:val="18"/>
                <w:highlight w:val="none"/>
                <w:u w:val="none"/>
                <w:lang w:val="en-US" w:eastAsia="zh-CN"/>
              </w:rPr>
              <w:t>项目单位（需求单位）</w:t>
            </w:r>
          </w:p>
        </w:tc>
        <w:tc>
          <w:tcPr>
            <w:tcW w:w="1500" w:type="dxa"/>
            <w:noWrap w:val="0"/>
            <w:vAlign w:val="center"/>
          </w:tcPr>
          <w:p>
            <w:pPr>
              <w:widowControl/>
              <w:adjustRightInd w:val="0"/>
              <w:snapToGrid w:val="0"/>
              <w:spacing w:line="240" w:lineRule="exact"/>
              <w:jc w:val="center"/>
              <w:rPr>
                <w:rFonts w:hint="default" w:ascii="宋体" w:hAnsi="宋体" w:eastAsia="宋体" w:cs="宋体"/>
                <w:color w:val="auto"/>
                <w:kern w:val="0"/>
                <w:sz w:val="18"/>
                <w:szCs w:val="18"/>
                <w:highlight w:val="none"/>
                <w:u w:val="none"/>
                <w:lang w:val="en-US" w:eastAsia="zh-CN"/>
              </w:rPr>
            </w:pPr>
            <w:r>
              <w:rPr>
                <w:rFonts w:hint="eastAsia" w:ascii="宋体" w:hAnsi="宋体" w:eastAsia="宋体" w:cs="宋体"/>
                <w:color w:val="auto"/>
                <w:kern w:val="0"/>
                <w:sz w:val="18"/>
                <w:szCs w:val="18"/>
                <w:highlight w:val="none"/>
                <w:u w:val="none"/>
                <w:lang w:val="en-US" w:eastAsia="zh-CN"/>
              </w:rPr>
              <w:t>需要保险的车辆数量（暂定）</w:t>
            </w:r>
          </w:p>
        </w:tc>
        <w:tc>
          <w:tcPr>
            <w:tcW w:w="1425" w:type="dxa"/>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lang w:eastAsia="zh-CN"/>
              </w:rPr>
            </w:pPr>
            <w:r>
              <w:rPr>
                <w:rFonts w:hint="eastAsia" w:ascii="宋体" w:hAnsi="宋体" w:eastAsia="宋体" w:cs="宋体"/>
                <w:color w:val="auto"/>
                <w:kern w:val="0"/>
                <w:sz w:val="18"/>
                <w:szCs w:val="18"/>
                <w:highlight w:val="none"/>
                <w:u w:val="none"/>
                <w:lang w:eastAsia="zh-CN"/>
              </w:rPr>
              <w:t>合同签订单位（</w:t>
            </w:r>
            <w:r>
              <w:rPr>
                <w:rFonts w:hint="eastAsia" w:ascii="宋体" w:hAnsi="宋体" w:eastAsia="宋体" w:cs="宋体"/>
                <w:color w:val="auto"/>
                <w:kern w:val="0"/>
                <w:sz w:val="18"/>
                <w:szCs w:val="18"/>
                <w:highlight w:val="none"/>
                <w:u w:val="none"/>
                <w:lang w:val="en-US" w:eastAsia="zh-CN"/>
              </w:rPr>
              <w:t>合同甲方</w:t>
            </w:r>
            <w:r>
              <w:rPr>
                <w:rFonts w:hint="eastAsia" w:ascii="宋体" w:hAnsi="宋体" w:eastAsia="宋体" w:cs="宋体"/>
                <w:color w:val="auto"/>
                <w:kern w:val="0"/>
                <w:sz w:val="18"/>
                <w:szCs w:val="18"/>
                <w:highlight w:val="none"/>
                <w:u w:val="none"/>
                <w:lang w:eastAsia="zh-CN"/>
              </w:rPr>
              <w:t>）</w:t>
            </w:r>
          </w:p>
        </w:tc>
        <w:tc>
          <w:tcPr>
            <w:tcW w:w="1761" w:type="dxa"/>
            <w:noWrap w:val="0"/>
            <w:vAlign w:val="center"/>
          </w:tcPr>
          <w:p>
            <w:pPr>
              <w:widowControl/>
              <w:adjustRightInd w:val="0"/>
              <w:snapToGrid w:val="0"/>
              <w:jc w:val="center"/>
              <w:rPr>
                <w:rFonts w:hint="default" w:ascii="宋体" w:hAnsi="宋体" w:eastAsia="宋体" w:cs="宋体"/>
                <w:color w:val="auto"/>
                <w:kern w:val="0"/>
                <w:sz w:val="18"/>
                <w:szCs w:val="18"/>
                <w:highlight w:val="none"/>
                <w:u w:val="none"/>
                <w:lang w:val="en-US"/>
              </w:rPr>
            </w:pPr>
            <w:r>
              <w:rPr>
                <w:rFonts w:hint="eastAsia" w:ascii="宋体" w:hAnsi="宋体" w:eastAsia="宋体" w:cs="宋体"/>
                <w:color w:val="auto"/>
                <w:kern w:val="0"/>
                <w:sz w:val="18"/>
                <w:szCs w:val="18"/>
                <w:highlight w:val="none"/>
                <w:u w:val="none"/>
                <w:lang w:val="en-US" w:eastAsia="zh-CN"/>
              </w:rPr>
              <w:t>中标人（乙方）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w:t>
            </w:r>
          </w:p>
        </w:tc>
        <w:tc>
          <w:tcPr>
            <w:tcW w:w="583" w:type="dxa"/>
            <w:vMerge w:val="restart"/>
            <w:noWrap w:val="0"/>
            <w:vAlign w:val="center"/>
          </w:tcPr>
          <w:p>
            <w:pPr>
              <w:widowControl/>
              <w:adjustRightInd w:val="0"/>
              <w:snapToGrid w:val="0"/>
              <w:spacing w:line="240" w:lineRule="exact"/>
              <w:jc w:val="center"/>
              <w:rPr>
                <w:rFonts w:hint="default" w:ascii="宋体" w:hAnsi="宋体" w:eastAsia="宋体" w:cs="宋体"/>
                <w:sz w:val="18"/>
                <w:szCs w:val="18"/>
                <w:highlight w:val="none"/>
                <w:u w:val="none"/>
                <w:lang w:val="en-US" w:eastAsia="zh-CN"/>
              </w:rPr>
            </w:pPr>
            <w:r>
              <w:rPr>
                <w:rFonts w:hint="eastAsia" w:ascii="宋体" w:hAnsi="宋体" w:eastAsia="宋体" w:cs="宋体"/>
                <w:sz w:val="18"/>
                <w:szCs w:val="18"/>
                <w:highlight w:val="none"/>
                <w:u w:val="none"/>
                <w:lang w:val="en-US" w:eastAsia="zh-CN"/>
              </w:rPr>
              <w:t>标段2</w:t>
            </w:r>
          </w:p>
        </w:tc>
        <w:tc>
          <w:tcPr>
            <w:tcW w:w="3105"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bidi="ar-SA"/>
              </w:rPr>
            </w:pPr>
            <w:r>
              <w:rPr>
                <w:rFonts w:hint="eastAsia" w:ascii="宋体" w:hAnsi="宋体" w:eastAsia="宋体" w:cs="宋体"/>
                <w:kern w:val="0"/>
                <w:sz w:val="18"/>
                <w:szCs w:val="18"/>
                <w:highlight w:val="none"/>
                <w:u w:val="none"/>
                <w:lang w:val="en-US" w:eastAsia="zh-CN" w:bidi="ar-SA"/>
              </w:rPr>
              <w:t>温州苍泰高速公路有限公司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25</w:t>
            </w:r>
          </w:p>
        </w:tc>
        <w:tc>
          <w:tcPr>
            <w:tcW w:w="1425" w:type="dxa"/>
            <w:vMerge w:val="restart"/>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r>
              <w:rPr>
                <w:rFonts w:hint="eastAsia" w:ascii="宋体" w:hAnsi="宋体" w:eastAsia="宋体" w:cs="宋体"/>
                <w:sz w:val="18"/>
                <w:szCs w:val="18"/>
                <w:highlight w:val="none"/>
                <w:u w:val="none"/>
              </w:rPr>
              <w:t>温州市交通发展集团有限公司</w:t>
            </w:r>
          </w:p>
        </w:tc>
        <w:tc>
          <w:tcPr>
            <w:tcW w:w="1761" w:type="dxa"/>
            <w:vMerge w:val="restart"/>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bookmarkStart w:id="237" w:name="_GoBack"/>
            <w:bookmarkEnd w:id="2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2</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温州大小门岛投资开发有限公司</w:t>
            </w:r>
          </w:p>
        </w:tc>
        <w:tc>
          <w:tcPr>
            <w:tcW w:w="1500"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w:t>
            </w:r>
          </w:p>
        </w:tc>
        <w:tc>
          <w:tcPr>
            <w:tcW w:w="1425"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3</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温州房地产开发股份有限公司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10</w:t>
            </w:r>
          </w:p>
        </w:tc>
        <w:tc>
          <w:tcPr>
            <w:tcW w:w="1425" w:type="dxa"/>
            <w:vMerge w:val="continue"/>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4</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shd w:val="clear" w:color="auto" w:fill="auto"/>
            <w:noWrap w:val="0"/>
            <w:vAlign w:val="center"/>
          </w:tcPr>
          <w:p>
            <w:pPr>
              <w:widowControl/>
              <w:tabs>
                <w:tab w:val="right" w:pos="2015"/>
              </w:tabs>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温州市交通规划设计研究院有限公司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8</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5</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default" w:ascii="宋体" w:hAnsi="宋体" w:eastAsia="宋体" w:cs="宋体"/>
                <w:kern w:val="2"/>
                <w:sz w:val="18"/>
                <w:szCs w:val="18"/>
                <w:highlight w:val="none"/>
                <w:u w:val="none"/>
                <w:lang w:val="en-US" w:eastAsia="zh-CN" w:bidi="ar-SA"/>
              </w:rPr>
              <w:t>温州金丽温高速公路东延线有限公司（温州</w:t>
            </w:r>
            <w:r>
              <w:rPr>
                <w:rFonts w:hint="eastAsia" w:ascii="宋体" w:hAnsi="宋体" w:eastAsia="宋体" w:cs="宋体"/>
                <w:kern w:val="2"/>
                <w:sz w:val="18"/>
                <w:szCs w:val="18"/>
                <w:highlight w:val="none"/>
                <w:u w:val="none"/>
                <w:lang w:val="en-US" w:eastAsia="zh-CN" w:bidi="ar-SA"/>
              </w:rPr>
              <w:t>交发沈海</w:t>
            </w:r>
            <w:r>
              <w:rPr>
                <w:rFonts w:hint="default" w:ascii="宋体" w:hAnsi="宋体" w:eastAsia="宋体" w:cs="宋体"/>
                <w:kern w:val="2"/>
                <w:sz w:val="18"/>
                <w:szCs w:val="18"/>
                <w:highlight w:val="none"/>
                <w:u w:val="none"/>
                <w:lang w:val="en-US" w:eastAsia="zh-CN" w:bidi="ar-SA"/>
              </w:rPr>
              <w:t>高速公路有限公司、温州交发大桥有限公司）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20</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6</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0"/>
                <w:sz w:val="18"/>
                <w:szCs w:val="18"/>
                <w:highlight w:val="none"/>
                <w:u w:val="none"/>
                <w:lang w:val="en-US" w:eastAsia="zh-CN" w:bidi="ar-SA"/>
              </w:rPr>
            </w:pPr>
            <w:r>
              <w:rPr>
                <w:rFonts w:hint="eastAsia" w:ascii="宋体" w:hAnsi="宋体" w:eastAsia="宋体" w:cs="宋体"/>
                <w:kern w:val="0"/>
                <w:sz w:val="18"/>
                <w:szCs w:val="18"/>
                <w:highlight w:val="none"/>
                <w:u w:val="none"/>
                <w:lang w:val="en-US" w:eastAsia="zh-CN" w:bidi="ar-SA"/>
              </w:rPr>
              <w:t>温州市高速公路资产经营有限公司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12</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7</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0"/>
                <w:sz w:val="18"/>
                <w:szCs w:val="18"/>
                <w:highlight w:val="none"/>
                <w:u w:val="none"/>
                <w:lang w:val="en-US" w:eastAsia="zh-CN" w:bidi="ar-SA"/>
              </w:rPr>
            </w:pPr>
            <w:r>
              <w:rPr>
                <w:rFonts w:hint="eastAsia" w:ascii="宋体" w:hAnsi="宋体" w:eastAsia="宋体" w:cs="宋体"/>
                <w:kern w:val="0"/>
                <w:sz w:val="18"/>
                <w:szCs w:val="18"/>
                <w:highlight w:val="none"/>
                <w:u w:val="none"/>
                <w:lang w:val="en-US" w:eastAsia="zh-CN" w:bidi="ar-SA"/>
              </w:rPr>
              <w:t>温州市自然资源开发投资有限公司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2</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8</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bidi="ar-SA"/>
              </w:rPr>
            </w:pPr>
            <w:r>
              <w:rPr>
                <w:rFonts w:hint="default" w:ascii="宋体" w:hAnsi="宋体" w:eastAsia="宋体" w:cs="宋体"/>
                <w:kern w:val="0"/>
                <w:sz w:val="18"/>
                <w:szCs w:val="18"/>
                <w:highlight w:val="none"/>
                <w:u w:val="none"/>
                <w:lang w:val="en-US" w:eastAsia="zh-CN" w:bidi="ar-SA"/>
              </w:rPr>
              <w:t>温州市高速公路运营管理有限公司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63</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9</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bidi="ar-SA"/>
              </w:rPr>
            </w:pPr>
            <w:r>
              <w:rPr>
                <w:rFonts w:hint="default" w:ascii="宋体" w:hAnsi="宋体" w:eastAsia="宋体" w:cs="宋体"/>
                <w:kern w:val="0"/>
                <w:sz w:val="18"/>
                <w:szCs w:val="18"/>
                <w:highlight w:val="none"/>
                <w:u w:val="none"/>
                <w:lang w:val="en-US" w:eastAsia="zh-CN" w:bidi="ar-SA"/>
              </w:rPr>
              <w:t>温州文青高速公路有限公司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3</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10</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bidi="ar-SA"/>
              </w:rPr>
            </w:pPr>
            <w:r>
              <w:rPr>
                <w:rFonts w:hint="default" w:ascii="宋体" w:hAnsi="宋体" w:eastAsia="宋体" w:cs="宋体"/>
                <w:kern w:val="0"/>
                <w:sz w:val="18"/>
                <w:szCs w:val="18"/>
                <w:highlight w:val="none"/>
                <w:u w:val="none"/>
              </w:rPr>
              <w:t>浙江瓯越交建科技股份有限公司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11</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1" w:type="dxa"/>
            <w:gridSpan w:val="3"/>
            <w:noWrap w:val="0"/>
            <w:vAlign w:val="center"/>
          </w:tcPr>
          <w:p>
            <w:pPr>
              <w:widowControl/>
              <w:adjustRightInd w:val="0"/>
              <w:snapToGrid w:val="0"/>
              <w:spacing w:line="240" w:lineRule="exact"/>
              <w:jc w:val="center"/>
              <w:rPr>
                <w:rFonts w:hint="eastAsia" w:ascii="宋体" w:hAnsi="宋体" w:eastAsia="宋体" w:cs="宋体"/>
                <w:color w:val="auto"/>
                <w:kern w:val="0"/>
                <w:sz w:val="18"/>
                <w:szCs w:val="18"/>
                <w:highlight w:val="none"/>
                <w:u w:val="none"/>
                <w:lang w:val="en-US" w:eastAsia="zh-CN"/>
              </w:rPr>
            </w:pPr>
            <w:r>
              <w:rPr>
                <w:rFonts w:hint="eastAsia" w:ascii="宋体" w:hAnsi="宋体" w:eastAsia="宋体" w:cs="宋体"/>
                <w:color w:val="auto"/>
                <w:kern w:val="0"/>
                <w:sz w:val="18"/>
                <w:szCs w:val="18"/>
                <w:highlight w:val="none"/>
                <w:u w:val="none"/>
                <w:lang w:val="en-US" w:eastAsia="zh-CN"/>
              </w:rPr>
              <w:t>标段2小计</w:t>
            </w:r>
          </w:p>
        </w:tc>
        <w:tc>
          <w:tcPr>
            <w:tcW w:w="1500" w:type="dxa"/>
            <w:noWrap w:val="0"/>
            <w:vAlign w:val="center"/>
          </w:tcPr>
          <w:p>
            <w:pPr>
              <w:widowControl/>
              <w:adjustRightInd w:val="0"/>
              <w:snapToGrid w:val="0"/>
              <w:spacing w:line="240" w:lineRule="exact"/>
              <w:jc w:val="center"/>
              <w:rPr>
                <w:rFonts w:hint="default" w:ascii="宋体" w:hAnsi="宋体" w:eastAsia="宋体" w:cs="宋体"/>
                <w:color w:val="auto"/>
                <w:kern w:val="0"/>
                <w:sz w:val="18"/>
                <w:szCs w:val="18"/>
                <w:highlight w:val="none"/>
                <w:u w:val="none"/>
                <w:lang w:val="en-US" w:eastAsia="zh-CN"/>
              </w:rPr>
            </w:pPr>
            <w:r>
              <w:rPr>
                <w:rFonts w:hint="eastAsia" w:ascii="宋体" w:hAnsi="宋体" w:eastAsia="宋体" w:cs="宋体"/>
                <w:color w:val="auto"/>
                <w:kern w:val="0"/>
                <w:sz w:val="18"/>
                <w:szCs w:val="18"/>
                <w:highlight w:val="none"/>
                <w:u w:val="none"/>
                <w:lang w:val="en-US" w:eastAsia="zh-CN"/>
              </w:rPr>
              <w:t>155</w:t>
            </w:r>
          </w:p>
        </w:tc>
        <w:tc>
          <w:tcPr>
            <w:tcW w:w="1425" w:type="dxa"/>
            <w:vMerge w:val="continue"/>
            <w:noWrap w:val="0"/>
            <w:vAlign w:val="center"/>
          </w:tcPr>
          <w:p>
            <w:pPr>
              <w:widowControl/>
              <w:adjustRightInd w:val="0"/>
              <w:snapToGrid w:val="0"/>
              <w:spacing w:line="240" w:lineRule="exact"/>
              <w:jc w:val="center"/>
              <w:rPr>
                <w:rFonts w:hint="eastAsia" w:ascii="宋体" w:hAnsi="宋体" w:eastAsia="宋体" w:cs="宋体"/>
                <w:color w:val="auto"/>
                <w:kern w:val="0"/>
                <w:sz w:val="18"/>
                <w:szCs w:val="18"/>
                <w:highlight w:val="none"/>
                <w:u w:val="none"/>
                <w:lang w:eastAsia="zh-CN"/>
              </w:rPr>
            </w:pPr>
          </w:p>
        </w:tc>
        <w:tc>
          <w:tcPr>
            <w:tcW w:w="1761" w:type="dxa"/>
            <w:vMerge w:val="continue"/>
            <w:noWrap w:val="0"/>
            <w:vAlign w:val="center"/>
          </w:tcPr>
          <w:p>
            <w:pPr>
              <w:widowControl/>
              <w:adjustRightInd w:val="0"/>
              <w:snapToGrid w:val="0"/>
              <w:jc w:val="center"/>
              <w:rPr>
                <w:rFonts w:hint="eastAsia" w:ascii="宋体" w:hAnsi="宋体" w:eastAsia="宋体" w:cs="宋体"/>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1" w:type="dxa"/>
            <w:gridSpan w:val="3"/>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标段1+标段2合计</w:t>
            </w:r>
          </w:p>
        </w:tc>
        <w:tc>
          <w:tcPr>
            <w:tcW w:w="1500" w:type="dxa"/>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rPr>
            </w:pPr>
          </w:p>
        </w:tc>
        <w:tc>
          <w:tcPr>
            <w:tcW w:w="1425" w:type="dxa"/>
            <w:vMerge w:val="continue"/>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noWrap w:val="0"/>
            <w:vAlign w:val="center"/>
          </w:tcPr>
          <w:p>
            <w:pPr>
              <w:widowControl/>
              <w:adjustRightInd w:val="0"/>
              <w:snapToGrid w:val="0"/>
              <w:jc w:val="center"/>
              <w:rPr>
                <w:rFonts w:hint="eastAsia" w:ascii="宋体" w:hAnsi="宋体" w:eastAsia="宋体" w:cs="宋体"/>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7" w:type="dxa"/>
            <w:gridSpan w:val="6"/>
            <w:noWrap w:val="0"/>
            <w:vAlign w:val="center"/>
          </w:tcPr>
          <w:p>
            <w:pPr>
              <w:widowControl/>
              <w:adjustRightInd w:val="0"/>
              <w:snapToGrid w:val="0"/>
              <w:ind w:firstLine="361" w:firstLineChars="200"/>
              <w:jc w:val="both"/>
              <w:rPr>
                <w:rFonts w:hint="eastAsia" w:ascii="宋体" w:hAnsi="宋体" w:eastAsia="宋体" w:cs="宋体"/>
                <w:kern w:val="0"/>
                <w:sz w:val="18"/>
                <w:szCs w:val="18"/>
                <w:highlight w:val="none"/>
                <w:u w:val="none"/>
              </w:rPr>
            </w:pPr>
            <w:r>
              <w:rPr>
                <w:rFonts w:hint="eastAsia" w:ascii="宋体" w:hAnsi="宋体" w:eastAsia="宋体" w:cs="宋体"/>
                <w:b/>
                <w:bCs/>
                <w:sz w:val="18"/>
                <w:szCs w:val="18"/>
              </w:rPr>
              <w:t>注：</w:t>
            </w:r>
            <w:r>
              <w:rPr>
                <w:rFonts w:hint="eastAsia" w:ascii="宋体" w:hAnsi="宋体" w:eastAsia="宋体" w:cs="宋体"/>
                <w:b/>
                <w:bCs/>
                <w:sz w:val="18"/>
                <w:szCs w:val="18"/>
                <w:lang w:val="en-US" w:eastAsia="zh-CN"/>
              </w:rPr>
              <w:t>提供的</w:t>
            </w:r>
            <w:r>
              <w:rPr>
                <w:rFonts w:hint="eastAsia" w:ascii="宋体" w:hAnsi="宋体" w:eastAsia="宋体" w:cs="宋体"/>
                <w:b/>
                <w:bCs/>
                <w:sz w:val="18"/>
                <w:szCs w:val="18"/>
              </w:rPr>
              <w:t>车辆信息如与实际车辆信息有出入，以实际车辆信息为准，实际保险中车辆数量可能存在有报废或者增加其他车辆的变化，所以最终数量以实际的数量为准，且中标结果不允许变化（</w:t>
            </w:r>
            <w:r>
              <w:rPr>
                <w:rFonts w:hint="eastAsia" w:ascii="宋体" w:hAnsi="宋体" w:eastAsia="宋体" w:cs="宋体"/>
                <w:b/>
                <w:bCs/>
                <w:color w:val="000000"/>
                <w:sz w:val="18"/>
                <w:szCs w:val="18"/>
                <w:u w:val="single"/>
              </w:rPr>
              <w:t>遇国家保险行业监管规定及条款费率调整执行</w:t>
            </w:r>
            <w:r>
              <w:rPr>
                <w:rFonts w:hint="eastAsia" w:ascii="宋体" w:hAnsi="宋体" w:eastAsia="宋体" w:cs="宋体"/>
                <w:b/>
                <w:bCs/>
                <w:sz w:val="18"/>
                <w:szCs w:val="18"/>
                <w:u w:val="single"/>
              </w:rPr>
              <w:t>新标准的除外</w:t>
            </w:r>
            <w:r>
              <w:rPr>
                <w:rFonts w:hint="eastAsia" w:ascii="宋体" w:hAnsi="宋体" w:eastAsia="宋体" w:cs="宋体"/>
                <w:b/>
                <w:bCs/>
                <w:sz w:val="18"/>
                <w:szCs w:val="18"/>
              </w:rPr>
              <w:t>）</w:t>
            </w:r>
            <w:r>
              <w:rPr>
                <w:rFonts w:hint="eastAsia" w:ascii="宋体" w:hAnsi="宋体" w:eastAsia="宋体" w:cs="宋体"/>
                <w:b/>
                <w:bCs/>
                <w:sz w:val="18"/>
                <w:szCs w:val="18"/>
                <w:lang w:eastAsia="zh-CN"/>
              </w:rPr>
              <w:t>。</w:t>
            </w:r>
          </w:p>
        </w:tc>
      </w:tr>
    </w:tbl>
    <w:p>
      <w:pPr>
        <w:ind w:firstLine="420" w:firstLineChars="200"/>
        <w:rPr>
          <w:rFonts w:hint="eastAsia" w:ascii="宋体" w:hAnsi="宋体" w:eastAsia="宋体" w:cs="宋体"/>
          <w:szCs w:val="21"/>
          <w:highlight w:val="none"/>
          <w:lang w:val="en-US" w:eastAsia="zh-CN"/>
        </w:rPr>
      </w:pPr>
    </w:p>
    <w:p>
      <w:pPr>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3、车辆保险（商业险部分）自主定价系数</w:t>
      </w:r>
    </w:p>
    <w:p>
      <w:pPr>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标段1车辆保险（商业险部分）自主定价系数</w:t>
      </w:r>
    </w:p>
    <w:tbl>
      <w:tblPr>
        <w:tblStyle w:val="2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423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2921"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w:t>
            </w:r>
          </w:p>
        </w:tc>
        <w:tc>
          <w:tcPr>
            <w:tcW w:w="423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val="0"/>
                <w:color w:val="auto"/>
                <w:sz w:val="22"/>
                <w:szCs w:val="22"/>
                <w:highlight w:val="none"/>
                <w:vertAlign w:val="baseline"/>
                <w:lang w:val="en-US" w:eastAsia="zh-CN"/>
              </w:rPr>
              <w:t>（标段1中标人）</w:t>
            </w:r>
            <w:r>
              <w:rPr>
                <w:rFonts w:hint="eastAsia" w:ascii="宋体" w:hAnsi="宋体" w:eastAsia="宋体" w:cs="宋体"/>
                <w:b/>
                <w:bCs/>
                <w:color w:val="auto"/>
                <w:sz w:val="22"/>
                <w:szCs w:val="22"/>
                <w:highlight w:val="none"/>
                <w:lang w:val="en-US" w:eastAsia="zh-CN"/>
              </w:rPr>
              <w:t>自主定价系数</w:t>
            </w:r>
          </w:p>
        </w:tc>
        <w:tc>
          <w:tcPr>
            <w:tcW w:w="1842"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A：连续3年没有发生赔款：</w:t>
            </w:r>
          </w:p>
        </w:tc>
        <w:tc>
          <w:tcPr>
            <w:tcW w:w="423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4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B：连续2年没有发生赔款：</w:t>
            </w:r>
          </w:p>
        </w:tc>
        <w:tc>
          <w:tcPr>
            <w:tcW w:w="423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4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C：上年没有发生赔款：</w:t>
            </w:r>
          </w:p>
        </w:tc>
        <w:tc>
          <w:tcPr>
            <w:tcW w:w="423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4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D：新保或上年发生1次赔款：</w:t>
            </w:r>
          </w:p>
        </w:tc>
        <w:tc>
          <w:tcPr>
            <w:tcW w:w="423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4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E：上年发生2次赔款：</w:t>
            </w:r>
          </w:p>
        </w:tc>
        <w:tc>
          <w:tcPr>
            <w:tcW w:w="423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4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F：上年发生3次赔款：</w:t>
            </w:r>
          </w:p>
        </w:tc>
        <w:tc>
          <w:tcPr>
            <w:tcW w:w="423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4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G：上年发生4次赔款：</w:t>
            </w:r>
          </w:p>
        </w:tc>
        <w:tc>
          <w:tcPr>
            <w:tcW w:w="423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4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H：上年发生5次及以上赔款：</w:t>
            </w:r>
          </w:p>
        </w:tc>
        <w:tc>
          <w:tcPr>
            <w:tcW w:w="423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4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pPr>
        <w:ind w:firstLine="422" w:firstLineChars="200"/>
        <w:rPr>
          <w:rFonts w:hint="eastAsia" w:ascii="宋体" w:hAnsi="宋体" w:eastAsia="宋体" w:cs="宋体"/>
          <w:b/>
          <w:bCs/>
          <w:szCs w:val="21"/>
          <w:highlight w:val="none"/>
          <w:lang w:val="en-US" w:eastAsia="zh-CN"/>
        </w:rPr>
      </w:pPr>
    </w:p>
    <w:p>
      <w:pPr>
        <w:ind w:firstLine="422" w:firstLineChars="200"/>
        <w:rPr>
          <w:rFonts w:hint="eastAsia" w:ascii="宋体" w:hAnsi="宋体" w:eastAsia="宋体" w:cs="宋体"/>
          <w:b/>
          <w:bCs/>
          <w:szCs w:val="21"/>
          <w:highlight w:val="none"/>
          <w:lang w:val="en-US" w:eastAsia="zh-CN"/>
        </w:rPr>
      </w:pPr>
    </w:p>
    <w:p>
      <w:pPr>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2.4标段2车辆保险（商业险部分）自主定价系数</w:t>
      </w:r>
    </w:p>
    <w:tbl>
      <w:tblPr>
        <w:tblStyle w:val="2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4245"/>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2921"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w:t>
            </w:r>
          </w:p>
        </w:tc>
        <w:tc>
          <w:tcPr>
            <w:tcW w:w="424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val="0"/>
                <w:color w:val="auto"/>
                <w:sz w:val="22"/>
                <w:szCs w:val="22"/>
                <w:highlight w:val="none"/>
                <w:vertAlign w:val="baseline"/>
                <w:lang w:val="en-US" w:eastAsia="zh-CN"/>
              </w:rPr>
              <w:t>（标段2中标人）</w:t>
            </w:r>
            <w:r>
              <w:rPr>
                <w:rFonts w:hint="eastAsia" w:ascii="宋体" w:hAnsi="宋体" w:eastAsia="宋体" w:cs="宋体"/>
                <w:b/>
                <w:bCs/>
                <w:color w:val="auto"/>
                <w:sz w:val="22"/>
                <w:szCs w:val="22"/>
                <w:highlight w:val="none"/>
                <w:lang w:val="en-US" w:eastAsia="zh-CN"/>
              </w:rPr>
              <w:t>自主定价系数</w:t>
            </w:r>
          </w:p>
        </w:tc>
        <w:tc>
          <w:tcPr>
            <w:tcW w:w="1829"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A：连续3年没有发生赔款：</w:t>
            </w:r>
          </w:p>
        </w:tc>
        <w:tc>
          <w:tcPr>
            <w:tcW w:w="424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2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B：连续2年没有发生赔款：</w:t>
            </w:r>
          </w:p>
        </w:tc>
        <w:tc>
          <w:tcPr>
            <w:tcW w:w="424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2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C：上年没有发生赔款：</w:t>
            </w:r>
          </w:p>
        </w:tc>
        <w:tc>
          <w:tcPr>
            <w:tcW w:w="424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2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D：新保或上年发生1次赔款：</w:t>
            </w:r>
          </w:p>
        </w:tc>
        <w:tc>
          <w:tcPr>
            <w:tcW w:w="424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2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E：上年发生2次赔款：</w:t>
            </w:r>
          </w:p>
        </w:tc>
        <w:tc>
          <w:tcPr>
            <w:tcW w:w="424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2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F：上年发生3次赔款：</w:t>
            </w:r>
          </w:p>
        </w:tc>
        <w:tc>
          <w:tcPr>
            <w:tcW w:w="424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2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G：上年发生4次赔款：</w:t>
            </w:r>
          </w:p>
        </w:tc>
        <w:tc>
          <w:tcPr>
            <w:tcW w:w="424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2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921"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H：上年发生5次及以上赔款：</w:t>
            </w:r>
          </w:p>
        </w:tc>
        <w:tc>
          <w:tcPr>
            <w:tcW w:w="424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82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pPr>
        <w:ind w:firstLine="422" w:firstLineChars="200"/>
        <w:rPr>
          <w:rFonts w:hint="eastAsia" w:ascii="宋体" w:hAnsi="宋体" w:eastAsia="宋体" w:cs="宋体"/>
          <w:b/>
          <w:bCs/>
          <w:szCs w:val="21"/>
        </w:rPr>
      </w:pPr>
    </w:p>
    <w:p>
      <w:pPr>
        <w:bidi w:val="0"/>
        <w:ind w:firstLine="422" w:firstLineChars="200"/>
        <w:rPr>
          <w:rFonts w:hint="eastAsia" w:ascii="宋体" w:hAnsi="宋体" w:eastAsia="宋体" w:cs="宋体"/>
          <w:b/>
          <w:bCs/>
        </w:rPr>
      </w:pPr>
      <w:r>
        <w:rPr>
          <w:rFonts w:hint="eastAsia" w:ascii="宋体" w:hAnsi="宋体" w:eastAsia="宋体" w:cs="宋体"/>
          <w:b/>
          <w:bCs/>
          <w:lang w:val="en-US" w:eastAsia="zh-CN"/>
        </w:rPr>
        <w:t>4、</w:t>
      </w:r>
      <w:r>
        <w:rPr>
          <w:rFonts w:hint="eastAsia" w:ascii="宋体" w:hAnsi="宋体" w:eastAsia="宋体" w:cs="宋体"/>
          <w:b/>
          <w:bCs/>
        </w:rPr>
        <w:t>投保</w:t>
      </w:r>
      <w:r>
        <w:rPr>
          <w:rFonts w:hint="eastAsia" w:ascii="宋体" w:hAnsi="宋体" w:eastAsia="宋体" w:cs="宋体"/>
          <w:b/>
          <w:bCs/>
          <w:lang w:val="en-US" w:eastAsia="zh-CN"/>
        </w:rPr>
        <w:t>基本</w:t>
      </w:r>
      <w:r>
        <w:rPr>
          <w:rFonts w:hint="eastAsia" w:ascii="宋体" w:hAnsi="宋体" w:eastAsia="宋体" w:cs="宋体"/>
          <w:b/>
          <w:bCs/>
        </w:rPr>
        <w:t>险种</w:t>
      </w:r>
    </w:p>
    <w:p>
      <w:pPr>
        <w:bidi w:val="0"/>
        <w:spacing w:line="24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（1）交强险</w:t>
      </w:r>
    </w:p>
    <w:p>
      <w:pPr>
        <w:bidi w:val="0"/>
        <w:spacing w:line="24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（2）车辆损失险（含自燃、单独玻璃破碎、无法找到第三方、不计免赔等中国保险行业协会机动车商业保险示范条款(2020最新版)规定的内容）</w:t>
      </w:r>
    </w:p>
    <w:p>
      <w:pPr>
        <w:bidi w:val="0"/>
        <w:spacing w:line="24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（3）第三者责任险（200万）</w:t>
      </w:r>
    </w:p>
    <w:p>
      <w:pPr>
        <w:bidi w:val="0"/>
        <w:spacing w:line="24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（4）车上人员责任险（司机、乘客）（3万/座）</w:t>
      </w:r>
    </w:p>
    <w:p>
      <w:pPr>
        <w:bidi w:val="0"/>
        <w:spacing w:line="240" w:lineRule="auto"/>
        <w:ind w:firstLine="440" w:firstLineChars="20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（5）医保外医疗费用责任险（三责）（100000）</w:t>
      </w:r>
    </w:p>
    <w:p>
      <w:pPr>
        <w:bidi w:val="0"/>
        <w:spacing w:line="240" w:lineRule="auto"/>
        <w:ind w:firstLine="442" w:firstLineChars="20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以上为基本险种，实际按各投保单位根据具体需求进行投保（中标</w:t>
      </w:r>
      <w:r>
        <w:rPr>
          <w:rFonts w:hint="eastAsia" w:ascii="宋体" w:hAnsi="宋体" w:eastAsia="宋体" w:cs="宋体"/>
          <w:b/>
          <w:bCs/>
          <w:color w:val="auto"/>
          <w:sz w:val="22"/>
          <w:szCs w:val="22"/>
          <w:highlight w:val="none"/>
          <w:lang w:val="en-US" w:eastAsia="zh-CN"/>
        </w:rPr>
        <w:t>自主定价系数不变</w:t>
      </w:r>
      <w:r>
        <w:rPr>
          <w:rFonts w:hint="eastAsia" w:ascii="宋体" w:hAnsi="宋体" w:eastAsia="宋体" w:cs="宋体"/>
          <w:b/>
          <w:bCs/>
          <w:sz w:val="22"/>
          <w:szCs w:val="22"/>
          <w:lang w:val="en-US" w:eastAsia="zh-CN"/>
        </w:rPr>
        <w:t>）。</w:t>
      </w:r>
    </w:p>
    <w:p>
      <w:pPr>
        <w:ind w:firstLine="442" w:firstLineChars="200"/>
        <w:rPr>
          <w:rFonts w:hint="eastAsia" w:ascii="宋体" w:hAnsi="宋体" w:eastAsia="宋体" w:cs="宋体"/>
          <w:b/>
          <w:bCs/>
          <w:color w:val="auto"/>
          <w:sz w:val="22"/>
          <w:szCs w:val="22"/>
          <w:highlight w:val="none"/>
          <w:lang w:val="en-US" w:eastAsia="zh-CN"/>
        </w:rPr>
      </w:pPr>
    </w:p>
    <w:p>
      <w:pPr>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5、单辆车辆商业险保费计算方法：商业保险费 = 基本保险费 × 无赔款优待系数（保监会审核通过的NCD系数） × 自主定价系数（对应费率折扣值）</w:t>
      </w:r>
    </w:p>
    <w:p>
      <w:pPr>
        <w:ind w:firstLine="442" w:firstLineChars="200"/>
        <w:rPr>
          <w:rFonts w:hint="eastAsia" w:ascii="宋体" w:hAnsi="宋体" w:eastAsia="宋体" w:cs="宋体"/>
          <w:b/>
          <w:bCs/>
          <w:color w:val="auto"/>
          <w:sz w:val="22"/>
          <w:szCs w:val="22"/>
          <w:highlight w:val="none"/>
          <w:lang w:val="en-US" w:eastAsia="zh-CN"/>
        </w:rPr>
      </w:pPr>
    </w:p>
    <w:p>
      <w:pPr>
        <w:ind w:firstLine="442" w:firstLineChars="200"/>
        <w:rPr>
          <w:rFonts w:hint="eastAsia" w:ascii="宋体" w:hAnsi="宋体" w:eastAsia="宋体" w:cs="宋体"/>
          <w:b/>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color w:val="auto"/>
          <w:sz w:val="22"/>
          <w:szCs w:val="22"/>
          <w:highlight w:val="none"/>
          <w:lang w:val="en-US" w:eastAsia="zh-CN"/>
        </w:rPr>
        <w:t>需要保险的车辆数量等情况根据甲方业务需求确定（满足各项目单位需求）。</w:t>
      </w:r>
    </w:p>
    <w:p>
      <w:pPr>
        <w:ind w:firstLine="442" w:firstLineChars="200"/>
        <w:rPr>
          <w:rFonts w:hint="eastAsia" w:ascii="宋体" w:hAnsi="宋体" w:eastAsia="宋体" w:cs="宋体"/>
          <w:b/>
          <w:color w:val="auto"/>
          <w:sz w:val="22"/>
          <w:szCs w:val="22"/>
          <w:highlight w:val="none"/>
          <w:lang w:val="en-US" w:eastAsia="zh-CN"/>
        </w:rPr>
      </w:pPr>
    </w:p>
    <w:p>
      <w:pPr>
        <w:ind w:firstLine="442" w:firstLineChars="200"/>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7、合同款由各项目单位支付。</w:t>
      </w:r>
    </w:p>
    <w:p>
      <w:pPr>
        <w:ind w:firstLine="442" w:firstLineChars="200"/>
        <w:rPr>
          <w:rFonts w:hint="eastAsia" w:ascii="宋体" w:hAnsi="宋体" w:eastAsia="宋体" w:cs="宋体"/>
          <w:b/>
          <w:color w:val="auto"/>
          <w:sz w:val="22"/>
          <w:szCs w:val="22"/>
          <w:highlight w:val="none"/>
          <w:lang w:val="en-US" w:eastAsia="zh-CN"/>
        </w:rPr>
      </w:pPr>
    </w:p>
    <w:p>
      <w:pPr>
        <w:ind w:firstLine="422" w:firstLineChars="200"/>
        <w:rPr>
          <w:rFonts w:hint="eastAsia" w:ascii="宋体" w:hAnsi="宋体" w:eastAsia="宋体" w:cs="宋体"/>
          <w:b/>
          <w:bCs/>
          <w:szCs w:val="21"/>
        </w:rPr>
      </w:pPr>
      <w:r>
        <w:rPr>
          <w:rFonts w:hint="eastAsia" w:ascii="宋体" w:hAnsi="宋体" w:eastAsia="宋体" w:cs="宋体"/>
          <w:b/>
          <w:bCs/>
          <w:szCs w:val="21"/>
        </w:rPr>
        <w:t>第二条、投保手续和保险费计算</w:t>
      </w:r>
    </w:p>
    <w:p>
      <w:pPr>
        <w:ind w:firstLine="420" w:firstLineChars="200"/>
        <w:rPr>
          <w:rFonts w:hint="eastAsia" w:ascii="宋体" w:hAnsi="宋体" w:eastAsia="宋体" w:cs="宋体"/>
          <w:szCs w:val="21"/>
        </w:rPr>
      </w:pPr>
      <w:r>
        <w:rPr>
          <w:rFonts w:hint="eastAsia" w:ascii="宋体" w:hAnsi="宋体" w:eastAsia="宋体" w:cs="宋体"/>
          <w:szCs w:val="21"/>
        </w:rPr>
        <w:t>1、乙方应根据甲方的通知和要求为第三者责任险确定保险险别，并将所承诺的理赔承诺、服务措施已经联系和监督方法等内容用《服务手册》的形式，在上门签订保单同时递交给</w:t>
      </w:r>
      <w:r>
        <w:rPr>
          <w:rFonts w:hint="eastAsia" w:ascii="宋体" w:hAnsi="宋体" w:eastAsia="宋体" w:cs="宋体"/>
          <w:szCs w:val="21"/>
          <w:lang w:val="en-US" w:eastAsia="zh-CN"/>
        </w:rPr>
        <w:t>甲方（投保人）</w:t>
      </w:r>
      <w:r>
        <w:rPr>
          <w:rFonts w:hint="eastAsia" w:ascii="宋体" w:hAnsi="宋体" w:eastAsia="宋体" w:cs="宋体"/>
          <w:szCs w:val="21"/>
        </w:rPr>
        <w:t>。</w:t>
      </w:r>
    </w:p>
    <w:p>
      <w:pPr>
        <w:ind w:firstLine="420" w:firstLineChars="200"/>
        <w:rPr>
          <w:rFonts w:hint="eastAsia" w:ascii="宋体" w:hAnsi="宋体" w:eastAsia="宋体" w:cs="宋体"/>
          <w:szCs w:val="21"/>
        </w:rPr>
      </w:pPr>
      <w:r>
        <w:rPr>
          <w:rFonts w:hint="eastAsia" w:ascii="宋体" w:hAnsi="宋体" w:eastAsia="宋体" w:cs="宋体"/>
          <w:szCs w:val="21"/>
        </w:rPr>
        <w:t>2、承保范围内的所保车辆的使用性质为公务用车。</w:t>
      </w:r>
    </w:p>
    <w:p>
      <w:pPr>
        <w:ind w:firstLine="422" w:firstLineChars="200"/>
        <w:rPr>
          <w:rFonts w:hint="eastAsia" w:ascii="宋体" w:hAnsi="宋体" w:eastAsia="宋体" w:cs="宋体"/>
          <w:b/>
          <w:bCs/>
          <w:szCs w:val="21"/>
        </w:rPr>
      </w:pPr>
    </w:p>
    <w:p>
      <w:pPr>
        <w:ind w:firstLine="422" w:firstLineChars="200"/>
        <w:rPr>
          <w:rFonts w:hint="eastAsia" w:ascii="宋体" w:hAnsi="宋体" w:eastAsia="宋体" w:cs="宋体"/>
          <w:b/>
          <w:bCs/>
          <w:szCs w:val="21"/>
        </w:rPr>
      </w:pPr>
      <w:r>
        <w:rPr>
          <w:rFonts w:hint="eastAsia" w:ascii="宋体" w:hAnsi="宋体" w:eastAsia="宋体" w:cs="宋体"/>
          <w:b/>
          <w:bCs/>
          <w:szCs w:val="21"/>
        </w:rPr>
        <w:t>第三条、服务要求</w:t>
      </w:r>
    </w:p>
    <w:p>
      <w:pPr>
        <w:ind w:firstLine="420" w:firstLineChars="200"/>
        <w:rPr>
          <w:rFonts w:hint="eastAsia" w:ascii="宋体" w:hAnsi="宋体" w:eastAsia="宋体" w:cs="宋体"/>
          <w:szCs w:val="21"/>
          <w:highlight w:val="none"/>
        </w:rPr>
      </w:pPr>
      <w:r>
        <w:rPr>
          <w:rFonts w:hint="eastAsia" w:ascii="宋体" w:hAnsi="宋体" w:eastAsia="宋体" w:cs="宋体"/>
          <w:szCs w:val="21"/>
        </w:rPr>
        <w:t>严格按照采购文件及投标文件中各项服务内容及要求执行。</w:t>
      </w:r>
      <w:r>
        <w:rPr>
          <w:rFonts w:hint="eastAsia" w:ascii="宋体" w:hAnsi="宋体" w:eastAsia="宋体" w:cs="宋体"/>
          <w:szCs w:val="21"/>
          <w:highlight w:val="none"/>
          <w:lang w:val="en-US" w:eastAsia="zh-CN"/>
        </w:rPr>
        <w:t>乙方提供的服务包括不仅限于：</w:t>
      </w:r>
    </w:p>
    <w:p>
      <w:pPr>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（一）承保服务</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针对本项目成立健全的专门服务小组，分管领导亲自负责，分工明确（具体成员名单，包括姓名、职务、职称、工作职责、联系方式等</w:t>
      </w:r>
      <w:r>
        <w:rPr>
          <w:rFonts w:hint="eastAsia" w:ascii="宋体" w:hAnsi="宋体" w:eastAsia="宋体" w:cs="宋体"/>
          <w:szCs w:val="21"/>
          <w:highlight w:val="none"/>
          <w:lang w:val="en-US" w:eastAsia="zh-CN"/>
        </w:rPr>
        <w:t>报甲方备案</w:t>
      </w:r>
      <w:r>
        <w:rPr>
          <w:rFonts w:hint="eastAsia" w:ascii="宋体" w:hAnsi="宋体" w:eastAsia="宋体" w:cs="宋体"/>
          <w:szCs w:val="21"/>
          <w:highlight w:val="none"/>
        </w:rPr>
        <w:t>）</w:t>
      </w:r>
      <w:r>
        <w:rPr>
          <w:rFonts w:hint="eastAsia" w:ascii="宋体" w:hAnsi="宋体" w:eastAsia="宋体" w:cs="宋体"/>
          <w:szCs w:val="21"/>
          <w:highlight w:val="none"/>
          <w:lang w:eastAsia="zh-CN"/>
        </w:rPr>
        <w:t>，</w:t>
      </w:r>
      <w:r>
        <w:rPr>
          <w:rFonts w:hint="eastAsia" w:ascii="宋体" w:hAnsi="宋体" w:eastAsia="宋体" w:cs="宋体"/>
          <w:sz w:val="21"/>
          <w:szCs w:val="21"/>
        </w:rPr>
        <w:t>确定具体承保和服务的定点单位，配备专兼职工作人员，优先办理温州市交发集团及所属各单位的车辆保险</w:t>
      </w:r>
      <w:r>
        <w:rPr>
          <w:rFonts w:hint="eastAsia" w:ascii="宋体" w:hAnsi="宋体" w:eastAsia="宋体" w:cs="宋体"/>
          <w:sz w:val="21"/>
          <w:szCs w:val="21"/>
          <w:lang w:eastAsia="zh-CN"/>
        </w:rPr>
        <w:t>。</w:t>
      </w:r>
    </w:p>
    <w:p>
      <w:pPr>
        <w:ind w:firstLine="420" w:firstLineChars="200"/>
        <w:rPr>
          <w:rFonts w:hint="eastAsia" w:ascii="宋体" w:hAnsi="宋体" w:eastAsia="宋体" w:cs="宋体"/>
          <w:szCs w:val="21"/>
        </w:rPr>
      </w:pPr>
      <w:r>
        <w:rPr>
          <w:rFonts w:hint="eastAsia" w:ascii="宋体" w:hAnsi="宋体" w:eastAsia="宋体" w:cs="宋体"/>
          <w:b w:val="0"/>
          <w:kern w:val="2"/>
          <w:sz w:val="21"/>
          <w:szCs w:val="21"/>
          <w:u w:val="none"/>
          <w:lang w:val="en-US" w:eastAsia="zh-CN"/>
        </w:rPr>
        <w:t>2</w:t>
      </w:r>
      <w:r>
        <w:rPr>
          <w:rFonts w:hint="eastAsia" w:ascii="宋体" w:hAnsi="宋体" w:eastAsia="宋体" w:cs="宋体"/>
          <w:szCs w:val="21"/>
          <w:highlight w:val="none"/>
        </w:rPr>
        <w:t>．</w:t>
      </w:r>
      <w:r>
        <w:rPr>
          <w:rFonts w:hint="eastAsia" w:ascii="宋体" w:hAnsi="宋体" w:eastAsia="宋体" w:cs="宋体"/>
          <w:b w:val="0"/>
          <w:kern w:val="2"/>
          <w:sz w:val="21"/>
          <w:szCs w:val="21"/>
          <w:u w:val="none"/>
          <w:lang w:val="en-US" w:eastAsia="zh-CN"/>
        </w:rPr>
        <w:t>如</w:t>
      </w:r>
      <w:r>
        <w:rPr>
          <w:rFonts w:hint="eastAsia" w:ascii="宋体" w:hAnsi="宋体" w:eastAsia="宋体" w:cs="宋体"/>
          <w:sz w:val="21"/>
          <w:szCs w:val="21"/>
        </w:rPr>
        <w:t>投保单位</w:t>
      </w:r>
      <w:r>
        <w:rPr>
          <w:rFonts w:hint="eastAsia" w:ascii="宋体" w:hAnsi="宋体" w:eastAsia="宋体" w:cs="宋体"/>
          <w:sz w:val="21"/>
          <w:szCs w:val="21"/>
          <w:lang w:eastAsia="zh-CN"/>
        </w:rPr>
        <w:t>（</w:t>
      </w:r>
      <w:r>
        <w:rPr>
          <w:rFonts w:hint="eastAsia" w:ascii="宋体" w:hAnsi="宋体" w:eastAsia="宋体" w:cs="宋体"/>
          <w:b w:val="0"/>
          <w:kern w:val="2"/>
          <w:sz w:val="21"/>
          <w:szCs w:val="21"/>
          <w:highlight w:val="none"/>
          <w:u w:val="none"/>
          <w:lang w:val="en-US" w:eastAsia="zh-CN"/>
        </w:rPr>
        <w:t>项目单位）有需要增加第三者责任险保费金额等特殊需要或提出其他合理要求的，应在本总服务合同基础上与乙方另行签订补充车辆保险服务补充合同，乙方应予以积极配合。</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Cs w:val="21"/>
          <w:highlight w:val="none"/>
        </w:rPr>
        <w:t>．</w:t>
      </w:r>
      <w:r>
        <w:rPr>
          <w:rFonts w:hint="eastAsia" w:ascii="宋体" w:hAnsi="宋体" w:eastAsia="宋体" w:cs="宋体"/>
          <w:sz w:val="21"/>
          <w:szCs w:val="21"/>
        </w:rPr>
        <w:t>向甲方及时提供准确反映各险种的费率、金额等有关方面的资料。</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Cs w:val="21"/>
          <w:highlight w:val="none"/>
        </w:rPr>
        <w:t>．</w:t>
      </w:r>
      <w:r>
        <w:rPr>
          <w:rFonts w:hint="eastAsia" w:ascii="宋体" w:hAnsi="宋体" w:eastAsia="宋体" w:cs="宋体"/>
          <w:sz w:val="21"/>
          <w:szCs w:val="21"/>
        </w:rPr>
        <w:t>机动车辆保险期满前1个月，保险公司有义务提醒到期保险车辆及时续保。</w:t>
      </w:r>
    </w:p>
    <w:p>
      <w:pPr>
        <w:ind w:firstLine="420" w:firstLineChars="200"/>
        <w:rPr>
          <w:rFonts w:hint="eastAsia" w:ascii="宋体" w:hAnsi="宋体" w:eastAsia="宋体" w:cs="宋体"/>
          <w:szCs w:val="21"/>
        </w:rPr>
      </w:pPr>
      <w:r>
        <w:rPr>
          <w:rFonts w:hint="eastAsia" w:ascii="宋体" w:hAnsi="宋体" w:eastAsia="宋体" w:cs="宋体"/>
          <w:sz w:val="21"/>
          <w:szCs w:val="21"/>
          <w:lang w:val="en-US" w:eastAsia="zh-CN"/>
        </w:rPr>
        <w:t>5</w:t>
      </w:r>
      <w:r>
        <w:rPr>
          <w:rFonts w:hint="eastAsia" w:ascii="宋体" w:hAnsi="宋体" w:eastAsia="宋体" w:cs="宋体"/>
          <w:szCs w:val="21"/>
          <w:highlight w:val="none"/>
        </w:rPr>
        <w:t>．</w:t>
      </w:r>
      <w:r>
        <w:rPr>
          <w:rFonts w:hint="eastAsia" w:ascii="宋体" w:hAnsi="宋体" w:eastAsia="宋体" w:cs="宋体"/>
          <w:sz w:val="21"/>
          <w:szCs w:val="21"/>
        </w:rPr>
        <w:t>保证甲方获得优先服务的权利，根据甲方的通知及时签订机动车辆保险单</w:t>
      </w:r>
      <w:r>
        <w:rPr>
          <w:rFonts w:hint="eastAsia" w:ascii="宋体" w:hAnsi="宋体" w:eastAsia="宋体" w:cs="宋体"/>
          <w:szCs w:val="21"/>
        </w:rPr>
        <w:t>。</w:t>
      </w:r>
    </w:p>
    <w:p>
      <w:pPr>
        <w:ind w:firstLine="420" w:firstLineChars="20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highlight w:val="none"/>
        </w:rPr>
        <w:t>．</w:t>
      </w:r>
      <w:r>
        <w:rPr>
          <w:rFonts w:hint="eastAsia" w:ascii="宋体" w:hAnsi="宋体" w:eastAsia="宋体" w:cs="宋体"/>
          <w:szCs w:val="21"/>
          <w:lang w:val="en-US" w:eastAsia="zh-CN"/>
        </w:rPr>
        <w:t>设有24小时热线客户咨询服务、投诉举报电话，有专人接听、记录、受理</w:t>
      </w:r>
      <w:r>
        <w:rPr>
          <w:rFonts w:hint="eastAsia" w:ascii="宋体" w:hAnsi="宋体" w:eastAsia="宋体" w:cs="宋体"/>
          <w:szCs w:val="21"/>
        </w:rPr>
        <w:t>。</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服务小组工作成员能保证随叫随到、主动上门办理投保、承保手续，保证投保单位获得优先服务的权利</w:t>
      </w:r>
      <w:r>
        <w:rPr>
          <w:rFonts w:hint="eastAsia" w:ascii="宋体" w:hAnsi="宋体" w:eastAsia="宋体" w:cs="宋体"/>
          <w:szCs w:val="21"/>
          <w:highlight w:val="none"/>
          <w:lang w:eastAsia="zh-CN"/>
        </w:rPr>
        <w:t>。</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．承诺在4小时内出具正式保险单、提供保险卡</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 xml:space="preserve"> </w:t>
      </w:r>
    </w:p>
    <w:p>
      <w:pPr>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．有客户回访安排</w:t>
      </w:r>
      <w:r>
        <w:rPr>
          <w:rFonts w:hint="eastAsia" w:ascii="宋体" w:hAnsi="宋体" w:eastAsia="宋体" w:cs="宋体"/>
          <w:szCs w:val="21"/>
          <w:highlight w:val="none"/>
          <w:lang w:eastAsia="zh-CN"/>
        </w:rPr>
        <w:t>。</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．有服务保障措施，如对服务态度、服务质量较差的业务人员有具体处罚办法。</w:t>
      </w:r>
    </w:p>
    <w:p>
      <w:pPr>
        <w:ind w:firstLine="420" w:firstLineChars="200"/>
        <w:rPr>
          <w:rFonts w:hint="eastAsia" w:ascii="宋体" w:hAnsi="宋体" w:eastAsia="宋体" w:cs="宋体"/>
          <w:szCs w:val="21"/>
        </w:rPr>
      </w:pPr>
      <w:r>
        <w:rPr>
          <w:rFonts w:hint="eastAsia" w:ascii="宋体" w:hAnsi="宋体" w:eastAsia="宋体" w:cs="宋体"/>
          <w:szCs w:val="21"/>
          <w:lang w:val="en-US" w:eastAsia="zh-CN"/>
        </w:rPr>
        <w:t>11</w:t>
      </w:r>
      <w:r>
        <w:rPr>
          <w:rFonts w:hint="eastAsia" w:ascii="宋体" w:hAnsi="宋体" w:eastAsia="宋体" w:cs="宋体"/>
          <w:szCs w:val="21"/>
          <w:highlight w:val="none"/>
        </w:rPr>
        <w:t>．</w:t>
      </w:r>
      <w:r>
        <w:rPr>
          <w:rFonts w:hint="eastAsia" w:ascii="宋体" w:hAnsi="宋体" w:eastAsia="宋体" w:cs="宋体"/>
          <w:szCs w:val="21"/>
          <w:lang w:val="en-US" w:eastAsia="zh-CN"/>
        </w:rPr>
        <w:t>乙方</w:t>
      </w:r>
      <w:r>
        <w:rPr>
          <w:rFonts w:hint="eastAsia" w:ascii="宋体" w:hAnsi="宋体" w:eastAsia="宋体" w:cs="宋体"/>
          <w:szCs w:val="21"/>
        </w:rPr>
        <w:t>不得限制投保单位出险次数。</w:t>
      </w:r>
    </w:p>
    <w:p>
      <w:pPr>
        <w:ind w:firstLine="420" w:firstLineChars="200"/>
        <w:rPr>
          <w:rFonts w:hint="eastAsia" w:ascii="宋体" w:hAnsi="宋体" w:eastAsia="宋体" w:cs="宋体"/>
          <w:szCs w:val="21"/>
        </w:rPr>
      </w:pPr>
      <w:r>
        <w:rPr>
          <w:rFonts w:hint="eastAsia" w:ascii="宋体" w:hAnsi="宋体" w:eastAsia="宋体" w:cs="宋体"/>
          <w:szCs w:val="21"/>
          <w:lang w:val="en-US" w:eastAsia="zh-CN"/>
        </w:rPr>
        <w:t>12</w:t>
      </w:r>
      <w:r>
        <w:rPr>
          <w:rFonts w:hint="eastAsia" w:ascii="宋体" w:hAnsi="宋体" w:eastAsia="宋体" w:cs="宋体"/>
          <w:szCs w:val="21"/>
          <w:highlight w:val="none"/>
        </w:rPr>
        <w:t>．</w:t>
      </w:r>
      <w:r>
        <w:rPr>
          <w:rFonts w:hint="eastAsia" w:ascii="宋体" w:hAnsi="宋体" w:eastAsia="宋体" w:cs="宋体"/>
          <w:szCs w:val="21"/>
        </w:rPr>
        <w:t>应对投保车辆建立用户档案，开展跟踪服务。</w:t>
      </w:r>
    </w:p>
    <w:p>
      <w:pPr>
        <w:ind w:firstLine="420" w:firstLineChars="200"/>
        <w:rPr>
          <w:rFonts w:hint="eastAsia" w:ascii="宋体" w:hAnsi="宋体" w:eastAsia="宋体" w:cs="宋体"/>
          <w:szCs w:val="21"/>
        </w:rPr>
      </w:pPr>
      <w:r>
        <w:rPr>
          <w:rFonts w:hint="eastAsia" w:ascii="宋体" w:hAnsi="宋体" w:eastAsia="宋体" w:cs="宋体"/>
          <w:szCs w:val="21"/>
          <w:lang w:val="en-US" w:eastAsia="zh-CN"/>
        </w:rPr>
        <w:t>13</w:t>
      </w:r>
      <w:r>
        <w:rPr>
          <w:rFonts w:hint="eastAsia" w:ascii="宋体" w:hAnsi="宋体" w:eastAsia="宋体" w:cs="宋体"/>
          <w:szCs w:val="21"/>
          <w:highlight w:val="none"/>
        </w:rPr>
        <w:t>．</w:t>
      </w:r>
      <w:r>
        <w:rPr>
          <w:rFonts w:hint="eastAsia" w:ascii="宋体" w:hAnsi="宋体" w:eastAsia="宋体" w:cs="宋体"/>
          <w:szCs w:val="21"/>
        </w:rPr>
        <w:t>应对甲方提供出险索赔程序，保险知识等方面的咨询服务。</w:t>
      </w:r>
    </w:p>
    <w:p>
      <w:pPr>
        <w:ind w:firstLine="420" w:firstLineChars="200"/>
        <w:rPr>
          <w:rFonts w:hint="eastAsia" w:ascii="宋体" w:hAnsi="宋体" w:eastAsia="宋体" w:cs="宋体"/>
          <w:szCs w:val="21"/>
        </w:rPr>
      </w:pPr>
      <w:r>
        <w:rPr>
          <w:rFonts w:hint="eastAsia" w:ascii="宋体" w:hAnsi="宋体" w:eastAsia="宋体" w:cs="宋体"/>
          <w:szCs w:val="21"/>
          <w:lang w:val="en-US" w:eastAsia="zh-CN"/>
        </w:rPr>
        <w:t>14</w:t>
      </w:r>
      <w:r>
        <w:rPr>
          <w:rFonts w:hint="eastAsia" w:ascii="宋体" w:hAnsi="宋体" w:eastAsia="宋体" w:cs="宋体"/>
          <w:szCs w:val="21"/>
          <w:highlight w:val="none"/>
        </w:rPr>
        <w:t>．</w:t>
      </w:r>
      <w:r>
        <w:rPr>
          <w:rFonts w:hint="eastAsia" w:ascii="宋体" w:hAnsi="宋体" w:eastAsia="宋体" w:cs="宋体"/>
          <w:szCs w:val="21"/>
        </w:rPr>
        <w:t>协助甲方做好对投保经办人的廉政工作，不得以任何形式向投保单位提供回扣。</w:t>
      </w:r>
    </w:p>
    <w:p>
      <w:pPr>
        <w:ind w:firstLine="420" w:firstLineChars="200"/>
        <w:rPr>
          <w:rFonts w:hint="eastAsia" w:ascii="宋体" w:hAnsi="宋体" w:eastAsia="宋体" w:cs="宋体"/>
          <w:szCs w:val="21"/>
        </w:rPr>
      </w:pPr>
      <w:r>
        <w:rPr>
          <w:rFonts w:hint="eastAsia" w:ascii="宋体" w:hAnsi="宋体" w:eastAsia="宋体" w:cs="宋体"/>
          <w:szCs w:val="21"/>
          <w:lang w:val="en-US" w:eastAsia="zh-CN"/>
        </w:rPr>
        <w:t>15</w:t>
      </w:r>
      <w:r>
        <w:rPr>
          <w:rFonts w:hint="eastAsia" w:ascii="宋体" w:hAnsi="宋体" w:eastAsia="宋体" w:cs="宋体"/>
          <w:szCs w:val="21"/>
          <w:highlight w:val="none"/>
        </w:rPr>
        <w:t>．</w:t>
      </w:r>
      <w:r>
        <w:rPr>
          <w:rFonts w:hint="eastAsia" w:ascii="宋体" w:hAnsi="宋体" w:eastAsia="宋体" w:cs="宋体"/>
          <w:szCs w:val="21"/>
          <w:lang w:val="en-US" w:eastAsia="zh-CN"/>
        </w:rPr>
        <w:t>乙方</w:t>
      </w:r>
      <w:r>
        <w:rPr>
          <w:rFonts w:hint="eastAsia" w:ascii="宋体" w:hAnsi="宋体" w:eastAsia="宋体" w:cs="宋体"/>
          <w:szCs w:val="21"/>
        </w:rPr>
        <w:t>必须按规定时限和保费折扣率签发保单，若发现定点保险机构不按规定执行，一经发现有权解除合同。</w:t>
      </w:r>
    </w:p>
    <w:p>
      <w:pPr>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（二）理赔服务</w:t>
      </w:r>
    </w:p>
    <w:p>
      <w:pPr>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针对本项目理赔服务成立专门的服务小组，分管领导亲自负责（具体成员名单，包括姓名、职务、职称、工作职责、联系方式等</w:t>
      </w:r>
      <w:r>
        <w:rPr>
          <w:rFonts w:hint="eastAsia" w:ascii="宋体" w:hAnsi="宋体" w:eastAsia="宋体" w:cs="宋体"/>
          <w:szCs w:val="21"/>
          <w:highlight w:val="none"/>
          <w:lang w:val="en-US" w:eastAsia="zh-CN"/>
        </w:rPr>
        <w:t>报甲方备案</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．设有24小时报案、理赔服务电话，并保证随时有专人接听，受理索赔接报案。有充足的现场勘查人员和车辆（附勘查车辆照片和行驶证复印件）</w:t>
      </w:r>
      <w:r>
        <w:rPr>
          <w:rFonts w:hint="eastAsia" w:ascii="宋体" w:hAnsi="宋体" w:eastAsia="宋体" w:cs="宋体"/>
          <w:szCs w:val="21"/>
          <w:highlight w:val="none"/>
          <w:lang w:eastAsia="zh-CN"/>
        </w:rPr>
        <w:t>。</w:t>
      </w:r>
    </w:p>
    <w:p>
      <w:pPr>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highlight w:val="none"/>
        </w:rPr>
        <w:t>．</w:t>
      </w:r>
      <w:r>
        <w:rPr>
          <w:rFonts w:hint="eastAsia" w:ascii="宋体" w:hAnsi="宋体" w:eastAsia="宋体" w:cs="宋体"/>
          <w:szCs w:val="21"/>
        </w:rPr>
        <w:t>上门提供理赔服务。保户出险后，因工作忙等原因，一时不能到保险公司办理有关索赔手续时，理赔中心人员可上门提供理赔服务，使保户尽快获得赔偿。</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定点保险公司在接到投保单位的出险报案后，温州市范围内理赔人员应于1小时以内到达报案现场。其他地区应以2小时内赶到报案现场，超过该时限，视为保险公司</w:t>
      </w:r>
      <w:r>
        <w:rPr>
          <w:rFonts w:hint="eastAsia" w:ascii="宋体" w:hAnsi="宋体" w:eastAsia="宋体" w:cs="宋体"/>
          <w:szCs w:val="21"/>
          <w:highlight w:val="none"/>
          <w:lang w:val="en-US" w:eastAsia="zh-CN"/>
        </w:rPr>
        <w:t>未</w:t>
      </w:r>
      <w:r>
        <w:rPr>
          <w:rFonts w:hint="eastAsia" w:ascii="宋体" w:hAnsi="宋体" w:eastAsia="宋体" w:cs="宋体"/>
          <w:szCs w:val="21"/>
          <w:highlight w:val="none"/>
        </w:rPr>
        <w:t>到现场，事故车可自行移位；被保险车辆在温州市外发生保险事故后，</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定点保险公司能通过当地本系统保险机构提供异地代查勘、代理赔服务，快速处理、赔付结案</w:t>
      </w:r>
      <w:r>
        <w:rPr>
          <w:rFonts w:hint="eastAsia" w:ascii="宋体" w:hAnsi="宋体" w:eastAsia="宋体" w:cs="宋体"/>
          <w:szCs w:val="21"/>
          <w:highlight w:val="none"/>
          <w:lang w:eastAsia="zh-CN"/>
        </w:rPr>
        <w:t>。</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4．有专人指导投保单位全程办理相关的索赔手续</w:t>
      </w:r>
      <w:r>
        <w:rPr>
          <w:rFonts w:hint="eastAsia" w:ascii="宋体" w:hAnsi="宋体" w:eastAsia="宋体" w:cs="宋体"/>
          <w:szCs w:val="21"/>
          <w:highlight w:val="none"/>
          <w:lang w:eastAsia="zh-CN"/>
        </w:rPr>
        <w:t>。</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5．在出险车辆进行定损、修理时，承诺对配件价格实行现场报价，并保证配件为4S店原厂配件，且在对个别配件报价金额上若三方（指</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投保单位、</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保险公司、汽车修理厂家）有分歧的，承诺以当地市场价格为准或由</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保险公司在5个工作日内提供正厂配件；修理工时费用以市场价格、物价部门、交通部门的价格为依据</w:t>
      </w:r>
      <w:r>
        <w:rPr>
          <w:rFonts w:hint="eastAsia" w:ascii="宋体" w:hAnsi="宋体" w:eastAsia="宋体" w:cs="宋体"/>
          <w:szCs w:val="21"/>
          <w:highlight w:val="none"/>
          <w:lang w:eastAsia="zh-CN"/>
        </w:rPr>
        <w:t>。</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lang w:val="en-US" w:eastAsia="zh-CN"/>
        </w:rPr>
        <w:t>制</w:t>
      </w:r>
      <w:r>
        <w:rPr>
          <w:rFonts w:hint="eastAsia" w:ascii="宋体" w:hAnsi="宋体" w:eastAsia="宋体" w:cs="宋体"/>
          <w:szCs w:val="21"/>
          <w:highlight w:val="none"/>
        </w:rPr>
        <w:t>订有机动车辆简易赔案赔付的相关处理办法，为不堵塞交通，责任明确的小案件允许移位</w:t>
      </w:r>
      <w:r>
        <w:rPr>
          <w:rFonts w:hint="eastAsia" w:ascii="宋体" w:hAnsi="宋体" w:eastAsia="宋体" w:cs="宋体"/>
          <w:szCs w:val="21"/>
          <w:highlight w:val="none"/>
          <w:lang w:eastAsia="zh-CN"/>
        </w:rPr>
        <w:t>。</w:t>
      </w:r>
    </w:p>
    <w:p>
      <w:pPr>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7．小额赔案可快速处理。承诺对责任明确的不涉及人伤的，5000元以下事故可以现场定损，以现场查勘定损人员出具的单证直接到保险公司领取赔款，10000元以下事故经保险公司认可，责任明确的，免事故认定书</w:t>
      </w:r>
      <w:r>
        <w:rPr>
          <w:rFonts w:hint="eastAsia" w:ascii="宋体" w:hAnsi="宋体" w:eastAsia="宋体" w:cs="宋体"/>
          <w:szCs w:val="21"/>
          <w:highlight w:val="none"/>
          <w:lang w:eastAsia="zh-CN"/>
        </w:rPr>
        <w:t>。</w:t>
      </w:r>
      <w:r>
        <w:rPr>
          <w:rFonts w:hint="eastAsia" w:ascii="宋体" w:hAnsi="宋体" w:eastAsia="宋体" w:cs="宋体"/>
          <w:szCs w:val="21"/>
        </w:rPr>
        <w:t>在索赔手续齐全后，10万元以内的赔案在10日内结案；10万元以上的赔案在15日内结案</w:t>
      </w:r>
      <w:r>
        <w:rPr>
          <w:rFonts w:hint="eastAsia" w:ascii="宋体" w:hAnsi="宋体" w:eastAsia="宋体" w:cs="宋体"/>
          <w:szCs w:val="21"/>
          <w:lang w:eastAsia="zh-CN"/>
        </w:rPr>
        <w:t>。</w:t>
      </w:r>
      <w:r>
        <w:rPr>
          <w:rFonts w:hint="eastAsia" w:ascii="宋体" w:hAnsi="宋体" w:eastAsia="宋体" w:cs="宋体"/>
          <w:strike w:val="0"/>
          <w:szCs w:val="21"/>
          <w:highlight w:val="none"/>
        </w:rPr>
        <w:t>单方事故，损失在5千元以内的，经查勘定损后，手续齐全的在当天结案</w:t>
      </w:r>
      <w:r>
        <w:rPr>
          <w:rFonts w:hint="eastAsia" w:ascii="宋体" w:hAnsi="宋体" w:eastAsia="宋体" w:cs="宋体"/>
          <w:szCs w:val="21"/>
        </w:rPr>
        <w:t>。</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8．对于重大事故或因特殊原因不能按期结案的，经</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车属单位申请，保险责任相对明确，</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保险公司应在保险责任相对明确后5个工作日内提供能确定的车辆损失金额50％的预付赔款。</w:t>
      </w:r>
    </w:p>
    <w:p>
      <w:pPr>
        <w:ind w:firstLine="420" w:firstLineChars="200"/>
        <w:rPr>
          <w:rFonts w:hint="eastAsia" w:ascii="宋体" w:hAnsi="宋体" w:eastAsia="宋体" w:cs="宋体"/>
          <w:szCs w:val="21"/>
          <w:highlight w:val="none"/>
        </w:rPr>
      </w:pPr>
      <w:r>
        <w:rPr>
          <w:rFonts w:hint="eastAsia" w:ascii="宋体" w:hAnsi="宋体" w:eastAsia="宋体" w:cs="宋体"/>
          <w:szCs w:val="21"/>
          <w:lang w:val="en-US" w:eastAsia="zh-CN"/>
        </w:rPr>
        <w:t>9</w:t>
      </w:r>
      <w:r>
        <w:rPr>
          <w:rFonts w:hint="eastAsia" w:ascii="宋体" w:hAnsi="宋体" w:eastAsia="宋体" w:cs="宋体"/>
          <w:szCs w:val="21"/>
          <w:highlight w:val="none"/>
        </w:rPr>
        <w:t>．</w:t>
      </w:r>
      <w:r>
        <w:rPr>
          <w:rFonts w:hint="eastAsia" w:ascii="宋体" w:hAnsi="宋体" w:eastAsia="宋体" w:cs="宋体"/>
          <w:szCs w:val="21"/>
        </w:rPr>
        <w:t>各方当事人应严格履行《协议》和保单承诺的各项服务及优惠条件，自觉接受财政、监察、审计部门的监督检查。</w:t>
      </w:r>
    </w:p>
    <w:p>
      <w:pPr>
        <w:ind w:firstLine="422" w:firstLineChars="200"/>
        <w:rPr>
          <w:rFonts w:hint="eastAsia" w:ascii="宋体" w:hAnsi="宋体" w:eastAsia="宋体" w:cs="宋体"/>
          <w:b/>
          <w:bCs/>
          <w:szCs w:val="21"/>
          <w:highlight w:val="none"/>
        </w:rPr>
      </w:pPr>
    </w:p>
    <w:p>
      <w:pPr>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第四条、理赔</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1、甲方的保险车辆出险后，乙方应根据服务承诺，对出险车辆及时提出处理意见，并及时支付赔款。</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2、乙方必须主动及时协助甲方处理赔款事宜。</w:t>
      </w:r>
    </w:p>
    <w:p>
      <w:pPr>
        <w:ind w:firstLine="420" w:firstLineChars="200"/>
        <w:rPr>
          <w:rFonts w:hint="eastAsia" w:ascii="宋体" w:hAnsi="宋体" w:eastAsia="宋体" w:cs="宋体"/>
          <w:szCs w:val="21"/>
        </w:rPr>
      </w:pPr>
      <w:r>
        <w:rPr>
          <w:rFonts w:hint="eastAsia" w:ascii="宋体" w:hAnsi="宋体" w:eastAsia="宋体" w:cs="宋体"/>
          <w:szCs w:val="21"/>
          <w:highlight w:val="none"/>
        </w:rPr>
        <w:t>3、甲方在保险期内的一切事故赔款事宜，直接与乙方办理。乙方在赔</w:t>
      </w:r>
      <w:r>
        <w:rPr>
          <w:rFonts w:hint="eastAsia" w:ascii="宋体" w:hAnsi="宋体" w:eastAsia="宋体" w:cs="宋体"/>
          <w:szCs w:val="21"/>
        </w:rPr>
        <w:t>偿结束后，应将赔款情况汇总到《温州市交通发展集团有限公司机动车辆保险赔款汇总表》及《温州市交通发展集团有限公司机动车辆投保情况汇总表》中，于每季度结束后五天内将该表和每份赔款、投保回执的复印件集中后交甲方备案。</w:t>
      </w:r>
    </w:p>
    <w:p>
      <w:pPr>
        <w:ind w:firstLine="422" w:firstLineChars="200"/>
        <w:rPr>
          <w:rFonts w:hint="eastAsia" w:ascii="宋体" w:hAnsi="宋体" w:eastAsia="宋体" w:cs="宋体"/>
          <w:b/>
          <w:bCs/>
          <w:szCs w:val="21"/>
        </w:rPr>
      </w:pPr>
    </w:p>
    <w:p>
      <w:pPr>
        <w:ind w:firstLine="422" w:firstLineChars="200"/>
        <w:rPr>
          <w:rFonts w:hint="eastAsia" w:ascii="宋体" w:hAnsi="宋体" w:eastAsia="宋体" w:cs="宋体"/>
          <w:b/>
          <w:bCs/>
          <w:szCs w:val="21"/>
        </w:rPr>
      </w:pPr>
      <w:r>
        <w:rPr>
          <w:rFonts w:hint="eastAsia" w:ascii="宋体" w:hAnsi="宋体" w:eastAsia="宋体" w:cs="宋体"/>
          <w:b/>
          <w:bCs/>
          <w:szCs w:val="21"/>
        </w:rPr>
        <w:t>第五条、结算付款方式</w:t>
      </w:r>
    </w:p>
    <w:p>
      <w:pPr>
        <w:ind w:firstLine="420" w:firstLineChars="200"/>
        <w:rPr>
          <w:rFonts w:hint="eastAsia" w:ascii="宋体" w:hAnsi="宋体" w:eastAsia="宋体" w:cs="宋体"/>
          <w:szCs w:val="21"/>
          <w:highlight w:val="none"/>
        </w:rPr>
      </w:pPr>
      <w:r>
        <w:rPr>
          <w:rFonts w:hint="eastAsia" w:ascii="宋体" w:hAnsi="宋体" w:eastAsia="宋体" w:cs="宋体"/>
          <w:szCs w:val="21"/>
        </w:rPr>
        <w:t>公务用车定点保险费用的</w:t>
      </w:r>
      <w:r>
        <w:rPr>
          <w:rFonts w:hint="eastAsia" w:ascii="宋体" w:hAnsi="宋体" w:eastAsia="宋体" w:cs="宋体"/>
          <w:szCs w:val="21"/>
          <w:highlight w:val="none"/>
        </w:rPr>
        <w:t>支付，必须实行转账方式支付，不得使用现金支付。结算时，乙方应提供有效增值税发票，投保单位凭乙方开具的正式发票以及保单于</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个工作日内支付，或与乙方协商确定。</w:t>
      </w:r>
    </w:p>
    <w:p>
      <w:pPr>
        <w:ind w:firstLine="422" w:firstLineChars="200"/>
        <w:rPr>
          <w:rFonts w:hint="eastAsia" w:ascii="宋体" w:hAnsi="宋体" w:eastAsia="宋体" w:cs="宋体"/>
          <w:b/>
          <w:bCs/>
          <w:szCs w:val="21"/>
          <w:highlight w:val="none"/>
        </w:rPr>
      </w:pPr>
    </w:p>
    <w:p>
      <w:pPr>
        <w:ind w:firstLine="422" w:firstLineChars="200"/>
        <w:rPr>
          <w:rFonts w:hint="eastAsia" w:ascii="宋体" w:hAnsi="宋体" w:eastAsia="宋体" w:cs="宋体"/>
          <w:b/>
          <w:bCs/>
          <w:szCs w:val="21"/>
        </w:rPr>
      </w:pPr>
      <w:r>
        <w:rPr>
          <w:rFonts w:hint="eastAsia" w:ascii="宋体" w:hAnsi="宋体" w:eastAsia="宋体" w:cs="宋体"/>
          <w:b/>
          <w:bCs/>
          <w:szCs w:val="21"/>
        </w:rPr>
        <w:t>第六条、争议的解决方法</w:t>
      </w:r>
    </w:p>
    <w:p>
      <w:pPr>
        <w:ind w:firstLine="420" w:firstLineChars="200"/>
        <w:rPr>
          <w:rFonts w:hint="eastAsia" w:ascii="宋体" w:hAnsi="宋体" w:eastAsia="宋体" w:cs="宋体"/>
          <w:szCs w:val="21"/>
        </w:rPr>
      </w:pPr>
      <w:r>
        <w:rPr>
          <w:rFonts w:hint="eastAsia" w:ascii="宋体" w:hAnsi="宋体" w:eastAsia="宋体" w:cs="宋体"/>
          <w:szCs w:val="21"/>
        </w:rPr>
        <w:t>1.因本合同引起的或与本合同有关的任何争议双方可友好协商解决。如果双方不能通过友好协商解决争议，则任何一方均有权向甲方所在地的人民法院提起诉讼。</w:t>
      </w:r>
    </w:p>
    <w:p>
      <w:pPr>
        <w:ind w:firstLine="420" w:firstLineChars="200"/>
        <w:rPr>
          <w:rFonts w:hint="eastAsia" w:ascii="宋体" w:hAnsi="宋体" w:eastAsia="宋体" w:cs="宋体"/>
          <w:szCs w:val="21"/>
        </w:rPr>
      </w:pPr>
      <w:r>
        <w:rPr>
          <w:rFonts w:hint="eastAsia" w:ascii="宋体" w:hAnsi="宋体" w:eastAsia="宋体" w:cs="宋体"/>
          <w:szCs w:val="21"/>
        </w:rPr>
        <w:t>2.法院最终裁决，对甲方和乙方均有约束力。</w:t>
      </w:r>
    </w:p>
    <w:p>
      <w:pPr>
        <w:ind w:firstLine="420" w:firstLineChars="200"/>
        <w:rPr>
          <w:rFonts w:hint="eastAsia" w:ascii="宋体" w:hAnsi="宋体" w:eastAsia="宋体" w:cs="宋体"/>
          <w:szCs w:val="21"/>
        </w:rPr>
      </w:pPr>
      <w:r>
        <w:rPr>
          <w:rFonts w:hint="eastAsia" w:ascii="宋体" w:hAnsi="宋体" w:eastAsia="宋体" w:cs="宋体"/>
          <w:szCs w:val="21"/>
        </w:rPr>
        <w:t>3.在诉讼期间，本合同应继续履行。</w:t>
      </w:r>
    </w:p>
    <w:p>
      <w:pPr>
        <w:ind w:firstLine="422" w:firstLineChars="200"/>
        <w:rPr>
          <w:rFonts w:hint="eastAsia" w:ascii="宋体" w:hAnsi="宋体" w:eastAsia="宋体" w:cs="宋体"/>
          <w:b/>
          <w:bCs/>
          <w:szCs w:val="21"/>
        </w:rPr>
      </w:pPr>
    </w:p>
    <w:p>
      <w:pPr>
        <w:ind w:firstLine="422" w:firstLineChars="200"/>
        <w:rPr>
          <w:rFonts w:hint="eastAsia" w:ascii="宋体" w:hAnsi="宋体" w:eastAsia="宋体" w:cs="宋体"/>
          <w:b/>
          <w:bCs/>
          <w:szCs w:val="21"/>
        </w:rPr>
      </w:pPr>
      <w:r>
        <w:rPr>
          <w:rFonts w:hint="eastAsia" w:ascii="宋体" w:hAnsi="宋体" w:eastAsia="宋体" w:cs="宋体"/>
          <w:b/>
          <w:bCs/>
          <w:szCs w:val="21"/>
        </w:rPr>
        <w:t>第七条、投诉</w:t>
      </w:r>
    </w:p>
    <w:p>
      <w:pPr>
        <w:ind w:firstLine="420" w:firstLineChars="200"/>
        <w:rPr>
          <w:rFonts w:hint="eastAsia" w:ascii="宋体" w:hAnsi="宋体" w:eastAsia="宋体" w:cs="宋体"/>
          <w:szCs w:val="21"/>
        </w:rPr>
      </w:pPr>
      <w:r>
        <w:rPr>
          <w:rFonts w:hint="eastAsia" w:ascii="宋体" w:hAnsi="宋体" w:eastAsia="宋体" w:cs="宋体"/>
          <w:szCs w:val="21"/>
        </w:rPr>
        <w:t>为了保障各方权益，本合同建立投诉监管制度。具体方式为：</w:t>
      </w:r>
    </w:p>
    <w:p>
      <w:pPr>
        <w:ind w:firstLine="420" w:firstLineChars="200"/>
        <w:rPr>
          <w:rFonts w:hint="eastAsia" w:ascii="宋体" w:hAnsi="宋体" w:eastAsia="宋体" w:cs="宋体"/>
          <w:szCs w:val="21"/>
        </w:rPr>
      </w:pPr>
      <w:r>
        <w:rPr>
          <w:rFonts w:hint="eastAsia" w:ascii="宋体" w:hAnsi="宋体" w:eastAsia="宋体" w:cs="宋体"/>
          <w:szCs w:val="21"/>
        </w:rPr>
        <w:t>1、甲方</w:t>
      </w:r>
      <w:r>
        <w:rPr>
          <w:rFonts w:hint="eastAsia" w:ascii="宋体" w:hAnsi="宋体" w:eastAsia="宋体" w:cs="宋体"/>
          <w:szCs w:val="21"/>
          <w:lang w:val="en-US" w:eastAsia="zh-CN"/>
        </w:rPr>
        <w:t>所属投标人</w:t>
      </w:r>
      <w:r>
        <w:rPr>
          <w:rFonts w:hint="eastAsia" w:ascii="宋体" w:hAnsi="宋体" w:eastAsia="宋体" w:cs="宋体"/>
          <w:szCs w:val="21"/>
        </w:rPr>
        <w:t>可就乙方的费率承诺或服务问题向</w:t>
      </w:r>
      <w:r>
        <w:rPr>
          <w:rFonts w:hint="eastAsia" w:ascii="宋体" w:hAnsi="宋体" w:eastAsia="宋体" w:cs="宋体"/>
          <w:szCs w:val="21"/>
          <w:lang w:val="en-US" w:eastAsia="zh-CN"/>
        </w:rPr>
        <w:t>甲</w:t>
      </w:r>
      <w:r>
        <w:rPr>
          <w:rFonts w:hint="eastAsia" w:ascii="宋体" w:hAnsi="宋体" w:eastAsia="宋体" w:cs="宋体"/>
          <w:szCs w:val="21"/>
        </w:rPr>
        <w:t>方反映或向</w:t>
      </w:r>
      <w:r>
        <w:rPr>
          <w:rFonts w:hint="eastAsia" w:ascii="宋体" w:hAnsi="宋体" w:eastAsia="宋体" w:cs="宋体"/>
          <w:szCs w:val="21"/>
          <w:lang w:val="en-US" w:eastAsia="zh-CN"/>
        </w:rPr>
        <w:t>甲方</w:t>
      </w:r>
      <w:r>
        <w:rPr>
          <w:rFonts w:hint="eastAsia" w:ascii="宋体" w:hAnsi="宋体" w:eastAsia="宋体" w:cs="宋体"/>
          <w:szCs w:val="21"/>
        </w:rPr>
        <w:t>监督部门投诉；</w:t>
      </w:r>
    </w:p>
    <w:p>
      <w:pPr>
        <w:ind w:firstLine="420" w:firstLineChars="200"/>
        <w:rPr>
          <w:rFonts w:hint="eastAsia" w:ascii="宋体" w:hAnsi="宋体" w:eastAsia="宋体" w:cs="宋体"/>
          <w:szCs w:val="21"/>
        </w:rPr>
      </w:pPr>
      <w:r>
        <w:rPr>
          <w:rFonts w:hint="eastAsia" w:ascii="宋体" w:hAnsi="宋体" w:eastAsia="宋体" w:cs="宋体"/>
          <w:szCs w:val="21"/>
        </w:rPr>
        <w:t>2、乙方可就甲方的违反合同规定或违纪事项向甲方反映或向</w:t>
      </w:r>
      <w:r>
        <w:rPr>
          <w:rFonts w:hint="eastAsia" w:ascii="宋体" w:hAnsi="宋体" w:eastAsia="宋体" w:cs="宋体"/>
          <w:szCs w:val="21"/>
          <w:lang w:val="en-US" w:eastAsia="zh-CN"/>
        </w:rPr>
        <w:t>甲方</w:t>
      </w:r>
      <w:r>
        <w:rPr>
          <w:rFonts w:hint="eastAsia" w:ascii="宋体" w:hAnsi="宋体" w:eastAsia="宋体" w:cs="宋体"/>
          <w:szCs w:val="21"/>
        </w:rPr>
        <w:t>监督部门投诉。</w:t>
      </w:r>
    </w:p>
    <w:p>
      <w:pPr>
        <w:ind w:firstLine="420" w:firstLineChars="200"/>
        <w:rPr>
          <w:rFonts w:hint="eastAsia" w:ascii="宋体" w:hAnsi="宋体" w:eastAsia="宋体" w:cs="宋体"/>
          <w:szCs w:val="21"/>
        </w:rPr>
      </w:pPr>
      <w:r>
        <w:rPr>
          <w:rFonts w:hint="eastAsia" w:ascii="宋体" w:hAnsi="宋体" w:eastAsia="宋体" w:cs="宋体"/>
          <w:szCs w:val="21"/>
        </w:rPr>
        <w:t>3、经甲方、</w:t>
      </w:r>
      <w:r>
        <w:rPr>
          <w:rFonts w:hint="eastAsia" w:ascii="宋体" w:hAnsi="宋体" w:eastAsia="宋体" w:cs="宋体"/>
          <w:szCs w:val="21"/>
          <w:lang w:val="en-US" w:eastAsia="zh-CN"/>
        </w:rPr>
        <w:t>甲方监督部门</w:t>
      </w:r>
      <w:r>
        <w:rPr>
          <w:rFonts w:hint="eastAsia" w:ascii="宋体" w:hAnsi="宋体" w:eastAsia="宋体" w:cs="宋体"/>
          <w:szCs w:val="21"/>
        </w:rPr>
        <w:t>核查，如情况属实则该投诉有效，将记录在案。</w:t>
      </w:r>
    </w:p>
    <w:p>
      <w:pPr>
        <w:ind w:firstLine="422" w:firstLineChars="200"/>
        <w:rPr>
          <w:rFonts w:hint="eastAsia" w:ascii="宋体" w:hAnsi="宋体" w:eastAsia="宋体" w:cs="宋体"/>
          <w:b/>
          <w:bCs/>
          <w:szCs w:val="21"/>
        </w:rPr>
      </w:pPr>
    </w:p>
    <w:p>
      <w:pPr>
        <w:ind w:firstLine="422" w:firstLineChars="200"/>
        <w:rPr>
          <w:rFonts w:hint="eastAsia" w:ascii="宋体" w:hAnsi="宋体" w:eastAsia="宋体" w:cs="宋体"/>
          <w:b/>
          <w:bCs/>
          <w:szCs w:val="21"/>
        </w:rPr>
      </w:pPr>
      <w:r>
        <w:rPr>
          <w:rFonts w:hint="eastAsia" w:ascii="宋体" w:hAnsi="宋体" w:eastAsia="宋体" w:cs="宋体"/>
          <w:b/>
          <w:bCs/>
          <w:szCs w:val="21"/>
        </w:rPr>
        <w:t>第八条、违约责任：</w:t>
      </w:r>
    </w:p>
    <w:p>
      <w:pPr>
        <w:ind w:firstLine="420" w:firstLineChars="200"/>
        <w:rPr>
          <w:rFonts w:hint="eastAsia" w:ascii="宋体" w:hAnsi="宋体" w:eastAsia="宋体" w:cs="宋体"/>
          <w:szCs w:val="21"/>
        </w:rPr>
      </w:pPr>
      <w:r>
        <w:rPr>
          <w:rFonts w:hint="eastAsia" w:ascii="宋体" w:hAnsi="宋体" w:eastAsia="宋体" w:cs="宋体"/>
          <w:szCs w:val="21"/>
        </w:rPr>
        <w:t>乙方有违约情形的，甲方有权进行调查核实，一经查实，将视情节轻重给予警告、通报批评、罚款、直至取消乙方资格，并列入不良服务商名单。</w:t>
      </w:r>
    </w:p>
    <w:p>
      <w:pPr>
        <w:ind w:firstLine="422" w:firstLineChars="200"/>
        <w:rPr>
          <w:rFonts w:hint="eastAsia" w:ascii="宋体" w:hAnsi="宋体" w:eastAsia="宋体" w:cs="宋体"/>
          <w:b/>
          <w:bCs/>
          <w:szCs w:val="21"/>
        </w:rPr>
      </w:pPr>
    </w:p>
    <w:p>
      <w:pPr>
        <w:ind w:firstLine="422" w:firstLineChars="200"/>
        <w:rPr>
          <w:rFonts w:hint="eastAsia" w:ascii="宋体" w:hAnsi="宋体" w:eastAsia="宋体" w:cs="宋体"/>
          <w:b/>
          <w:bCs/>
          <w:szCs w:val="21"/>
        </w:rPr>
      </w:pPr>
      <w:r>
        <w:rPr>
          <w:rFonts w:hint="eastAsia" w:ascii="宋体" w:hAnsi="宋体" w:eastAsia="宋体" w:cs="宋体"/>
          <w:b/>
          <w:bCs/>
          <w:szCs w:val="21"/>
        </w:rPr>
        <w:t>第九条、履约保证金</w:t>
      </w:r>
    </w:p>
    <w:p>
      <w:pPr>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w:t>
      </w:r>
      <w:r>
        <w:rPr>
          <w:rFonts w:hint="eastAsia" w:ascii="宋体" w:hAnsi="宋体" w:eastAsia="宋体" w:cs="宋体"/>
          <w:szCs w:val="21"/>
        </w:rPr>
        <w:t>、</w:t>
      </w:r>
      <w:r>
        <w:rPr>
          <w:rFonts w:hint="eastAsia" w:ascii="宋体" w:hAnsi="宋体" w:eastAsia="宋体" w:cs="宋体"/>
          <w:b/>
          <w:bCs/>
          <w:szCs w:val="21"/>
        </w:rPr>
        <w:t>本次招标合同的履约保证金为</w:t>
      </w:r>
      <w:r>
        <w:rPr>
          <w:rFonts w:hint="eastAsia" w:ascii="宋体" w:hAnsi="宋体" w:eastAsia="宋体" w:cs="宋体"/>
          <w:b/>
          <w:bCs/>
          <w:szCs w:val="21"/>
          <w:highlight w:val="none"/>
          <w:lang w:val="en-US" w:eastAsia="zh-CN"/>
        </w:rPr>
        <w:t>人民币</w:t>
      </w:r>
      <w:r>
        <w:rPr>
          <w:rFonts w:hint="eastAsia" w:ascii="宋体" w:hAnsi="宋体" w:eastAsia="宋体" w:cs="宋体"/>
          <w:b/>
          <w:bCs/>
          <w:szCs w:val="21"/>
          <w:highlight w:val="none"/>
        </w:rPr>
        <w:t>伍万元</w:t>
      </w:r>
      <w:r>
        <w:rPr>
          <w:rFonts w:hint="eastAsia" w:ascii="宋体" w:hAnsi="宋体" w:eastAsia="宋体" w:cs="宋体"/>
          <w:b/>
          <w:bCs/>
          <w:szCs w:val="21"/>
        </w:rPr>
        <w:t>。</w:t>
      </w:r>
      <w:r>
        <w:rPr>
          <w:rFonts w:hint="eastAsia" w:ascii="宋体" w:hAnsi="宋体" w:eastAsia="宋体" w:cs="宋体"/>
          <w:b/>
          <w:bCs/>
          <w:szCs w:val="21"/>
          <w:lang w:val="en-US" w:eastAsia="zh-CN"/>
        </w:rPr>
        <w:t>须在</w:t>
      </w:r>
      <w:r>
        <w:rPr>
          <w:rFonts w:hint="eastAsia" w:ascii="宋体" w:hAnsi="宋体" w:eastAsia="宋体" w:cs="宋体"/>
          <w:b/>
          <w:bCs/>
          <w:szCs w:val="21"/>
        </w:rPr>
        <w:t>合同签订前10个工作日内</w:t>
      </w:r>
      <w:r>
        <w:rPr>
          <w:rFonts w:hint="eastAsia" w:ascii="宋体" w:hAnsi="宋体" w:eastAsia="宋体" w:cs="宋体"/>
          <w:b/>
          <w:bCs/>
          <w:szCs w:val="21"/>
          <w:lang w:val="en-US" w:eastAsia="zh-CN"/>
        </w:rPr>
        <w:t>提供。</w:t>
      </w:r>
    </w:p>
    <w:p>
      <w:pPr>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w:t>
      </w:r>
      <w:r>
        <w:rPr>
          <w:rFonts w:hint="eastAsia" w:ascii="宋体" w:hAnsi="宋体" w:eastAsia="宋体" w:cs="宋体"/>
          <w:szCs w:val="21"/>
        </w:rPr>
        <w:t>、</w:t>
      </w:r>
      <w:r>
        <w:rPr>
          <w:rFonts w:hint="eastAsia" w:ascii="宋体" w:hAnsi="宋体" w:eastAsia="宋体" w:cs="宋体"/>
          <w:b/>
          <w:bCs/>
          <w:szCs w:val="21"/>
          <w:lang w:val="en-US" w:eastAsia="zh-CN"/>
        </w:rPr>
        <w:t>履约保证金的罚没</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1）如乙方未能履行合同规定的任何义务，甲方有权优先从履约保证金中得到补偿。</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2）如果乙方毫无理由地拒绝履行合同规定的任何义务，履约保证金将不予退还，并加收违约赔偿金。</w:t>
      </w:r>
    </w:p>
    <w:p>
      <w:pPr>
        <w:ind w:firstLine="420" w:firstLineChars="200"/>
        <w:rPr>
          <w:rFonts w:hint="eastAsia" w:ascii="宋体" w:hAnsi="宋体" w:eastAsia="宋体" w:cs="宋体"/>
          <w:szCs w:val="21"/>
        </w:rPr>
      </w:pPr>
      <w:r>
        <w:rPr>
          <w:rFonts w:hint="eastAsia" w:ascii="宋体" w:hAnsi="宋体" w:eastAsia="宋体" w:cs="宋体"/>
          <w:szCs w:val="21"/>
          <w:lang w:val="en-US" w:eastAsia="zh-CN"/>
        </w:rPr>
        <w:t>3）乙方提供的服务须不低于投标文件中所承诺的标准，如不符，除追究乙方责任外，其履约保证金将不予退还。</w:t>
      </w:r>
    </w:p>
    <w:p>
      <w:pPr>
        <w:ind w:firstLine="420" w:firstLineChars="200"/>
        <w:rPr>
          <w:rFonts w:hint="eastAsia" w:ascii="宋体" w:hAnsi="宋体" w:eastAsia="宋体" w:cs="宋体"/>
          <w:b/>
          <w:bCs/>
          <w:szCs w:val="21"/>
        </w:rPr>
      </w:pPr>
      <w:r>
        <w:rPr>
          <w:rFonts w:hint="eastAsia" w:ascii="宋体" w:hAnsi="宋体" w:eastAsia="宋体" w:cs="宋体"/>
          <w:szCs w:val="21"/>
          <w:lang w:val="en-US" w:eastAsia="zh-CN"/>
        </w:rPr>
        <w:t>4）甲方扣除乙方</w:t>
      </w:r>
      <w:r>
        <w:rPr>
          <w:rFonts w:hint="eastAsia" w:ascii="宋体" w:hAnsi="宋体" w:eastAsia="宋体" w:cs="宋体"/>
          <w:szCs w:val="21"/>
        </w:rPr>
        <w:t>履约保证金</w:t>
      </w:r>
      <w:r>
        <w:rPr>
          <w:rFonts w:hint="eastAsia" w:ascii="宋体" w:hAnsi="宋体" w:eastAsia="宋体" w:cs="宋体"/>
          <w:szCs w:val="21"/>
          <w:lang w:val="en-US" w:eastAsia="zh-CN"/>
        </w:rPr>
        <w:t>后</w:t>
      </w:r>
      <w:r>
        <w:rPr>
          <w:rFonts w:hint="eastAsia" w:ascii="宋体" w:hAnsi="宋体" w:eastAsia="宋体" w:cs="宋体"/>
          <w:szCs w:val="21"/>
        </w:rPr>
        <w:t>，乙方应</w:t>
      </w:r>
      <w:r>
        <w:rPr>
          <w:rFonts w:hint="eastAsia" w:ascii="宋体" w:hAnsi="宋体" w:eastAsia="宋体" w:cs="宋体"/>
          <w:szCs w:val="21"/>
          <w:lang w:val="en-US" w:eastAsia="zh-CN"/>
        </w:rPr>
        <w:t>在甲方扣除后10日历天内</w:t>
      </w:r>
      <w:r>
        <w:rPr>
          <w:rFonts w:hint="eastAsia" w:ascii="宋体" w:hAnsi="宋体" w:eastAsia="宋体" w:cs="宋体"/>
          <w:szCs w:val="21"/>
        </w:rPr>
        <w:t>补</w:t>
      </w:r>
      <w:r>
        <w:rPr>
          <w:rFonts w:hint="eastAsia" w:ascii="宋体" w:hAnsi="宋体" w:eastAsia="宋体" w:cs="宋体"/>
          <w:szCs w:val="21"/>
          <w:lang w:val="en-US" w:eastAsia="zh-CN"/>
        </w:rPr>
        <w:t>齐</w:t>
      </w:r>
      <w:r>
        <w:rPr>
          <w:rFonts w:hint="eastAsia" w:ascii="宋体" w:hAnsi="宋体" w:eastAsia="宋体" w:cs="宋体"/>
          <w:szCs w:val="21"/>
        </w:rPr>
        <w:t>，保证在合同履行期间履约保证金总额</w:t>
      </w:r>
      <w:r>
        <w:rPr>
          <w:rFonts w:hint="eastAsia" w:ascii="宋体" w:hAnsi="宋体" w:eastAsia="宋体" w:cs="宋体"/>
          <w:szCs w:val="21"/>
          <w:lang w:val="en-US" w:eastAsia="zh-CN"/>
        </w:rPr>
        <w:t>符合要求</w:t>
      </w:r>
      <w:r>
        <w:rPr>
          <w:rFonts w:hint="eastAsia" w:ascii="宋体" w:hAnsi="宋体" w:eastAsia="宋体" w:cs="宋体"/>
          <w:szCs w:val="21"/>
        </w:rPr>
        <w:t>。</w:t>
      </w:r>
    </w:p>
    <w:p>
      <w:pPr>
        <w:ind w:firstLine="422" w:firstLineChars="200"/>
        <w:rPr>
          <w:rFonts w:hint="eastAsia" w:ascii="宋体" w:hAnsi="宋体" w:eastAsia="宋体" w:cs="宋体"/>
          <w:b/>
          <w:bCs/>
          <w:szCs w:val="21"/>
          <w:lang w:val="en-US" w:eastAsia="zh-CN"/>
        </w:rPr>
      </w:pPr>
    </w:p>
    <w:p>
      <w:pPr>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第十条、</w:t>
      </w:r>
      <w:r>
        <w:rPr>
          <w:rFonts w:hint="eastAsia" w:ascii="宋体" w:hAnsi="宋体" w:eastAsia="宋体" w:cs="宋体"/>
          <w:b/>
          <w:bCs/>
          <w:szCs w:val="21"/>
        </w:rPr>
        <w:t>合同有效期</w:t>
      </w:r>
    </w:p>
    <w:p>
      <w:pPr>
        <w:ind w:firstLine="420" w:firstLineChars="200"/>
        <w:rPr>
          <w:rFonts w:hint="eastAsia" w:ascii="宋体" w:hAnsi="宋体" w:eastAsia="宋体" w:cs="宋体"/>
          <w:szCs w:val="21"/>
        </w:rPr>
      </w:pPr>
      <w:r>
        <w:rPr>
          <w:rFonts w:hint="eastAsia" w:ascii="宋体" w:hAnsi="宋体" w:eastAsia="宋体" w:cs="宋体"/>
          <w:szCs w:val="21"/>
        </w:rPr>
        <w:t>本合同有效期为</w:t>
      </w:r>
      <w:r>
        <w:rPr>
          <w:rFonts w:hint="eastAsia" w:ascii="宋体" w:hAnsi="宋体" w:eastAsia="宋体" w:cs="宋体"/>
          <w:szCs w:val="21"/>
          <w:lang w:val="en-US" w:eastAsia="zh-CN"/>
        </w:rPr>
        <w:t>1年，自保单载明的生效日零时（以北京时间为准）开始生效</w:t>
      </w:r>
      <w:r>
        <w:rPr>
          <w:rFonts w:hint="eastAsia" w:ascii="宋体" w:hAnsi="宋体" w:eastAsia="宋体" w:cs="宋体"/>
          <w:szCs w:val="21"/>
        </w:rPr>
        <w:t>。</w:t>
      </w:r>
    </w:p>
    <w:p>
      <w:pPr>
        <w:ind w:firstLine="442" w:firstLineChars="200"/>
        <w:rPr>
          <w:rFonts w:hint="eastAsia" w:ascii="宋体" w:hAnsi="宋体" w:eastAsia="宋体" w:cs="宋体"/>
          <w:szCs w:val="21"/>
          <w:highlight w:val="none"/>
        </w:rPr>
      </w:pPr>
      <w:r>
        <w:rPr>
          <w:rFonts w:hint="eastAsia" w:ascii="宋体" w:hAnsi="宋体" w:eastAsia="宋体" w:cs="宋体"/>
          <w:b/>
          <w:color w:val="auto"/>
          <w:sz w:val="22"/>
          <w:szCs w:val="22"/>
          <w:highlight w:val="none"/>
          <w:lang w:val="en-US" w:eastAsia="zh-CN"/>
        </w:rPr>
        <w:t>合同签订</w:t>
      </w:r>
      <w:r>
        <w:rPr>
          <w:rFonts w:hint="eastAsia" w:ascii="宋体" w:hAnsi="宋体" w:eastAsia="宋体" w:cs="宋体"/>
          <w:b/>
          <w:color w:val="auto"/>
          <w:sz w:val="22"/>
          <w:szCs w:val="22"/>
          <w:highlight w:val="none"/>
        </w:rPr>
        <w:t>采用1+1</w:t>
      </w:r>
      <w:r>
        <w:rPr>
          <w:rFonts w:hint="eastAsia" w:ascii="宋体" w:hAnsi="宋体" w:eastAsia="宋体" w:cs="宋体"/>
          <w:b/>
          <w:color w:val="auto"/>
          <w:sz w:val="22"/>
          <w:szCs w:val="22"/>
          <w:highlight w:val="none"/>
          <w:lang w:val="en-US" w:eastAsia="zh-CN"/>
        </w:rPr>
        <w:t>+1年</w:t>
      </w:r>
      <w:r>
        <w:rPr>
          <w:rFonts w:hint="eastAsia" w:ascii="宋体" w:hAnsi="宋体" w:eastAsia="宋体" w:cs="宋体"/>
          <w:b/>
          <w:color w:val="auto"/>
          <w:sz w:val="22"/>
          <w:szCs w:val="22"/>
          <w:highlight w:val="none"/>
        </w:rPr>
        <w:t>模式，一年一签</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在合同到期前由甲方组织项目单位对乙方的服务情况进行考评，考评合格（年平均考核分达到90分为合格）后，如甲方需要且乙方提出申请，可以续签下一年服务合同（最多续签2次，以另签合同为准）。即使具备续签条件，甲方仍有权不续签。</w:t>
      </w:r>
      <w:r>
        <w:rPr>
          <w:rFonts w:hint="eastAsia" w:ascii="宋体" w:hAnsi="宋体" w:eastAsia="宋体" w:cs="宋体"/>
          <w:szCs w:val="21"/>
          <w:highlight w:val="none"/>
        </w:rPr>
        <w:t>除因政策性因素引起改变的，续签合同的主要条款不予调整。保险行业有新政策出台（如保险费率降低、理赔条款放开、交通违法浮动系数采用），按新政策最优服务执行的承诺。</w:t>
      </w:r>
    </w:p>
    <w:p>
      <w:pPr>
        <w:ind w:firstLine="422" w:firstLineChars="200"/>
        <w:rPr>
          <w:rFonts w:hint="eastAsia" w:ascii="宋体" w:hAnsi="宋体" w:eastAsia="宋体" w:cs="宋体"/>
          <w:b/>
          <w:bCs/>
          <w:szCs w:val="21"/>
        </w:rPr>
      </w:pPr>
    </w:p>
    <w:p>
      <w:pPr>
        <w:ind w:firstLine="422" w:firstLineChars="200"/>
        <w:rPr>
          <w:rFonts w:hint="eastAsia" w:ascii="宋体" w:hAnsi="宋体" w:eastAsia="宋体" w:cs="宋体"/>
          <w:szCs w:val="21"/>
        </w:rPr>
      </w:pPr>
      <w:r>
        <w:rPr>
          <w:rFonts w:hint="eastAsia" w:ascii="宋体" w:hAnsi="宋体" w:eastAsia="宋体" w:cs="宋体"/>
          <w:b/>
          <w:bCs/>
          <w:szCs w:val="21"/>
        </w:rPr>
        <w:t>第十</w:t>
      </w:r>
      <w:r>
        <w:rPr>
          <w:rFonts w:hint="eastAsia" w:ascii="宋体" w:hAnsi="宋体" w:eastAsia="宋体" w:cs="宋体"/>
          <w:b/>
          <w:bCs/>
          <w:szCs w:val="21"/>
          <w:lang w:val="en-US" w:eastAsia="zh-CN"/>
        </w:rPr>
        <w:t>一</w:t>
      </w:r>
      <w:r>
        <w:rPr>
          <w:rFonts w:hint="eastAsia" w:ascii="宋体" w:hAnsi="宋体" w:eastAsia="宋体" w:cs="宋体"/>
          <w:b/>
          <w:bCs/>
          <w:szCs w:val="21"/>
        </w:rPr>
        <w:t>条、</w:t>
      </w:r>
      <w:r>
        <w:rPr>
          <w:rFonts w:hint="eastAsia" w:ascii="宋体" w:hAnsi="宋体" w:eastAsia="宋体" w:cs="宋体"/>
          <w:szCs w:val="21"/>
        </w:rPr>
        <w:t>本项目的采购文件，乙方的投标文件及询标答复均作为签订本合同的依据与组成部分，与本合同具有同等效力。若有歧义，以有利于甲方</w:t>
      </w:r>
      <w:r>
        <w:rPr>
          <w:rFonts w:hint="eastAsia" w:ascii="宋体" w:hAnsi="宋体" w:eastAsia="宋体" w:cs="宋体"/>
          <w:szCs w:val="21"/>
          <w:lang w:eastAsia="zh-CN"/>
        </w:rPr>
        <w:t>（</w:t>
      </w:r>
      <w:r>
        <w:rPr>
          <w:rFonts w:hint="eastAsia" w:ascii="宋体" w:hAnsi="宋体" w:eastAsia="宋体" w:cs="宋体"/>
          <w:szCs w:val="21"/>
          <w:lang w:val="en-US" w:eastAsia="zh-CN"/>
        </w:rPr>
        <w:t>投保方</w:t>
      </w:r>
      <w:r>
        <w:rPr>
          <w:rFonts w:hint="eastAsia" w:ascii="宋体" w:hAnsi="宋体" w:eastAsia="宋体" w:cs="宋体"/>
          <w:szCs w:val="21"/>
          <w:lang w:eastAsia="zh-CN"/>
        </w:rPr>
        <w:t>）</w:t>
      </w:r>
      <w:r>
        <w:rPr>
          <w:rFonts w:hint="eastAsia" w:ascii="宋体" w:hAnsi="宋体" w:eastAsia="宋体" w:cs="宋体"/>
          <w:szCs w:val="21"/>
        </w:rPr>
        <w:t>的解释为准。</w:t>
      </w:r>
    </w:p>
    <w:p>
      <w:pPr>
        <w:ind w:firstLine="422" w:firstLineChars="200"/>
        <w:rPr>
          <w:rFonts w:hint="eastAsia" w:ascii="宋体" w:hAnsi="宋体" w:eastAsia="宋体" w:cs="宋体"/>
          <w:b/>
          <w:bCs/>
          <w:szCs w:val="21"/>
        </w:rPr>
      </w:pPr>
    </w:p>
    <w:p>
      <w:pPr>
        <w:ind w:firstLine="422" w:firstLineChars="200"/>
        <w:rPr>
          <w:rFonts w:hint="eastAsia" w:ascii="宋体" w:hAnsi="宋体" w:eastAsia="宋体" w:cs="宋体"/>
          <w:b/>
          <w:bCs/>
          <w:szCs w:val="21"/>
        </w:rPr>
      </w:pPr>
      <w:r>
        <w:rPr>
          <w:rFonts w:hint="eastAsia" w:ascii="宋体" w:hAnsi="宋体" w:eastAsia="宋体" w:cs="宋体"/>
          <w:b/>
          <w:bCs/>
          <w:szCs w:val="21"/>
        </w:rPr>
        <w:t>第十</w:t>
      </w:r>
      <w:r>
        <w:rPr>
          <w:rFonts w:hint="eastAsia" w:ascii="宋体" w:hAnsi="宋体" w:eastAsia="宋体" w:cs="宋体"/>
          <w:b/>
          <w:bCs/>
          <w:szCs w:val="21"/>
          <w:lang w:val="en-US" w:eastAsia="zh-CN"/>
        </w:rPr>
        <w:t>二</w:t>
      </w:r>
      <w:r>
        <w:rPr>
          <w:rFonts w:hint="eastAsia" w:ascii="宋体" w:hAnsi="宋体" w:eastAsia="宋体" w:cs="宋体"/>
          <w:b/>
          <w:bCs/>
          <w:szCs w:val="21"/>
        </w:rPr>
        <w:t>条</w:t>
      </w:r>
      <w:r>
        <w:rPr>
          <w:rFonts w:hint="eastAsia" w:ascii="宋体" w:hAnsi="宋体" w:eastAsia="宋体" w:cs="宋体"/>
          <w:szCs w:val="21"/>
        </w:rPr>
        <w:t>、本合同一式肆份，甲方执贰份、乙方执贰份，由双方法定代表人（负责人）或其授权代表签字、盖公章后生效。</w:t>
      </w:r>
    </w:p>
    <w:p>
      <w:pPr>
        <w:tabs>
          <w:tab w:val="left" w:pos="1062"/>
        </w:tabs>
        <w:ind w:firstLine="420" w:firstLineChars="200"/>
        <w:rPr>
          <w:rFonts w:hint="eastAsia" w:ascii="宋体" w:hAnsi="宋体" w:eastAsia="宋体" w:cs="宋体"/>
          <w:szCs w:val="21"/>
        </w:rPr>
      </w:pPr>
    </w:p>
    <w:p>
      <w:pPr>
        <w:tabs>
          <w:tab w:val="left" w:pos="1062"/>
        </w:tabs>
        <w:ind w:firstLine="420" w:firstLineChars="200"/>
        <w:rPr>
          <w:rFonts w:hint="eastAsia" w:ascii="宋体" w:hAnsi="宋体" w:eastAsia="宋体" w:cs="宋体"/>
          <w:szCs w:val="21"/>
        </w:rPr>
      </w:pPr>
      <w:r>
        <w:rPr>
          <w:rFonts w:hint="eastAsia" w:ascii="宋体" w:hAnsi="宋体" w:eastAsia="宋体" w:cs="宋体"/>
          <w:szCs w:val="21"/>
        </w:rPr>
        <w:t>第十</w:t>
      </w:r>
      <w:r>
        <w:rPr>
          <w:rFonts w:hint="eastAsia" w:ascii="宋体" w:hAnsi="宋体" w:eastAsia="宋体" w:cs="宋体"/>
          <w:szCs w:val="21"/>
          <w:lang w:val="en-US" w:eastAsia="zh-CN"/>
        </w:rPr>
        <w:t>三</w:t>
      </w:r>
      <w:r>
        <w:rPr>
          <w:rFonts w:hint="eastAsia" w:ascii="宋体" w:hAnsi="宋体" w:eastAsia="宋体" w:cs="宋体"/>
          <w:szCs w:val="21"/>
        </w:rPr>
        <w:t>条、本合同应按照中华人民共和国的现行法律进行解释。</w:t>
      </w:r>
    </w:p>
    <w:p>
      <w:pPr>
        <w:rPr>
          <w:rFonts w:hint="eastAsia" w:ascii="宋体" w:hAnsi="宋体" w:eastAsia="宋体" w:cs="宋体"/>
          <w:szCs w:val="21"/>
        </w:rPr>
      </w:pPr>
      <w:r>
        <w:rPr>
          <w:rFonts w:hint="eastAsia" w:ascii="宋体" w:hAnsi="宋体" w:eastAsia="宋体" w:cs="宋体"/>
          <w:szCs w:val="21"/>
        </w:rPr>
        <w:br w:type="page"/>
      </w:r>
    </w:p>
    <w:p>
      <w:pPr>
        <w:rPr>
          <w:rFonts w:hint="eastAsia" w:ascii="宋体" w:hAnsi="宋体" w:eastAsia="宋体" w:cs="宋体"/>
          <w:szCs w:val="21"/>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pPr>
              <w:spacing w:line="480" w:lineRule="auto"/>
              <w:rPr>
                <w:rFonts w:hint="eastAsia" w:ascii="宋体" w:hAnsi="宋体" w:eastAsia="宋体" w:cs="宋体"/>
                <w:szCs w:val="21"/>
              </w:rPr>
            </w:pPr>
          </w:p>
          <w:p>
            <w:pPr>
              <w:spacing w:line="480" w:lineRule="auto"/>
              <w:rPr>
                <w:rFonts w:hint="eastAsia" w:ascii="宋体" w:hAnsi="宋体" w:eastAsia="宋体" w:cs="宋体"/>
                <w:szCs w:val="21"/>
              </w:rPr>
            </w:pPr>
            <w:r>
              <w:rPr>
                <w:rFonts w:hint="eastAsia" w:ascii="宋体" w:hAnsi="宋体" w:eastAsia="宋体" w:cs="宋体"/>
                <w:szCs w:val="21"/>
              </w:rPr>
              <w:t>甲方（盖公章）：</w:t>
            </w:r>
          </w:p>
          <w:p>
            <w:pPr>
              <w:spacing w:line="480" w:lineRule="auto"/>
              <w:rPr>
                <w:rFonts w:hint="eastAsia" w:ascii="宋体" w:hAnsi="宋体" w:eastAsia="宋体" w:cs="宋体"/>
                <w:szCs w:val="21"/>
              </w:rPr>
            </w:pPr>
            <w:r>
              <w:rPr>
                <w:rFonts w:hint="eastAsia" w:ascii="宋体" w:hAnsi="宋体" w:eastAsia="宋体" w:cs="宋体"/>
                <w:szCs w:val="21"/>
              </w:rPr>
              <w:t>法人代表（签字或盖章）：</w:t>
            </w:r>
          </w:p>
          <w:p>
            <w:pPr>
              <w:spacing w:line="480" w:lineRule="auto"/>
              <w:rPr>
                <w:rFonts w:hint="eastAsia" w:ascii="宋体" w:hAnsi="宋体" w:eastAsia="宋体" w:cs="宋体"/>
                <w:szCs w:val="21"/>
              </w:rPr>
            </w:pPr>
            <w:r>
              <w:rPr>
                <w:rFonts w:hint="eastAsia" w:ascii="宋体" w:hAnsi="宋体" w:eastAsia="宋体" w:cs="宋体"/>
                <w:szCs w:val="21"/>
              </w:rPr>
              <w:t>开户银行：</w:t>
            </w:r>
          </w:p>
          <w:p>
            <w:pPr>
              <w:spacing w:line="480" w:lineRule="auto"/>
              <w:rPr>
                <w:rFonts w:hint="eastAsia" w:ascii="宋体" w:hAnsi="宋体" w:eastAsia="宋体" w:cs="宋体"/>
                <w:szCs w:val="21"/>
              </w:rPr>
            </w:pPr>
            <w:r>
              <w:rPr>
                <w:rFonts w:hint="eastAsia" w:ascii="宋体" w:hAnsi="宋体" w:eastAsia="宋体" w:cs="宋体"/>
                <w:szCs w:val="21"/>
              </w:rPr>
              <w:t>账号：</w:t>
            </w:r>
          </w:p>
        </w:tc>
        <w:tc>
          <w:tcPr>
            <w:tcW w:w="4587" w:type="dxa"/>
            <w:shd w:val="clear" w:color="auto" w:fill="auto"/>
            <w:vAlign w:val="top"/>
          </w:tcPr>
          <w:p>
            <w:pPr>
              <w:spacing w:line="480" w:lineRule="auto"/>
              <w:rPr>
                <w:rFonts w:hint="eastAsia" w:ascii="宋体" w:hAnsi="宋体" w:eastAsia="宋体" w:cs="宋体"/>
                <w:szCs w:val="21"/>
              </w:rPr>
            </w:pPr>
          </w:p>
          <w:p>
            <w:pPr>
              <w:spacing w:line="480" w:lineRule="auto"/>
              <w:rPr>
                <w:rFonts w:hint="eastAsia" w:ascii="宋体" w:hAnsi="宋体" w:eastAsia="宋体" w:cs="宋体"/>
                <w:szCs w:val="21"/>
              </w:rPr>
            </w:pPr>
            <w:r>
              <w:rPr>
                <w:rFonts w:hint="eastAsia" w:ascii="宋体" w:hAnsi="宋体" w:eastAsia="宋体" w:cs="宋体"/>
                <w:szCs w:val="21"/>
                <w:lang w:val="en-US" w:eastAsia="zh-CN"/>
              </w:rPr>
              <w:t>乙</w:t>
            </w:r>
            <w:r>
              <w:rPr>
                <w:rFonts w:hint="eastAsia" w:ascii="宋体" w:hAnsi="宋体" w:eastAsia="宋体" w:cs="宋体"/>
                <w:szCs w:val="21"/>
              </w:rPr>
              <w:t>方（盖公章）：</w:t>
            </w:r>
          </w:p>
          <w:p>
            <w:pPr>
              <w:spacing w:line="480" w:lineRule="auto"/>
              <w:rPr>
                <w:rFonts w:hint="eastAsia" w:ascii="宋体" w:hAnsi="宋体" w:eastAsia="宋体" w:cs="宋体"/>
                <w:szCs w:val="21"/>
              </w:rPr>
            </w:pPr>
            <w:r>
              <w:rPr>
                <w:rFonts w:hint="eastAsia" w:ascii="宋体" w:hAnsi="宋体" w:eastAsia="宋体" w:cs="宋体"/>
                <w:szCs w:val="21"/>
              </w:rPr>
              <w:t>法人代表（签字或盖章）：</w:t>
            </w:r>
          </w:p>
          <w:p>
            <w:pPr>
              <w:spacing w:line="480" w:lineRule="auto"/>
              <w:rPr>
                <w:rFonts w:hint="eastAsia" w:ascii="宋体" w:hAnsi="宋体" w:eastAsia="宋体" w:cs="宋体"/>
                <w:szCs w:val="21"/>
              </w:rPr>
            </w:pPr>
            <w:r>
              <w:rPr>
                <w:rFonts w:hint="eastAsia" w:ascii="宋体" w:hAnsi="宋体" w:eastAsia="宋体" w:cs="宋体"/>
                <w:szCs w:val="21"/>
              </w:rPr>
              <w:t>开户银行：</w:t>
            </w:r>
          </w:p>
          <w:p>
            <w:pPr>
              <w:spacing w:line="48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账号：</w:t>
            </w:r>
          </w:p>
        </w:tc>
      </w:tr>
    </w:tbl>
    <w:p>
      <w:pPr>
        <w:spacing w:line="480" w:lineRule="auto"/>
        <w:rPr>
          <w:rFonts w:hint="eastAsia" w:ascii="宋体" w:hAnsi="宋体" w:eastAsia="宋体" w:cs="宋体"/>
          <w:b/>
          <w:bCs/>
          <w:szCs w:val="21"/>
        </w:rPr>
      </w:pPr>
      <w:r>
        <w:rPr>
          <w:rFonts w:hint="eastAsia" w:ascii="宋体" w:hAnsi="宋体" w:eastAsia="宋体" w:cs="宋体"/>
          <w:szCs w:val="21"/>
          <w:lang w:val="en-US" w:eastAsia="zh-CN"/>
        </w:rPr>
        <w:t>日期：</w:t>
      </w:r>
      <w:r>
        <w:rPr>
          <w:rFonts w:hint="eastAsia" w:ascii="宋体" w:hAnsi="宋体" w:eastAsia="宋体" w:cs="宋体"/>
          <w:szCs w:val="21"/>
        </w:rPr>
        <w:t xml:space="preserve">                       </w:t>
      </w:r>
    </w:p>
    <w:p>
      <w:pPr>
        <w:tabs>
          <w:tab w:val="left" w:pos="720"/>
        </w:tabs>
        <w:ind w:firstLine="422" w:firstLineChars="200"/>
        <w:rPr>
          <w:rFonts w:hint="eastAsia" w:ascii="宋体" w:hAnsi="宋体" w:eastAsia="宋体" w:cs="宋体"/>
          <w:b/>
          <w:bCs/>
          <w:szCs w:val="21"/>
        </w:rPr>
      </w:pPr>
      <w:r>
        <w:rPr>
          <w:rFonts w:hint="eastAsia" w:ascii="宋体" w:hAnsi="宋体" w:eastAsia="宋体" w:cs="宋体"/>
          <w:b/>
          <w:bCs/>
          <w:szCs w:val="21"/>
        </w:rPr>
        <w:t xml:space="preserve"> </w:t>
      </w:r>
    </w:p>
    <w:p>
      <w:pPr>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br w:type="page"/>
      </w:r>
    </w:p>
    <w:p>
      <w:pPr>
        <w:spacing w:line="360" w:lineRule="auto"/>
        <w:jc w:val="both"/>
        <w:rPr>
          <w:rFonts w:hint="eastAsia" w:ascii="宋体" w:hAnsi="宋体" w:eastAsia="宋体" w:cs="宋体"/>
          <w:szCs w:val="21"/>
          <w:lang w:val="en-US" w:eastAsia="zh-CN"/>
        </w:rPr>
      </w:pPr>
      <w:r>
        <w:rPr>
          <w:rFonts w:hint="eastAsia" w:ascii="宋体" w:hAnsi="宋体" w:eastAsia="宋体" w:cs="宋体"/>
          <w:szCs w:val="21"/>
          <w:lang w:val="en-US" w:eastAsia="zh-CN"/>
        </w:rPr>
        <w:t>合同附件：</w:t>
      </w:r>
    </w:p>
    <w:p>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服务项目评价表</w:t>
      </w:r>
    </w:p>
    <w:tbl>
      <w:tblPr>
        <w:tblStyle w:val="29"/>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23"/>
        <w:gridCol w:w="3997"/>
        <w:gridCol w:w="1214"/>
        <w:gridCol w:w="120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9" w:type="dxa"/>
            <w:gridSpan w:val="2"/>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名称</w:t>
            </w:r>
          </w:p>
        </w:tc>
        <w:tc>
          <w:tcPr>
            <w:tcW w:w="3997" w:type="dxa"/>
            <w:noWrap w:val="0"/>
            <w:vAlign w:val="center"/>
          </w:tcPr>
          <w:p>
            <w:pPr>
              <w:jc w:val="center"/>
              <w:rPr>
                <w:rFonts w:hint="eastAsia" w:ascii="宋体" w:hAnsi="宋体" w:eastAsia="宋体" w:cs="宋体"/>
                <w:sz w:val="21"/>
                <w:szCs w:val="21"/>
                <w:highlight w:val="none"/>
              </w:rPr>
            </w:pPr>
          </w:p>
        </w:tc>
        <w:tc>
          <w:tcPr>
            <w:tcW w:w="1214"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评价单位</w:t>
            </w:r>
          </w:p>
        </w:tc>
        <w:tc>
          <w:tcPr>
            <w:tcW w:w="2500" w:type="dxa"/>
            <w:gridSpan w:val="2"/>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9" w:type="dxa"/>
            <w:gridSpan w:val="2"/>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标段名称</w:t>
            </w:r>
          </w:p>
        </w:tc>
        <w:tc>
          <w:tcPr>
            <w:tcW w:w="3997" w:type="dxa"/>
            <w:noWrap w:val="0"/>
            <w:vAlign w:val="center"/>
          </w:tcPr>
          <w:p>
            <w:pPr>
              <w:jc w:val="center"/>
              <w:rPr>
                <w:rFonts w:hint="eastAsia" w:ascii="宋体" w:hAnsi="宋体" w:eastAsia="宋体" w:cs="宋体"/>
                <w:sz w:val="21"/>
                <w:szCs w:val="21"/>
                <w:highlight w:val="none"/>
              </w:rPr>
            </w:pPr>
          </w:p>
        </w:tc>
        <w:tc>
          <w:tcPr>
            <w:tcW w:w="1214" w:type="dxa"/>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服务商</w:t>
            </w:r>
          </w:p>
        </w:tc>
        <w:tc>
          <w:tcPr>
            <w:tcW w:w="2500" w:type="dxa"/>
            <w:gridSpan w:val="2"/>
            <w:noWrap w:val="0"/>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9" w:type="dxa"/>
            <w:gridSpan w:val="2"/>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评价阶段</w:t>
            </w:r>
          </w:p>
        </w:tc>
        <w:tc>
          <w:tcPr>
            <w:tcW w:w="7711" w:type="dxa"/>
            <w:gridSpan w:val="4"/>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第  季度（202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  月/  日-202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9" w:type="dxa"/>
            <w:gridSpan w:val="2"/>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服务内容</w:t>
            </w:r>
          </w:p>
        </w:tc>
        <w:tc>
          <w:tcPr>
            <w:tcW w:w="7711" w:type="dxa"/>
            <w:gridSpan w:val="4"/>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车辆保险服务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30" w:type="dxa"/>
            <w:gridSpan w:val="6"/>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2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6414" w:type="dxa"/>
            <w:gridSpan w:val="3"/>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评分内容</w:t>
            </w:r>
          </w:p>
        </w:tc>
        <w:tc>
          <w:tcPr>
            <w:tcW w:w="129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23" w:type="dxa"/>
            <w:noWrap w:val="0"/>
            <w:vAlign w:val="center"/>
          </w:tcPr>
          <w:p>
            <w:pPr>
              <w:jc w:val="center"/>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20</w:t>
            </w:r>
          </w:p>
        </w:tc>
        <w:tc>
          <w:tcPr>
            <w:tcW w:w="6414" w:type="dxa"/>
            <w:gridSpan w:val="3"/>
            <w:noWrap w:val="0"/>
            <w:vAlign w:val="center"/>
          </w:tcPr>
          <w:p>
            <w:pPr>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理赔服务时效：从</w:t>
            </w:r>
            <w:r>
              <w:rPr>
                <w:rFonts w:hint="eastAsia" w:ascii="宋体" w:hAnsi="宋体" w:eastAsia="宋体" w:cs="宋体"/>
                <w:bCs/>
                <w:sz w:val="21"/>
                <w:szCs w:val="21"/>
                <w:highlight w:val="none"/>
                <w:lang w:val="en-US" w:eastAsia="zh-CN"/>
              </w:rPr>
              <w:t>投保单位</w:t>
            </w:r>
            <w:r>
              <w:rPr>
                <w:rFonts w:hint="eastAsia" w:ascii="宋体" w:hAnsi="宋体" w:eastAsia="宋体" w:cs="宋体"/>
                <w:bCs/>
                <w:sz w:val="21"/>
                <w:szCs w:val="21"/>
                <w:highlight w:val="none"/>
              </w:rPr>
              <w:t>报案到完成理赔的时间，如车险小额案件平均理赔时长应不超过2天，</w:t>
            </w:r>
            <w:r>
              <w:rPr>
                <w:rFonts w:hint="eastAsia" w:ascii="宋体" w:hAnsi="宋体" w:eastAsia="宋体" w:cs="宋体"/>
                <w:bCs/>
                <w:sz w:val="21"/>
                <w:szCs w:val="21"/>
                <w:highlight w:val="none"/>
                <w:lang w:val="en-US" w:eastAsia="zh-CN"/>
              </w:rPr>
              <w:t>每超过一天扣2分</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具体时间根据乙方承诺</w:t>
            </w:r>
            <w:r>
              <w:rPr>
                <w:rFonts w:hint="eastAsia" w:ascii="宋体" w:hAnsi="宋体" w:eastAsia="宋体" w:cs="宋体"/>
                <w:bCs/>
                <w:sz w:val="21"/>
                <w:szCs w:val="21"/>
                <w:highlight w:val="none"/>
                <w:lang w:eastAsia="zh-CN"/>
              </w:rPr>
              <w:t>）</w:t>
            </w:r>
          </w:p>
        </w:tc>
        <w:tc>
          <w:tcPr>
            <w:tcW w:w="1297" w:type="dxa"/>
            <w:noWrap w:val="0"/>
            <w:vAlign w:val="center"/>
          </w:tcPr>
          <w:p>
            <w:pPr>
              <w:jc w:val="center"/>
              <w:rPr>
                <w:rFonts w:hint="eastAsia" w:ascii="宋体" w:hAnsi="宋体" w:eastAsia="宋体" w:cs="宋体"/>
                <w:b/>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623" w:type="dxa"/>
            <w:noWrap w:val="0"/>
            <w:vAlign w:val="center"/>
          </w:tcPr>
          <w:p>
            <w:pPr>
              <w:jc w:val="center"/>
              <w:rPr>
                <w:rFonts w:hint="default"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10</w:t>
            </w:r>
          </w:p>
        </w:tc>
        <w:tc>
          <w:tcPr>
            <w:tcW w:w="6414" w:type="dxa"/>
            <w:gridSpan w:val="3"/>
            <w:noWrap w:val="0"/>
            <w:vAlign w:val="center"/>
          </w:tcPr>
          <w:p>
            <w:pPr>
              <w:jc w:val="left"/>
              <w:rPr>
                <w:rFonts w:hint="eastAsia" w:ascii="宋体" w:hAnsi="宋体" w:eastAsia="宋体" w:cs="宋体"/>
                <w:bCs/>
                <w:sz w:val="21"/>
                <w:szCs w:val="21"/>
                <w:highlight w:val="none"/>
                <w:lang w:eastAsia="zh-CN"/>
              </w:rPr>
            </w:pPr>
            <w:r>
              <w:rPr>
                <w:rFonts w:hint="eastAsia" w:ascii="宋体" w:hAnsi="宋体" w:eastAsia="宋体" w:cs="宋体"/>
                <w:sz w:val="21"/>
                <w:szCs w:val="21"/>
                <w:highlight w:val="none"/>
              </w:rPr>
              <w:t>成立健全的专门服务小组</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配备专兼职工作人员，优先办理温州市交发集团及所属各单位的车辆保险</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未设立的扣10分</w:t>
            </w:r>
            <w:r>
              <w:rPr>
                <w:rFonts w:hint="eastAsia" w:ascii="宋体" w:hAnsi="宋体" w:eastAsia="宋体" w:cs="宋体"/>
                <w:bCs/>
                <w:sz w:val="21"/>
                <w:szCs w:val="21"/>
                <w:highlight w:val="none"/>
                <w:lang w:eastAsia="zh-CN"/>
              </w:rPr>
              <w:t>。</w:t>
            </w:r>
          </w:p>
        </w:tc>
        <w:tc>
          <w:tcPr>
            <w:tcW w:w="1297" w:type="dxa"/>
            <w:noWrap w:val="0"/>
            <w:vAlign w:val="center"/>
          </w:tcPr>
          <w:p>
            <w:pPr>
              <w:jc w:val="center"/>
              <w:rPr>
                <w:rFonts w:hint="eastAsia" w:ascii="宋体" w:hAnsi="宋体" w:eastAsia="宋体" w:cs="宋体"/>
                <w:b/>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623" w:type="dxa"/>
            <w:noWrap w:val="0"/>
            <w:vAlign w:val="center"/>
          </w:tcPr>
          <w:p>
            <w:pPr>
              <w:jc w:val="center"/>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20</w:t>
            </w:r>
          </w:p>
        </w:tc>
        <w:tc>
          <w:tcPr>
            <w:tcW w:w="6414" w:type="dxa"/>
            <w:gridSpan w:val="3"/>
            <w:noWrap w:val="0"/>
            <w:vAlign w:val="center"/>
          </w:tcPr>
          <w:p>
            <w:pPr>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理赔服务质量：包括理赔人</w:t>
            </w:r>
            <w:r>
              <w:rPr>
                <w:rFonts w:hint="eastAsia" w:ascii="宋体" w:hAnsi="宋体" w:eastAsia="宋体" w:cs="宋体"/>
                <w:sz w:val="21"/>
                <w:szCs w:val="21"/>
                <w:highlight w:val="none"/>
                <w:lang w:val="en-US" w:eastAsia="zh-CN"/>
              </w:rPr>
              <w:t>公司</w:t>
            </w:r>
            <w:r>
              <w:rPr>
                <w:rFonts w:hint="eastAsia" w:ascii="宋体" w:hAnsi="宋体" w:eastAsia="宋体" w:cs="宋体"/>
                <w:bCs/>
                <w:sz w:val="21"/>
                <w:szCs w:val="21"/>
                <w:highlight w:val="none"/>
              </w:rPr>
              <w:t>员的专业水平、态度、是否及时反馈进展等，如要求理赔服务满意度不低于9</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每低于1%，扣2分。</w:t>
            </w:r>
          </w:p>
        </w:tc>
        <w:tc>
          <w:tcPr>
            <w:tcW w:w="1297" w:type="dxa"/>
            <w:noWrap w:val="0"/>
            <w:vAlign w:val="center"/>
          </w:tcPr>
          <w:p>
            <w:pPr>
              <w:jc w:val="center"/>
              <w:rPr>
                <w:rFonts w:hint="eastAsia" w:ascii="宋体" w:hAnsi="宋体" w:eastAsia="宋体" w:cs="宋体"/>
                <w:b/>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623" w:type="dxa"/>
            <w:noWrap w:val="0"/>
            <w:vAlign w:val="center"/>
          </w:tcPr>
          <w:p>
            <w:pPr>
              <w:jc w:val="center"/>
              <w:rPr>
                <w:rFonts w:hint="default"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20</w:t>
            </w:r>
          </w:p>
        </w:tc>
        <w:tc>
          <w:tcPr>
            <w:tcW w:w="6414" w:type="dxa"/>
            <w:gridSpan w:val="3"/>
            <w:shd w:val="clear" w:color="auto" w:fill="auto"/>
            <w:noWrap w:val="0"/>
            <w:vAlign w:val="center"/>
          </w:tcPr>
          <w:p>
            <w:pPr>
              <w:jc w:val="left"/>
              <w:rPr>
                <w:rFonts w:hint="eastAsia" w:ascii="宋体" w:hAnsi="宋体" w:eastAsia="宋体" w:cs="宋体"/>
                <w:bCs/>
                <w:kern w:val="2"/>
                <w:sz w:val="21"/>
                <w:szCs w:val="21"/>
                <w:highlight w:val="none"/>
                <w:u w:val="none"/>
                <w:lang w:val="en-US" w:eastAsia="zh-CN" w:bidi="ar-SA"/>
              </w:rPr>
            </w:pPr>
            <w:r>
              <w:rPr>
                <w:rFonts w:hint="eastAsia" w:ascii="宋体" w:hAnsi="宋体" w:eastAsia="宋体" w:cs="宋体"/>
                <w:bCs/>
                <w:sz w:val="21"/>
                <w:szCs w:val="21"/>
                <w:highlight w:val="none"/>
                <w:u w:val="none"/>
                <w:lang w:val="en-US" w:eastAsia="zh-CN"/>
              </w:rPr>
              <w:t>到达现场时效：温州市范围内不超过1小时</w:t>
            </w:r>
            <w:r>
              <w:rPr>
                <w:rFonts w:hint="eastAsia" w:ascii="宋体" w:hAnsi="宋体" w:eastAsia="宋体" w:cs="宋体"/>
                <w:bCs/>
                <w:sz w:val="21"/>
                <w:szCs w:val="21"/>
                <w:highlight w:val="none"/>
                <w:u w:val="none"/>
              </w:rPr>
              <w:t>到达现场</w:t>
            </w: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其他地区不超过2小时到达现场，每超15分钟扣1分。</w:t>
            </w:r>
          </w:p>
        </w:tc>
        <w:tc>
          <w:tcPr>
            <w:tcW w:w="1297" w:type="dxa"/>
            <w:noWrap w:val="0"/>
            <w:vAlign w:val="center"/>
          </w:tcPr>
          <w:p>
            <w:pPr>
              <w:jc w:val="center"/>
              <w:rPr>
                <w:rFonts w:hint="eastAsia" w:ascii="宋体" w:hAnsi="宋体" w:eastAsia="宋体" w:cs="宋体"/>
                <w:b/>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623" w:type="dxa"/>
            <w:noWrap w:val="0"/>
            <w:vAlign w:val="center"/>
          </w:tcPr>
          <w:p>
            <w:pPr>
              <w:jc w:val="center"/>
              <w:rPr>
                <w:rFonts w:hint="default"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10</w:t>
            </w:r>
          </w:p>
        </w:tc>
        <w:tc>
          <w:tcPr>
            <w:tcW w:w="6414" w:type="dxa"/>
            <w:gridSpan w:val="3"/>
            <w:noWrap w:val="0"/>
            <w:vAlign w:val="center"/>
          </w:tcPr>
          <w:p>
            <w:pPr>
              <w:jc w:val="left"/>
              <w:rPr>
                <w:rFonts w:hint="eastAsia" w:ascii="宋体" w:hAnsi="宋体" w:eastAsia="宋体" w:cs="宋体"/>
                <w:bCs/>
                <w:sz w:val="21"/>
                <w:szCs w:val="21"/>
                <w:highlight w:val="none"/>
              </w:rPr>
            </w:pPr>
            <w:r>
              <w:rPr>
                <w:rFonts w:hint="eastAsia" w:ascii="宋体" w:hAnsi="宋体" w:eastAsia="宋体" w:cs="宋体"/>
                <w:b w:val="0"/>
                <w:bCs w:val="0"/>
                <w:sz w:val="21"/>
                <w:szCs w:val="21"/>
                <w:highlight w:val="none"/>
                <w:lang w:val="en-US" w:eastAsia="zh-CN"/>
              </w:rPr>
              <w:t>回访满意度：对客户进行回访，了解客户对保险服务各个环节的满意程度，综合满意度需达到85%以上。</w:t>
            </w:r>
            <w:r>
              <w:rPr>
                <w:rFonts w:hint="eastAsia" w:ascii="宋体" w:hAnsi="宋体" w:eastAsia="宋体" w:cs="宋体"/>
                <w:bCs/>
                <w:sz w:val="21"/>
                <w:szCs w:val="21"/>
                <w:highlight w:val="none"/>
                <w:lang w:val="en-US" w:eastAsia="zh-CN"/>
              </w:rPr>
              <w:t>每低于1%，扣2分。</w:t>
            </w:r>
          </w:p>
        </w:tc>
        <w:tc>
          <w:tcPr>
            <w:tcW w:w="1297" w:type="dxa"/>
            <w:noWrap w:val="0"/>
            <w:vAlign w:val="center"/>
          </w:tcPr>
          <w:p>
            <w:pPr>
              <w:jc w:val="center"/>
              <w:rPr>
                <w:rFonts w:hint="eastAsia" w:ascii="宋体" w:hAnsi="宋体" w:eastAsia="宋体" w:cs="宋体"/>
                <w:b/>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623" w:type="dxa"/>
            <w:noWrap w:val="0"/>
            <w:vAlign w:val="center"/>
          </w:tcPr>
          <w:p>
            <w:pPr>
              <w:jc w:val="center"/>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20</w:t>
            </w:r>
          </w:p>
        </w:tc>
        <w:tc>
          <w:tcPr>
            <w:tcW w:w="6414" w:type="dxa"/>
            <w:gridSpan w:val="3"/>
            <w:noWrap w:val="0"/>
            <w:vAlign w:val="center"/>
          </w:tcPr>
          <w:p>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bidi="ar"/>
              </w:rPr>
              <w:t>服务</w:t>
            </w:r>
            <w:r>
              <w:rPr>
                <w:rFonts w:hint="eastAsia" w:ascii="宋体" w:hAnsi="宋体" w:eastAsia="宋体" w:cs="宋体"/>
                <w:bCs/>
                <w:sz w:val="21"/>
                <w:szCs w:val="21"/>
                <w:highlight w:val="none"/>
              </w:rPr>
              <w:t>投诉情况：因</w:t>
            </w:r>
            <w:r>
              <w:rPr>
                <w:rFonts w:hint="eastAsia" w:ascii="宋体" w:hAnsi="宋体" w:eastAsia="宋体" w:cs="宋体"/>
                <w:bCs/>
                <w:sz w:val="21"/>
                <w:szCs w:val="21"/>
                <w:highlight w:val="none"/>
                <w:lang w:val="en-US" w:eastAsia="zh-CN"/>
              </w:rPr>
              <w:t>服务质量、</w:t>
            </w:r>
            <w:r>
              <w:rPr>
                <w:rFonts w:hint="eastAsia" w:ascii="宋体" w:hAnsi="宋体" w:eastAsia="宋体" w:cs="宋体"/>
                <w:bCs/>
                <w:sz w:val="21"/>
                <w:szCs w:val="21"/>
                <w:highlight w:val="none"/>
                <w:lang w:bidi="ar"/>
              </w:rPr>
              <w:t>服务人员服务态度恶劣，</w:t>
            </w:r>
            <w:r>
              <w:rPr>
                <w:rFonts w:hint="eastAsia" w:ascii="宋体" w:hAnsi="宋体" w:eastAsia="宋体" w:cs="宋体"/>
                <w:bCs/>
                <w:sz w:val="21"/>
                <w:szCs w:val="21"/>
                <w:highlight w:val="none"/>
                <w:lang w:val="en-US" w:eastAsia="zh-CN" w:bidi="ar"/>
              </w:rPr>
              <w:t>导致需求单位</w:t>
            </w:r>
            <w:r>
              <w:rPr>
                <w:rFonts w:hint="eastAsia" w:ascii="宋体" w:hAnsi="宋体" w:eastAsia="宋体" w:cs="宋体"/>
                <w:bCs/>
                <w:sz w:val="21"/>
                <w:szCs w:val="21"/>
                <w:highlight w:val="none"/>
                <w:lang w:bidi="ar"/>
              </w:rPr>
              <w:t>投诉的，每收到一次投诉扣</w:t>
            </w:r>
            <w:r>
              <w:rPr>
                <w:rFonts w:hint="eastAsia" w:ascii="宋体" w:hAnsi="宋体" w:eastAsia="宋体" w:cs="宋体"/>
                <w:bCs/>
                <w:sz w:val="21"/>
                <w:szCs w:val="21"/>
                <w:highlight w:val="none"/>
                <w:lang w:val="en-US" w:eastAsia="zh-CN" w:bidi="ar"/>
              </w:rPr>
              <w:t>5</w:t>
            </w:r>
            <w:r>
              <w:rPr>
                <w:rFonts w:hint="eastAsia" w:ascii="宋体" w:hAnsi="宋体" w:eastAsia="宋体" w:cs="宋体"/>
                <w:bCs/>
                <w:sz w:val="21"/>
                <w:szCs w:val="21"/>
                <w:highlight w:val="none"/>
                <w:lang w:bidi="ar"/>
              </w:rPr>
              <w:t>分，扣完为止。</w:t>
            </w:r>
          </w:p>
        </w:tc>
        <w:tc>
          <w:tcPr>
            <w:tcW w:w="1297" w:type="dxa"/>
            <w:noWrap w:val="0"/>
            <w:vAlign w:val="center"/>
          </w:tcPr>
          <w:p>
            <w:pPr>
              <w:jc w:val="center"/>
              <w:rPr>
                <w:rFonts w:hint="eastAsia" w:ascii="宋体" w:hAnsi="宋体" w:eastAsia="宋体" w:cs="宋体"/>
                <w:b/>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623" w:type="dxa"/>
            <w:noWrap w:val="0"/>
            <w:vAlign w:val="center"/>
          </w:tcPr>
          <w:p>
            <w:pPr>
              <w:jc w:val="center"/>
              <w:rPr>
                <w:rFonts w:hint="default" w:ascii="宋体" w:hAnsi="宋体" w:eastAsia="宋体" w:cs="宋体"/>
                <w:sz w:val="21"/>
                <w:szCs w:val="21"/>
                <w:highlight w:val="none"/>
                <w:u w:val="none"/>
                <w:lang w:eastAsia="zh-CN"/>
              </w:rPr>
            </w:pPr>
            <w:r>
              <w:rPr>
                <w:rFonts w:hint="default" w:ascii="宋体" w:hAnsi="宋体" w:eastAsia="宋体" w:cs="宋体"/>
                <w:sz w:val="21"/>
                <w:szCs w:val="21"/>
                <w:highlight w:val="none"/>
                <w:u w:val="none"/>
                <w:lang w:eastAsia="zh-CN"/>
              </w:rPr>
              <w:fldChar w:fldCharType="begin"/>
            </w:r>
            <w:r>
              <w:rPr>
                <w:rFonts w:hint="default" w:ascii="宋体" w:hAnsi="宋体" w:eastAsia="宋体" w:cs="宋体"/>
                <w:sz w:val="21"/>
                <w:szCs w:val="21"/>
                <w:highlight w:val="none"/>
                <w:u w:val="none"/>
                <w:lang w:eastAsia="zh-CN"/>
              </w:rPr>
              <w:instrText xml:space="preserve"> =SUM(ABOVE) \* MERGEFORMAT </w:instrText>
            </w:r>
            <w:r>
              <w:rPr>
                <w:rFonts w:hint="default" w:ascii="宋体" w:hAnsi="宋体" w:eastAsia="宋体" w:cs="宋体"/>
                <w:sz w:val="21"/>
                <w:szCs w:val="21"/>
                <w:highlight w:val="none"/>
                <w:u w:val="none"/>
                <w:lang w:eastAsia="zh-CN"/>
              </w:rPr>
              <w:fldChar w:fldCharType="separate"/>
            </w:r>
            <w:r>
              <w:rPr>
                <w:rFonts w:hint="default" w:ascii="宋体" w:hAnsi="宋体" w:eastAsia="宋体" w:cs="宋体"/>
                <w:sz w:val="21"/>
                <w:szCs w:val="21"/>
                <w:highlight w:val="none"/>
                <w:u w:val="none"/>
                <w:lang w:eastAsia="zh-CN"/>
              </w:rPr>
              <w:t>100</w:t>
            </w:r>
            <w:r>
              <w:rPr>
                <w:rFonts w:hint="default" w:ascii="宋体" w:hAnsi="宋体" w:eastAsia="宋体" w:cs="宋体"/>
                <w:sz w:val="21"/>
                <w:szCs w:val="21"/>
                <w:highlight w:val="none"/>
                <w:u w:val="none"/>
                <w:lang w:eastAsia="zh-CN"/>
              </w:rPr>
              <w:fldChar w:fldCharType="end"/>
            </w:r>
          </w:p>
        </w:tc>
        <w:tc>
          <w:tcPr>
            <w:tcW w:w="6414" w:type="dxa"/>
            <w:gridSpan w:val="3"/>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297" w:type="dxa"/>
            <w:noWrap w:val="0"/>
            <w:vAlign w:val="center"/>
          </w:tcPr>
          <w:p>
            <w:pPr>
              <w:jc w:val="center"/>
              <w:rPr>
                <w:rFonts w:hint="eastAsia" w:ascii="宋体" w:hAnsi="宋体" w:eastAsia="宋体" w:cs="宋体"/>
                <w:b/>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30" w:type="dxa"/>
            <w:gridSpan w:val="6"/>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评价结果</w:t>
            </w: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jc w:val="right"/>
              <w:rPr>
                <w:rFonts w:hint="eastAsia" w:ascii="宋体" w:hAnsi="宋体" w:eastAsia="宋体" w:cs="宋体"/>
                <w:sz w:val="21"/>
                <w:szCs w:val="21"/>
                <w:highlight w:val="none"/>
              </w:rPr>
            </w:pPr>
          </w:p>
          <w:p>
            <w:pPr>
              <w:jc w:val="both"/>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ind w:firstLine="4830" w:firstLineChars="2300"/>
              <w:jc w:val="right"/>
              <w:rPr>
                <w:rFonts w:hint="eastAsia" w:ascii="宋体" w:hAnsi="宋体" w:eastAsia="宋体" w:cs="宋体"/>
                <w:sz w:val="21"/>
                <w:szCs w:val="21"/>
                <w:highlight w:val="none"/>
              </w:rPr>
            </w:pPr>
          </w:p>
          <w:p>
            <w:pPr>
              <w:tabs>
                <w:tab w:val="left" w:pos="7032"/>
                <w:tab w:val="left" w:pos="7452"/>
                <w:tab w:val="left" w:pos="7797"/>
              </w:tabs>
              <w:ind w:right="1151" w:rightChars="548"/>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评价人： </w:t>
            </w:r>
          </w:p>
          <w:p>
            <w:pPr>
              <w:wordWrap w:val="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年</w:t>
            </w:r>
            <w:r>
              <w:rPr>
                <w:rFonts w:hint="eastAsia" w:ascii="宋体" w:hAnsi="宋体" w:eastAsia="宋体" w:cs="宋体"/>
                <w:b/>
                <w:color w:val="0000FF"/>
                <w:sz w:val="21"/>
                <w:szCs w:val="21"/>
                <w:highlight w:val="none"/>
              </w:rPr>
              <w:t xml:space="preserve">  </w:t>
            </w:r>
            <w:r>
              <w:rPr>
                <w:rFonts w:hint="eastAsia" w:ascii="宋体" w:hAnsi="宋体" w:eastAsia="宋体" w:cs="宋体"/>
                <w:sz w:val="21"/>
                <w:szCs w:val="21"/>
                <w:highlight w:val="none"/>
              </w:rPr>
              <w:t>月</w:t>
            </w:r>
            <w:r>
              <w:rPr>
                <w:rFonts w:hint="eastAsia" w:ascii="宋体" w:hAnsi="宋体" w:eastAsia="宋体" w:cs="宋体"/>
                <w:color w:val="0000FF"/>
                <w:sz w:val="21"/>
                <w:szCs w:val="21"/>
                <w:highlight w:val="none"/>
              </w:rPr>
              <w:t xml:space="preserve"> </w:t>
            </w:r>
            <w:r>
              <w:rPr>
                <w:rFonts w:hint="eastAsia" w:ascii="宋体" w:hAnsi="宋体" w:eastAsia="宋体" w:cs="宋体"/>
                <w:sz w:val="21"/>
                <w:szCs w:val="21"/>
                <w:highlight w:val="none"/>
              </w:rPr>
              <w:t xml:space="preserve"> 日</w:t>
            </w:r>
          </w:p>
        </w:tc>
      </w:tr>
    </w:tbl>
    <w:p>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1、甲方可以根据实际工作需要，适当修改相关考核指标，乙方必须无条件接受。</w:t>
      </w:r>
    </w:p>
    <w:p>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2、甲方对乙方服务的考核：</w:t>
      </w:r>
    </w:p>
    <w:p>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2.1甲方每季度对乙方前期服务情况进行考核，年考核平均得分达到90分的为年度考核合格；</w:t>
      </w:r>
    </w:p>
    <w:p>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2.2乙方一个年度合同里出现无正当理由出现拒绝服务的，视作年度考核不合格；</w:t>
      </w:r>
    </w:p>
    <w:p>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2.3合同期内，累计2次季度考核不合格，或者年度考核不合格的，甲方有权提前解除乙方服务合同，取消乙方续签后续年度服务合同资格，给甲方造成损失的，甲方有权依法索赔；</w:t>
      </w:r>
    </w:p>
    <w:p>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2.4当事人一方要求变更或解除合同时，则应当在30日前通知对方；因变更或解除合同使一方遭受损失的，应由责任方负责赔偿（乙方考核不合格，或者甲方按合同规定解除合同除外）；</w:t>
      </w:r>
    </w:p>
    <w:p>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2.5变更或解除合同的通知或协议应当采取书面形式，新的协议未签订之前，原合同仍然有效。</w:t>
      </w:r>
    </w:p>
    <w:p>
      <w:pPr>
        <w:pStyle w:val="40"/>
        <w:ind w:firstLine="210"/>
        <w:rPr>
          <w:rFonts w:hint="eastAsia" w:ascii="宋体" w:hAnsi="宋体" w:eastAsia="宋体" w:cs="宋体"/>
        </w:rPr>
      </w:pPr>
    </w:p>
    <w:p>
      <w:pPr>
        <w:rPr>
          <w:rFonts w:hint="eastAsia" w:ascii="宋体" w:hAnsi="宋体" w:eastAsia="宋体" w:cs="宋体"/>
          <w:szCs w:val="21"/>
        </w:rPr>
      </w:pPr>
    </w:p>
    <w:p>
      <w:pPr>
        <w:rPr>
          <w:rFonts w:hint="eastAsia" w:ascii="宋体" w:hAnsi="宋体" w:eastAsia="宋体" w:cs="宋体"/>
          <w:sz w:val="44"/>
          <w:szCs w:val="44"/>
          <w:highlight w:val="none"/>
        </w:rPr>
      </w:pPr>
    </w:p>
    <w:p>
      <w:pPr>
        <w:pStyle w:val="11"/>
        <w:rPr>
          <w:rFonts w:hint="eastAsia" w:ascii="宋体" w:hAnsi="宋体" w:eastAsia="宋体" w:cs="宋体"/>
          <w:highlight w:val="none"/>
        </w:rPr>
      </w:pPr>
    </w:p>
    <w:p>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pPr>
        <w:pStyle w:val="11"/>
        <w:ind w:firstLine="440"/>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70"/>
      <w:bookmarkEnd w:id="171"/>
      <w:bookmarkEnd w:id="172"/>
      <w:bookmarkEnd w:id="173"/>
      <w:bookmarkEnd w:id="174"/>
      <w:bookmarkEnd w:id="175"/>
      <w:bookmarkEnd w:id="176"/>
      <w:bookmarkEnd w:id="177"/>
      <w:bookmarkEnd w:id="178"/>
      <w:bookmarkEnd w:id="179"/>
      <w:r>
        <w:rPr>
          <w:rFonts w:hint="eastAsia" w:ascii="宋体" w:hAnsi="宋体" w:eastAsia="宋体" w:cs="宋体"/>
          <w:sz w:val="44"/>
          <w:szCs w:val="44"/>
          <w:highlight w:val="none"/>
        </w:rPr>
        <w:t xml:space="preserve"> 投标文件的编制格式</w:t>
      </w:r>
      <w:bookmarkEnd w:id="180"/>
    </w:p>
    <w:p>
      <w:pPr>
        <w:snapToGrid w:val="0"/>
        <w:spacing w:before="120" w:beforeLines="50" w:after="50"/>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一、投标文件外层包装封面格式</w:t>
      </w:r>
    </w:p>
    <w:p>
      <w:pPr>
        <w:snapToGrid w:val="0"/>
        <w:spacing w:before="120" w:beforeLines="50" w:after="5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mc:AlternateContent>
          <mc:Choice Requires="wps">
            <w:drawing>
              <wp:inline distT="0" distB="0" distL="114300" distR="114300">
                <wp:extent cx="5730875" cy="3418840"/>
                <wp:effectExtent l="4445" t="4445" r="17780" b="5715"/>
                <wp:docPr id="2" name="文本框 12"/>
                <wp:cNvGraphicFramePr/>
                <a:graphic xmlns:a="http://schemas.openxmlformats.org/drawingml/2006/main">
                  <a:graphicData uri="http://schemas.microsoft.com/office/word/2010/wordprocessingShape">
                    <wps:wsp>
                      <wps:cNvSpPr txBox="1"/>
                      <wps:spPr>
                        <a:xfrm>
                          <a:off x="0" y="0"/>
                          <a:ext cx="5730875" cy="3418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center"/>
                              <w:rPr>
                                <w:rFonts w:ascii="宋体" w:hAnsi="宋体"/>
                                <w:bCs/>
                                <w:sz w:val="24"/>
                                <w:szCs w:val="20"/>
                              </w:rPr>
                            </w:pPr>
                            <w:r>
                              <w:rPr>
                                <w:rFonts w:hint="eastAsia" w:ascii="宋体" w:hAnsi="宋体"/>
                                <w:bCs/>
                                <w:sz w:val="24"/>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hint="default" w:ascii="宋体" w:hAnsi="宋体" w:eastAsia="等线" w:cs="宋体"/>
                                <w:sz w:val="24"/>
                                <w:lang w:val="en-US" w:eastAsia="zh-CN"/>
                              </w:rPr>
                            </w:pPr>
                            <w:r>
                              <w:rPr>
                                <w:rFonts w:hint="eastAsia" w:ascii="宋体" w:hAnsi="宋体" w:cs="宋体"/>
                                <w:sz w:val="24"/>
                                <w:lang w:val="en-US" w:eastAsia="zh-CN"/>
                              </w:rPr>
                              <w:t>标段名称：</w:t>
                            </w:r>
                          </w:p>
                          <w:p>
                            <w:pPr>
                              <w:snapToGrid w:val="0"/>
                              <w:spacing w:before="120" w:beforeLines="50" w:after="50"/>
                              <w:ind w:firstLine="1068" w:firstLineChars="445"/>
                              <w:rPr>
                                <w:rFonts w:ascii="宋体" w:hAnsi="宋体" w:cs="宋体"/>
                                <w:sz w:val="24"/>
                              </w:rPr>
                            </w:pPr>
                            <w:r>
                              <w:rPr>
                                <w:rFonts w:hint="eastAsia" w:ascii="宋体" w:hAnsi="宋体" w:cs="宋体"/>
                                <w:sz w:val="24"/>
                                <w:lang w:val="en-US" w:eastAsia="zh-CN"/>
                              </w:rPr>
                              <w:t>标段</w:t>
                            </w:r>
                            <w:r>
                              <w:rPr>
                                <w:rFonts w:hint="eastAsia" w:ascii="宋体" w:hAnsi="宋体" w:cs="宋体"/>
                                <w:sz w:val="24"/>
                              </w:rPr>
                              <w:t>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pPr>
                              <w:pStyle w:val="13"/>
                              <w:ind w:left="1470" w:right="-252"/>
                            </w:pPr>
                          </w:p>
                          <w:p>
                            <w:pPr>
                              <w:snapToGrid w:val="0"/>
                              <w:spacing w:before="120" w:beforeLines="50" w:after="50"/>
                              <w:jc w:val="center"/>
                              <w:outlineLvl w:val="1"/>
                              <w:rPr>
                                <w:rFonts w:ascii="宋体"/>
                                <w:sz w:val="24"/>
                              </w:rPr>
                            </w:pPr>
                            <w:bookmarkStart w:id="231" w:name="_Toc41423822"/>
                            <w:bookmarkStart w:id="232" w:name="_Toc35423267"/>
                            <w:bookmarkStart w:id="233" w:name="_Toc35422317"/>
                            <w:r>
                              <w:rPr>
                                <w:rFonts w:hint="eastAsia" w:ascii="宋体" w:hAnsi="宋体" w:cs="宋体"/>
                                <w:sz w:val="24"/>
                              </w:rPr>
                              <w:t>在    年   月   日   时   分之前不得启封</w:t>
                            </w:r>
                            <w:bookmarkEnd w:id="231"/>
                            <w:bookmarkEnd w:id="232"/>
                            <w:bookmarkEnd w:id="233"/>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pPr>
                              <w:snapToGrid w:val="0"/>
                              <w:spacing w:before="120" w:beforeLines="50" w:after="50"/>
                              <w:ind w:firstLine="1068" w:firstLineChars="445"/>
                              <w:jc w:val="right"/>
                              <w:rPr>
                                <w:rFonts w:ascii="宋体" w:hAnsi="宋体"/>
                                <w:bCs/>
                                <w:sz w:val="24"/>
                              </w:rPr>
                            </w:pPr>
                          </w:p>
                        </w:txbxContent>
                      </wps:txbx>
                      <wps:bodyPr upright="1"/>
                    </wps:wsp>
                  </a:graphicData>
                </a:graphic>
              </wp:inline>
            </w:drawing>
          </mc:Choice>
          <mc:Fallback>
            <w:pict>
              <v:shape id="文本框 12" o:spid="_x0000_s1026" o:spt="202" type="#_x0000_t202" style="height:269.2pt;width:451.25pt;" fillcolor="#FFFFFF" filled="t" stroked="t" coordsize="21600,21600" o:gfxdata="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Y1nmtYAAAAFAQAADwAAAAAAAAABACAA&#10;AAAiAAAAZHJzL2Rvd25yZXYueG1sUEsBAhQAFAAAAAgAh07iQHTmKPUPAgAAOAQAAA4AAAAAAAAA&#10;AQAgAAAAJQEAAGRycy9lMm9Eb2MueG1sUEsFBgAAAAAGAAYAWQEAAKYFAAAAAA==&#10;">
                <v:fill on="t" focussize="0,0"/>
                <v:stroke color="#000000" joinstyle="miter"/>
                <v:imagedata o:title=""/>
                <o:lock v:ext="edit" aspectratio="f"/>
                <v:textbox>
                  <w:txbxContent>
                    <w:p>
                      <w:pPr>
                        <w:snapToGrid w:val="0"/>
                        <w:spacing w:before="120" w:beforeLines="50" w:after="50"/>
                        <w:jc w:val="center"/>
                        <w:rPr>
                          <w:rFonts w:ascii="宋体" w:hAnsi="宋体"/>
                          <w:bCs/>
                          <w:sz w:val="24"/>
                          <w:szCs w:val="20"/>
                        </w:rPr>
                      </w:pPr>
                      <w:r>
                        <w:rPr>
                          <w:rFonts w:hint="eastAsia" w:ascii="宋体" w:hAnsi="宋体"/>
                          <w:bCs/>
                          <w:sz w:val="24"/>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hint="default" w:ascii="宋体" w:hAnsi="宋体" w:eastAsia="等线" w:cs="宋体"/>
                          <w:sz w:val="24"/>
                          <w:lang w:val="en-US" w:eastAsia="zh-CN"/>
                        </w:rPr>
                      </w:pPr>
                      <w:r>
                        <w:rPr>
                          <w:rFonts w:hint="eastAsia" w:ascii="宋体" w:hAnsi="宋体" w:cs="宋体"/>
                          <w:sz w:val="24"/>
                          <w:lang w:val="en-US" w:eastAsia="zh-CN"/>
                        </w:rPr>
                        <w:t>标段名称：</w:t>
                      </w:r>
                    </w:p>
                    <w:p>
                      <w:pPr>
                        <w:snapToGrid w:val="0"/>
                        <w:spacing w:before="120" w:beforeLines="50" w:after="50"/>
                        <w:ind w:firstLine="1068" w:firstLineChars="445"/>
                        <w:rPr>
                          <w:rFonts w:ascii="宋体" w:hAnsi="宋体" w:cs="宋体"/>
                          <w:sz w:val="24"/>
                        </w:rPr>
                      </w:pPr>
                      <w:r>
                        <w:rPr>
                          <w:rFonts w:hint="eastAsia" w:ascii="宋体" w:hAnsi="宋体" w:cs="宋体"/>
                          <w:sz w:val="24"/>
                          <w:lang w:val="en-US" w:eastAsia="zh-CN"/>
                        </w:rPr>
                        <w:t>标段</w:t>
                      </w:r>
                      <w:r>
                        <w:rPr>
                          <w:rFonts w:hint="eastAsia" w:ascii="宋体" w:hAnsi="宋体" w:cs="宋体"/>
                          <w:sz w:val="24"/>
                        </w:rPr>
                        <w:t>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pPr>
                        <w:pStyle w:val="13"/>
                        <w:ind w:left="1470" w:right="-252"/>
                      </w:pPr>
                    </w:p>
                    <w:p>
                      <w:pPr>
                        <w:snapToGrid w:val="0"/>
                        <w:spacing w:before="120" w:beforeLines="50" w:after="50"/>
                        <w:jc w:val="center"/>
                        <w:outlineLvl w:val="1"/>
                        <w:rPr>
                          <w:rFonts w:ascii="宋体"/>
                          <w:sz w:val="24"/>
                        </w:rPr>
                      </w:pPr>
                      <w:bookmarkStart w:id="231" w:name="_Toc41423822"/>
                      <w:bookmarkStart w:id="232" w:name="_Toc35423267"/>
                      <w:bookmarkStart w:id="233" w:name="_Toc35422317"/>
                      <w:r>
                        <w:rPr>
                          <w:rFonts w:hint="eastAsia" w:ascii="宋体" w:hAnsi="宋体" w:cs="宋体"/>
                          <w:sz w:val="24"/>
                        </w:rPr>
                        <w:t>在    年   月   日   时   分之前不得启封</w:t>
                      </w:r>
                      <w:bookmarkEnd w:id="231"/>
                      <w:bookmarkEnd w:id="232"/>
                      <w:bookmarkEnd w:id="233"/>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pPr>
                        <w:snapToGrid w:val="0"/>
                        <w:spacing w:before="120" w:beforeLines="50" w:after="50"/>
                        <w:ind w:firstLine="1068" w:firstLineChars="445"/>
                        <w:jc w:val="right"/>
                        <w:rPr>
                          <w:rFonts w:ascii="宋体" w:hAnsi="宋体"/>
                          <w:bCs/>
                          <w:sz w:val="24"/>
                        </w:rPr>
                      </w:pPr>
                    </w:p>
                  </w:txbxContent>
                </v:textbox>
                <w10:wrap type="none"/>
                <w10:anchorlock/>
              </v:shape>
            </w:pict>
          </mc:Fallback>
        </mc:AlternateContent>
      </w: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snapToGrid w:val="0"/>
        <w:spacing w:before="120" w:beforeLines="50" w:after="50"/>
        <w:jc w:val="center"/>
        <w:outlineLvl w:val="1"/>
        <w:rPr>
          <w:rFonts w:hint="eastAsia" w:ascii="宋体" w:hAnsi="宋体" w:eastAsia="宋体" w:cs="宋体"/>
          <w:bCs/>
          <w:color w:val="auto"/>
          <w:sz w:val="24"/>
          <w:szCs w:val="20"/>
          <w:highlight w:val="none"/>
        </w:rPr>
      </w:pPr>
      <w:bookmarkStart w:id="181" w:name="_Toc35423269"/>
      <w:bookmarkStart w:id="182" w:name="_Toc41423824"/>
      <w:r>
        <w:rPr>
          <w:rFonts w:hint="eastAsia" w:ascii="宋体" w:hAnsi="宋体" w:eastAsia="宋体" w:cs="宋体"/>
          <w:bCs/>
          <w:color w:val="auto"/>
          <w:sz w:val="24"/>
          <w:szCs w:val="20"/>
          <w:highlight w:val="none"/>
        </w:rPr>
        <mc:AlternateContent>
          <mc:Choice Requires="wps">
            <w:drawing>
              <wp:inline distT="0" distB="0" distL="114300" distR="114300">
                <wp:extent cx="5734050" cy="3312795"/>
                <wp:effectExtent l="4445" t="4445" r="6985" b="5080"/>
                <wp:docPr id="3" name="文本框 11"/>
                <wp:cNvGraphicFramePr/>
                <a:graphic xmlns:a="http://schemas.openxmlformats.org/drawingml/2006/main">
                  <a:graphicData uri="http://schemas.microsoft.com/office/word/2010/wordprocessingShape">
                    <wps:wsp>
                      <wps:cNvSpPr txBox="1"/>
                      <wps:spPr>
                        <a:xfrm>
                          <a:off x="0" y="0"/>
                          <a:ext cx="573405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center"/>
                              <w:rPr>
                                <w:rFonts w:ascii="宋体" w:hAnsi="宋体"/>
                                <w:bCs/>
                                <w:sz w:val="24"/>
                                <w:szCs w:val="20"/>
                              </w:rPr>
                            </w:pPr>
                            <w:r>
                              <w:rPr>
                                <w:rFonts w:hint="eastAsia" w:ascii="宋体" w:hAnsi="宋体"/>
                                <w:bCs/>
                                <w:sz w:val="24"/>
                              </w:rPr>
                              <w:t>商务（报价）标</w:t>
                            </w: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hint="eastAsia" w:ascii="宋体" w:hAnsi="宋体" w:eastAsia="宋体" w:cs="宋体"/>
                                <w:sz w:val="24"/>
                                <w:lang w:val="en-US" w:eastAsia="zh-CN"/>
                              </w:rPr>
                            </w:pPr>
                            <w:r>
                              <w:rPr>
                                <w:rFonts w:hint="eastAsia" w:ascii="宋体" w:hAnsi="宋体" w:eastAsia="宋体" w:cs="宋体"/>
                                <w:sz w:val="24"/>
                                <w:lang w:val="en-US" w:eastAsia="zh-CN"/>
                              </w:rPr>
                              <w:t>标段名称：</w:t>
                            </w:r>
                          </w:p>
                          <w:p>
                            <w:pPr>
                              <w:snapToGrid w:val="0"/>
                              <w:spacing w:before="120" w:beforeLines="50" w:after="50"/>
                              <w:ind w:firstLine="1068" w:firstLineChars="445"/>
                              <w:rPr>
                                <w:rFonts w:ascii="宋体" w:hAnsi="宋体" w:cs="宋体"/>
                                <w:sz w:val="24"/>
                              </w:rPr>
                            </w:pPr>
                            <w:r>
                              <w:rPr>
                                <w:rFonts w:hint="eastAsia" w:ascii="宋体" w:hAnsi="宋体" w:eastAsia="宋体" w:cs="宋体"/>
                                <w:sz w:val="24"/>
                                <w:lang w:val="en-US" w:eastAsia="zh-CN"/>
                              </w:rPr>
                              <w:t>标段</w:t>
                            </w:r>
                            <w:r>
                              <w:rPr>
                                <w:rFonts w:hint="eastAsia" w:ascii="宋体" w:hAnsi="宋体" w:cs="宋体"/>
                                <w:sz w:val="24"/>
                              </w:rPr>
                              <w:t>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pPr>
                              <w:pStyle w:val="13"/>
                              <w:ind w:left="1470" w:right="-252"/>
                            </w:pPr>
                          </w:p>
                          <w:p>
                            <w:pPr>
                              <w:snapToGrid w:val="0"/>
                              <w:spacing w:before="120" w:beforeLines="50" w:after="50"/>
                              <w:jc w:val="center"/>
                              <w:outlineLvl w:val="1"/>
                              <w:rPr>
                                <w:rFonts w:ascii="宋体"/>
                                <w:sz w:val="24"/>
                              </w:rPr>
                            </w:pPr>
                            <w:bookmarkStart w:id="234" w:name="_Toc35423268"/>
                            <w:bookmarkStart w:id="235" w:name="_Toc41423823"/>
                            <w:bookmarkStart w:id="236" w:name="_Toc35422318"/>
                            <w:r>
                              <w:rPr>
                                <w:rFonts w:hint="eastAsia" w:ascii="宋体" w:hAnsi="宋体" w:cs="宋体"/>
                                <w:sz w:val="24"/>
                              </w:rPr>
                              <w:t>在    年   月   日   时   分之前不得启封</w:t>
                            </w:r>
                            <w:bookmarkEnd w:id="234"/>
                            <w:bookmarkEnd w:id="235"/>
                            <w:bookmarkEnd w:id="236"/>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txbxContent>
                      </wps:txbx>
                      <wps:bodyPr upright="1"/>
                    </wps:wsp>
                  </a:graphicData>
                </a:graphic>
              </wp:inline>
            </w:drawing>
          </mc:Choice>
          <mc:Fallback>
            <w:pict>
              <v:shape id="文本框 11" o:spid="_x0000_s1026" o:spt="202" type="#_x0000_t202" style="height:260.85pt;width:451.5pt;" fillcolor="#FFFFFF" filled="t" stroked="t" coordsize="21600,21600" o:gfxdata="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tTI61QAAAAUBAAAPAAAAAAAAAAEAIAAAACIA&#10;AABkcnMvZG93bnJldi54bWxQSwECFAAUAAAACACHTuJAKCo6LQwCAAA4BAAADgAAAAAAAAABACAA&#10;AAAkAQAAZHJzL2Uyb0RvYy54bWxQSwUGAAAAAAYABgBZAQAAogUAAAAA&#10;">
                <v:fill on="t" focussize="0,0"/>
                <v:stroke color="#000000" joinstyle="miter"/>
                <v:imagedata o:title=""/>
                <o:lock v:ext="edit" aspectratio="f"/>
                <v:textbox>
                  <w:txbxContent>
                    <w:p>
                      <w:pPr>
                        <w:snapToGrid w:val="0"/>
                        <w:spacing w:before="120" w:beforeLines="50" w:after="50"/>
                        <w:jc w:val="center"/>
                        <w:rPr>
                          <w:rFonts w:ascii="宋体" w:hAnsi="宋体"/>
                          <w:bCs/>
                          <w:sz w:val="24"/>
                          <w:szCs w:val="20"/>
                        </w:rPr>
                      </w:pPr>
                      <w:r>
                        <w:rPr>
                          <w:rFonts w:hint="eastAsia" w:ascii="宋体" w:hAnsi="宋体"/>
                          <w:bCs/>
                          <w:sz w:val="24"/>
                        </w:rPr>
                        <w:t>商务（报价）标</w:t>
                      </w: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hint="eastAsia" w:ascii="宋体" w:hAnsi="宋体" w:eastAsia="宋体" w:cs="宋体"/>
                          <w:sz w:val="24"/>
                          <w:lang w:val="en-US" w:eastAsia="zh-CN"/>
                        </w:rPr>
                      </w:pPr>
                      <w:r>
                        <w:rPr>
                          <w:rFonts w:hint="eastAsia" w:ascii="宋体" w:hAnsi="宋体" w:eastAsia="宋体" w:cs="宋体"/>
                          <w:sz w:val="24"/>
                          <w:lang w:val="en-US" w:eastAsia="zh-CN"/>
                        </w:rPr>
                        <w:t>标段名称：</w:t>
                      </w:r>
                    </w:p>
                    <w:p>
                      <w:pPr>
                        <w:snapToGrid w:val="0"/>
                        <w:spacing w:before="120" w:beforeLines="50" w:after="50"/>
                        <w:ind w:firstLine="1068" w:firstLineChars="445"/>
                        <w:rPr>
                          <w:rFonts w:ascii="宋体" w:hAnsi="宋体" w:cs="宋体"/>
                          <w:sz w:val="24"/>
                        </w:rPr>
                      </w:pPr>
                      <w:r>
                        <w:rPr>
                          <w:rFonts w:hint="eastAsia" w:ascii="宋体" w:hAnsi="宋体" w:eastAsia="宋体" w:cs="宋体"/>
                          <w:sz w:val="24"/>
                          <w:lang w:val="en-US" w:eastAsia="zh-CN"/>
                        </w:rPr>
                        <w:t>标段</w:t>
                      </w:r>
                      <w:r>
                        <w:rPr>
                          <w:rFonts w:hint="eastAsia" w:ascii="宋体" w:hAnsi="宋体" w:cs="宋体"/>
                          <w:sz w:val="24"/>
                        </w:rPr>
                        <w:t>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pPr>
                        <w:pStyle w:val="13"/>
                        <w:ind w:left="1470" w:right="-252"/>
                      </w:pPr>
                    </w:p>
                    <w:p>
                      <w:pPr>
                        <w:snapToGrid w:val="0"/>
                        <w:spacing w:before="120" w:beforeLines="50" w:after="50"/>
                        <w:jc w:val="center"/>
                        <w:outlineLvl w:val="1"/>
                        <w:rPr>
                          <w:rFonts w:ascii="宋体"/>
                          <w:sz w:val="24"/>
                        </w:rPr>
                      </w:pPr>
                      <w:bookmarkStart w:id="234" w:name="_Toc35423268"/>
                      <w:bookmarkStart w:id="235" w:name="_Toc41423823"/>
                      <w:bookmarkStart w:id="236" w:name="_Toc35422318"/>
                      <w:r>
                        <w:rPr>
                          <w:rFonts w:hint="eastAsia" w:ascii="宋体" w:hAnsi="宋体" w:cs="宋体"/>
                          <w:sz w:val="24"/>
                        </w:rPr>
                        <w:t>在    年   月   日   时   分之前不得启封</w:t>
                      </w:r>
                      <w:bookmarkEnd w:id="234"/>
                      <w:bookmarkEnd w:id="235"/>
                      <w:bookmarkEnd w:id="236"/>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txbxContent>
                </v:textbox>
                <w10:wrap type="none"/>
                <w10:anchorlock/>
              </v:shape>
            </w:pict>
          </mc:Fallback>
        </mc:AlternateContent>
      </w:r>
      <w:bookmarkEnd w:id="181"/>
      <w:bookmarkEnd w:id="182"/>
    </w:p>
    <w:p>
      <w:pPr>
        <w:rPr>
          <w:rFonts w:hint="eastAsia" w:ascii="宋体" w:hAnsi="宋体" w:eastAsia="宋体" w:cs="宋体"/>
          <w:color w:val="auto"/>
          <w:sz w:val="22"/>
          <w:highlight w:val="none"/>
        </w:rPr>
      </w:pPr>
      <w:r>
        <w:rPr>
          <w:rFonts w:hint="eastAsia" w:ascii="宋体" w:hAnsi="宋体" w:eastAsia="宋体" w:cs="宋体"/>
          <w:bCs/>
          <w:color w:val="auto"/>
          <w:sz w:val="24"/>
          <w:szCs w:val="20"/>
          <w:highlight w:val="none"/>
        </w:rPr>
        <w:br w:type="page"/>
      </w:r>
    </w:p>
    <w:p>
      <w:pPr>
        <w:spacing w:before="0" w:beforeLines="-2147483648" w:after="0" w:afterLines="-2147483648"/>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w:t>
      </w:r>
      <w:r>
        <w:rPr>
          <w:rFonts w:hint="eastAsia" w:ascii="宋体" w:hAnsi="宋体" w:eastAsia="宋体" w:cs="宋体"/>
          <w:b/>
          <w:bCs/>
          <w:sz w:val="28"/>
          <w:szCs w:val="28"/>
          <w:highlight w:val="none"/>
          <w:lang w:val="en-US" w:eastAsia="zh-CN"/>
        </w:rPr>
        <w:t>本</w:t>
      </w:r>
      <w:r>
        <w:rPr>
          <w:rFonts w:hint="eastAsia" w:ascii="宋体" w:hAnsi="宋体" w:eastAsia="宋体" w:cs="宋体"/>
          <w:b/>
          <w:bCs/>
          <w:sz w:val="28"/>
          <w:szCs w:val="28"/>
          <w:highlight w:val="none"/>
        </w:rPr>
        <w:t>/副本</w:t>
      </w:r>
    </w:p>
    <w:p>
      <w:pPr>
        <w:jc w:val="right"/>
        <w:rPr>
          <w:rFonts w:hint="eastAsia" w:ascii="宋体" w:hAnsi="宋体" w:eastAsia="宋体" w:cs="宋体"/>
          <w:szCs w:val="24"/>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rPr>
          <w:rFonts w:hint="eastAsia" w:ascii="宋体" w:hAnsi="宋体" w:eastAsia="宋体" w:cs="宋体"/>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w:t>
      </w:r>
      <w:r>
        <w:rPr>
          <w:rFonts w:hint="eastAsia" w:ascii="宋体" w:hAnsi="宋体" w:eastAsia="宋体" w:cs="宋体"/>
          <w:sz w:val="28"/>
          <w:szCs w:val="28"/>
          <w:highlight w:val="none"/>
          <w:u w:val="single"/>
          <w:lang w:eastAsia="zh-CN"/>
        </w:rPr>
        <w:t>、</w:t>
      </w:r>
      <w:r>
        <w:rPr>
          <w:rFonts w:hint="eastAsia" w:ascii="宋体" w:hAnsi="宋体" w:eastAsia="宋体" w:cs="宋体"/>
          <w:sz w:val="28"/>
          <w:szCs w:val="28"/>
          <w:highlight w:val="none"/>
          <w:u w:val="single"/>
          <w:lang w:val="en-US" w:eastAsia="zh-CN"/>
        </w:rPr>
        <w:t>标段名称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pPr>
        <w:spacing w:line="480" w:lineRule="auto"/>
        <w:jc w:val="center"/>
        <w:rPr>
          <w:rFonts w:hint="eastAsia" w:ascii="宋体" w:hAnsi="宋体" w:eastAsia="宋体" w:cs="宋体"/>
          <w:sz w:val="44"/>
          <w:szCs w:val="44"/>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autoSpaceDE w:val="0"/>
        <w:autoSpaceDN w:val="0"/>
        <w:adjustRightInd w:val="0"/>
        <w:spacing w:after="120"/>
        <w:ind w:firstLine="210" w:firstLineChars="100"/>
        <w:jc w:val="left"/>
        <w:rPr>
          <w:rFonts w:hint="eastAsia" w:ascii="宋体" w:hAnsi="宋体" w:eastAsia="宋体" w:cs="宋体"/>
          <w:szCs w:val="24"/>
          <w:highlight w:val="none"/>
        </w:rPr>
      </w:pP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（盖单位公章）</w:t>
      </w:r>
    </w:p>
    <w:p>
      <w:pPr>
        <w:rPr>
          <w:rFonts w:hint="eastAsia" w:ascii="宋体" w:hAnsi="宋体" w:eastAsia="宋体" w:cs="宋体"/>
          <w:color w:val="auto"/>
          <w:sz w:val="28"/>
          <w:szCs w:val="28"/>
          <w:u w:val="single"/>
        </w:rPr>
      </w:pP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pPr>
        <w:jc w:val="center"/>
        <w:rPr>
          <w:rFonts w:hint="eastAsia" w:ascii="宋体" w:hAnsi="宋体" w:eastAsia="宋体" w:cs="宋体"/>
          <w:sz w:val="28"/>
          <w:szCs w:val="28"/>
        </w:rPr>
      </w:pPr>
    </w:p>
    <w:p>
      <w:pPr>
        <w:jc w:val="both"/>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p>
      <w:pPr>
        <w:jc w:val="left"/>
        <w:rPr>
          <w:rFonts w:hint="eastAsia" w:ascii="宋体" w:hAnsi="宋体" w:eastAsia="宋体" w:cs="宋体"/>
          <w:snapToGrid w:val="0"/>
          <w:sz w:val="32"/>
          <w:szCs w:val="20"/>
          <w:highlight w:val="none"/>
        </w:rPr>
      </w:pPr>
    </w:p>
    <w:tbl>
      <w:tblPr>
        <w:tblStyle w:val="29"/>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03"/>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303"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988"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30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98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30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98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3</w:t>
            </w:r>
          </w:p>
        </w:tc>
        <w:tc>
          <w:tcPr>
            <w:tcW w:w="7303"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988"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（1）</w:t>
            </w: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法定代表人（负责人）授权书（授权代表参加投标时提供）</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法定代表人（负责人）资格证明书</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（2）</w:t>
            </w: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如投标人为金融、保险、通讯等特定行业全国性企业所设立的区域性分支机构的，需提供总公司（总机构）授权文件或提供省级机构（一级机构）授权文件（如分支机构已是直属总机构的一级机构，则无需再提供授权书），如无明显确定为省级机构（一级机构）需提供相关证明。</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（3）</w:t>
            </w:r>
          </w:p>
        </w:tc>
        <w:tc>
          <w:tcPr>
            <w:tcW w:w="7303" w:type="dxa"/>
            <w:shd w:val="clear" w:color="auto" w:fill="auto"/>
            <w:vAlign w:val="center"/>
          </w:tcPr>
          <w:p>
            <w:pPr>
              <w:tabs>
                <w:tab w:val="left" w:pos="5355"/>
              </w:tabs>
              <w:rPr>
                <w:rFonts w:hint="eastAsia" w:ascii="宋体" w:hAnsi="宋体" w:eastAsia="宋体" w:cs="宋体"/>
                <w:kern w:val="2"/>
                <w:sz w:val="18"/>
                <w:szCs w:val="18"/>
                <w:u w:val="single"/>
                <w:lang w:val="en-US" w:eastAsia="zh-CN" w:bidi="ar-SA"/>
              </w:rPr>
            </w:pPr>
            <w:r>
              <w:rPr>
                <w:rFonts w:hint="eastAsia" w:ascii="宋体" w:hAnsi="宋体" w:eastAsia="宋体" w:cs="宋体"/>
                <w:sz w:val="18"/>
                <w:szCs w:val="18"/>
                <w:u w:val="single"/>
              </w:rPr>
              <w:t>中华人民共和国经营保险业务许可证 （复印件加盖公章）</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（4）</w:t>
            </w: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投标声明书</w:t>
            </w:r>
          </w:p>
        </w:tc>
        <w:tc>
          <w:tcPr>
            <w:tcW w:w="988"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a</w:t>
            </w: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参加国企采购活动前三年内，在经营活动中没有重大违法记录。请在投标声明书中如实填写（新成立不满三年的组织机构自成立之日起算）</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b</w:t>
            </w:r>
          </w:p>
        </w:tc>
        <w:tc>
          <w:tcPr>
            <w:tcW w:w="7303"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988" w:type="dxa"/>
            <w:vAlign w:val="center"/>
          </w:tcPr>
          <w:p>
            <w:pPr>
              <w:jc w:val="center"/>
              <w:rPr>
                <w:rFonts w:hint="eastAsia" w:ascii="宋体" w:hAnsi="宋体" w:eastAsia="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4</w:t>
            </w:r>
          </w:p>
        </w:tc>
        <w:tc>
          <w:tcPr>
            <w:tcW w:w="7303" w:type="dxa"/>
            <w:shd w:val="clear" w:color="auto" w:fill="auto"/>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拟投入项目负责人及保险组成员情况表</w:t>
            </w:r>
          </w:p>
        </w:tc>
        <w:tc>
          <w:tcPr>
            <w:tcW w:w="988" w:type="dxa"/>
            <w:shd w:val="clear" w:color="auto" w:fill="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5</w:t>
            </w:r>
          </w:p>
        </w:tc>
        <w:tc>
          <w:tcPr>
            <w:tcW w:w="7303" w:type="dxa"/>
            <w:shd w:val="clear" w:color="auto" w:fill="auto"/>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2023年1月1日以来</w:t>
            </w:r>
            <w:r>
              <w:rPr>
                <w:rFonts w:hint="eastAsia" w:ascii="宋体" w:hAnsi="宋体" w:eastAsia="宋体" w:cs="宋体"/>
                <w:sz w:val="18"/>
                <w:szCs w:val="18"/>
                <w:lang w:val="en-US" w:eastAsia="zh-CN"/>
              </w:rPr>
              <w:t>类似车辆保险项目业绩</w:t>
            </w:r>
          </w:p>
        </w:tc>
        <w:tc>
          <w:tcPr>
            <w:tcW w:w="988" w:type="dxa"/>
            <w:shd w:val="clear" w:color="auto" w:fill="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6</w:t>
            </w:r>
          </w:p>
        </w:tc>
        <w:tc>
          <w:tcPr>
            <w:tcW w:w="7303" w:type="dxa"/>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根据采购文件中的采购内容及要求以及技术资信评分项目逐项编制，需编制目录索引，注明评分细则项目所在投标文件页码。）</w:t>
            </w:r>
          </w:p>
          <w:p>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本文件《第三部分  附件》附件中未提供格式的，可自行拟定格式，否则视为未提供。</w:t>
            </w:r>
          </w:p>
        </w:tc>
        <w:tc>
          <w:tcPr>
            <w:tcW w:w="988" w:type="dxa"/>
            <w:shd w:val="clear" w:color="auto" w:fill="auto"/>
            <w:vAlign w:val="center"/>
          </w:tcPr>
          <w:p>
            <w:pPr>
              <w:jc w:val="center"/>
              <w:rPr>
                <w:rFonts w:hint="eastAsia" w:ascii="宋体" w:hAnsi="宋体" w:eastAsia="宋体" w:cs="宋体"/>
                <w:kern w:val="2"/>
                <w:sz w:val="18"/>
                <w:szCs w:val="18"/>
                <w:lang w:val="en-US" w:eastAsia="zh-CN" w:bidi="ar-SA"/>
              </w:rPr>
            </w:pPr>
          </w:p>
        </w:tc>
      </w:tr>
    </w:tbl>
    <w:p>
      <w:pPr>
        <w:rPr>
          <w:rFonts w:hint="eastAsia" w:ascii="宋体" w:hAnsi="宋体" w:eastAsia="宋体" w:cs="宋体"/>
          <w:b/>
          <w:bCs/>
          <w:sz w:val="30"/>
          <w:szCs w:val="30"/>
          <w:highlight w:val="none"/>
        </w:rPr>
      </w:pPr>
    </w:p>
    <w:p>
      <w:pP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p>
    <w:p>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pPr>
        <w:pStyle w:val="60"/>
        <w:numPr>
          <w:ilvl w:val="0"/>
          <w:numId w:val="22"/>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建议此表放在技术资信标封面后第一页，方便评委打分时可以快速查阅到与评分项有关的内容。</w:t>
      </w:r>
    </w:p>
    <w:p>
      <w:pPr>
        <w:pStyle w:val="60"/>
        <w:numPr>
          <w:ilvl w:val="0"/>
          <w:numId w:val="22"/>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技术资信评分项中要求提供的</w:t>
      </w:r>
      <w:r>
        <w:rPr>
          <w:rFonts w:hint="eastAsia" w:ascii="宋体" w:hAnsi="宋体" w:eastAsia="宋体" w:cs="宋体"/>
          <w:sz w:val="24"/>
          <w:szCs w:val="24"/>
          <w:highlight w:val="none"/>
          <w:lang w:val="en-US" w:eastAsia="zh-CN"/>
        </w:rPr>
        <w:t>资料、数据</w:t>
      </w:r>
      <w:r>
        <w:rPr>
          <w:rFonts w:hint="eastAsia" w:ascii="宋体" w:hAnsi="宋体" w:eastAsia="宋体" w:cs="宋体"/>
          <w:sz w:val="24"/>
          <w:szCs w:val="24"/>
          <w:highlight w:val="none"/>
        </w:rPr>
        <w:t>投标人需做清晰标识，格式可自拟。</w:t>
      </w:r>
    </w:p>
    <w:p>
      <w:pPr>
        <w:pStyle w:val="11"/>
        <w:ind w:firstLine="210"/>
        <w:rPr>
          <w:rFonts w:hint="eastAsia" w:ascii="宋体" w:hAnsi="宋体" w:eastAsia="宋体" w:cs="宋体"/>
          <w:highlight w:val="none"/>
        </w:rPr>
      </w:pPr>
    </w:p>
    <w:p>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温州市交通发展集团有限公司</w:t>
      </w:r>
      <w:r>
        <w:rPr>
          <w:rFonts w:hint="eastAsia" w:ascii="宋体" w:hAnsi="宋体" w:eastAsia="宋体" w:cs="宋体"/>
          <w:sz w:val="22"/>
          <w:highlight w:val="none"/>
        </w:rPr>
        <w:t>：</w:t>
      </w:r>
    </w:p>
    <w:p>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rPr>
        <w:t>浙江国际招投标有限公司：</w:t>
      </w:r>
    </w:p>
    <w:p>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u w:val="single"/>
          <w:lang w:val="en-US" w:eastAsia="zh-CN"/>
        </w:rPr>
        <w:t>标段</w:t>
      </w:r>
      <w:r>
        <w:rPr>
          <w:rFonts w:hint="eastAsia" w:ascii="宋体" w:hAnsi="宋体" w:eastAsia="宋体" w:cs="宋体"/>
          <w:sz w:val="22"/>
          <w:highlight w:val="none"/>
          <w:u w:val="single"/>
        </w:rPr>
        <w:t xml:space="preserve">名称）       </w:t>
      </w:r>
      <w:r>
        <w:rPr>
          <w:rFonts w:hint="eastAsia" w:ascii="宋体" w:hAnsi="宋体" w:eastAsia="宋体" w:cs="宋体"/>
          <w:sz w:val="22"/>
          <w:highlight w:val="none"/>
        </w:rPr>
        <w:t>项目（</w:t>
      </w:r>
      <w:r>
        <w:rPr>
          <w:rFonts w:hint="eastAsia" w:ascii="宋体" w:hAnsi="宋体" w:eastAsia="宋体" w:cs="宋体"/>
          <w:sz w:val="22"/>
          <w:highlight w:val="none"/>
          <w:lang w:val="en-US" w:eastAsia="zh-CN"/>
        </w:rPr>
        <w:t>标段</w:t>
      </w:r>
      <w:r>
        <w:rPr>
          <w:rFonts w:hint="eastAsia" w:ascii="宋体" w:hAnsi="宋体" w:eastAsia="宋体" w:cs="宋体"/>
          <w:sz w:val="22"/>
          <w:highlight w:val="none"/>
        </w:rPr>
        <w:t>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（投标人名称）作为投标人正式授权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（—）按“投标人须知”要求编制的投标文件技术标【正本一份，副本</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（二）按“投标人须知”要求编制的投标文件商务（报价）标【正本一份，副本</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（三）我方明白并同意在规定的开标时间之后，如我方出现投标人须知第三条第13.4款规定的情况之一的，我方投标保证金将不予退还；</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（四）我方同意提供按照贵方可能要求的与投标有关的一切数据或资料；</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（五）我方理解贵方不一定接受最低报价。</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（六）我方如果中标，将保证履行采购文件以及采购文件修改书（如有）中的全部责任和义务，按质、按量、按期完成《合同书》中的全部任务。</w:t>
      </w:r>
    </w:p>
    <w:p>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（七）所有与本投标有关的函件请发往下列地址：</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pPr>
        <w:spacing w:line="360" w:lineRule="auto"/>
        <w:rPr>
          <w:rFonts w:hint="eastAsia" w:ascii="宋体" w:hAnsi="宋体" w:eastAsia="宋体" w:cs="宋体"/>
          <w:bCs/>
          <w:sz w:val="22"/>
          <w:highlight w:val="none"/>
        </w:rPr>
      </w:pPr>
    </w:p>
    <w:p>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pPr>
        <w:spacing w:line="360" w:lineRule="auto"/>
        <w:rPr>
          <w:rFonts w:hint="eastAsia" w:ascii="宋体" w:hAnsi="宋体" w:eastAsia="宋体" w:cs="宋体"/>
          <w:bCs/>
          <w:sz w:val="22"/>
          <w:highlight w:val="none"/>
        </w:rPr>
      </w:pPr>
      <w:r>
        <w:rPr>
          <w:rFonts w:hint="eastAsia" w:ascii="宋体" w:hAnsi="宋体" w:eastAsia="宋体" w:cs="宋体"/>
          <w:sz w:val="22"/>
          <w:highlight w:val="none"/>
        </w:rPr>
        <w:t>法定代表人（负责人）或授权代表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pPr>
        <w:spacing w:line="380" w:lineRule="exact"/>
        <w:rPr>
          <w:rFonts w:hint="eastAsia" w:ascii="宋体" w:hAnsi="宋体" w:eastAsia="宋体" w:cs="宋体"/>
          <w:bCs/>
          <w:sz w:val="22"/>
          <w:highlight w:val="none"/>
        </w:rPr>
      </w:pPr>
    </w:p>
    <w:p>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pPr>
        <w:spacing w:line="380" w:lineRule="exact"/>
        <w:rPr>
          <w:rFonts w:hint="eastAsia" w:ascii="宋体" w:hAnsi="宋体" w:eastAsia="宋体" w:cs="宋体"/>
          <w:b/>
          <w:bCs/>
          <w:sz w:val="22"/>
          <w:highlight w:val="none"/>
          <w:lang w:eastAsia="zh-CN"/>
        </w:rPr>
      </w:pPr>
    </w:p>
    <w:p>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lang w:val="en-US" w:eastAsia="zh-CN"/>
        </w:rPr>
        <w:t>标段</w:t>
      </w:r>
      <w:r>
        <w:rPr>
          <w:rFonts w:hint="eastAsia" w:ascii="宋体" w:hAnsi="宋体" w:eastAsia="宋体" w:cs="宋体"/>
          <w:b/>
          <w:bCs/>
          <w:sz w:val="22"/>
          <w:highlight w:val="none"/>
        </w:rPr>
        <w:t xml:space="preserve">名称：                          </w:t>
      </w:r>
      <w:r>
        <w:rPr>
          <w:rFonts w:hint="eastAsia" w:ascii="宋体" w:hAnsi="宋体" w:eastAsia="宋体" w:cs="宋体"/>
          <w:b/>
          <w:bCs/>
          <w:sz w:val="22"/>
          <w:highlight w:val="none"/>
          <w:lang w:val="en-US" w:eastAsia="zh-CN"/>
        </w:rPr>
        <w:t>标段</w:t>
      </w:r>
      <w:r>
        <w:rPr>
          <w:rFonts w:hint="eastAsia" w:ascii="宋体" w:hAnsi="宋体" w:eastAsia="宋体" w:cs="宋体"/>
          <w:b/>
          <w:bCs/>
          <w:sz w:val="22"/>
          <w:highlight w:val="none"/>
        </w:rPr>
        <w:t xml:space="preserve">编号：                  </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210"/>
        <w:gridCol w:w="2337"/>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47"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47"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商  务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vAlign w:val="center"/>
          </w:tcPr>
          <w:p>
            <w:pPr>
              <w:jc w:val="center"/>
              <w:rPr>
                <w:rFonts w:hint="eastAsia" w:ascii="宋体" w:hAnsi="宋体" w:eastAsia="宋体" w:cs="宋体"/>
                <w:sz w:val="22"/>
                <w:highlight w:val="none"/>
              </w:rPr>
            </w:pPr>
          </w:p>
        </w:tc>
        <w:tc>
          <w:tcPr>
            <w:tcW w:w="2337"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bl>
    <w:p>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2、如有偏离，须在偏离表中进行详细对比说明并注明正偏离和负偏离，如不说明偏离情况，视为完全响应采购文件要求无偏离。</w:t>
      </w:r>
    </w:p>
    <w:p>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rPr>
        <w:t>3、▲不提供“技术规格、商务条款偏离表”的投标文件将被视为未实质性响应采购文件。</w:t>
      </w:r>
    </w:p>
    <w:p>
      <w:pPr>
        <w:spacing w:line="380" w:lineRule="exact"/>
        <w:ind w:firstLine="422" w:firstLineChars="200"/>
        <w:rPr>
          <w:rFonts w:hint="eastAsia" w:ascii="宋体" w:hAnsi="宋体" w:eastAsia="宋体" w:cs="宋体"/>
          <w:b/>
          <w:sz w:val="22"/>
          <w:highlight w:val="none"/>
        </w:rPr>
      </w:pPr>
      <w:r>
        <w:rPr>
          <w:rFonts w:hint="eastAsia" w:ascii="宋体" w:hAnsi="宋体" w:eastAsia="宋体" w:cs="宋体"/>
          <w:b/>
          <w:szCs w:val="21"/>
          <w:highlight w:val="none"/>
          <w:u w:val="single"/>
        </w:rPr>
        <w:t>4、▲如果投标文件其他地方描述与本表不一致，签订合同时原则上以有利于采购人的解释为准。</w:t>
      </w:r>
    </w:p>
    <w:p>
      <w:pPr>
        <w:spacing w:line="380" w:lineRule="exact"/>
        <w:ind w:firstLine="4417" w:firstLineChars="2000"/>
        <w:rPr>
          <w:rFonts w:hint="eastAsia" w:ascii="宋体" w:hAnsi="宋体" w:eastAsia="宋体" w:cs="宋体"/>
          <w:b/>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法定代表人（负责人）或授权代表（签字或盖章）：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（1）法定代表人（负责人）授权书</w:t>
      </w:r>
    </w:p>
    <w:p>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温州市交通发展集团有限公司</w:t>
      </w:r>
      <w:r>
        <w:rPr>
          <w:rFonts w:hint="eastAsia" w:ascii="宋体" w:hAnsi="宋体" w:eastAsia="宋体" w:cs="宋体"/>
          <w:sz w:val="22"/>
          <w:highlight w:val="none"/>
        </w:rPr>
        <w:t>：</w:t>
      </w: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rPr>
        <w:t>浙江国际招投标有限公司：</w:t>
      </w:r>
    </w:p>
    <w:p>
      <w:pPr>
        <w:spacing w:line="460" w:lineRule="exact"/>
        <w:rPr>
          <w:rFonts w:hint="eastAsia" w:ascii="宋体" w:hAnsi="宋体" w:eastAsia="宋体" w:cs="宋体"/>
          <w:sz w:val="22"/>
          <w:highlight w:val="none"/>
        </w:rPr>
      </w:pPr>
    </w:p>
    <w:p>
      <w:pPr>
        <w:keepNext w:val="0"/>
        <w:keepLines w:val="0"/>
        <w:pageBreakBefore w:val="0"/>
        <w:widowControl w:val="0"/>
        <w:kinsoku/>
        <w:wordWrap w:val="0"/>
        <w:overflowPunct/>
        <w:topLinePunct w:val="0"/>
        <w:autoSpaceDE/>
        <w:autoSpaceDN/>
        <w:bidi w:val="0"/>
        <w:adjustRightInd/>
        <w:snapToGrid/>
        <w:spacing w:line="460" w:lineRule="exact"/>
        <w:ind w:firstLine="550" w:firstLineChars="250"/>
        <w:textAlignment w:val="auto"/>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（投标人全称）法定代表人（负责人）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w:t>
      </w:r>
      <w:r>
        <w:rPr>
          <w:rFonts w:hint="eastAsia" w:ascii="宋体" w:hAnsi="宋体" w:eastAsia="宋体" w:cs="宋体"/>
          <w:sz w:val="22"/>
          <w:highlight w:val="none"/>
          <w:u w:val="single"/>
        </w:rPr>
        <w:t>（</w:t>
      </w:r>
      <w:r>
        <w:rPr>
          <w:rFonts w:hint="eastAsia" w:ascii="宋体" w:hAnsi="宋体" w:eastAsia="宋体" w:cs="宋体"/>
          <w:sz w:val="22"/>
          <w:highlight w:val="none"/>
          <w:u w:val="single"/>
          <w:lang w:val="en-US" w:eastAsia="zh-CN"/>
        </w:rPr>
        <w:t>标段</w:t>
      </w:r>
      <w:r>
        <w:rPr>
          <w:rFonts w:hint="eastAsia" w:ascii="宋体" w:hAnsi="宋体" w:eastAsia="宋体" w:cs="宋体"/>
          <w:sz w:val="22"/>
          <w:highlight w:val="none"/>
          <w:u w:val="single"/>
        </w:rPr>
        <w:t>名称、</w:t>
      </w:r>
      <w:r>
        <w:rPr>
          <w:rFonts w:hint="eastAsia" w:ascii="宋体" w:hAnsi="宋体" w:eastAsia="宋体" w:cs="宋体"/>
          <w:sz w:val="22"/>
          <w:highlight w:val="none"/>
          <w:u w:val="single"/>
          <w:lang w:val="en-US" w:eastAsia="zh-CN"/>
        </w:rPr>
        <w:t>标段</w:t>
      </w:r>
      <w:r>
        <w:rPr>
          <w:rFonts w:hint="eastAsia" w:ascii="宋体" w:hAnsi="宋体" w:eastAsia="宋体" w:cs="宋体"/>
          <w:sz w:val="22"/>
          <w:highlight w:val="none"/>
          <w:u w:val="single"/>
        </w:rPr>
        <w:t>编号）</w:t>
      </w:r>
      <w:r>
        <w:rPr>
          <w:rFonts w:hint="eastAsia" w:ascii="宋体" w:hAnsi="宋体" w:eastAsia="宋体" w:cs="宋体"/>
          <w:sz w:val="22"/>
          <w:highlight w:val="none"/>
        </w:rPr>
        <w:t>的采购活动，全权代表我方处理采购活动中的一切事宜。</w:t>
      </w:r>
    </w:p>
    <w:p>
      <w:pPr>
        <w:spacing w:line="460" w:lineRule="exact"/>
        <w:ind w:firstLine="2955"/>
        <w:rPr>
          <w:rFonts w:hint="eastAsia" w:ascii="宋体" w:hAnsi="宋体" w:eastAsia="宋体" w:cs="宋体"/>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法定代表人（负责人） (签字或盖章)：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pPr>
        <w:spacing w:line="460" w:lineRule="exact"/>
        <w:rPr>
          <w:rFonts w:hint="eastAsia" w:ascii="宋体" w:hAnsi="宋体" w:eastAsia="宋体" w:cs="宋体"/>
          <w:bCs/>
          <w:sz w:val="22"/>
          <w:highlight w:val="none"/>
        </w:rPr>
      </w:pPr>
    </w:p>
    <w:tbl>
      <w:tblPr>
        <w:tblStyle w:val="29"/>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pPr>
              <w:spacing w:line="380" w:lineRule="exact"/>
              <w:jc w:val="center"/>
              <w:rPr>
                <w:rFonts w:hint="eastAsia" w:ascii="宋体" w:hAnsi="宋体" w:eastAsia="宋体" w:cs="宋体"/>
                <w:bCs/>
                <w:sz w:val="28"/>
                <w:szCs w:val="24"/>
                <w:highlight w:val="none"/>
              </w:rPr>
            </w:pPr>
          </w:p>
        </w:tc>
      </w:tr>
    </w:tbl>
    <w:p>
      <w:pPr>
        <w:spacing w:line="400" w:lineRule="exact"/>
        <w:ind w:firstLine="140" w:firstLineChars="64"/>
        <w:rPr>
          <w:rFonts w:hint="eastAsia" w:ascii="宋体" w:hAnsi="宋体" w:eastAsia="宋体" w:cs="宋体"/>
          <w:sz w:val="22"/>
          <w:szCs w:val="24"/>
          <w:highlight w:val="none"/>
        </w:rPr>
      </w:pPr>
    </w:p>
    <w:p>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rPr>
        <w:t>法定代表人（负责人）资格证明书</w:t>
      </w:r>
    </w:p>
    <w:p>
      <w:pPr>
        <w:widowControl/>
        <w:spacing w:line="480" w:lineRule="atLeast"/>
        <w:jc w:val="center"/>
        <w:rPr>
          <w:rFonts w:hint="eastAsia" w:ascii="宋体" w:hAnsi="宋体" w:eastAsia="宋体" w:cs="宋体"/>
          <w:bCs/>
          <w:kern w:val="0"/>
          <w:sz w:val="24"/>
          <w:szCs w:val="24"/>
          <w:highlight w:val="none"/>
        </w:rPr>
      </w:pPr>
    </w:p>
    <w:p>
      <w:pPr>
        <w:widowControl/>
        <w:spacing w:line="360" w:lineRule="auto"/>
        <w:rPr>
          <w:rFonts w:hint="eastAsia" w:ascii="宋体" w:hAnsi="宋体" w:eastAsia="宋体" w:cs="宋体"/>
          <w:sz w:val="24"/>
          <w:szCs w:val="24"/>
          <w:highlight w:val="none"/>
          <w:u w:val="single"/>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温州市交通发展集团有限公司</w:t>
      </w:r>
      <w:r>
        <w:rPr>
          <w:rFonts w:hint="eastAsia" w:ascii="宋体" w:hAnsi="宋体" w:eastAsia="宋体" w:cs="宋体"/>
          <w:sz w:val="22"/>
          <w:highlight w:val="none"/>
        </w:rPr>
        <w:t>：</w:t>
      </w:r>
    </w:p>
    <w:p>
      <w:pPr>
        <w:widowControl/>
        <w:spacing w:line="360" w:lineRule="auto"/>
        <w:rPr>
          <w:rFonts w:hint="eastAsia" w:ascii="宋体" w:hAnsi="宋体" w:eastAsia="宋体" w:cs="宋体"/>
          <w:sz w:val="24"/>
          <w:szCs w:val="24"/>
          <w:highlight w:val="none"/>
          <w:u w:val="single"/>
        </w:rPr>
      </w:pPr>
      <w:r>
        <w:rPr>
          <w:rFonts w:hint="eastAsia" w:ascii="宋体" w:hAnsi="宋体" w:eastAsia="宋体" w:cs="宋体"/>
          <w:sz w:val="22"/>
          <w:highlight w:val="none"/>
        </w:rPr>
        <w:t>浙江国际招投标有限公司：</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的法定代表人（负责人）。为你单位组织的</w:t>
      </w:r>
      <w:r>
        <w:rPr>
          <w:rFonts w:hint="eastAsia" w:ascii="宋体" w:hAnsi="宋体" w:eastAsia="宋体" w:cs="宋体"/>
          <w:kern w:val="0"/>
          <w:sz w:val="24"/>
          <w:szCs w:val="24"/>
          <w:highlight w:val="none"/>
          <w:lang w:val="en-US" w:eastAsia="zh-CN"/>
        </w:rPr>
        <w:t>标段</w:t>
      </w:r>
      <w:r>
        <w:rPr>
          <w:rFonts w:hint="eastAsia" w:ascii="宋体" w:hAnsi="宋体" w:eastAsia="宋体" w:cs="宋体"/>
          <w:kern w:val="0"/>
          <w:sz w:val="24"/>
          <w:szCs w:val="24"/>
          <w:highlight w:val="none"/>
        </w:rPr>
        <w:t>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highlight w:val="none"/>
          <w:u w:val="single"/>
        </w:rPr>
        <w:t>（</w:t>
      </w:r>
      <w:r>
        <w:rPr>
          <w:rFonts w:hint="eastAsia" w:ascii="宋体" w:hAnsi="宋体" w:eastAsia="宋体" w:cs="宋体"/>
          <w:kern w:val="0"/>
          <w:sz w:val="24"/>
          <w:highlight w:val="none"/>
          <w:u w:val="single"/>
          <w:lang w:val="en-US" w:eastAsia="zh-CN"/>
        </w:rPr>
        <w:t>标段</w:t>
      </w:r>
      <w:r>
        <w:rPr>
          <w:rFonts w:hint="eastAsia" w:ascii="宋体" w:hAnsi="宋体" w:eastAsia="宋体" w:cs="宋体"/>
          <w:sz w:val="22"/>
          <w:highlight w:val="none"/>
          <w:u w:val="singl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（※此处请粘贴法定代表人（负责人）身份证复印件※）</w:t>
      </w:r>
    </w:p>
    <w:p>
      <w:pPr>
        <w:widowControl/>
        <w:spacing w:line="480" w:lineRule="auto"/>
        <w:ind w:left="420" w:firstLine="473"/>
        <w:jc w:val="left"/>
        <w:rPr>
          <w:rFonts w:hint="eastAsia" w:ascii="宋体" w:hAnsi="宋体" w:eastAsia="宋体" w:cs="宋体"/>
          <w:kern w:val="0"/>
          <w:sz w:val="24"/>
          <w:szCs w:val="24"/>
          <w:highlight w:val="none"/>
        </w:rPr>
      </w:pP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法定代表人（负责人）（签字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pPr>
        <w:widowControl/>
        <w:rPr>
          <w:rFonts w:hint="eastAsia" w:ascii="宋体" w:hAnsi="宋体" w:eastAsia="宋体" w:cs="宋体"/>
          <w:kern w:val="0"/>
          <w:szCs w:val="21"/>
          <w:highlight w:val="none"/>
        </w:rPr>
      </w:pPr>
    </w:p>
    <w:p>
      <w:pPr>
        <w:widowControl/>
        <w:rPr>
          <w:rFonts w:hint="eastAsia" w:ascii="宋体" w:hAnsi="宋体" w:eastAsia="宋体" w:cs="宋体"/>
          <w:kern w:val="0"/>
          <w:szCs w:val="21"/>
          <w:highlight w:val="none"/>
        </w:rPr>
      </w:pPr>
    </w:p>
    <w:p>
      <w:pPr>
        <w:widowControl/>
        <w:spacing w:line="480" w:lineRule="atLeas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说明：法定代表人（负责人）参加本采购项目投标的，仅须提供此证明书。</w:t>
      </w:r>
    </w:p>
    <w:p>
      <w:pPr>
        <w:spacing w:line="460" w:lineRule="exac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p>
    <w:p>
      <w:pPr>
        <w:rPr>
          <w:rFonts w:hint="eastAsia" w:ascii="宋体" w:hAnsi="宋体" w:eastAsia="宋体" w:cs="宋体"/>
          <w:b w:val="0"/>
          <w:bCs w:val="0"/>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val="0"/>
          <w:bCs w:val="0"/>
          <w:sz w:val="24"/>
          <w:szCs w:val="24"/>
          <w:highlight w:val="none"/>
        </w:rPr>
        <w:t>（2）投标人企业法人有效营业执照（或法人登记证书）复印件加盖单位公章</w:t>
      </w: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（3）中华人民共和国经营保险业务许可证 （复印件加盖公章）</w:t>
      </w:r>
    </w:p>
    <w:p>
      <w:pPr>
        <w:pStyle w:val="11"/>
        <w:ind w:firstLine="210"/>
        <w:rPr>
          <w:rFonts w:hint="eastAsia" w:ascii="宋体" w:hAnsi="宋体" w:eastAsia="宋体" w:cs="宋体"/>
          <w:b w:val="0"/>
          <w:strike/>
          <w:dstrike w:val="0"/>
          <w:color w:val="000000" w:themeColor="text1"/>
          <w:sz w:val="21"/>
          <w:szCs w:val="21"/>
          <w:highlight w:val="yellow"/>
          <w14:textFill>
            <w14:solidFill>
              <w14:schemeClr w14:val="tx1"/>
            </w14:solidFill>
          </w14:textFill>
        </w:rPr>
      </w:pPr>
    </w:p>
    <w:p>
      <w:pPr>
        <w:snapToGrid w:val="0"/>
        <w:spacing w:before="50" w:after="120" w:afterLines="50"/>
        <w:jc w:val="left"/>
        <w:rPr>
          <w:rFonts w:hint="eastAsia" w:ascii="宋体" w:hAnsi="宋体" w:eastAsia="宋体" w:cs="宋体"/>
          <w:b w:val="0"/>
          <w:sz w:val="24"/>
          <w:szCs w:val="24"/>
          <w:highlight w:val="none"/>
          <w:lang w:eastAsia="zh-CN"/>
        </w:rPr>
      </w:pPr>
    </w:p>
    <w:p>
      <w:pPr>
        <w:snapToGrid w:val="0"/>
        <w:spacing w:before="50" w:after="120" w:afterLines="50"/>
        <w:jc w:val="left"/>
        <w:rPr>
          <w:rFonts w:hint="eastAsia" w:ascii="宋体" w:hAnsi="宋体" w:eastAsia="宋体" w:cs="宋体"/>
          <w:b w:val="0"/>
          <w:sz w:val="24"/>
          <w:szCs w:val="24"/>
          <w:highlight w:val="none"/>
          <w:lang w:eastAsia="zh-CN"/>
        </w:rPr>
      </w:pPr>
      <w:r>
        <w:rPr>
          <w:rFonts w:hint="eastAsia" w:ascii="宋体" w:hAnsi="宋体" w:eastAsia="宋体" w:cs="宋体"/>
          <w:b w:val="0"/>
          <w:sz w:val="24"/>
          <w:szCs w:val="24"/>
          <w:highlight w:val="none"/>
          <w:lang w:eastAsia="zh-CN"/>
        </w:rPr>
        <w:t>（4）总公司的授权证明资料（分公司、分支机构参与投标时必须提供）</w:t>
      </w:r>
    </w:p>
    <w:p>
      <w:pPr>
        <w:snapToGrid w:val="0"/>
        <w:spacing w:before="50" w:after="120" w:afterLines="50"/>
        <w:jc w:val="left"/>
        <w:rPr>
          <w:rFonts w:hint="eastAsia" w:ascii="宋体" w:hAnsi="宋体" w:eastAsia="宋体" w:cs="宋体"/>
          <w:b w:val="0"/>
          <w:sz w:val="24"/>
          <w:szCs w:val="24"/>
          <w:highlight w:val="none"/>
        </w:rPr>
      </w:pPr>
    </w:p>
    <w:p>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val="0"/>
          <w:sz w:val="24"/>
          <w:szCs w:val="24"/>
          <w:highlight w:val="none"/>
        </w:rPr>
        <w:t>以上证书若为复印件，须加盖投标人单位公章</w:t>
      </w:r>
      <w:r>
        <w:rPr>
          <w:rFonts w:hint="eastAsia" w:ascii="宋体" w:hAnsi="宋体" w:eastAsia="宋体" w:cs="宋体"/>
          <w:b w:val="0"/>
          <w:sz w:val="24"/>
          <w:szCs w:val="24"/>
          <w:highlight w:val="none"/>
        </w:rPr>
        <w:br w:type="page"/>
      </w:r>
      <w:r>
        <w:rPr>
          <w:rFonts w:hint="eastAsia" w:ascii="宋体" w:hAnsi="宋体" w:eastAsia="宋体" w:cs="宋体"/>
          <w:b/>
          <w:sz w:val="24"/>
          <w:szCs w:val="24"/>
          <w:highlight w:val="none"/>
        </w:rPr>
        <w:t>附件四</w:t>
      </w:r>
    </w:p>
    <w:p>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4</w:t>
      </w:r>
      <w:r>
        <w:rPr>
          <w:rFonts w:hint="eastAsia" w:ascii="宋体" w:hAnsi="宋体" w:eastAsia="宋体" w:cs="宋体"/>
          <w:b/>
          <w:sz w:val="30"/>
          <w:szCs w:val="24"/>
          <w:highlight w:val="none"/>
        </w:rPr>
        <w:t>）投标声明书</w:t>
      </w:r>
    </w:p>
    <w:p>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w:t>
      </w:r>
      <w:r>
        <w:rPr>
          <w:rFonts w:hint="eastAsia" w:ascii="宋体" w:hAnsi="宋体" w:eastAsia="宋体" w:cs="宋体"/>
          <w:sz w:val="22"/>
          <w:highlight w:val="none"/>
          <w:lang w:eastAsia="zh-CN"/>
        </w:rPr>
        <w:t>温州市交通发展集团有限公司</w:t>
      </w:r>
      <w:r>
        <w:rPr>
          <w:rFonts w:hint="eastAsia" w:ascii="宋体" w:hAnsi="宋体" w:eastAsia="宋体" w:cs="宋体"/>
          <w:sz w:val="22"/>
          <w:highlight w:val="none"/>
        </w:rPr>
        <w:t>：</w:t>
      </w:r>
    </w:p>
    <w:p>
      <w:pPr>
        <w:snapToGrid w:val="0"/>
        <w:spacing w:before="120" w:after="50" w:line="320" w:lineRule="exact"/>
        <w:ind w:firstLine="440" w:firstLineChars="200"/>
        <w:rPr>
          <w:rFonts w:hint="eastAsia" w:ascii="宋体" w:hAnsi="宋体" w:eastAsia="宋体" w:cs="宋体"/>
          <w:sz w:val="22"/>
          <w:highlight w:val="none"/>
          <w:u w:val="single"/>
        </w:rPr>
      </w:pP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（投标人名称）的法定代表人（负责人），我方愿意参加贵方组织的</w:t>
      </w:r>
      <w:r>
        <w:rPr>
          <w:rFonts w:hint="eastAsia" w:ascii="宋体" w:hAnsi="宋体" w:eastAsia="宋体" w:cs="宋体"/>
          <w:sz w:val="22"/>
          <w:highlight w:val="none"/>
          <w:u w:val="single"/>
        </w:rPr>
        <w:t xml:space="preserve">   （</w:t>
      </w:r>
      <w:r>
        <w:rPr>
          <w:rFonts w:hint="eastAsia" w:ascii="宋体" w:hAnsi="宋体" w:eastAsia="宋体" w:cs="宋体"/>
          <w:sz w:val="22"/>
          <w:highlight w:val="none"/>
          <w:u w:val="single"/>
          <w:lang w:val="en-US" w:eastAsia="zh-CN"/>
        </w:rPr>
        <w:t>标段</w:t>
      </w:r>
      <w:r>
        <w:rPr>
          <w:rFonts w:hint="eastAsia" w:ascii="宋体" w:hAnsi="宋体" w:eastAsia="宋体" w:cs="宋体"/>
          <w:sz w:val="22"/>
          <w:highlight w:val="none"/>
          <w:u w:val="single"/>
        </w:rPr>
        <w:t>名称、</w:t>
      </w:r>
      <w:r>
        <w:rPr>
          <w:rFonts w:hint="eastAsia" w:ascii="宋体" w:hAnsi="宋体" w:eastAsia="宋体" w:cs="宋体"/>
          <w:sz w:val="22"/>
          <w:highlight w:val="none"/>
          <w:u w:val="single"/>
          <w:lang w:val="en-US" w:eastAsia="zh-CN"/>
        </w:rPr>
        <w:t>标段</w:t>
      </w:r>
      <w:r>
        <w:rPr>
          <w:rFonts w:hint="eastAsia" w:ascii="宋体" w:hAnsi="宋体" w:eastAsia="宋体" w:cs="宋体"/>
          <w:sz w:val="22"/>
          <w:highlight w:val="none"/>
          <w:u w:val="single"/>
        </w:rPr>
        <w:t xml:space="preserve">编号）     </w:t>
      </w:r>
      <w:r>
        <w:rPr>
          <w:rFonts w:hint="eastAsia" w:ascii="宋体" w:hAnsi="宋体" w:eastAsia="宋体" w:cs="宋体"/>
          <w:sz w:val="22"/>
          <w:highlight w:val="none"/>
        </w:rPr>
        <w:t>项目的投标，为便于贵方公正、择优地确定中标人及其投标服务，我方就参加本次投标有关事项郑重声明如下：</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w:t>
      </w:r>
      <w:r>
        <w:rPr>
          <w:rFonts w:hint="eastAsia" w:ascii="宋体" w:hAnsi="宋体" w:eastAsia="宋体" w:cs="宋体"/>
          <w:color w:val="0000FF"/>
          <w:sz w:val="22"/>
          <w:highlight w:val="none"/>
          <w:lang w:val="en-US" w:eastAsia="zh-CN"/>
        </w:rPr>
        <w:t>为响应采购文件要求</w:t>
      </w:r>
      <w:r>
        <w:rPr>
          <w:rFonts w:hint="eastAsia" w:ascii="宋体" w:hAnsi="宋体" w:eastAsia="宋体" w:cs="宋体"/>
          <w:sz w:val="22"/>
          <w:highlight w:val="none"/>
        </w:rPr>
        <w:t>。</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3.我方不是采购人的附属机构。</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4.我方未参加本采购项目的整体设计、规范编制或者项目管理、监理、检测等服务工作。</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项目的投标活动，</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截至投标截止日前，我方被列入“信用中国”网(www.creditchina.gov.cn)失信被执行人、重大税收违法案件当事人名单情况有</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良好的商业信誉和健全的财务会计制度，具有依法缴纳税收和社会保障资金的良好记录，具有履行本项目合同所必需的场地、设备和专业技术能力、售后保障等能力。如有虚假，采购人可取消我方任何资格（投标/中标/签订合同），我方对此无任何异议。</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pPr>
        <w:snapToGrid w:val="0"/>
        <w:spacing w:before="120" w:beforeLines="50"/>
        <w:ind w:firstLine="200"/>
        <w:rPr>
          <w:rFonts w:hint="eastAsia" w:ascii="宋体" w:hAnsi="宋体" w:eastAsia="宋体" w:cs="宋体"/>
          <w:sz w:val="18"/>
          <w:szCs w:val="18"/>
          <w:highlight w:val="none"/>
        </w:rPr>
      </w:pPr>
    </w:p>
    <w:p>
      <w:pPr>
        <w:snapToGrid w:val="0"/>
        <w:spacing w:before="50" w:after="50" w:line="360" w:lineRule="auto"/>
        <w:ind w:firstLine="220" w:firstLineChars="100"/>
        <w:rPr>
          <w:rFonts w:hint="eastAsia" w:ascii="宋体" w:hAnsi="宋体" w:eastAsia="宋体" w:cs="宋体"/>
          <w:sz w:val="22"/>
          <w:highlight w:val="none"/>
        </w:rPr>
      </w:pPr>
    </w:p>
    <w:p>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pPr>
        <w:snapToGrid w:val="0"/>
        <w:spacing w:before="50" w:after="50" w:line="360" w:lineRule="auto"/>
        <w:ind w:firstLine="220" w:firstLineChars="100"/>
        <w:rPr>
          <w:rFonts w:hint="eastAsia" w:ascii="宋体" w:hAnsi="宋体" w:eastAsia="宋体" w:cs="宋体"/>
          <w:sz w:val="22"/>
          <w:highlight w:val="none"/>
        </w:rPr>
      </w:pPr>
      <w:r>
        <w:rPr>
          <w:rFonts w:hint="eastAsia" w:ascii="宋体" w:hAnsi="宋体" w:eastAsia="宋体" w:cs="宋体"/>
          <w:sz w:val="22"/>
          <w:highlight w:val="none"/>
          <w:lang w:eastAsia="zh-CN"/>
        </w:rPr>
        <w:t>法定代表人（法定负责人）</w:t>
      </w:r>
      <w:r>
        <w:rPr>
          <w:rFonts w:hint="eastAsia" w:ascii="宋体" w:hAnsi="宋体" w:eastAsia="宋体" w:cs="宋体"/>
          <w:sz w:val="22"/>
          <w:highlight w:val="none"/>
        </w:rPr>
        <w:t>或授权代表（签字或盖章）：</w:t>
      </w:r>
    </w:p>
    <w:p>
      <w:pPr>
        <w:snapToGrid w:val="0"/>
        <w:spacing w:before="50" w:after="50" w:line="360" w:lineRule="auto"/>
        <w:ind w:firstLine="220" w:firstLineChars="100"/>
        <w:rPr>
          <w:rFonts w:hint="eastAsia" w:ascii="宋体" w:hAnsi="宋体" w:eastAsia="宋体" w:cs="宋体"/>
          <w:sz w:val="22"/>
          <w:highlight w:val="none"/>
        </w:rPr>
      </w:pPr>
      <w:r>
        <w:rPr>
          <w:rFonts w:hint="eastAsia" w:ascii="宋体" w:hAnsi="宋体" w:eastAsia="宋体" w:cs="宋体"/>
          <w:sz w:val="22"/>
          <w:highlight w:val="none"/>
          <w:lang w:val="en-US" w:eastAsia="zh-CN"/>
        </w:rPr>
        <w:t>日期：</w:t>
      </w:r>
    </w:p>
    <w:p>
      <w:pPr>
        <w:ind w:left="826" w:hanging="826" w:hangingChars="294"/>
        <w:rPr>
          <w:rFonts w:hint="eastAsia" w:ascii="宋体" w:hAnsi="宋体" w:eastAsia="宋体" w:cs="宋体"/>
          <w:b/>
          <w:bCs/>
          <w:sz w:val="28"/>
          <w:szCs w:val="28"/>
          <w:highlight w:val="none"/>
        </w:rPr>
      </w:pPr>
    </w:p>
    <w:p>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pStyle w:val="3"/>
        <w:spacing w:line="240" w:lineRule="auto"/>
        <w:rPr>
          <w:rFonts w:hint="eastAsia" w:ascii="宋体" w:hAnsi="宋体" w:eastAsia="宋体" w:cs="宋体"/>
          <w:sz w:val="24"/>
          <w:szCs w:val="24"/>
          <w:lang w:eastAsia="zh-CN"/>
        </w:rPr>
      </w:pPr>
      <w:bookmarkStart w:id="183" w:name="_Toc361760699"/>
      <w:bookmarkStart w:id="184" w:name="_Toc405195139"/>
      <w:bookmarkStart w:id="185" w:name="_Toc496886284"/>
      <w:bookmarkStart w:id="186" w:name="_Toc340960434"/>
      <w:bookmarkStart w:id="187" w:name="_Toc8631404"/>
      <w:bookmarkStart w:id="188" w:name="_Toc467313841"/>
      <w:bookmarkStart w:id="189" w:name="_Toc420830617"/>
      <w:bookmarkStart w:id="190" w:name="_Toc389811992"/>
      <w:bookmarkStart w:id="191" w:name="_Toc281291970"/>
      <w:r>
        <w:rPr>
          <w:rFonts w:hint="eastAsia" w:ascii="宋体" w:hAnsi="宋体" w:eastAsia="宋体" w:cs="宋体"/>
          <w:sz w:val="24"/>
          <w:szCs w:val="24"/>
        </w:rPr>
        <w:t>附件</w:t>
      </w:r>
      <w:bookmarkEnd w:id="183"/>
      <w:bookmarkEnd w:id="184"/>
      <w:bookmarkEnd w:id="185"/>
      <w:bookmarkEnd w:id="186"/>
      <w:bookmarkEnd w:id="187"/>
      <w:bookmarkEnd w:id="188"/>
      <w:bookmarkEnd w:id="189"/>
      <w:bookmarkEnd w:id="190"/>
      <w:bookmarkEnd w:id="191"/>
      <w:r>
        <w:rPr>
          <w:rFonts w:hint="eastAsia" w:ascii="宋体" w:hAnsi="宋体" w:eastAsia="宋体" w:cs="宋体"/>
          <w:sz w:val="24"/>
          <w:szCs w:val="24"/>
          <w:lang w:val="en-US" w:eastAsia="zh-CN"/>
        </w:rPr>
        <w:t>五</w:t>
      </w:r>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拟投入项目负责人及保险组成员情况表</w:t>
      </w:r>
    </w:p>
    <w:p>
      <w:pPr>
        <w:tabs>
          <w:tab w:val="left" w:pos="1620"/>
        </w:tabs>
        <w:spacing w:line="440" w:lineRule="exact"/>
        <w:jc w:val="center"/>
        <w:rPr>
          <w:rFonts w:hint="eastAsia" w:ascii="宋体" w:hAnsi="宋体" w:eastAsia="宋体" w:cs="宋体"/>
          <w:b/>
          <w:sz w:val="32"/>
          <w:szCs w:val="32"/>
        </w:rPr>
      </w:pPr>
    </w:p>
    <w:p>
      <w:pPr>
        <w:spacing w:line="360" w:lineRule="exact"/>
        <w:ind w:firstLine="315" w:firstLineChars="150"/>
        <w:rPr>
          <w:rFonts w:hint="eastAsia" w:ascii="宋体" w:hAnsi="宋体" w:eastAsia="宋体" w:cs="宋体"/>
          <w:szCs w:val="21"/>
        </w:rPr>
      </w:pPr>
      <w:r>
        <w:rPr>
          <w:rFonts w:hint="eastAsia" w:ascii="宋体" w:hAnsi="宋体" w:eastAsia="宋体" w:cs="宋体"/>
          <w:szCs w:val="21"/>
          <w:lang w:val="en-US" w:eastAsia="zh-CN"/>
        </w:rPr>
        <w:t>标段</w:t>
      </w:r>
      <w:r>
        <w:rPr>
          <w:rFonts w:hint="eastAsia" w:ascii="宋体" w:hAnsi="宋体" w:eastAsia="宋体" w:cs="宋体"/>
          <w:szCs w:val="21"/>
        </w:rPr>
        <w:t xml:space="preserve">名称：                                   </w:t>
      </w:r>
      <w:r>
        <w:rPr>
          <w:rFonts w:hint="eastAsia" w:ascii="宋体" w:hAnsi="宋体" w:eastAsia="宋体" w:cs="宋体"/>
          <w:szCs w:val="21"/>
          <w:lang w:val="en-US" w:eastAsia="zh-CN"/>
        </w:rPr>
        <w:t>标段</w:t>
      </w:r>
      <w:r>
        <w:rPr>
          <w:rFonts w:hint="eastAsia" w:ascii="宋体" w:hAnsi="宋体" w:eastAsia="宋体" w:cs="宋体"/>
          <w:szCs w:val="21"/>
        </w:rPr>
        <w:t>编号：</w:t>
      </w:r>
    </w:p>
    <w:tbl>
      <w:tblPr>
        <w:tblStyle w:val="29"/>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91"/>
        <w:gridCol w:w="861"/>
        <w:gridCol w:w="1721"/>
        <w:gridCol w:w="1291"/>
        <w:gridCol w:w="1076"/>
        <w:gridCol w:w="1366"/>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645"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序号</w:t>
            </w:r>
          </w:p>
        </w:tc>
        <w:tc>
          <w:tcPr>
            <w:tcW w:w="1291"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姓名</w:t>
            </w:r>
          </w:p>
        </w:tc>
        <w:tc>
          <w:tcPr>
            <w:tcW w:w="861"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性别</w:t>
            </w:r>
          </w:p>
        </w:tc>
        <w:tc>
          <w:tcPr>
            <w:tcW w:w="1721"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专业、学历</w:t>
            </w:r>
          </w:p>
        </w:tc>
        <w:tc>
          <w:tcPr>
            <w:tcW w:w="1291"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职称</w:t>
            </w:r>
          </w:p>
        </w:tc>
        <w:tc>
          <w:tcPr>
            <w:tcW w:w="1076" w:type="dxa"/>
            <w:noWrap w:val="0"/>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Cs w:val="21"/>
              </w:rPr>
              <w:t>执业</w:t>
            </w:r>
          </w:p>
          <w:p>
            <w:pPr>
              <w:spacing w:line="360" w:lineRule="exact"/>
              <w:jc w:val="center"/>
              <w:rPr>
                <w:rFonts w:hint="eastAsia" w:ascii="宋体" w:hAnsi="宋体" w:eastAsia="宋体" w:cs="宋体"/>
                <w:b/>
                <w:szCs w:val="21"/>
              </w:rPr>
            </w:pPr>
            <w:r>
              <w:rPr>
                <w:rFonts w:hint="eastAsia" w:ascii="宋体" w:hAnsi="宋体" w:eastAsia="宋体" w:cs="宋体"/>
                <w:b/>
                <w:szCs w:val="21"/>
              </w:rPr>
              <w:t>资格</w:t>
            </w:r>
          </w:p>
        </w:tc>
        <w:tc>
          <w:tcPr>
            <w:tcW w:w="1366"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工作年限</w:t>
            </w:r>
          </w:p>
        </w:tc>
        <w:tc>
          <w:tcPr>
            <w:tcW w:w="914"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45"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861" w:type="dxa"/>
            <w:noWrap w:val="0"/>
            <w:vAlign w:val="center"/>
          </w:tcPr>
          <w:p>
            <w:pPr>
              <w:spacing w:line="360" w:lineRule="exact"/>
              <w:jc w:val="center"/>
              <w:rPr>
                <w:rFonts w:hint="eastAsia" w:ascii="宋体" w:hAnsi="宋体" w:eastAsia="宋体" w:cs="宋体"/>
                <w:szCs w:val="21"/>
              </w:rPr>
            </w:pPr>
          </w:p>
        </w:tc>
        <w:tc>
          <w:tcPr>
            <w:tcW w:w="1721"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1076" w:type="dxa"/>
            <w:noWrap w:val="0"/>
            <w:vAlign w:val="center"/>
          </w:tcPr>
          <w:p>
            <w:pPr>
              <w:spacing w:line="360" w:lineRule="exact"/>
              <w:jc w:val="center"/>
              <w:rPr>
                <w:rFonts w:hint="eastAsia" w:ascii="宋体" w:hAnsi="宋体" w:eastAsia="宋体" w:cs="宋体"/>
                <w:szCs w:val="21"/>
              </w:rPr>
            </w:pPr>
          </w:p>
        </w:tc>
        <w:tc>
          <w:tcPr>
            <w:tcW w:w="1366" w:type="dxa"/>
            <w:noWrap w:val="0"/>
            <w:vAlign w:val="top"/>
          </w:tcPr>
          <w:p>
            <w:pPr>
              <w:spacing w:line="360" w:lineRule="exact"/>
              <w:jc w:val="center"/>
              <w:rPr>
                <w:rFonts w:hint="eastAsia" w:ascii="宋体" w:hAnsi="宋体" w:eastAsia="宋体" w:cs="宋体"/>
                <w:szCs w:val="21"/>
              </w:rPr>
            </w:pPr>
          </w:p>
        </w:tc>
        <w:tc>
          <w:tcPr>
            <w:tcW w:w="914"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5" w:hRule="exact"/>
          <w:jc w:val="center"/>
        </w:trPr>
        <w:tc>
          <w:tcPr>
            <w:tcW w:w="645"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861" w:type="dxa"/>
            <w:noWrap w:val="0"/>
            <w:vAlign w:val="center"/>
          </w:tcPr>
          <w:p>
            <w:pPr>
              <w:spacing w:line="360" w:lineRule="exact"/>
              <w:jc w:val="center"/>
              <w:rPr>
                <w:rFonts w:hint="eastAsia" w:ascii="宋体" w:hAnsi="宋体" w:eastAsia="宋体" w:cs="宋体"/>
                <w:szCs w:val="21"/>
              </w:rPr>
            </w:pPr>
          </w:p>
        </w:tc>
        <w:tc>
          <w:tcPr>
            <w:tcW w:w="1721"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1076" w:type="dxa"/>
            <w:noWrap w:val="0"/>
            <w:vAlign w:val="center"/>
          </w:tcPr>
          <w:p>
            <w:pPr>
              <w:spacing w:line="360" w:lineRule="exact"/>
              <w:jc w:val="center"/>
              <w:rPr>
                <w:rFonts w:hint="eastAsia" w:ascii="宋体" w:hAnsi="宋体" w:eastAsia="宋体" w:cs="宋体"/>
                <w:szCs w:val="21"/>
              </w:rPr>
            </w:pPr>
          </w:p>
        </w:tc>
        <w:tc>
          <w:tcPr>
            <w:tcW w:w="1366" w:type="dxa"/>
            <w:noWrap w:val="0"/>
            <w:vAlign w:val="top"/>
          </w:tcPr>
          <w:p>
            <w:pPr>
              <w:spacing w:line="360" w:lineRule="exact"/>
              <w:jc w:val="center"/>
              <w:rPr>
                <w:rFonts w:hint="eastAsia" w:ascii="宋体" w:hAnsi="宋体" w:eastAsia="宋体" w:cs="宋体"/>
                <w:szCs w:val="21"/>
              </w:rPr>
            </w:pPr>
          </w:p>
        </w:tc>
        <w:tc>
          <w:tcPr>
            <w:tcW w:w="914"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45"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861" w:type="dxa"/>
            <w:noWrap w:val="0"/>
            <w:vAlign w:val="center"/>
          </w:tcPr>
          <w:p>
            <w:pPr>
              <w:spacing w:line="360" w:lineRule="exact"/>
              <w:jc w:val="center"/>
              <w:rPr>
                <w:rFonts w:hint="eastAsia" w:ascii="宋体" w:hAnsi="宋体" w:eastAsia="宋体" w:cs="宋体"/>
                <w:szCs w:val="21"/>
              </w:rPr>
            </w:pPr>
          </w:p>
        </w:tc>
        <w:tc>
          <w:tcPr>
            <w:tcW w:w="1721"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1076" w:type="dxa"/>
            <w:noWrap w:val="0"/>
            <w:vAlign w:val="center"/>
          </w:tcPr>
          <w:p>
            <w:pPr>
              <w:spacing w:line="360" w:lineRule="exact"/>
              <w:jc w:val="center"/>
              <w:rPr>
                <w:rFonts w:hint="eastAsia" w:ascii="宋体" w:hAnsi="宋体" w:eastAsia="宋体" w:cs="宋体"/>
                <w:szCs w:val="21"/>
              </w:rPr>
            </w:pPr>
          </w:p>
        </w:tc>
        <w:tc>
          <w:tcPr>
            <w:tcW w:w="1366" w:type="dxa"/>
            <w:noWrap w:val="0"/>
            <w:vAlign w:val="top"/>
          </w:tcPr>
          <w:p>
            <w:pPr>
              <w:spacing w:line="360" w:lineRule="exact"/>
              <w:jc w:val="center"/>
              <w:rPr>
                <w:rFonts w:hint="eastAsia" w:ascii="宋体" w:hAnsi="宋体" w:eastAsia="宋体" w:cs="宋体"/>
                <w:szCs w:val="21"/>
              </w:rPr>
            </w:pPr>
          </w:p>
        </w:tc>
        <w:tc>
          <w:tcPr>
            <w:tcW w:w="914"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45"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861" w:type="dxa"/>
            <w:noWrap w:val="0"/>
            <w:vAlign w:val="center"/>
          </w:tcPr>
          <w:p>
            <w:pPr>
              <w:spacing w:line="360" w:lineRule="exact"/>
              <w:jc w:val="center"/>
              <w:rPr>
                <w:rFonts w:hint="eastAsia" w:ascii="宋体" w:hAnsi="宋体" w:eastAsia="宋体" w:cs="宋体"/>
                <w:szCs w:val="21"/>
              </w:rPr>
            </w:pPr>
          </w:p>
        </w:tc>
        <w:tc>
          <w:tcPr>
            <w:tcW w:w="1721"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1076" w:type="dxa"/>
            <w:noWrap w:val="0"/>
            <w:vAlign w:val="center"/>
          </w:tcPr>
          <w:p>
            <w:pPr>
              <w:spacing w:line="360" w:lineRule="exact"/>
              <w:jc w:val="center"/>
              <w:rPr>
                <w:rFonts w:hint="eastAsia" w:ascii="宋体" w:hAnsi="宋体" w:eastAsia="宋体" w:cs="宋体"/>
                <w:szCs w:val="21"/>
              </w:rPr>
            </w:pPr>
          </w:p>
        </w:tc>
        <w:tc>
          <w:tcPr>
            <w:tcW w:w="1366" w:type="dxa"/>
            <w:noWrap w:val="0"/>
            <w:vAlign w:val="top"/>
          </w:tcPr>
          <w:p>
            <w:pPr>
              <w:spacing w:line="360" w:lineRule="exact"/>
              <w:jc w:val="center"/>
              <w:rPr>
                <w:rFonts w:hint="eastAsia" w:ascii="宋体" w:hAnsi="宋体" w:eastAsia="宋体" w:cs="宋体"/>
                <w:szCs w:val="21"/>
              </w:rPr>
            </w:pPr>
          </w:p>
        </w:tc>
        <w:tc>
          <w:tcPr>
            <w:tcW w:w="914"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45"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861" w:type="dxa"/>
            <w:noWrap w:val="0"/>
            <w:vAlign w:val="center"/>
          </w:tcPr>
          <w:p>
            <w:pPr>
              <w:spacing w:line="360" w:lineRule="exact"/>
              <w:jc w:val="center"/>
              <w:rPr>
                <w:rFonts w:hint="eastAsia" w:ascii="宋体" w:hAnsi="宋体" w:eastAsia="宋体" w:cs="宋体"/>
                <w:szCs w:val="21"/>
              </w:rPr>
            </w:pPr>
          </w:p>
        </w:tc>
        <w:tc>
          <w:tcPr>
            <w:tcW w:w="1721"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1076" w:type="dxa"/>
            <w:noWrap w:val="0"/>
            <w:vAlign w:val="center"/>
          </w:tcPr>
          <w:p>
            <w:pPr>
              <w:spacing w:line="360" w:lineRule="exact"/>
              <w:jc w:val="center"/>
              <w:rPr>
                <w:rFonts w:hint="eastAsia" w:ascii="宋体" w:hAnsi="宋体" w:eastAsia="宋体" w:cs="宋体"/>
                <w:szCs w:val="21"/>
              </w:rPr>
            </w:pPr>
          </w:p>
        </w:tc>
        <w:tc>
          <w:tcPr>
            <w:tcW w:w="1366" w:type="dxa"/>
            <w:noWrap w:val="0"/>
            <w:vAlign w:val="top"/>
          </w:tcPr>
          <w:p>
            <w:pPr>
              <w:spacing w:line="360" w:lineRule="exact"/>
              <w:jc w:val="center"/>
              <w:rPr>
                <w:rFonts w:hint="eastAsia" w:ascii="宋体" w:hAnsi="宋体" w:eastAsia="宋体" w:cs="宋体"/>
                <w:szCs w:val="21"/>
              </w:rPr>
            </w:pPr>
          </w:p>
        </w:tc>
        <w:tc>
          <w:tcPr>
            <w:tcW w:w="914"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5" w:hRule="exact"/>
          <w:jc w:val="center"/>
        </w:trPr>
        <w:tc>
          <w:tcPr>
            <w:tcW w:w="645"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861" w:type="dxa"/>
            <w:noWrap w:val="0"/>
            <w:vAlign w:val="center"/>
          </w:tcPr>
          <w:p>
            <w:pPr>
              <w:spacing w:line="360" w:lineRule="exact"/>
              <w:jc w:val="center"/>
              <w:rPr>
                <w:rFonts w:hint="eastAsia" w:ascii="宋体" w:hAnsi="宋体" w:eastAsia="宋体" w:cs="宋体"/>
                <w:szCs w:val="21"/>
              </w:rPr>
            </w:pPr>
          </w:p>
        </w:tc>
        <w:tc>
          <w:tcPr>
            <w:tcW w:w="1721"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1076" w:type="dxa"/>
            <w:noWrap w:val="0"/>
            <w:vAlign w:val="center"/>
          </w:tcPr>
          <w:p>
            <w:pPr>
              <w:spacing w:line="360" w:lineRule="exact"/>
              <w:jc w:val="center"/>
              <w:rPr>
                <w:rFonts w:hint="eastAsia" w:ascii="宋体" w:hAnsi="宋体" w:eastAsia="宋体" w:cs="宋体"/>
                <w:szCs w:val="21"/>
              </w:rPr>
            </w:pPr>
          </w:p>
        </w:tc>
        <w:tc>
          <w:tcPr>
            <w:tcW w:w="1366" w:type="dxa"/>
            <w:noWrap w:val="0"/>
            <w:vAlign w:val="top"/>
          </w:tcPr>
          <w:p>
            <w:pPr>
              <w:spacing w:line="360" w:lineRule="exact"/>
              <w:jc w:val="center"/>
              <w:rPr>
                <w:rFonts w:hint="eastAsia" w:ascii="宋体" w:hAnsi="宋体" w:eastAsia="宋体" w:cs="宋体"/>
                <w:szCs w:val="21"/>
              </w:rPr>
            </w:pPr>
          </w:p>
        </w:tc>
        <w:tc>
          <w:tcPr>
            <w:tcW w:w="914"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45"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861" w:type="dxa"/>
            <w:noWrap w:val="0"/>
            <w:vAlign w:val="center"/>
          </w:tcPr>
          <w:p>
            <w:pPr>
              <w:spacing w:line="360" w:lineRule="exact"/>
              <w:jc w:val="center"/>
              <w:rPr>
                <w:rFonts w:hint="eastAsia" w:ascii="宋体" w:hAnsi="宋体" w:eastAsia="宋体" w:cs="宋体"/>
                <w:szCs w:val="21"/>
              </w:rPr>
            </w:pPr>
          </w:p>
        </w:tc>
        <w:tc>
          <w:tcPr>
            <w:tcW w:w="1721"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1076" w:type="dxa"/>
            <w:noWrap w:val="0"/>
            <w:vAlign w:val="center"/>
          </w:tcPr>
          <w:p>
            <w:pPr>
              <w:spacing w:line="360" w:lineRule="exact"/>
              <w:jc w:val="center"/>
              <w:rPr>
                <w:rFonts w:hint="eastAsia" w:ascii="宋体" w:hAnsi="宋体" w:eastAsia="宋体" w:cs="宋体"/>
                <w:szCs w:val="21"/>
              </w:rPr>
            </w:pPr>
          </w:p>
        </w:tc>
        <w:tc>
          <w:tcPr>
            <w:tcW w:w="1366" w:type="dxa"/>
            <w:noWrap w:val="0"/>
            <w:vAlign w:val="top"/>
          </w:tcPr>
          <w:p>
            <w:pPr>
              <w:spacing w:line="360" w:lineRule="exact"/>
              <w:jc w:val="center"/>
              <w:rPr>
                <w:rFonts w:hint="eastAsia" w:ascii="宋体" w:hAnsi="宋体" w:eastAsia="宋体" w:cs="宋体"/>
                <w:szCs w:val="21"/>
              </w:rPr>
            </w:pPr>
          </w:p>
        </w:tc>
        <w:tc>
          <w:tcPr>
            <w:tcW w:w="914"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5" w:hRule="exact"/>
          <w:jc w:val="center"/>
        </w:trPr>
        <w:tc>
          <w:tcPr>
            <w:tcW w:w="645"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861" w:type="dxa"/>
            <w:noWrap w:val="0"/>
            <w:vAlign w:val="center"/>
          </w:tcPr>
          <w:p>
            <w:pPr>
              <w:spacing w:line="360" w:lineRule="exact"/>
              <w:jc w:val="center"/>
              <w:rPr>
                <w:rFonts w:hint="eastAsia" w:ascii="宋体" w:hAnsi="宋体" w:eastAsia="宋体" w:cs="宋体"/>
                <w:szCs w:val="21"/>
              </w:rPr>
            </w:pPr>
          </w:p>
        </w:tc>
        <w:tc>
          <w:tcPr>
            <w:tcW w:w="1721"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1076" w:type="dxa"/>
            <w:noWrap w:val="0"/>
            <w:vAlign w:val="center"/>
          </w:tcPr>
          <w:p>
            <w:pPr>
              <w:spacing w:line="360" w:lineRule="exact"/>
              <w:jc w:val="center"/>
              <w:rPr>
                <w:rFonts w:hint="eastAsia" w:ascii="宋体" w:hAnsi="宋体" w:eastAsia="宋体" w:cs="宋体"/>
                <w:szCs w:val="21"/>
              </w:rPr>
            </w:pPr>
          </w:p>
        </w:tc>
        <w:tc>
          <w:tcPr>
            <w:tcW w:w="1366" w:type="dxa"/>
            <w:noWrap w:val="0"/>
            <w:vAlign w:val="top"/>
          </w:tcPr>
          <w:p>
            <w:pPr>
              <w:spacing w:line="360" w:lineRule="exact"/>
              <w:jc w:val="center"/>
              <w:rPr>
                <w:rFonts w:hint="eastAsia" w:ascii="宋体" w:hAnsi="宋体" w:eastAsia="宋体" w:cs="宋体"/>
                <w:szCs w:val="21"/>
              </w:rPr>
            </w:pPr>
          </w:p>
        </w:tc>
        <w:tc>
          <w:tcPr>
            <w:tcW w:w="914"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45"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861" w:type="dxa"/>
            <w:noWrap w:val="0"/>
            <w:vAlign w:val="center"/>
          </w:tcPr>
          <w:p>
            <w:pPr>
              <w:spacing w:line="360" w:lineRule="exact"/>
              <w:jc w:val="center"/>
              <w:rPr>
                <w:rFonts w:hint="eastAsia" w:ascii="宋体" w:hAnsi="宋体" w:eastAsia="宋体" w:cs="宋体"/>
                <w:szCs w:val="21"/>
              </w:rPr>
            </w:pPr>
          </w:p>
        </w:tc>
        <w:tc>
          <w:tcPr>
            <w:tcW w:w="1721"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1076" w:type="dxa"/>
            <w:noWrap w:val="0"/>
            <w:vAlign w:val="center"/>
          </w:tcPr>
          <w:p>
            <w:pPr>
              <w:spacing w:line="360" w:lineRule="exact"/>
              <w:jc w:val="center"/>
              <w:rPr>
                <w:rFonts w:hint="eastAsia" w:ascii="宋体" w:hAnsi="宋体" w:eastAsia="宋体" w:cs="宋体"/>
                <w:szCs w:val="21"/>
              </w:rPr>
            </w:pPr>
          </w:p>
        </w:tc>
        <w:tc>
          <w:tcPr>
            <w:tcW w:w="1366" w:type="dxa"/>
            <w:noWrap w:val="0"/>
            <w:vAlign w:val="top"/>
          </w:tcPr>
          <w:p>
            <w:pPr>
              <w:spacing w:line="360" w:lineRule="exact"/>
              <w:jc w:val="center"/>
              <w:rPr>
                <w:rFonts w:hint="eastAsia" w:ascii="宋体" w:hAnsi="宋体" w:eastAsia="宋体" w:cs="宋体"/>
                <w:szCs w:val="21"/>
              </w:rPr>
            </w:pPr>
          </w:p>
        </w:tc>
        <w:tc>
          <w:tcPr>
            <w:tcW w:w="914"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5" w:hRule="exact"/>
          <w:jc w:val="center"/>
        </w:trPr>
        <w:tc>
          <w:tcPr>
            <w:tcW w:w="645"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861" w:type="dxa"/>
            <w:noWrap w:val="0"/>
            <w:vAlign w:val="center"/>
          </w:tcPr>
          <w:p>
            <w:pPr>
              <w:spacing w:line="360" w:lineRule="exact"/>
              <w:jc w:val="center"/>
              <w:rPr>
                <w:rFonts w:hint="eastAsia" w:ascii="宋体" w:hAnsi="宋体" w:eastAsia="宋体" w:cs="宋体"/>
                <w:szCs w:val="21"/>
              </w:rPr>
            </w:pPr>
          </w:p>
        </w:tc>
        <w:tc>
          <w:tcPr>
            <w:tcW w:w="1721"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1076" w:type="dxa"/>
            <w:noWrap w:val="0"/>
            <w:vAlign w:val="center"/>
          </w:tcPr>
          <w:p>
            <w:pPr>
              <w:spacing w:line="360" w:lineRule="exact"/>
              <w:jc w:val="center"/>
              <w:rPr>
                <w:rFonts w:hint="eastAsia" w:ascii="宋体" w:hAnsi="宋体" w:eastAsia="宋体" w:cs="宋体"/>
                <w:szCs w:val="21"/>
              </w:rPr>
            </w:pPr>
          </w:p>
        </w:tc>
        <w:tc>
          <w:tcPr>
            <w:tcW w:w="1366" w:type="dxa"/>
            <w:noWrap w:val="0"/>
            <w:vAlign w:val="top"/>
          </w:tcPr>
          <w:p>
            <w:pPr>
              <w:spacing w:line="360" w:lineRule="exact"/>
              <w:jc w:val="center"/>
              <w:rPr>
                <w:rFonts w:hint="eastAsia" w:ascii="宋体" w:hAnsi="宋体" w:eastAsia="宋体" w:cs="宋体"/>
                <w:szCs w:val="21"/>
              </w:rPr>
            </w:pPr>
          </w:p>
        </w:tc>
        <w:tc>
          <w:tcPr>
            <w:tcW w:w="914"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5" w:hRule="exact"/>
          <w:jc w:val="center"/>
        </w:trPr>
        <w:tc>
          <w:tcPr>
            <w:tcW w:w="645"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861" w:type="dxa"/>
            <w:noWrap w:val="0"/>
            <w:vAlign w:val="center"/>
          </w:tcPr>
          <w:p>
            <w:pPr>
              <w:spacing w:line="360" w:lineRule="exact"/>
              <w:jc w:val="center"/>
              <w:rPr>
                <w:rFonts w:hint="eastAsia" w:ascii="宋体" w:hAnsi="宋体" w:eastAsia="宋体" w:cs="宋体"/>
                <w:szCs w:val="21"/>
              </w:rPr>
            </w:pPr>
          </w:p>
        </w:tc>
        <w:tc>
          <w:tcPr>
            <w:tcW w:w="1721" w:type="dxa"/>
            <w:noWrap w:val="0"/>
            <w:vAlign w:val="center"/>
          </w:tcPr>
          <w:p>
            <w:pPr>
              <w:spacing w:line="360" w:lineRule="exact"/>
              <w:jc w:val="center"/>
              <w:rPr>
                <w:rFonts w:hint="eastAsia" w:ascii="宋体" w:hAnsi="宋体" w:eastAsia="宋体" w:cs="宋体"/>
                <w:szCs w:val="21"/>
              </w:rPr>
            </w:pPr>
          </w:p>
        </w:tc>
        <w:tc>
          <w:tcPr>
            <w:tcW w:w="1291" w:type="dxa"/>
            <w:noWrap w:val="0"/>
            <w:vAlign w:val="center"/>
          </w:tcPr>
          <w:p>
            <w:pPr>
              <w:spacing w:line="360" w:lineRule="exact"/>
              <w:jc w:val="center"/>
              <w:rPr>
                <w:rFonts w:hint="eastAsia" w:ascii="宋体" w:hAnsi="宋体" w:eastAsia="宋体" w:cs="宋体"/>
                <w:szCs w:val="21"/>
              </w:rPr>
            </w:pPr>
          </w:p>
        </w:tc>
        <w:tc>
          <w:tcPr>
            <w:tcW w:w="1076" w:type="dxa"/>
            <w:noWrap w:val="0"/>
            <w:vAlign w:val="center"/>
          </w:tcPr>
          <w:p>
            <w:pPr>
              <w:spacing w:line="360" w:lineRule="exact"/>
              <w:jc w:val="center"/>
              <w:rPr>
                <w:rFonts w:hint="eastAsia" w:ascii="宋体" w:hAnsi="宋体" w:eastAsia="宋体" w:cs="宋体"/>
                <w:szCs w:val="21"/>
              </w:rPr>
            </w:pPr>
          </w:p>
        </w:tc>
        <w:tc>
          <w:tcPr>
            <w:tcW w:w="1366" w:type="dxa"/>
            <w:noWrap w:val="0"/>
            <w:vAlign w:val="top"/>
          </w:tcPr>
          <w:p>
            <w:pPr>
              <w:spacing w:line="360" w:lineRule="exact"/>
              <w:jc w:val="center"/>
              <w:rPr>
                <w:rFonts w:hint="eastAsia" w:ascii="宋体" w:hAnsi="宋体" w:eastAsia="宋体" w:cs="宋体"/>
                <w:szCs w:val="21"/>
              </w:rPr>
            </w:pPr>
          </w:p>
        </w:tc>
        <w:tc>
          <w:tcPr>
            <w:tcW w:w="914"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45"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1291"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861"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1721"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1291"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1076"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1366" w:type="dxa"/>
            <w:tcBorders>
              <w:bottom w:val="single" w:color="auto" w:sz="4" w:space="0"/>
            </w:tcBorders>
            <w:noWrap w:val="0"/>
            <w:vAlign w:val="top"/>
          </w:tcPr>
          <w:p>
            <w:pPr>
              <w:spacing w:line="360" w:lineRule="exact"/>
              <w:jc w:val="center"/>
              <w:rPr>
                <w:rFonts w:hint="eastAsia" w:ascii="宋体" w:hAnsi="宋体" w:eastAsia="宋体" w:cs="宋体"/>
                <w:szCs w:val="21"/>
              </w:rPr>
            </w:pPr>
          </w:p>
        </w:tc>
        <w:tc>
          <w:tcPr>
            <w:tcW w:w="914"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r>
    </w:tbl>
    <w:p>
      <w:pPr>
        <w:spacing w:line="380" w:lineRule="exact"/>
        <w:rPr>
          <w:rFonts w:hint="eastAsia" w:ascii="宋体" w:hAnsi="宋体" w:eastAsia="宋体" w:cs="宋体"/>
          <w:b/>
          <w:sz w:val="22"/>
          <w:szCs w:val="22"/>
        </w:rPr>
      </w:pPr>
    </w:p>
    <w:p>
      <w:pPr>
        <w:spacing w:line="380" w:lineRule="exact"/>
        <w:rPr>
          <w:rFonts w:hint="eastAsia" w:ascii="宋体" w:hAnsi="宋体" w:eastAsia="宋体" w:cs="宋体"/>
          <w:b/>
          <w:sz w:val="22"/>
          <w:szCs w:val="22"/>
        </w:rPr>
      </w:pPr>
      <w:r>
        <w:rPr>
          <w:rFonts w:hint="eastAsia" w:ascii="宋体" w:hAnsi="宋体" w:eastAsia="宋体" w:cs="宋体"/>
          <w:b/>
          <w:sz w:val="22"/>
          <w:szCs w:val="22"/>
        </w:rPr>
        <w:t>投标人全称（盖公章）：</w:t>
      </w:r>
    </w:p>
    <w:p>
      <w:pPr>
        <w:spacing w:line="380" w:lineRule="exact"/>
        <w:rPr>
          <w:rFonts w:hint="eastAsia" w:ascii="宋体" w:hAnsi="宋体" w:eastAsia="宋体" w:cs="宋体"/>
          <w:b/>
          <w:sz w:val="22"/>
          <w:szCs w:val="22"/>
        </w:rPr>
      </w:pPr>
      <w:r>
        <w:rPr>
          <w:rFonts w:hint="eastAsia" w:ascii="宋体" w:hAnsi="宋体" w:eastAsia="宋体" w:cs="宋体"/>
          <w:b/>
          <w:sz w:val="22"/>
          <w:szCs w:val="22"/>
          <w:lang w:eastAsia="zh-CN"/>
        </w:rPr>
        <w:t>法定代表人（法定负责人）</w:t>
      </w:r>
      <w:r>
        <w:rPr>
          <w:rFonts w:hint="eastAsia" w:ascii="宋体" w:hAnsi="宋体" w:eastAsia="宋体" w:cs="宋体"/>
          <w:b/>
          <w:sz w:val="22"/>
          <w:szCs w:val="22"/>
        </w:rPr>
        <w:t>或授权代表（签字或盖章）：</w:t>
      </w:r>
    </w:p>
    <w:p>
      <w:pPr>
        <w:spacing w:line="360" w:lineRule="auto"/>
        <w:ind w:right="-11"/>
        <w:rPr>
          <w:rFonts w:hint="eastAsia" w:ascii="宋体" w:hAnsi="宋体" w:eastAsia="宋体" w:cs="宋体"/>
        </w:rPr>
      </w:pPr>
      <w:r>
        <w:rPr>
          <w:rFonts w:hint="eastAsia" w:ascii="宋体" w:hAnsi="宋体" w:eastAsia="宋体" w:cs="宋体"/>
          <w:b/>
          <w:sz w:val="22"/>
          <w:szCs w:val="22"/>
        </w:rPr>
        <w:t>日  期：</w:t>
      </w:r>
    </w:p>
    <w:p>
      <w:pPr>
        <w:spacing w:line="460" w:lineRule="exact"/>
        <w:rPr>
          <w:rFonts w:hint="eastAsia" w:ascii="宋体" w:hAnsi="宋体" w:eastAsia="宋体" w:cs="宋体"/>
          <w:b/>
          <w:bCs/>
          <w:sz w:val="28"/>
          <w:szCs w:val="28"/>
          <w:lang w:eastAsia="zh-CN"/>
        </w:rPr>
      </w:pPr>
      <w:r>
        <w:rPr>
          <w:rFonts w:hint="eastAsia" w:ascii="宋体" w:hAnsi="宋体" w:eastAsia="宋体" w:cs="宋体"/>
          <w:b/>
          <w:sz w:val="22"/>
          <w:szCs w:val="22"/>
        </w:rPr>
        <w:br w:type="page"/>
      </w: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六</w:t>
      </w:r>
    </w:p>
    <w:p>
      <w:pPr>
        <w:spacing w:line="240" w:lineRule="auto"/>
        <w:jc w:val="center"/>
        <w:rPr>
          <w:rFonts w:hint="eastAsia" w:ascii="宋体" w:hAnsi="宋体" w:eastAsia="宋体" w:cs="宋体"/>
          <w:b/>
          <w:bCs/>
          <w:sz w:val="28"/>
          <w:szCs w:val="28"/>
          <w:lang w:eastAsia="zh-CN"/>
        </w:rPr>
      </w:pPr>
    </w:p>
    <w:p>
      <w:pPr>
        <w:spacing w:line="460" w:lineRule="exact"/>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2023年1月1日以来类似车辆保险项目业绩</w:t>
      </w:r>
    </w:p>
    <w:p>
      <w:pPr>
        <w:spacing w:line="380" w:lineRule="exact"/>
        <w:rPr>
          <w:rFonts w:hint="eastAsia" w:ascii="宋体" w:hAnsi="宋体" w:eastAsia="宋体" w:cs="宋体"/>
          <w:bCs/>
          <w:sz w:val="22"/>
          <w:szCs w:val="22"/>
        </w:rPr>
      </w:pPr>
    </w:p>
    <w:p>
      <w:pPr>
        <w:spacing w:line="380" w:lineRule="exact"/>
        <w:rPr>
          <w:rFonts w:hint="eastAsia" w:ascii="宋体" w:hAnsi="宋体" w:eastAsia="宋体" w:cs="宋体"/>
          <w:bCs/>
          <w:sz w:val="22"/>
          <w:szCs w:val="22"/>
        </w:rPr>
      </w:pPr>
      <w:r>
        <w:rPr>
          <w:rFonts w:hint="eastAsia" w:ascii="宋体" w:hAnsi="宋体" w:eastAsia="宋体" w:cs="宋体"/>
          <w:bCs/>
          <w:sz w:val="22"/>
          <w:szCs w:val="22"/>
          <w:lang w:val="en-US" w:eastAsia="zh-CN"/>
        </w:rPr>
        <w:t>标段</w:t>
      </w:r>
      <w:r>
        <w:rPr>
          <w:rFonts w:hint="eastAsia" w:ascii="宋体" w:hAnsi="宋体" w:eastAsia="宋体" w:cs="宋体"/>
          <w:bCs/>
          <w:sz w:val="22"/>
          <w:szCs w:val="22"/>
        </w:rPr>
        <w:t xml:space="preserve">名称：                             </w:t>
      </w:r>
      <w:r>
        <w:rPr>
          <w:rFonts w:hint="eastAsia" w:ascii="宋体" w:hAnsi="宋体" w:eastAsia="宋体" w:cs="宋体"/>
          <w:bCs/>
          <w:sz w:val="22"/>
          <w:szCs w:val="22"/>
          <w:lang w:val="en-US" w:eastAsia="zh-CN"/>
        </w:rPr>
        <w:t>标段</w:t>
      </w:r>
      <w:r>
        <w:rPr>
          <w:rFonts w:hint="eastAsia" w:ascii="宋体" w:hAnsi="宋体" w:eastAsia="宋体" w:cs="宋体"/>
          <w:bCs/>
          <w:sz w:val="22"/>
          <w:szCs w:val="22"/>
        </w:rPr>
        <w:t>编号：</w:t>
      </w:r>
    </w:p>
    <w:tbl>
      <w:tblPr>
        <w:tblStyle w:val="29"/>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984"/>
        <w:gridCol w:w="720"/>
        <w:gridCol w:w="1123"/>
        <w:gridCol w:w="1134"/>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shd w:val="clear" w:color="auto" w:fill="D9D9D9"/>
            <w:noWrap w:val="0"/>
            <w:vAlign w:val="center"/>
          </w:tcPr>
          <w:p>
            <w:pPr>
              <w:spacing w:line="380" w:lineRule="exact"/>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2192" w:type="dxa"/>
            <w:shd w:val="clear" w:color="auto" w:fill="D9D9D9"/>
            <w:noWrap w:val="0"/>
            <w:vAlign w:val="center"/>
          </w:tcPr>
          <w:p>
            <w:pPr>
              <w:spacing w:line="380" w:lineRule="exact"/>
              <w:jc w:val="center"/>
              <w:rPr>
                <w:rFonts w:hint="eastAsia" w:ascii="宋体" w:hAnsi="宋体" w:eastAsia="宋体" w:cs="宋体"/>
                <w:b/>
                <w:bCs/>
                <w:sz w:val="22"/>
                <w:szCs w:val="22"/>
              </w:rPr>
            </w:pPr>
            <w:r>
              <w:rPr>
                <w:rFonts w:hint="eastAsia" w:ascii="宋体" w:hAnsi="宋体" w:eastAsia="宋体" w:cs="宋体"/>
                <w:b/>
                <w:bCs/>
                <w:sz w:val="22"/>
                <w:szCs w:val="22"/>
              </w:rPr>
              <w:t>项目名称</w:t>
            </w:r>
          </w:p>
        </w:tc>
        <w:tc>
          <w:tcPr>
            <w:tcW w:w="1984" w:type="dxa"/>
            <w:shd w:val="clear" w:color="auto" w:fill="D9D9D9"/>
            <w:noWrap w:val="0"/>
            <w:vAlign w:val="center"/>
          </w:tcPr>
          <w:p>
            <w:pPr>
              <w:spacing w:line="380" w:lineRule="exact"/>
              <w:jc w:val="center"/>
              <w:rPr>
                <w:rFonts w:hint="eastAsia" w:ascii="宋体" w:hAnsi="宋体" w:eastAsia="宋体" w:cs="宋体"/>
                <w:b/>
                <w:bCs/>
                <w:sz w:val="22"/>
                <w:szCs w:val="22"/>
              </w:rPr>
            </w:pPr>
            <w:r>
              <w:rPr>
                <w:rFonts w:hint="eastAsia" w:ascii="宋体" w:hAnsi="宋体" w:eastAsia="宋体" w:cs="宋体"/>
                <w:b/>
                <w:bCs/>
                <w:sz w:val="22"/>
                <w:szCs w:val="22"/>
              </w:rPr>
              <w:t>用户单位</w:t>
            </w:r>
          </w:p>
        </w:tc>
        <w:tc>
          <w:tcPr>
            <w:tcW w:w="720" w:type="dxa"/>
            <w:shd w:val="clear" w:color="auto" w:fill="D9D9D9"/>
            <w:noWrap w:val="0"/>
            <w:vAlign w:val="center"/>
          </w:tcPr>
          <w:p>
            <w:pPr>
              <w:spacing w:line="380" w:lineRule="exact"/>
              <w:jc w:val="center"/>
              <w:rPr>
                <w:rFonts w:hint="eastAsia" w:ascii="宋体" w:hAnsi="宋体" w:eastAsia="宋体" w:cs="宋体"/>
                <w:b/>
                <w:bCs/>
                <w:sz w:val="22"/>
                <w:szCs w:val="22"/>
              </w:rPr>
            </w:pPr>
            <w:r>
              <w:rPr>
                <w:rFonts w:hint="eastAsia" w:ascii="宋体" w:hAnsi="宋体" w:eastAsia="宋体" w:cs="宋体"/>
                <w:b/>
                <w:bCs/>
                <w:sz w:val="22"/>
                <w:szCs w:val="22"/>
              </w:rPr>
              <w:t>数量</w:t>
            </w:r>
          </w:p>
        </w:tc>
        <w:tc>
          <w:tcPr>
            <w:tcW w:w="1123" w:type="dxa"/>
            <w:shd w:val="clear" w:color="auto" w:fill="D9D9D9"/>
            <w:noWrap w:val="0"/>
            <w:vAlign w:val="center"/>
          </w:tcPr>
          <w:p>
            <w:pPr>
              <w:spacing w:line="380" w:lineRule="exact"/>
              <w:jc w:val="center"/>
              <w:rPr>
                <w:rFonts w:hint="eastAsia" w:ascii="宋体" w:hAnsi="宋体" w:eastAsia="宋体" w:cs="宋体"/>
                <w:b/>
                <w:bCs/>
                <w:sz w:val="22"/>
                <w:szCs w:val="22"/>
              </w:rPr>
            </w:pPr>
            <w:r>
              <w:rPr>
                <w:rFonts w:hint="eastAsia" w:ascii="宋体" w:hAnsi="宋体" w:eastAsia="宋体" w:cs="宋体"/>
                <w:b/>
                <w:bCs/>
                <w:sz w:val="22"/>
                <w:szCs w:val="22"/>
              </w:rPr>
              <w:t>合同金额</w:t>
            </w:r>
          </w:p>
        </w:tc>
        <w:tc>
          <w:tcPr>
            <w:tcW w:w="1134" w:type="dxa"/>
            <w:shd w:val="clear" w:color="auto" w:fill="D9D9D9"/>
            <w:noWrap w:val="0"/>
            <w:vAlign w:val="center"/>
          </w:tcPr>
          <w:p>
            <w:pPr>
              <w:spacing w:line="380" w:lineRule="exact"/>
              <w:jc w:val="center"/>
              <w:rPr>
                <w:rFonts w:hint="eastAsia" w:ascii="宋体" w:hAnsi="宋体" w:eastAsia="宋体" w:cs="宋体"/>
                <w:b/>
                <w:bCs/>
                <w:sz w:val="22"/>
                <w:szCs w:val="22"/>
              </w:rPr>
            </w:pPr>
            <w:r>
              <w:rPr>
                <w:rFonts w:hint="eastAsia" w:ascii="宋体" w:hAnsi="宋体" w:eastAsia="宋体" w:cs="宋体"/>
                <w:b/>
                <w:bCs/>
                <w:sz w:val="22"/>
                <w:szCs w:val="22"/>
              </w:rPr>
              <w:t>合同签订时间</w:t>
            </w:r>
          </w:p>
        </w:tc>
        <w:tc>
          <w:tcPr>
            <w:tcW w:w="1563" w:type="dxa"/>
            <w:shd w:val="clear" w:color="auto" w:fill="D9D9D9"/>
            <w:noWrap w:val="0"/>
            <w:vAlign w:val="center"/>
          </w:tcPr>
          <w:p>
            <w:pPr>
              <w:spacing w:line="380" w:lineRule="exact"/>
              <w:jc w:val="center"/>
              <w:rPr>
                <w:rFonts w:hint="eastAsia" w:ascii="宋体" w:hAnsi="宋体" w:eastAsia="宋体" w:cs="宋体"/>
                <w:b/>
                <w:bCs/>
                <w:sz w:val="22"/>
                <w:szCs w:val="22"/>
              </w:rPr>
            </w:pPr>
            <w:r>
              <w:rPr>
                <w:rFonts w:hint="eastAsia" w:ascii="宋体" w:hAnsi="宋体" w:eastAsia="宋体" w:cs="宋体"/>
                <w:b/>
                <w:bCs/>
                <w:sz w:val="22"/>
                <w:szCs w:val="22"/>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spacing w:line="380" w:lineRule="exact"/>
              <w:jc w:val="center"/>
              <w:rPr>
                <w:rFonts w:hint="eastAsia" w:ascii="宋体" w:hAnsi="宋体" w:eastAsia="宋体" w:cs="宋体"/>
                <w:b/>
                <w:bCs/>
                <w:sz w:val="22"/>
                <w:szCs w:val="22"/>
              </w:rPr>
            </w:pPr>
          </w:p>
        </w:tc>
        <w:tc>
          <w:tcPr>
            <w:tcW w:w="2192" w:type="dxa"/>
            <w:noWrap w:val="0"/>
            <w:vAlign w:val="center"/>
          </w:tcPr>
          <w:p>
            <w:pPr>
              <w:spacing w:line="380" w:lineRule="exact"/>
              <w:jc w:val="center"/>
              <w:rPr>
                <w:rFonts w:hint="eastAsia" w:ascii="宋体" w:hAnsi="宋体" w:eastAsia="宋体" w:cs="宋体"/>
                <w:b/>
                <w:bCs/>
                <w:sz w:val="22"/>
                <w:szCs w:val="22"/>
              </w:rPr>
            </w:pPr>
          </w:p>
        </w:tc>
        <w:tc>
          <w:tcPr>
            <w:tcW w:w="1984" w:type="dxa"/>
            <w:noWrap w:val="0"/>
            <w:vAlign w:val="center"/>
          </w:tcPr>
          <w:p>
            <w:pPr>
              <w:spacing w:line="380" w:lineRule="exact"/>
              <w:jc w:val="center"/>
              <w:rPr>
                <w:rFonts w:hint="eastAsia" w:ascii="宋体" w:hAnsi="宋体" w:eastAsia="宋体" w:cs="宋体"/>
                <w:b/>
                <w:bCs/>
                <w:sz w:val="22"/>
                <w:szCs w:val="22"/>
              </w:rPr>
            </w:pPr>
          </w:p>
        </w:tc>
        <w:tc>
          <w:tcPr>
            <w:tcW w:w="720" w:type="dxa"/>
            <w:noWrap w:val="0"/>
            <w:vAlign w:val="center"/>
          </w:tcPr>
          <w:p>
            <w:pPr>
              <w:spacing w:line="380" w:lineRule="exact"/>
              <w:jc w:val="center"/>
              <w:rPr>
                <w:rFonts w:hint="eastAsia" w:ascii="宋体" w:hAnsi="宋体" w:eastAsia="宋体" w:cs="宋体"/>
                <w:b/>
                <w:bCs/>
                <w:sz w:val="22"/>
                <w:szCs w:val="22"/>
              </w:rPr>
            </w:pPr>
          </w:p>
        </w:tc>
        <w:tc>
          <w:tcPr>
            <w:tcW w:w="1123" w:type="dxa"/>
            <w:noWrap w:val="0"/>
            <w:vAlign w:val="center"/>
          </w:tcPr>
          <w:p>
            <w:pPr>
              <w:spacing w:line="380" w:lineRule="exact"/>
              <w:jc w:val="center"/>
              <w:rPr>
                <w:rFonts w:hint="eastAsia" w:ascii="宋体" w:hAnsi="宋体" w:eastAsia="宋体" w:cs="宋体"/>
                <w:b/>
                <w:bCs/>
                <w:sz w:val="22"/>
                <w:szCs w:val="22"/>
              </w:rPr>
            </w:pPr>
          </w:p>
        </w:tc>
        <w:tc>
          <w:tcPr>
            <w:tcW w:w="1134" w:type="dxa"/>
            <w:noWrap w:val="0"/>
            <w:vAlign w:val="center"/>
          </w:tcPr>
          <w:p>
            <w:pPr>
              <w:spacing w:line="380" w:lineRule="exact"/>
              <w:jc w:val="center"/>
              <w:rPr>
                <w:rFonts w:hint="eastAsia" w:ascii="宋体" w:hAnsi="宋体" w:eastAsia="宋体" w:cs="宋体"/>
                <w:b/>
                <w:bCs/>
                <w:sz w:val="22"/>
                <w:szCs w:val="22"/>
              </w:rPr>
            </w:pPr>
          </w:p>
        </w:tc>
        <w:tc>
          <w:tcPr>
            <w:tcW w:w="1563" w:type="dxa"/>
            <w:noWrap w:val="0"/>
            <w:vAlign w:val="center"/>
          </w:tcPr>
          <w:p>
            <w:pPr>
              <w:spacing w:line="380" w:lineRule="exact"/>
              <w:jc w:val="center"/>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spacing w:line="380" w:lineRule="exact"/>
              <w:jc w:val="center"/>
              <w:rPr>
                <w:rFonts w:hint="eastAsia" w:ascii="宋体" w:hAnsi="宋体" w:eastAsia="宋体" w:cs="宋体"/>
                <w:b/>
                <w:bCs/>
                <w:sz w:val="22"/>
                <w:szCs w:val="22"/>
              </w:rPr>
            </w:pPr>
          </w:p>
        </w:tc>
        <w:tc>
          <w:tcPr>
            <w:tcW w:w="2192" w:type="dxa"/>
            <w:noWrap w:val="0"/>
            <w:vAlign w:val="center"/>
          </w:tcPr>
          <w:p>
            <w:pPr>
              <w:spacing w:line="380" w:lineRule="exact"/>
              <w:jc w:val="center"/>
              <w:rPr>
                <w:rFonts w:hint="eastAsia" w:ascii="宋体" w:hAnsi="宋体" w:eastAsia="宋体" w:cs="宋体"/>
                <w:b/>
                <w:bCs/>
                <w:sz w:val="22"/>
                <w:szCs w:val="22"/>
              </w:rPr>
            </w:pPr>
          </w:p>
        </w:tc>
        <w:tc>
          <w:tcPr>
            <w:tcW w:w="1984" w:type="dxa"/>
            <w:noWrap w:val="0"/>
            <w:vAlign w:val="center"/>
          </w:tcPr>
          <w:p>
            <w:pPr>
              <w:spacing w:line="380" w:lineRule="exact"/>
              <w:jc w:val="center"/>
              <w:rPr>
                <w:rFonts w:hint="eastAsia" w:ascii="宋体" w:hAnsi="宋体" w:eastAsia="宋体" w:cs="宋体"/>
                <w:b/>
                <w:bCs/>
                <w:sz w:val="22"/>
                <w:szCs w:val="22"/>
              </w:rPr>
            </w:pPr>
          </w:p>
        </w:tc>
        <w:tc>
          <w:tcPr>
            <w:tcW w:w="720" w:type="dxa"/>
            <w:noWrap w:val="0"/>
            <w:vAlign w:val="center"/>
          </w:tcPr>
          <w:p>
            <w:pPr>
              <w:spacing w:line="380" w:lineRule="exact"/>
              <w:jc w:val="center"/>
              <w:rPr>
                <w:rFonts w:hint="eastAsia" w:ascii="宋体" w:hAnsi="宋体" w:eastAsia="宋体" w:cs="宋体"/>
                <w:b/>
                <w:bCs/>
                <w:sz w:val="22"/>
                <w:szCs w:val="22"/>
              </w:rPr>
            </w:pPr>
          </w:p>
        </w:tc>
        <w:tc>
          <w:tcPr>
            <w:tcW w:w="1123" w:type="dxa"/>
            <w:noWrap w:val="0"/>
            <w:vAlign w:val="center"/>
          </w:tcPr>
          <w:p>
            <w:pPr>
              <w:spacing w:line="380" w:lineRule="exact"/>
              <w:jc w:val="center"/>
              <w:rPr>
                <w:rFonts w:hint="eastAsia" w:ascii="宋体" w:hAnsi="宋体" w:eastAsia="宋体" w:cs="宋体"/>
                <w:b/>
                <w:bCs/>
                <w:sz w:val="22"/>
                <w:szCs w:val="22"/>
              </w:rPr>
            </w:pPr>
          </w:p>
        </w:tc>
        <w:tc>
          <w:tcPr>
            <w:tcW w:w="1134" w:type="dxa"/>
            <w:noWrap w:val="0"/>
            <w:vAlign w:val="center"/>
          </w:tcPr>
          <w:p>
            <w:pPr>
              <w:spacing w:line="380" w:lineRule="exact"/>
              <w:jc w:val="center"/>
              <w:rPr>
                <w:rFonts w:hint="eastAsia" w:ascii="宋体" w:hAnsi="宋体" w:eastAsia="宋体" w:cs="宋体"/>
                <w:b/>
                <w:bCs/>
                <w:sz w:val="22"/>
                <w:szCs w:val="22"/>
              </w:rPr>
            </w:pPr>
          </w:p>
        </w:tc>
        <w:tc>
          <w:tcPr>
            <w:tcW w:w="1563" w:type="dxa"/>
            <w:noWrap w:val="0"/>
            <w:vAlign w:val="center"/>
          </w:tcPr>
          <w:p>
            <w:pPr>
              <w:spacing w:line="380" w:lineRule="exact"/>
              <w:jc w:val="center"/>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spacing w:line="380" w:lineRule="exact"/>
              <w:jc w:val="center"/>
              <w:rPr>
                <w:rFonts w:hint="eastAsia" w:ascii="宋体" w:hAnsi="宋体" w:eastAsia="宋体" w:cs="宋体"/>
                <w:b/>
                <w:bCs/>
                <w:sz w:val="22"/>
                <w:szCs w:val="22"/>
              </w:rPr>
            </w:pPr>
          </w:p>
        </w:tc>
        <w:tc>
          <w:tcPr>
            <w:tcW w:w="2192" w:type="dxa"/>
            <w:noWrap w:val="0"/>
            <w:vAlign w:val="center"/>
          </w:tcPr>
          <w:p>
            <w:pPr>
              <w:spacing w:line="380" w:lineRule="exact"/>
              <w:jc w:val="center"/>
              <w:rPr>
                <w:rFonts w:hint="eastAsia" w:ascii="宋体" w:hAnsi="宋体" w:eastAsia="宋体" w:cs="宋体"/>
                <w:b/>
                <w:bCs/>
                <w:sz w:val="22"/>
                <w:szCs w:val="22"/>
              </w:rPr>
            </w:pPr>
          </w:p>
        </w:tc>
        <w:tc>
          <w:tcPr>
            <w:tcW w:w="1984" w:type="dxa"/>
            <w:noWrap w:val="0"/>
            <w:vAlign w:val="center"/>
          </w:tcPr>
          <w:p>
            <w:pPr>
              <w:spacing w:line="380" w:lineRule="exact"/>
              <w:jc w:val="center"/>
              <w:rPr>
                <w:rFonts w:hint="eastAsia" w:ascii="宋体" w:hAnsi="宋体" w:eastAsia="宋体" w:cs="宋体"/>
                <w:b/>
                <w:bCs/>
                <w:sz w:val="22"/>
                <w:szCs w:val="22"/>
              </w:rPr>
            </w:pPr>
          </w:p>
        </w:tc>
        <w:tc>
          <w:tcPr>
            <w:tcW w:w="720" w:type="dxa"/>
            <w:noWrap w:val="0"/>
            <w:vAlign w:val="center"/>
          </w:tcPr>
          <w:p>
            <w:pPr>
              <w:spacing w:line="380" w:lineRule="exact"/>
              <w:jc w:val="center"/>
              <w:rPr>
                <w:rFonts w:hint="eastAsia" w:ascii="宋体" w:hAnsi="宋体" w:eastAsia="宋体" w:cs="宋体"/>
                <w:b/>
                <w:bCs/>
                <w:sz w:val="22"/>
                <w:szCs w:val="22"/>
              </w:rPr>
            </w:pPr>
          </w:p>
        </w:tc>
        <w:tc>
          <w:tcPr>
            <w:tcW w:w="1123" w:type="dxa"/>
            <w:noWrap w:val="0"/>
            <w:vAlign w:val="center"/>
          </w:tcPr>
          <w:p>
            <w:pPr>
              <w:spacing w:line="380" w:lineRule="exact"/>
              <w:jc w:val="center"/>
              <w:rPr>
                <w:rFonts w:hint="eastAsia" w:ascii="宋体" w:hAnsi="宋体" w:eastAsia="宋体" w:cs="宋体"/>
                <w:b/>
                <w:bCs/>
                <w:sz w:val="22"/>
                <w:szCs w:val="22"/>
              </w:rPr>
            </w:pPr>
          </w:p>
        </w:tc>
        <w:tc>
          <w:tcPr>
            <w:tcW w:w="1134" w:type="dxa"/>
            <w:noWrap w:val="0"/>
            <w:vAlign w:val="center"/>
          </w:tcPr>
          <w:p>
            <w:pPr>
              <w:spacing w:line="380" w:lineRule="exact"/>
              <w:jc w:val="center"/>
              <w:rPr>
                <w:rFonts w:hint="eastAsia" w:ascii="宋体" w:hAnsi="宋体" w:eastAsia="宋体" w:cs="宋体"/>
                <w:b/>
                <w:bCs/>
                <w:sz w:val="22"/>
                <w:szCs w:val="22"/>
              </w:rPr>
            </w:pPr>
          </w:p>
        </w:tc>
        <w:tc>
          <w:tcPr>
            <w:tcW w:w="1563" w:type="dxa"/>
            <w:noWrap w:val="0"/>
            <w:vAlign w:val="center"/>
          </w:tcPr>
          <w:p>
            <w:pPr>
              <w:spacing w:line="380" w:lineRule="exact"/>
              <w:jc w:val="center"/>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spacing w:line="380" w:lineRule="exact"/>
              <w:jc w:val="center"/>
              <w:rPr>
                <w:rFonts w:hint="eastAsia" w:ascii="宋体" w:hAnsi="宋体" w:eastAsia="宋体" w:cs="宋体"/>
                <w:b/>
                <w:bCs/>
                <w:sz w:val="22"/>
                <w:szCs w:val="22"/>
              </w:rPr>
            </w:pPr>
          </w:p>
        </w:tc>
        <w:tc>
          <w:tcPr>
            <w:tcW w:w="2192" w:type="dxa"/>
            <w:noWrap w:val="0"/>
            <w:vAlign w:val="center"/>
          </w:tcPr>
          <w:p>
            <w:pPr>
              <w:spacing w:line="380" w:lineRule="exact"/>
              <w:jc w:val="center"/>
              <w:rPr>
                <w:rFonts w:hint="eastAsia" w:ascii="宋体" w:hAnsi="宋体" w:eastAsia="宋体" w:cs="宋体"/>
                <w:b/>
                <w:bCs/>
                <w:sz w:val="22"/>
                <w:szCs w:val="22"/>
              </w:rPr>
            </w:pPr>
          </w:p>
        </w:tc>
        <w:tc>
          <w:tcPr>
            <w:tcW w:w="1984" w:type="dxa"/>
            <w:noWrap w:val="0"/>
            <w:vAlign w:val="center"/>
          </w:tcPr>
          <w:p>
            <w:pPr>
              <w:spacing w:line="380" w:lineRule="exact"/>
              <w:jc w:val="center"/>
              <w:rPr>
                <w:rFonts w:hint="eastAsia" w:ascii="宋体" w:hAnsi="宋体" w:eastAsia="宋体" w:cs="宋体"/>
                <w:b/>
                <w:bCs/>
                <w:sz w:val="22"/>
                <w:szCs w:val="22"/>
              </w:rPr>
            </w:pPr>
          </w:p>
        </w:tc>
        <w:tc>
          <w:tcPr>
            <w:tcW w:w="720" w:type="dxa"/>
            <w:noWrap w:val="0"/>
            <w:vAlign w:val="center"/>
          </w:tcPr>
          <w:p>
            <w:pPr>
              <w:spacing w:line="380" w:lineRule="exact"/>
              <w:jc w:val="center"/>
              <w:rPr>
                <w:rFonts w:hint="eastAsia" w:ascii="宋体" w:hAnsi="宋体" w:eastAsia="宋体" w:cs="宋体"/>
                <w:b/>
                <w:bCs/>
                <w:sz w:val="22"/>
                <w:szCs w:val="22"/>
              </w:rPr>
            </w:pPr>
          </w:p>
        </w:tc>
        <w:tc>
          <w:tcPr>
            <w:tcW w:w="1123" w:type="dxa"/>
            <w:noWrap w:val="0"/>
            <w:vAlign w:val="center"/>
          </w:tcPr>
          <w:p>
            <w:pPr>
              <w:spacing w:line="380" w:lineRule="exact"/>
              <w:jc w:val="center"/>
              <w:rPr>
                <w:rFonts w:hint="eastAsia" w:ascii="宋体" w:hAnsi="宋体" w:eastAsia="宋体" w:cs="宋体"/>
                <w:b/>
                <w:bCs/>
                <w:sz w:val="22"/>
                <w:szCs w:val="22"/>
              </w:rPr>
            </w:pPr>
          </w:p>
        </w:tc>
        <w:tc>
          <w:tcPr>
            <w:tcW w:w="1134" w:type="dxa"/>
            <w:noWrap w:val="0"/>
            <w:vAlign w:val="center"/>
          </w:tcPr>
          <w:p>
            <w:pPr>
              <w:spacing w:line="380" w:lineRule="exact"/>
              <w:jc w:val="center"/>
              <w:rPr>
                <w:rFonts w:hint="eastAsia" w:ascii="宋体" w:hAnsi="宋体" w:eastAsia="宋体" w:cs="宋体"/>
                <w:b/>
                <w:bCs/>
                <w:sz w:val="22"/>
                <w:szCs w:val="22"/>
              </w:rPr>
            </w:pPr>
          </w:p>
        </w:tc>
        <w:tc>
          <w:tcPr>
            <w:tcW w:w="1563" w:type="dxa"/>
            <w:noWrap w:val="0"/>
            <w:vAlign w:val="center"/>
          </w:tcPr>
          <w:p>
            <w:pPr>
              <w:spacing w:line="380" w:lineRule="exact"/>
              <w:jc w:val="center"/>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spacing w:line="380" w:lineRule="exact"/>
              <w:jc w:val="center"/>
              <w:rPr>
                <w:rFonts w:hint="eastAsia" w:ascii="宋体" w:hAnsi="宋体" w:eastAsia="宋体" w:cs="宋体"/>
                <w:b/>
                <w:bCs/>
                <w:sz w:val="22"/>
                <w:szCs w:val="22"/>
              </w:rPr>
            </w:pPr>
          </w:p>
        </w:tc>
        <w:tc>
          <w:tcPr>
            <w:tcW w:w="2192" w:type="dxa"/>
            <w:noWrap w:val="0"/>
            <w:vAlign w:val="center"/>
          </w:tcPr>
          <w:p>
            <w:pPr>
              <w:spacing w:line="380" w:lineRule="exact"/>
              <w:jc w:val="center"/>
              <w:rPr>
                <w:rFonts w:hint="eastAsia" w:ascii="宋体" w:hAnsi="宋体" w:eastAsia="宋体" w:cs="宋体"/>
                <w:b/>
                <w:bCs/>
                <w:sz w:val="22"/>
                <w:szCs w:val="22"/>
              </w:rPr>
            </w:pPr>
          </w:p>
        </w:tc>
        <w:tc>
          <w:tcPr>
            <w:tcW w:w="1984" w:type="dxa"/>
            <w:noWrap w:val="0"/>
            <w:vAlign w:val="center"/>
          </w:tcPr>
          <w:p>
            <w:pPr>
              <w:spacing w:line="380" w:lineRule="exact"/>
              <w:jc w:val="center"/>
              <w:rPr>
                <w:rFonts w:hint="eastAsia" w:ascii="宋体" w:hAnsi="宋体" w:eastAsia="宋体" w:cs="宋体"/>
                <w:b/>
                <w:bCs/>
                <w:sz w:val="22"/>
                <w:szCs w:val="22"/>
              </w:rPr>
            </w:pPr>
          </w:p>
        </w:tc>
        <w:tc>
          <w:tcPr>
            <w:tcW w:w="720" w:type="dxa"/>
            <w:noWrap w:val="0"/>
            <w:vAlign w:val="center"/>
          </w:tcPr>
          <w:p>
            <w:pPr>
              <w:spacing w:line="380" w:lineRule="exact"/>
              <w:jc w:val="center"/>
              <w:rPr>
                <w:rFonts w:hint="eastAsia" w:ascii="宋体" w:hAnsi="宋体" w:eastAsia="宋体" w:cs="宋体"/>
                <w:b/>
                <w:bCs/>
                <w:sz w:val="22"/>
                <w:szCs w:val="22"/>
              </w:rPr>
            </w:pPr>
          </w:p>
        </w:tc>
        <w:tc>
          <w:tcPr>
            <w:tcW w:w="1123" w:type="dxa"/>
            <w:noWrap w:val="0"/>
            <w:vAlign w:val="center"/>
          </w:tcPr>
          <w:p>
            <w:pPr>
              <w:spacing w:line="380" w:lineRule="exact"/>
              <w:jc w:val="center"/>
              <w:rPr>
                <w:rFonts w:hint="eastAsia" w:ascii="宋体" w:hAnsi="宋体" w:eastAsia="宋体" w:cs="宋体"/>
                <w:b/>
                <w:bCs/>
                <w:sz w:val="22"/>
                <w:szCs w:val="22"/>
              </w:rPr>
            </w:pPr>
          </w:p>
        </w:tc>
        <w:tc>
          <w:tcPr>
            <w:tcW w:w="1134" w:type="dxa"/>
            <w:noWrap w:val="0"/>
            <w:vAlign w:val="center"/>
          </w:tcPr>
          <w:p>
            <w:pPr>
              <w:spacing w:line="380" w:lineRule="exact"/>
              <w:jc w:val="center"/>
              <w:rPr>
                <w:rFonts w:hint="eastAsia" w:ascii="宋体" w:hAnsi="宋体" w:eastAsia="宋体" w:cs="宋体"/>
                <w:b/>
                <w:bCs/>
                <w:sz w:val="22"/>
                <w:szCs w:val="22"/>
              </w:rPr>
            </w:pPr>
          </w:p>
        </w:tc>
        <w:tc>
          <w:tcPr>
            <w:tcW w:w="1563" w:type="dxa"/>
            <w:noWrap w:val="0"/>
            <w:vAlign w:val="center"/>
          </w:tcPr>
          <w:p>
            <w:pPr>
              <w:spacing w:line="380" w:lineRule="exact"/>
              <w:jc w:val="center"/>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spacing w:line="380" w:lineRule="exact"/>
              <w:jc w:val="center"/>
              <w:rPr>
                <w:rFonts w:hint="eastAsia" w:ascii="宋体" w:hAnsi="宋体" w:eastAsia="宋体" w:cs="宋体"/>
                <w:b/>
                <w:bCs/>
                <w:sz w:val="22"/>
                <w:szCs w:val="22"/>
              </w:rPr>
            </w:pPr>
          </w:p>
        </w:tc>
        <w:tc>
          <w:tcPr>
            <w:tcW w:w="2192" w:type="dxa"/>
            <w:noWrap w:val="0"/>
            <w:vAlign w:val="center"/>
          </w:tcPr>
          <w:p>
            <w:pPr>
              <w:spacing w:line="380" w:lineRule="exact"/>
              <w:jc w:val="center"/>
              <w:rPr>
                <w:rFonts w:hint="eastAsia" w:ascii="宋体" w:hAnsi="宋体" w:eastAsia="宋体" w:cs="宋体"/>
                <w:b/>
                <w:bCs/>
                <w:sz w:val="22"/>
                <w:szCs w:val="22"/>
              </w:rPr>
            </w:pPr>
          </w:p>
        </w:tc>
        <w:tc>
          <w:tcPr>
            <w:tcW w:w="1984" w:type="dxa"/>
            <w:noWrap w:val="0"/>
            <w:vAlign w:val="center"/>
          </w:tcPr>
          <w:p>
            <w:pPr>
              <w:spacing w:line="380" w:lineRule="exact"/>
              <w:jc w:val="center"/>
              <w:rPr>
                <w:rFonts w:hint="eastAsia" w:ascii="宋体" w:hAnsi="宋体" w:eastAsia="宋体" w:cs="宋体"/>
                <w:b/>
                <w:bCs/>
                <w:sz w:val="22"/>
                <w:szCs w:val="22"/>
              </w:rPr>
            </w:pPr>
          </w:p>
        </w:tc>
        <w:tc>
          <w:tcPr>
            <w:tcW w:w="720" w:type="dxa"/>
            <w:noWrap w:val="0"/>
            <w:vAlign w:val="center"/>
          </w:tcPr>
          <w:p>
            <w:pPr>
              <w:spacing w:line="380" w:lineRule="exact"/>
              <w:jc w:val="center"/>
              <w:rPr>
                <w:rFonts w:hint="eastAsia" w:ascii="宋体" w:hAnsi="宋体" w:eastAsia="宋体" w:cs="宋体"/>
                <w:b/>
                <w:bCs/>
                <w:sz w:val="22"/>
                <w:szCs w:val="22"/>
              </w:rPr>
            </w:pPr>
          </w:p>
        </w:tc>
        <w:tc>
          <w:tcPr>
            <w:tcW w:w="1123" w:type="dxa"/>
            <w:noWrap w:val="0"/>
            <w:vAlign w:val="center"/>
          </w:tcPr>
          <w:p>
            <w:pPr>
              <w:spacing w:line="380" w:lineRule="exact"/>
              <w:jc w:val="center"/>
              <w:rPr>
                <w:rFonts w:hint="eastAsia" w:ascii="宋体" w:hAnsi="宋体" w:eastAsia="宋体" w:cs="宋体"/>
                <w:b/>
                <w:bCs/>
                <w:sz w:val="22"/>
                <w:szCs w:val="22"/>
              </w:rPr>
            </w:pPr>
          </w:p>
        </w:tc>
        <w:tc>
          <w:tcPr>
            <w:tcW w:w="1134" w:type="dxa"/>
            <w:noWrap w:val="0"/>
            <w:vAlign w:val="center"/>
          </w:tcPr>
          <w:p>
            <w:pPr>
              <w:spacing w:line="380" w:lineRule="exact"/>
              <w:jc w:val="center"/>
              <w:rPr>
                <w:rFonts w:hint="eastAsia" w:ascii="宋体" w:hAnsi="宋体" w:eastAsia="宋体" w:cs="宋体"/>
                <w:b/>
                <w:bCs/>
                <w:sz w:val="22"/>
                <w:szCs w:val="22"/>
              </w:rPr>
            </w:pPr>
          </w:p>
        </w:tc>
        <w:tc>
          <w:tcPr>
            <w:tcW w:w="1563" w:type="dxa"/>
            <w:noWrap w:val="0"/>
            <w:vAlign w:val="center"/>
          </w:tcPr>
          <w:p>
            <w:pPr>
              <w:spacing w:line="380" w:lineRule="exact"/>
              <w:jc w:val="center"/>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spacing w:line="380" w:lineRule="exact"/>
              <w:jc w:val="center"/>
              <w:rPr>
                <w:rFonts w:hint="eastAsia" w:ascii="宋体" w:hAnsi="宋体" w:eastAsia="宋体" w:cs="宋体"/>
                <w:b/>
                <w:bCs/>
                <w:sz w:val="22"/>
                <w:szCs w:val="22"/>
              </w:rPr>
            </w:pPr>
          </w:p>
        </w:tc>
        <w:tc>
          <w:tcPr>
            <w:tcW w:w="2192" w:type="dxa"/>
            <w:noWrap w:val="0"/>
            <w:vAlign w:val="center"/>
          </w:tcPr>
          <w:p>
            <w:pPr>
              <w:spacing w:line="380" w:lineRule="exact"/>
              <w:jc w:val="center"/>
              <w:rPr>
                <w:rFonts w:hint="eastAsia" w:ascii="宋体" w:hAnsi="宋体" w:eastAsia="宋体" w:cs="宋体"/>
                <w:b/>
                <w:bCs/>
                <w:sz w:val="22"/>
                <w:szCs w:val="22"/>
              </w:rPr>
            </w:pPr>
          </w:p>
        </w:tc>
        <w:tc>
          <w:tcPr>
            <w:tcW w:w="1984" w:type="dxa"/>
            <w:noWrap w:val="0"/>
            <w:vAlign w:val="center"/>
          </w:tcPr>
          <w:p>
            <w:pPr>
              <w:spacing w:line="380" w:lineRule="exact"/>
              <w:jc w:val="center"/>
              <w:rPr>
                <w:rFonts w:hint="eastAsia" w:ascii="宋体" w:hAnsi="宋体" w:eastAsia="宋体" w:cs="宋体"/>
                <w:b/>
                <w:bCs/>
                <w:sz w:val="22"/>
                <w:szCs w:val="22"/>
              </w:rPr>
            </w:pPr>
          </w:p>
        </w:tc>
        <w:tc>
          <w:tcPr>
            <w:tcW w:w="720" w:type="dxa"/>
            <w:noWrap w:val="0"/>
            <w:vAlign w:val="center"/>
          </w:tcPr>
          <w:p>
            <w:pPr>
              <w:spacing w:line="380" w:lineRule="exact"/>
              <w:jc w:val="center"/>
              <w:rPr>
                <w:rFonts w:hint="eastAsia" w:ascii="宋体" w:hAnsi="宋体" w:eastAsia="宋体" w:cs="宋体"/>
                <w:b/>
                <w:bCs/>
                <w:sz w:val="22"/>
                <w:szCs w:val="22"/>
              </w:rPr>
            </w:pPr>
          </w:p>
        </w:tc>
        <w:tc>
          <w:tcPr>
            <w:tcW w:w="1123" w:type="dxa"/>
            <w:noWrap w:val="0"/>
            <w:vAlign w:val="center"/>
          </w:tcPr>
          <w:p>
            <w:pPr>
              <w:spacing w:line="380" w:lineRule="exact"/>
              <w:jc w:val="center"/>
              <w:rPr>
                <w:rFonts w:hint="eastAsia" w:ascii="宋体" w:hAnsi="宋体" w:eastAsia="宋体" w:cs="宋体"/>
                <w:b/>
                <w:bCs/>
                <w:sz w:val="22"/>
                <w:szCs w:val="22"/>
              </w:rPr>
            </w:pPr>
          </w:p>
        </w:tc>
        <w:tc>
          <w:tcPr>
            <w:tcW w:w="1134" w:type="dxa"/>
            <w:noWrap w:val="0"/>
            <w:vAlign w:val="center"/>
          </w:tcPr>
          <w:p>
            <w:pPr>
              <w:spacing w:line="380" w:lineRule="exact"/>
              <w:jc w:val="center"/>
              <w:rPr>
                <w:rFonts w:hint="eastAsia" w:ascii="宋体" w:hAnsi="宋体" w:eastAsia="宋体" w:cs="宋体"/>
                <w:b/>
                <w:bCs/>
                <w:sz w:val="22"/>
                <w:szCs w:val="22"/>
              </w:rPr>
            </w:pPr>
          </w:p>
        </w:tc>
        <w:tc>
          <w:tcPr>
            <w:tcW w:w="1563" w:type="dxa"/>
            <w:noWrap w:val="0"/>
            <w:vAlign w:val="center"/>
          </w:tcPr>
          <w:p>
            <w:pPr>
              <w:spacing w:line="380" w:lineRule="exact"/>
              <w:jc w:val="center"/>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spacing w:line="380" w:lineRule="exact"/>
              <w:jc w:val="center"/>
              <w:rPr>
                <w:rFonts w:hint="eastAsia" w:ascii="宋体" w:hAnsi="宋体" w:eastAsia="宋体" w:cs="宋体"/>
                <w:b/>
                <w:bCs/>
                <w:sz w:val="22"/>
                <w:szCs w:val="22"/>
              </w:rPr>
            </w:pPr>
          </w:p>
        </w:tc>
        <w:tc>
          <w:tcPr>
            <w:tcW w:w="2192" w:type="dxa"/>
            <w:noWrap w:val="0"/>
            <w:vAlign w:val="center"/>
          </w:tcPr>
          <w:p>
            <w:pPr>
              <w:spacing w:line="380" w:lineRule="exact"/>
              <w:jc w:val="center"/>
              <w:rPr>
                <w:rFonts w:hint="eastAsia" w:ascii="宋体" w:hAnsi="宋体" w:eastAsia="宋体" w:cs="宋体"/>
                <w:b/>
                <w:bCs/>
                <w:sz w:val="22"/>
                <w:szCs w:val="22"/>
              </w:rPr>
            </w:pPr>
          </w:p>
        </w:tc>
        <w:tc>
          <w:tcPr>
            <w:tcW w:w="1984" w:type="dxa"/>
            <w:noWrap w:val="0"/>
            <w:vAlign w:val="center"/>
          </w:tcPr>
          <w:p>
            <w:pPr>
              <w:spacing w:line="380" w:lineRule="exact"/>
              <w:jc w:val="center"/>
              <w:rPr>
                <w:rFonts w:hint="eastAsia" w:ascii="宋体" w:hAnsi="宋体" w:eastAsia="宋体" w:cs="宋体"/>
                <w:b/>
                <w:bCs/>
                <w:sz w:val="22"/>
                <w:szCs w:val="22"/>
              </w:rPr>
            </w:pPr>
          </w:p>
        </w:tc>
        <w:tc>
          <w:tcPr>
            <w:tcW w:w="720" w:type="dxa"/>
            <w:noWrap w:val="0"/>
            <w:vAlign w:val="center"/>
          </w:tcPr>
          <w:p>
            <w:pPr>
              <w:spacing w:line="380" w:lineRule="exact"/>
              <w:jc w:val="center"/>
              <w:rPr>
                <w:rFonts w:hint="eastAsia" w:ascii="宋体" w:hAnsi="宋体" w:eastAsia="宋体" w:cs="宋体"/>
                <w:b/>
                <w:bCs/>
                <w:sz w:val="22"/>
                <w:szCs w:val="22"/>
              </w:rPr>
            </w:pPr>
          </w:p>
        </w:tc>
        <w:tc>
          <w:tcPr>
            <w:tcW w:w="1123" w:type="dxa"/>
            <w:noWrap w:val="0"/>
            <w:vAlign w:val="center"/>
          </w:tcPr>
          <w:p>
            <w:pPr>
              <w:spacing w:line="380" w:lineRule="exact"/>
              <w:jc w:val="center"/>
              <w:rPr>
                <w:rFonts w:hint="eastAsia" w:ascii="宋体" w:hAnsi="宋体" w:eastAsia="宋体" w:cs="宋体"/>
                <w:b/>
                <w:bCs/>
                <w:sz w:val="22"/>
                <w:szCs w:val="22"/>
              </w:rPr>
            </w:pPr>
          </w:p>
        </w:tc>
        <w:tc>
          <w:tcPr>
            <w:tcW w:w="1134" w:type="dxa"/>
            <w:noWrap w:val="0"/>
            <w:vAlign w:val="center"/>
          </w:tcPr>
          <w:p>
            <w:pPr>
              <w:spacing w:line="380" w:lineRule="exact"/>
              <w:jc w:val="center"/>
              <w:rPr>
                <w:rFonts w:hint="eastAsia" w:ascii="宋体" w:hAnsi="宋体" w:eastAsia="宋体" w:cs="宋体"/>
                <w:b/>
                <w:bCs/>
                <w:sz w:val="22"/>
                <w:szCs w:val="22"/>
              </w:rPr>
            </w:pPr>
          </w:p>
        </w:tc>
        <w:tc>
          <w:tcPr>
            <w:tcW w:w="1563" w:type="dxa"/>
            <w:noWrap w:val="0"/>
            <w:vAlign w:val="center"/>
          </w:tcPr>
          <w:p>
            <w:pPr>
              <w:spacing w:line="380" w:lineRule="exact"/>
              <w:jc w:val="center"/>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spacing w:line="380" w:lineRule="exact"/>
              <w:jc w:val="center"/>
              <w:rPr>
                <w:rFonts w:hint="eastAsia" w:ascii="宋体" w:hAnsi="宋体" w:eastAsia="宋体" w:cs="宋体"/>
                <w:b/>
                <w:bCs/>
                <w:sz w:val="22"/>
                <w:szCs w:val="22"/>
              </w:rPr>
            </w:pPr>
          </w:p>
        </w:tc>
        <w:tc>
          <w:tcPr>
            <w:tcW w:w="2192" w:type="dxa"/>
            <w:noWrap w:val="0"/>
            <w:vAlign w:val="center"/>
          </w:tcPr>
          <w:p>
            <w:pPr>
              <w:spacing w:line="380" w:lineRule="exact"/>
              <w:jc w:val="center"/>
              <w:rPr>
                <w:rFonts w:hint="eastAsia" w:ascii="宋体" w:hAnsi="宋体" w:eastAsia="宋体" w:cs="宋体"/>
                <w:b/>
                <w:bCs/>
                <w:sz w:val="22"/>
                <w:szCs w:val="22"/>
              </w:rPr>
            </w:pPr>
          </w:p>
        </w:tc>
        <w:tc>
          <w:tcPr>
            <w:tcW w:w="1984" w:type="dxa"/>
            <w:noWrap w:val="0"/>
            <w:vAlign w:val="center"/>
          </w:tcPr>
          <w:p>
            <w:pPr>
              <w:spacing w:line="380" w:lineRule="exact"/>
              <w:jc w:val="center"/>
              <w:rPr>
                <w:rFonts w:hint="eastAsia" w:ascii="宋体" w:hAnsi="宋体" w:eastAsia="宋体" w:cs="宋体"/>
                <w:b/>
                <w:bCs/>
                <w:sz w:val="22"/>
                <w:szCs w:val="22"/>
              </w:rPr>
            </w:pPr>
          </w:p>
        </w:tc>
        <w:tc>
          <w:tcPr>
            <w:tcW w:w="720" w:type="dxa"/>
            <w:noWrap w:val="0"/>
            <w:vAlign w:val="center"/>
          </w:tcPr>
          <w:p>
            <w:pPr>
              <w:spacing w:line="380" w:lineRule="exact"/>
              <w:jc w:val="center"/>
              <w:rPr>
                <w:rFonts w:hint="eastAsia" w:ascii="宋体" w:hAnsi="宋体" w:eastAsia="宋体" w:cs="宋体"/>
                <w:b/>
                <w:bCs/>
                <w:sz w:val="22"/>
                <w:szCs w:val="22"/>
              </w:rPr>
            </w:pPr>
          </w:p>
        </w:tc>
        <w:tc>
          <w:tcPr>
            <w:tcW w:w="1123" w:type="dxa"/>
            <w:noWrap w:val="0"/>
            <w:vAlign w:val="center"/>
          </w:tcPr>
          <w:p>
            <w:pPr>
              <w:spacing w:line="380" w:lineRule="exact"/>
              <w:jc w:val="center"/>
              <w:rPr>
                <w:rFonts w:hint="eastAsia" w:ascii="宋体" w:hAnsi="宋体" w:eastAsia="宋体" w:cs="宋体"/>
                <w:b/>
                <w:bCs/>
                <w:sz w:val="22"/>
                <w:szCs w:val="22"/>
              </w:rPr>
            </w:pPr>
          </w:p>
        </w:tc>
        <w:tc>
          <w:tcPr>
            <w:tcW w:w="1134" w:type="dxa"/>
            <w:noWrap w:val="0"/>
            <w:vAlign w:val="center"/>
          </w:tcPr>
          <w:p>
            <w:pPr>
              <w:spacing w:line="380" w:lineRule="exact"/>
              <w:jc w:val="center"/>
              <w:rPr>
                <w:rFonts w:hint="eastAsia" w:ascii="宋体" w:hAnsi="宋体" w:eastAsia="宋体" w:cs="宋体"/>
                <w:b/>
                <w:bCs/>
                <w:sz w:val="22"/>
                <w:szCs w:val="22"/>
              </w:rPr>
            </w:pPr>
          </w:p>
        </w:tc>
        <w:tc>
          <w:tcPr>
            <w:tcW w:w="1563" w:type="dxa"/>
            <w:noWrap w:val="0"/>
            <w:vAlign w:val="center"/>
          </w:tcPr>
          <w:p>
            <w:pPr>
              <w:spacing w:line="380" w:lineRule="exact"/>
              <w:jc w:val="center"/>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spacing w:line="380" w:lineRule="exact"/>
              <w:jc w:val="center"/>
              <w:rPr>
                <w:rFonts w:hint="eastAsia" w:ascii="宋体" w:hAnsi="宋体" w:eastAsia="宋体" w:cs="宋体"/>
                <w:b/>
                <w:bCs/>
                <w:sz w:val="22"/>
                <w:szCs w:val="22"/>
              </w:rPr>
            </w:pPr>
          </w:p>
        </w:tc>
        <w:tc>
          <w:tcPr>
            <w:tcW w:w="2192" w:type="dxa"/>
            <w:noWrap w:val="0"/>
            <w:vAlign w:val="center"/>
          </w:tcPr>
          <w:p>
            <w:pPr>
              <w:spacing w:line="380" w:lineRule="exact"/>
              <w:jc w:val="center"/>
              <w:rPr>
                <w:rFonts w:hint="eastAsia" w:ascii="宋体" w:hAnsi="宋体" w:eastAsia="宋体" w:cs="宋体"/>
                <w:b/>
                <w:bCs/>
                <w:sz w:val="22"/>
                <w:szCs w:val="22"/>
              </w:rPr>
            </w:pPr>
          </w:p>
        </w:tc>
        <w:tc>
          <w:tcPr>
            <w:tcW w:w="1984" w:type="dxa"/>
            <w:noWrap w:val="0"/>
            <w:vAlign w:val="center"/>
          </w:tcPr>
          <w:p>
            <w:pPr>
              <w:spacing w:line="380" w:lineRule="exact"/>
              <w:jc w:val="center"/>
              <w:rPr>
                <w:rFonts w:hint="eastAsia" w:ascii="宋体" w:hAnsi="宋体" w:eastAsia="宋体" w:cs="宋体"/>
                <w:b/>
                <w:bCs/>
                <w:sz w:val="22"/>
                <w:szCs w:val="22"/>
              </w:rPr>
            </w:pPr>
          </w:p>
        </w:tc>
        <w:tc>
          <w:tcPr>
            <w:tcW w:w="720" w:type="dxa"/>
            <w:noWrap w:val="0"/>
            <w:vAlign w:val="center"/>
          </w:tcPr>
          <w:p>
            <w:pPr>
              <w:spacing w:line="380" w:lineRule="exact"/>
              <w:jc w:val="center"/>
              <w:rPr>
                <w:rFonts w:hint="eastAsia" w:ascii="宋体" w:hAnsi="宋体" w:eastAsia="宋体" w:cs="宋体"/>
                <w:b/>
                <w:bCs/>
                <w:sz w:val="22"/>
                <w:szCs w:val="22"/>
              </w:rPr>
            </w:pPr>
          </w:p>
        </w:tc>
        <w:tc>
          <w:tcPr>
            <w:tcW w:w="1123" w:type="dxa"/>
            <w:noWrap w:val="0"/>
            <w:vAlign w:val="center"/>
          </w:tcPr>
          <w:p>
            <w:pPr>
              <w:spacing w:line="380" w:lineRule="exact"/>
              <w:jc w:val="center"/>
              <w:rPr>
                <w:rFonts w:hint="eastAsia" w:ascii="宋体" w:hAnsi="宋体" w:eastAsia="宋体" w:cs="宋体"/>
                <w:b/>
                <w:bCs/>
                <w:sz w:val="22"/>
                <w:szCs w:val="22"/>
              </w:rPr>
            </w:pPr>
          </w:p>
        </w:tc>
        <w:tc>
          <w:tcPr>
            <w:tcW w:w="1134" w:type="dxa"/>
            <w:noWrap w:val="0"/>
            <w:vAlign w:val="center"/>
          </w:tcPr>
          <w:p>
            <w:pPr>
              <w:spacing w:line="380" w:lineRule="exact"/>
              <w:jc w:val="center"/>
              <w:rPr>
                <w:rFonts w:hint="eastAsia" w:ascii="宋体" w:hAnsi="宋体" w:eastAsia="宋体" w:cs="宋体"/>
                <w:b/>
                <w:bCs/>
                <w:sz w:val="22"/>
                <w:szCs w:val="22"/>
              </w:rPr>
            </w:pPr>
          </w:p>
        </w:tc>
        <w:tc>
          <w:tcPr>
            <w:tcW w:w="1563" w:type="dxa"/>
            <w:noWrap w:val="0"/>
            <w:vAlign w:val="center"/>
          </w:tcPr>
          <w:p>
            <w:pPr>
              <w:spacing w:line="380" w:lineRule="exact"/>
              <w:jc w:val="center"/>
              <w:rPr>
                <w:rFonts w:hint="eastAsia" w:ascii="宋体" w:hAnsi="宋体" w:eastAsia="宋体" w:cs="宋体"/>
                <w:b/>
                <w:bCs/>
                <w:sz w:val="22"/>
                <w:szCs w:val="22"/>
              </w:rPr>
            </w:pPr>
          </w:p>
        </w:tc>
      </w:tr>
    </w:tbl>
    <w:p>
      <w:pPr>
        <w:spacing w:line="440" w:lineRule="exact"/>
        <w:ind w:left="758" w:hanging="758" w:hangingChars="343"/>
        <w:rPr>
          <w:rFonts w:hint="eastAsia" w:ascii="宋体" w:hAnsi="宋体" w:eastAsia="宋体" w:cs="宋体"/>
          <w:b/>
          <w:sz w:val="22"/>
          <w:szCs w:val="22"/>
        </w:rPr>
      </w:pPr>
      <w:r>
        <w:rPr>
          <w:rFonts w:hint="eastAsia" w:ascii="宋体" w:hAnsi="宋体" w:eastAsia="宋体" w:cs="宋体"/>
          <w:b/>
          <w:bCs/>
          <w:sz w:val="22"/>
          <w:szCs w:val="22"/>
        </w:rPr>
        <w:t>注：</w:t>
      </w:r>
      <w:r>
        <w:rPr>
          <w:rFonts w:hint="eastAsia" w:ascii="宋体" w:hAnsi="宋体" w:eastAsia="宋体" w:cs="宋体"/>
          <w:b/>
          <w:sz w:val="22"/>
          <w:szCs w:val="22"/>
        </w:rPr>
        <w:t xml:space="preserve">1.  </w:t>
      </w:r>
      <w:r>
        <w:rPr>
          <w:rFonts w:hint="eastAsia" w:ascii="宋体" w:hAnsi="宋体" w:eastAsia="宋体" w:cs="宋体"/>
          <w:b/>
          <w:sz w:val="22"/>
          <w:szCs w:val="22"/>
          <w:lang w:eastAsia="zh-CN"/>
        </w:rPr>
        <w:t>投标人</w:t>
      </w:r>
      <w:r>
        <w:rPr>
          <w:rFonts w:hint="eastAsia" w:ascii="宋体" w:hAnsi="宋体" w:eastAsia="宋体" w:cs="宋体"/>
          <w:b/>
          <w:sz w:val="22"/>
          <w:szCs w:val="22"/>
        </w:rPr>
        <w:t>自20</w:t>
      </w:r>
      <w:r>
        <w:rPr>
          <w:rFonts w:hint="eastAsia" w:ascii="宋体" w:hAnsi="宋体" w:eastAsia="宋体" w:cs="宋体"/>
          <w:b/>
          <w:sz w:val="22"/>
          <w:szCs w:val="22"/>
          <w:lang w:val="en-US" w:eastAsia="zh-CN"/>
        </w:rPr>
        <w:t>23</w:t>
      </w:r>
      <w:r>
        <w:rPr>
          <w:rFonts w:hint="eastAsia" w:ascii="宋体" w:hAnsi="宋体" w:eastAsia="宋体" w:cs="宋体"/>
          <w:b/>
          <w:sz w:val="22"/>
          <w:szCs w:val="22"/>
        </w:rPr>
        <w:t>年1月1日以来类似车辆保险项目业绩（</w:t>
      </w:r>
      <w:r>
        <w:rPr>
          <w:rFonts w:hint="eastAsia" w:ascii="宋体" w:hAnsi="宋体" w:eastAsia="宋体" w:cs="宋体"/>
          <w:b/>
          <w:sz w:val="22"/>
          <w:szCs w:val="22"/>
          <w:lang w:val="en-US" w:eastAsia="zh-CN"/>
        </w:rPr>
        <w:t>以</w:t>
      </w:r>
      <w:r>
        <w:rPr>
          <w:rFonts w:hint="eastAsia" w:ascii="宋体" w:hAnsi="宋体" w:eastAsia="宋体" w:cs="宋体"/>
          <w:b/>
          <w:sz w:val="22"/>
          <w:szCs w:val="22"/>
        </w:rPr>
        <w:t>合同或协议</w:t>
      </w:r>
      <w:r>
        <w:rPr>
          <w:rFonts w:hint="eastAsia" w:ascii="宋体" w:hAnsi="宋体" w:eastAsia="宋体" w:cs="宋体"/>
          <w:b/>
          <w:sz w:val="22"/>
          <w:szCs w:val="22"/>
          <w:lang w:val="en-US" w:eastAsia="zh-CN"/>
        </w:rPr>
        <w:t>或或中标通知书</w:t>
      </w:r>
      <w:r>
        <w:rPr>
          <w:rFonts w:hint="eastAsia" w:ascii="宋体" w:hAnsi="宋体" w:eastAsia="宋体" w:cs="宋体"/>
          <w:b/>
          <w:sz w:val="22"/>
          <w:szCs w:val="22"/>
        </w:rPr>
        <w:t>复印件为准，加盖公章）。</w:t>
      </w:r>
    </w:p>
    <w:p>
      <w:pPr>
        <w:numPr>
          <w:ilvl w:val="0"/>
          <w:numId w:val="23"/>
        </w:numPr>
        <w:spacing w:line="44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lang w:eastAsia="zh-CN"/>
        </w:rPr>
        <w:t>投标人</w:t>
      </w:r>
      <w:r>
        <w:rPr>
          <w:rFonts w:hint="eastAsia" w:ascii="宋体" w:hAnsi="宋体" w:eastAsia="宋体" w:cs="宋体"/>
          <w:b/>
          <w:sz w:val="22"/>
          <w:szCs w:val="22"/>
        </w:rPr>
        <w:t>可按此表格式复制。</w:t>
      </w:r>
    </w:p>
    <w:p>
      <w:pPr>
        <w:numPr>
          <w:ilvl w:val="0"/>
          <w:numId w:val="23"/>
        </w:numPr>
        <w:spacing w:line="440" w:lineRule="exact"/>
        <w:ind w:firstLine="442" w:firstLineChars="200"/>
        <w:rPr>
          <w:rFonts w:hint="eastAsia" w:ascii="宋体" w:hAnsi="宋体" w:eastAsia="宋体" w:cs="宋体"/>
          <w:bCs/>
          <w:sz w:val="22"/>
          <w:szCs w:val="22"/>
        </w:rPr>
      </w:pPr>
      <w:r>
        <w:rPr>
          <w:rFonts w:hint="eastAsia" w:ascii="宋体" w:hAnsi="宋体" w:eastAsia="宋体" w:cs="宋体"/>
          <w:b/>
          <w:sz w:val="22"/>
          <w:szCs w:val="22"/>
        </w:rPr>
        <w:t>同一项目不同年度不重复得分。</w:t>
      </w:r>
    </w:p>
    <w:p>
      <w:pPr>
        <w:tabs>
          <w:tab w:val="left" w:pos="3876"/>
        </w:tabs>
        <w:spacing w:line="380" w:lineRule="exact"/>
        <w:rPr>
          <w:rFonts w:hint="eastAsia" w:ascii="宋体" w:hAnsi="宋体" w:eastAsia="宋体" w:cs="宋体"/>
          <w:b/>
          <w:sz w:val="22"/>
          <w:szCs w:val="22"/>
        </w:rPr>
      </w:pPr>
    </w:p>
    <w:p>
      <w:pPr>
        <w:spacing w:line="380" w:lineRule="exact"/>
        <w:rPr>
          <w:rFonts w:hint="eastAsia" w:ascii="宋体" w:hAnsi="宋体" w:eastAsia="宋体" w:cs="宋体"/>
          <w:b/>
          <w:sz w:val="22"/>
          <w:szCs w:val="22"/>
        </w:rPr>
      </w:pPr>
      <w:r>
        <w:rPr>
          <w:rFonts w:hint="eastAsia" w:ascii="宋体" w:hAnsi="宋体" w:eastAsia="宋体" w:cs="宋体"/>
          <w:b/>
          <w:sz w:val="22"/>
          <w:szCs w:val="22"/>
        </w:rPr>
        <w:t>投标人全称（盖公章）：</w:t>
      </w:r>
    </w:p>
    <w:p>
      <w:pPr>
        <w:spacing w:line="380" w:lineRule="exact"/>
        <w:rPr>
          <w:rFonts w:hint="eastAsia" w:ascii="宋体" w:hAnsi="宋体" w:eastAsia="宋体" w:cs="宋体"/>
          <w:b/>
          <w:sz w:val="22"/>
          <w:szCs w:val="22"/>
        </w:rPr>
      </w:pPr>
      <w:r>
        <w:rPr>
          <w:rFonts w:hint="eastAsia" w:ascii="宋体" w:hAnsi="宋体" w:eastAsia="宋体" w:cs="宋体"/>
          <w:b/>
          <w:sz w:val="22"/>
          <w:szCs w:val="22"/>
          <w:lang w:eastAsia="zh-CN"/>
        </w:rPr>
        <w:t>法定代表人（法定负责人）</w:t>
      </w:r>
      <w:r>
        <w:rPr>
          <w:rFonts w:hint="eastAsia" w:ascii="宋体" w:hAnsi="宋体" w:eastAsia="宋体" w:cs="宋体"/>
          <w:b/>
          <w:sz w:val="22"/>
          <w:szCs w:val="22"/>
        </w:rPr>
        <w:t>或授权代表（签字或盖章）：</w:t>
      </w:r>
    </w:p>
    <w:p>
      <w:pPr>
        <w:rPr>
          <w:rFonts w:hint="eastAsia" w:ascii="宋体" w:hAnsi="宋体" w:eastAsia="宋体" w:cs="宋体"/>
          <w:b/>
          <w:bCs/>
          <w:sz w:val="32"/>
          <w:szCs w:val="32"/>
          <w:highlight w:val="none"/>
        </w:rPr>
      </w:pPr>
      <w:r>
        <w:rPr>
          <w:rFonts w:hint="eastAsia" w:ascii="宋体" w:hAnsi="宋体" w:eastAsia="宋体" w:cs="宋体"/>
          <w:b/>
          <w:sz w:val="22"/>
          <w:szCs w:val="22"/>
        </w:rPr>
        <w:t>日  期：</w:t>
      </w:r>
      <w:r>
        <w:rPr>
          <w:rFonts w:hint="eastAsia" w:ascii="宋体" w:hAnsi="宋体" w:eastAsia="宋体" w:cs="宋体"/>
          <w:b/>
          <w:bCs/>
          <w:sz w:val="32"/>
          <w:szCs w:val="32"/>
          <w:highlight w:val="none"/>
        </w:rPr>
        <w:br w:type="page"/>
      </w:r>
    </w:p>
    <w:p>
      <w:pPr>
        <w:pStyle w:val="11"/>
        <w:ind w:left="0" w:leftChars="0" w:firstLine="0" w:firstLineChars="0"/>
        <w:rPr>
          <w:rFonts w:hint="eastAsia" w:ascii="宋体" w:hAnsi="宋体" w:eastAsia="宋体" w:cs="宋体"/>
          <w:highlight w:val="none"/>
        </w:rPr>
      </w:pPr>
    </w:p>
    <w:p>
      <w:pPr>
        <w:pStyle w:val="11"/>
        <w:ind w:left="0" w:leftChars="0" w:firstLine="0" w:firstLineChars="0"/>
        <w:rPr>
          <w:rFonts w:hint="eastAsia" w:ascii="宋体" w:hAnsi="宋体" w:eastAsia="宋体" w:cs="宋体"/>
          <w:highlight w:val="none"/>
        </w:rPr>
      </w:pPr>
    </w:p>
    <w:p>
      <w:pPr>
        <w:pStyle w:val="22"/>
        <w:ind w:left="0" w:leftChars="0" w:firstLine="0" w:firstLineChars="0"/>
        <w:rPr>
          <w:rFonts w:hint="eastAsia" w:ascii="宋体" w:hAnsi="宋体" w:eastAsia="宋体" w:cs="宋体"/>
        </w:rPr>
      </w:pPr>
    </w:p>
    <w:p>
      <w:pPr>
        <w:spacing w:line="360" w:lineRule="auto"/>
        <w:jc w:val="both"/>
        <w:rPr>
          <w:rFonts w:hint="eastAsia" w:ascii="宋体" w:hAnsi="宋体" w:eastAsia="宋体" w:cs="宋体"/>
          <w:b/>
          <w:bCs/>
          <w:sz w:val="32"/>
          <w:szCs w:val="32"/>
          <w:highlight w:val="none"/>
        </w:rPr>
      </w:pPr>
    </w:p>
    <w:p>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根据采购文件中的采购内容及要求以及技术资信评分项目，需要提供的文件和资料</w:t>
      </w:r>
    </w:p>
    <w:p>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（格式自拟）</w:t>
      </w:r>
    </w:p>
    <w:p>
      <w:pPr>
        <w:spacing w:line="360" w:lineRule="auto"/>
        <w:jc w:val="left"/>
        <w:rPr>
          <w:rFonts w:hint="eastAsia" w:ascii="宋体" w:hAnsi="宋体" w:eastAsia="宋体" w:cs="宋体"/>
          <w:sz w:val="22"/>
          <w:highlight w:val="none"/>
        </w:rPr>
      </w:pPr>
      <w:r>
        <w:rPr>
          <w:rFonts w:hint="eastAsia" w:ascii="宋体" w:hAnsi="宋体" w:eastAsia="宋体" w:cs="宋体"/>
          <w:b/>
          <w:bCs/>
          <w:sz w:val="32"/>
          <w:szCs w:val="32"/>
          <w:highlight w:val="none"/>
        </w:rPr>
        <w:br w:type="page"/>
      </w:r>
      <w:r>
        <w:rPr>
          <w:rFonts w:hint="eastAsia" w:ascii="宋体" w:hAnsi="宋体" w:eastAsia="宋体" w:cs="宋体"/>
          <w:sz w:val="22"/>
          <w:highlight w:val="none"/>
        </w:rPr>
        <w:t>（商务（报价）标封面，供参考）</w:t>
      </w: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w:t>
      </w:r>
      <w:r>
        <w:rPr>
          <w:rFonts w:hint="eastAsia" w:ascii="宋体" w:hAnsi="宋体" w:eastAsia="宋体" w:cs="宋体"/>
          <w:b/>
          <w:bCs/>
          <w:sz w:val="28"/>
          <w:szCs w:val="28"/>
          <w:highlight w:val="none"/>
          <w:lang w:val="en-US" w:eastAsia="zh-CN"/>
        </w:rPr>
        <w:t>本</w:t>
      </w:r>
      <w:r>
        <w:rPr>
          <w:rFonts w:hint="eastAsia" w:ascii="宋体" w:hAnsi="宋体" w:eastAsia="宋体" w:cs="宋体"/>
          <w:b/>
          <w:bCs/>
          <w:sz w:val="28"/>
          <w:szCs w:val="28"/>
          <w:highlight w:val="none"/>
        </w:rPr>
        <w:t>/副本</w:t>
      </w:r>
    </w:p>
    <w:p>
      <w:pPr>
        <w:ind w:left="562" w:hanging="562" w:hangingChars="200"/>
        <w:jc w:val="right"/>
        <w:rPr>
          <w:rFonts w:hint="eastAsia" w:ascii="宋体" w:hAnsi="宋体" w:eastAsia="宋体" w:cs="宋体"/>
          <w:b/>
          <w:bCs/>
          <w:sz w:val="28"/>
          <w:szCs w:val="28"/>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标段名称</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pPr>
        <w:spacing w:line="480" w:lineRule="auto"/>
        <w:jc w:val="center"/>
        <w:rPr>
          <w:rFonts w:hint="eastAsia" w:ascii="宋体" w:hAnsi="宋体" w:eastAsia="宋体" w:cs="宋体"/>
          <w:szCs w:val="21"/>
          <w:highlight w:val="none"/>
        </w:rPr>
      </w:pPr>
      <w:r>
        <w:rPr>
          <w:rFonts w:hint="eastAsia" w:ascii="宋体" w:hAnsi="宋体" w:eastAsia="宋体" w:cs="宋体"/>
          <w:sz w:val="44"/>
          <w:szCs w:val="44"/>
          <w:highlight w:val="none"/>
        </w:rPr>
        <w:t>（开标时启封）</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（盖单位章）</w:t>
      </w:r>
    </w:p>
    <w:p>
      <w:pPr>
        <w:rPr>
          <w:rFonts w:hint="eastAsia" w:ascii="宋体" w:hAnsi="宋体" w:eastAsia="宋体" w:cs="宋体"/>
          <w:color w:val="auto"/>
          <w:sz w:val="28"/>
          <w:szCs w:val="28"/>
          <w:u w:val="single"/>
        </w:rPr>
      </w:pP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pPr>
        <w:rPr>
          <w:rFonts w:hint="eastAsia" w:ascii="宋体" w:hAnsi="宋体" w:eastAsia="宋体" w:cs="宋体"/>
          <w:color w:val="auto"/>
          <w:sz w:val="28"/>
          <w:szCs w:val="28"/>
        </w:rPr>
      </w:pPr>
    </w:p>
    <w:p>
      <w:pPr>
        <w:rPr>
          <w:rFonts w:hint="eastAsia" w:ascii="宋体" w:hAnsi="宋体" w:eastAsia="宋体" w:cs="宋体"/>
          <w:sz w:val="28"/>
          <w:szCs w:val="28"/>
          <w:highlight w:val="none"/>
        </w:rPr>
      </w:pPr>
    </w:p>
    <w:p>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八</w:t>
      </w:r>
      <w:r>
        <w:rPr>
          <w:rFonts w:hint="eastAsia" w:ascii="宋体" w:hAnsi="宋体" w:eastAsia="宋体" w:cs="宋体"/>
          <w:b/>
          <w:bCs/>
          <w:sz w:val="22"/>
          <w:highlight w:val="none"/>
        </w:rPr>
        <w:t xml:space="preserve"> </w:t>
      </w:r>
    </w:p>
    <w:p>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bCs/>
          <w:sz w:val="22"/>
          <w:szCs w:val="22"/>
          <w:lang w:val="en-US" w:eastAsia="zh-CN"/>
        </w:rPr>
        <w:t>标段</w:t>
      </w:r>
      <w:r>
        <w:rPr>
          <w:rFonts w:hint="eastAsia" w:ascii="宋体" w:hAnsi="宋体" w:eastAsia="宋体" w:cs="宋体"/>
          <w:bCs/>
          <w:sz w:val="22"/>
          <w:szCs w:val="22"/>
        </w:rPr>
        <w:t xml:space="preserve">名称：                             </w:t>
      </w:r>
      <w:r>
        <w:rPr>
          <w:rFonts w:hint="eastAsia" w:ascii="宋体" w:hAnsi="宋体" w:eastAsia="宋体" w:cs="宋体"/>
          <w:sz w:val="22"/>
          <w:szCs w:val="24"/>
          <w:highlight w:val="none"/>
          <w:lang w:val="en-US" w:eastAsia="zh-CN"/>
        </w:rPr>
        <w:t>标段</w:t>
      </w:r>
      <w:r>
        <w:rPr>
          <w:rFonts w:hint="eastAsia" w:ascii="宋体" w:hAnsi="宋体" w:eastAsia="宋体" w:cs="宋体"/>
          <w:sz w:val="22"/>
          <w:szCs w:val="24"/>
          <w:highlight w:val="none"/>
        </w:rPr>
        <w:t>编号：</w:t>
      </w:r>
    </w:p>
    <w:tbl>
      <w:tblPr>
        <w:tblStyle w:val="29"/>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5268"/>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84" w:type="dxa"/>
            <w:gridSpan w:val="3"/>
            <w:noWrap w:val="0"/>
            <w:vAlign w:val="center"/>
          </w:tcPr>
          <w:p>
            <w:pPr>
              <w:snapToGrid w:val="0"/>
              <w:spacing w:line="24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rPr>
              <w:t>车辆保险（商业险部分）自主定价系数报价（</w:t>
            </w:r>
            <w:r>
              <w:rPr>
                <w:rFonts w:hint="eastAsia" w:ascii="宋体" w:hAnsi="宋体" w:eastAsia="宋体" w:cs="宋体"/>
                <w:b/>
                <w:bCs/>
                <w:sz w:val="22"/>
                <w:szCs w:val="22"/>
                <w:highlight w:val="none"/>
                <w:u w:val="single"/>
              </w:rPr>
              <w:t>分子部分报价最多保留两位小数</w:t>
            </w:r>
            <w:r>
              <w:rPr>
                <w:rFonts w:hint="eastAsia" w:ascii="宋体" w:hAnsi="宋体" w:eastAsia="宋体" w:cs="宋体"/>
                <w:b/>
                <w:bCs/>
                <w:sz w:val="22"/>
                <w:szCs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自主定价系数</w:t>
            </w:r>
          </w:p>
        </w:tc>
        <w:tc>
          <w:tcPr>
            <w:tcW w:w="5268" w:type="dxa"/>
            <w:noWrap w:val="0"/>
            <w:vAlign w:val="top"/>
          </w:tcPr>
          <w:p>
            <w:pPr>
              <w:spacing w:line="240" w:lineRule="auto"/>
              <w:rPr>
                <w:rFonts w:hint="eastAsia" w:ascii="宋体" w:hAnsi="宋体" w:eastAsia="宋体" w:cs="宋体"/>
              </w:rPr>
            </w:pPr>
          </w:p>
          <w:p>
            <w:pPr>
              <w:spacing w:line="24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投标人</w:t>
            </w:r>
            <w:r>
              <w:rPr>
                <w:rFonts w:hint="eastAsia" w:ascii="宋体" w:hAnsi="宋体" w:eastAsia="宋体" w:cs="宋体"/>
              </w:rPr>
              <w:t>投标报价</w:t>
            </w:r>
            <w:r>
              <w:rPr>
                <w:rFonts w:hint="eastAsia" w:ascii="宋体" w:hAnsi="宋体" w:eastAsia="宋体" w:cs="宋体"/>
                <w:u w:val="single"/>
              </w:rPr>
              <w:t>：            %</w:t>
            </w:r>
          </w:p>
        </w:tc>
        <w:tc>
          <w:tcPr>
            <w:tcW w:w="1975"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连续3年没有发生赔款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自主定价系数</w:t>
            </w:r>
          </w:p>
        </w:tc>
        <w:tc>
          <w:tcPr>
            <w:tcW w:w="5268" w:type="dxa"/>
            <w:noWrap w:val="0"/>
            <w:vAlign w:val="top"/>
          </w:tcPr>
          <w:p>
            <w:pPr>
              <w:spacing w:line="240" w:lineRule="auto"/>
              <w:rPr>
                <w:rFonts w:hint="eastAsia" w:ascii="宋体" w:hAnsi="宋体" w:eastAsia="宋体" w:cs="宋体"/>
              </w:rPr>
            </w:pPr>
          </w:p>
          <w:p>
            <w:pPr>
              <w:spacing w:line="240" w:lineRule="auto"/>
              <w:rPr>
                <w:rFonts w:hint="eastAsia" w:ascii="宋体" w:hAnsi="宋体" w:eastAsia="宋体" w:cs="宋体"/>
              </w:rPr>
            </w:pPr>
            <w:r>
              <w:rPr>
                <w:rFonts w:hint="eastAsia" w:ascii="宋体" w:hAnsi="宋体" w:eastAsia="宋体" w:cs="宋体"/>
              </w:rPr>
              <w:t>B:</w:t>
            </w:r>
            <w:r>
              <w:rPr>
                <w:rFonts w:hint="eastAsia" w:ascii="宋体" w:hAnsi="宋体" w:eastAsia="宋体" w:cs="宋体"/>
                <w:lang w:eastAsia="zh-CN"/>
              </w:rPr>
              <w:t>投标人</w:t>
            </w:r>
            <w:r>
              <w:rPr>
                <w:rFonts w:hint="eastAsia" w:ascii="宋体" w:hAnsi="宋体" w:eastAsia="宋体" w:cs="宋体"/>
              </w:rPr>
              <w:t>投标报价</w:t>
            </w:r>
            <w:r>
              <w:rPr>
                <w:rFonts w:hint="eastAsia" w:ascii="宋体" w:hAnsi="宋体" w:eastAsia="宋体" w:cs="宋体"/>
                <w:u w:val="single"/>
              </w:rPr>
              <w:t>：            %</w:t>
            </w:r>
          </w:p>
        </w:tc>
        <w:tc>
          <w:tcPr>
            <w:tcW w:w="1975"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连续2年没有发生赔款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自主定价系数</w:t>
            </w:r>
          </w:p>
        </w:tc>
        <w:tc>
          <w:tcPr>
            <w:tcW w:w="5268" w:type="dxa"/>
            <w:noWrap w:val="0"/>
            <w:vAlign w:val="top"/>
          </w:tcPr>
          <w:p>
            <w:pPr>
              <w:spacing w:line="240" w:lineRule="auto"/>
              <w:rPr>
                <w:rFonts w:hint="eastAsia" w:ascii="宋体" w:hAnsi="宋体" w:eastAsia="宋体" w:cs="宋体"/>
              </w:rPr>
            </w:pPr>
          </w:p>
          <w:p>
            <w:pPr>
              <w:spacing w:line="240" w:lineRule="auto"/>
              <w:rPr>
                <w:rFonts w:hint="eastAsia" w:ascii="宋体" w:hAnsi="宋体" w:eastAsia="宋体" w:cs="宋体"/>
              </w:rPr>
            </w:pPr>
            <w:r>
              <w:rPr>
                <w:rFonts w:hint="eastAsia" w:ascii="宋体" w:hAnsi="宋体" w:eastAsia="宋体" w:cs="宋体"/>
              </w:rPr>
              <w:t>C:</w:t>
            </w:r>
            <w:r>
              <w:rPr>
                <w:rFonts w:hint="eastAsia" w:ascii="宋体" w:hAnsi="宋体" w:eastAsia="宋体" w:cs="宋体"/>
                <w:lang w:eastAsia="zh-CN"/>
              </w:rPr>
              <w:t>投标人</w:t>
            </w:r>
            <w:r>
              <w:rPr>
                <w:rFonts w:hint="eastAsia" w:ascii="宋体" w:hAnsi="宋体" w:eastAsia="宋体" w:cs="宋体"/>
              </w:rPr>
              <w:t>投标报价</w:t>
            </w:r>
            <w:r>
              <w:rPr>
                <w:rFonts w:hint="eastAsia" w:ascii="宋体" w:hAnsi="宋体" w:eastAsia="宋体" w:cs="宋体"/>
                <w:u w:val="single"/>
              </w:rPr>
              <w:t>：            %</w:t>
            </w:r>
          </w:p>
        </w:tc>
        <w:tc>
          <w:tcPr>
            <w:tcW w:w="1975"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上年没有发生赔款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自主定价系数</w:t>
            </w:r>
          </w:p>
        </w:tc>
        <w:tc>
          <w:tcPr>
            <w:tcW w:w="5268" w:type="dxa"/>
            <w:noWrap w:val="0"/>
            <w:vAlign w:val="top"/>
          </w:tcPr>
          <w:p>
            <w:pPr>
              <w:spacing w:line="240" w:lineRule="auto"/>
              <w:rPr>
                <w:rFonts w:hint="eastAsia" w:ascii="宋体" w:hAnsi="宋体" w:eastAsia="宋体" w:cs="宋体"/>
              </w:rPr>
            </w:pPr>
          </w:p>
          <w:p>
            <w:pPr>
              <w:spacing w:line="240" w:lineRule="auto"/>
              <w:rPr>
                <w:rFonts w:hint="eastAsia" w:ascii="宋体" w:hAnsi="宋体" w:eastAsia="宋体" w:cs="宋体"/>
              </w:rPr>
            </w:pPr>
            <w:r>
              <w:rPr>
                <w:rFonts w:hint="eastAsia" w:ascii="宋体" w:hAnsi="宋体" w:eastAsia="宋体" w:cs="宋体"/>
              </w:rPr>
              <w:t>D:</w:t>
            </w:r>
            <w:r>
              <w:rPr>
                <w:rFonts w:hint="eastAsia" w:ascii="宋体" w:hAnsi="宋体" w:eastAsia="宋体" w:cs="宋体"/>
                <w:lang w:eastAsia="zh-CN"/>
              </w:rPr>
              <w:t>投标人</w:t>
            </w:r>
            <w:r>
              <w:rPr>
                <w:rFonts w:hint="eastAsia" w:ascii="宋体" w:hAnsi="宋体" w:eastAsia="宋体" w:cs="宋体"/>
              </w:rPr>
              <w:t>投标报价</w:t>
            </w:r>
            <w:r>
              <w:rPr>
                <w:rFonts w:hint="eastAsia" w:ascii="宋体" w:hAnsi="宋体" w:eastAsia="宋体" w:cs="宋体"/>
                <w:u w:val="single"/>
              </w:rPr>
              <w:t>：            %</w:t>
            </w:r>
          </w:p>
        </w:tc>
        <w:tc>
          <w:tcPr>
            <w:tcW w:w="1975"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新保或上年发生1次赔款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自主定价系数</w:t>
            </w:r>
          </w:p>
        </w:tc>
        <w:tc>
          <w:tcPr>
            <w:tcW w:w="5268" w:type="dxa"/>
            <w:noWrap w:val="0"/>
            <w:vAlign w:val="top"/>
          </w:tcPr>
          <w:p>
            <w:pPr>
              <w:spacing w:line="240" w:lineRule="auto"/>
              <w:rPr>
                <w:rFonts w:hint="eastAsia" w:ascii="宋体" w:hAnsi="宋体" w:eastAsia="宋体" w:cs="宋体"/>
              </w:rPr>
            </w:pPr>
          </w:p>
          <w:p>
            <w:pPr>
              <w:spacing w:line="240" w:lineRule="auto"/>
              <w:rPr>
                <w:rFonts w:hint="eastAsia" w:ascii="宋体" w:hAnsi="宋体" w:eastAsia="宋体" w:cs="宋体"/>
              </w:rPr>
            </w:pPr>
            <w:r>
              <w:rPr>
                <w:rFonts w:hint="eastAsia" w:ascii="宋体" w:hAnsi="宋体" w:eastAsia="宋体" w:cs="宋体"/>
              </w:rPr>
              <w:t>E:</w:t>
            </w:r>
            <w:r>
              <w:rPr>
                <w:rFonts w:hint="eastAsia" w:ascii="宋体" w:hAnsi="宋体" w:eastAsia="宋体" w:cs="宋体"/>
                <w:lang w:eastAsia="zh-CN"/>
              </w:rPr>
              <w:t>投标人</w:t>
            </w:r>
            <w:r>
              <w:rPr>
                <w:rFonts w:hint="eastAsia" w:ascii="宋体" w:hAnsi="宋体" w:eastAsia="宋体" w:cs="宋体"/>
              </w:rPr>
              <w:t>投标报价</w:t>
            </w:r>
            <w:r>
              <w:rPr>
                <w:rFonts w:hint="eastAsia" w:ascii="宋体" w:hAnsi="宋体" w:eastAsia="宋体" w:cs="宋体"/>
                <w:u w:val="single"/>
              </w:rPr>
              <w:t>：            %</w:t>
            </w:r>
          </w:p>
        </w:tc>
        <w:tc>
          <w:tcPr>
            <w:tcW w:w="1975"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上年发生2次赔款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自主定价系数</w:t>
            </w:r>
          </w:p>
        </w:tc>
        <w:tc>
          <w:tcPr>
            <w:tcW w:w="5268" w:type="dxa"/>
            <w:noWrap w:val="0"/>
            <w:vAlign w:val="top"/>
          </w:tcPr>
          <w:p>
            <w:pPr>
              <w:spacing w:line="240" w:lineRule="auto"/>
              <w:rPr>
                <w:rFonts w:hint="eastAsia" w:ascii="宋体" w:hAnsi="宋体" w:eastAsia="宋体" w:cs="宋体"/>
              </w:rPr>
            </w:pPr>
          </w:p>
          <w:p>
            <w:pPr>
              <w:spacing w:line="240" w:lineRule="auto"/>
              <w:rPr>
                <w:rFonts w:hint="eastAsia" w:ascii="宋体" w:hAnsi="宋体" w:eastAsia="宋体" w:cs="宋体"/>
              </w:rPr>
            </w:pPr>
            <w:r>
              <w:rPr>
                <w:rFonts w:hint="eastAsia" w:ascii="宋体" w:hAnsi="宋体" w:eastAsia="宋体" w:cs="宋体"/>
              </w:rPr>
              <w:t>F:</w:t>
            </w:r>
            <w:r>
              <w:rPr>
                <w:rFonts w:hint="eastAsia" w:ascii="宋体" w:hAnsi="宋体" w:eastAsia="宋体" w:cs="宋体"/>
                <w:lang w:eastAsia="zh-CN"/>
              </w:rPr>
              <w:t>投标人</w:t>
            </w:r>
            <w:r>
              <w:rPr>
                <w:rFonts w:hint="eastAsia" w:ascii="宋体" w:hAnsi="宋体" w:eastAsia="宋体" w:cs="宋体"/>
              </w:rPr>
              <w:t>投标报价</w:t>
            </w:r>
            <w:r>
              <w:rPr>
                <w:rFonts w:hint="eastAsia" w:ascii="宋体" w:hAnsi="宋体" w:eastAsia="宋体" w:cs="宋体"/>
                <w:u w:val="single"/>
              </w:rPr>
              <w:t>：            %</w:t>
            </w:r>
          </w:p>
        </w:tc>
        <w:tc>
          <w:tcPr>
            <w:tcW w:w="1975"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上年发生3次赔款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自主定价系数</w:t>
            </w:r>
          </w:p>
        </w:tc>
        <w:tc>
          <w:tcPr>
            <w:tcW w:w="5268" w:type="dxa"/>
            <w:noWrap w:val="0"/>
            <w:vAlign w:val="top"/>
          </w:tcPr>
          <w:p>
            <w:pPr>
              <w:spacing w:line="240" w:lineRule="auto"/>
              <w:rPr>
                <w:rFonts w:hint="eastAsia" w:ascii="宋体" w:hAnsi="宋体" w:eastAsia="宋体" w:cs="宋体"/>
              </w:rPr>
            </w:pPr>
          </w:p>
          <w:p>
            <w:pPr>
              <w:spacing w:line="240" w:lineRule="auto"/>
              <w:rPr>
                <w:rFonts w:hint="eastAsia" w:ascii="宋体" w:hAnsi="宋体" w:eastAsia="宋体" w:cs="宋体"/>
              </w:rPr>
            </w:pPr>
            <w:r>
              <w:rPr>
                <w:rFonts w:hint="eastAsia" w:ascii="宋体" w:hAnsi="宋体" w:eastAsia="宋体" w:cs="宋体"/>
              </w:rPr>
              <w:t>G:</w:t>
            </w:r>
            <w:r>
              <w:rPr>
                <w:rFonts w:hint="eastAsia" w:ascii="宋体" w:hAnsi="宋体" w:eastAsia="宋体" w:cs="宋体"/>
                <w:lang w:eastAsia="zh-CN"/>
              </w:rPr>
              <w:t>投标人</w:t>
            </w:r>
            <w:r>
              <w:rPr>
                <w:rFonts w:hint="eastAsia" w:ascii="宋体" w:hAnsi="宋体" w:eastAsia="宋体" w:cs="宋体"/>
              </w:rPr>
              <w:t>投标报价</w:t>
            </w:r>
            <w:r>
              <w:rPr>
                <w:rFonts w:hint="eastAsia" w:ascii="宋体" w:hAnsi="宋体" w:eastAsia="宋体" w:cs="宋体"/>
                <w:u w:val="single"/>
              </w:rPr>
              <w:t>：            %</w:t>
            </w:r>
          </w:p>
        </w:tc>
        <w:tc>
          <w:tcPr>
            <w:tcW w:w="1975"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上年发生4次赔款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自主定价系数</w:t>
            </w:r>
          </w:p>
        </w:tc>
        <w:tc>
          <w:tcPr>
            <w:tcW w:w="5268" w:type="dxa"/>
            <w:noWrap w:val="0"/>
            <w:vAlign w:val="top"/>
          </w:tcPr>
          <w:p>
            <w:pPr>
              <w:spacing w:line="240" w:lineRule="auto"/>
              <w:rPr>
                <w:rFonts w:hint="eastAsia" w:ascii="宋体" w:hAnsi="宋体" w:eastAsia="宋体" w:cs="宋体"/>
              </w:rPr>
            </w:pPr>
          </w:p>
          <w:p>
            <w:pPr>
              <w:spacing w:line="240" w:lineRule="auto"/>
              <w:rPr>
                <w:rFonts w:hint="eastAsia" w:ascii="宋体" w:hAnsi="宋体" w:eastAsia="宋体" w:cs="宋体"/>
              </w:rPr>
            </w:pPr>
            <w:r>
              <w:rPr>
                <w:rFonts w:hint="eastAsia" w:ascii="宋体" w:hAnsi="宋体" w:eastAsia="宋体" w:cs="宋体"/>
              </w:rPr>
              <w:t>H:</w:t>
            </w:r>
            <w:r>
              <w:rPr>
                <w:rFonts w:hint="eastAsia" w:ascii="宋体" w:hAnsi="宋体" w:eastAsia="宋体" w:cs="宋体"/>
                <w:lang w:eastAsia="zh-CN"/>
              </w:rPr>
              <w:t>投标人</w:t>
            </w:r>
            <w:r>
              <w:rPr>
                <w:rFonts w:hint="eastAsia" w:ascii="宋体" w:hAnsi="宋体" w:eastAsia="宋体" w:cs="宋体"/>
              </w:rPr>
              <w:t>投标报价</w:t>
            </w:r>
            <w:r>
              <w:rPr>
                <w:rFonts w:hint="eastAsia" w:ascii="宋体" w:hAnsi="宋体" w:eastAsia="宋体" w:cs="宋体"/>
                <w:u w:val="single"/>
              </w:rPr>
              <w:t>：            %</w:t>
            </w:r>
          </w:p>
        </w:tc>
        <w:tc>
          <w:tcPr>
            <w:tcW w:w="1975"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上年发生5次及以上赔款</w:t>
            </w:r>
          </w:p>
        </w:tc>
      </w:tr>
    </w:tbl>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pPr>
        <w:autoSpaceDE w:val="0"/>
        <w:autoSpaceDN w:val="0"/>
        <w:adjustRightInd w:val="0"/>
        <w:ind w:firstLine="440" w:firstLineChars="200"/>
        <w:rPr>
          <w:rFonts w:hint="eastAsia" w:ascii="宋体" w:hAnsi="宋体" w:eastAsia="宋体" w:cs="宋体"/>
          <w:sz w:val="22"/>
          <w:szCs w:val="22"/>
          <w:u w:val="single"/>
        </w:rPr>
      </w:pPr>
      <w:r>
        <w:rPr>
          <w:rFonts w:hint="eastAsia" w:ascii="宋体" w:hAnsi="宋体" w:eastAsia="宋体" w:cs="宋体"/>
          <w:bCs/>
          <w:sz w:val="22"/>
          <w:szCs w:val="22"/>
          <w:u w:val="single"/>
        </w:rPr>
        <w:t>1、</w:t>
      </w:r>
      <w:r>
        <w:rPr>
          <w:rFonts w:hint="eastAsia" w:ascii="宋体" w:hAnsi="宋体" w:eastAsia="宋体" w:cs="宋体"/>
          <w:sz w:val="22"/>
          <w:szCs w:val="22"/>
          <w:u w:val="single"/>
        </w:rPr>
        <w:t>▲开标一览表中报价为投标单位对本次采购车辆保险商业险所享受最小自主定价系数进行报价。</w:t>
      </w:r>
      <w:r>
        <w:rPr>
          <w:rFonts w:hint="eastAsia" w:ascii="宋体" w:hAnsi="宋体" w:eastAsia="宋体" w:cs="宋体"/>
          <w:b/>
          <w:bCs/>
          <w:sz w:val="22"/>
          <w:szCs w:val="22"/>
          <w:u w:val="single"/>
        </w:rPr>
        <w:t>单辆车辆商业险保费计算方法 = 基本保险费 × 无赔款优待系数 × 自主定价系数（对应</w:t>
      </w:r>
      <w:r>
        <w:rPr>
          <w:rFonts w:hint="eastAsia" w:ascii="宋体" w:hAnsi="宋体" w:eastAsia="宋体" w:cs="宋体"/>
          <w:b/>
          <w:bCs/>
          <w:sz w:val="22"/>
          <w:szCs w:val="22"/>
          <w:u w:val="single"/>
          <w:lang w:val="en-US" w:eastAsia="zh-CN"/>
        </w:rPr>
        <w:t>费率</w:t>
      </w:r>
      <w:r>
        <w:rPr>
          <w:rFonts w:hint="eastAsia" w:ascii="宋体" w:hAnsi="宋体" w:eastAsia="宋体" w:cs="宋体"/>
          <w:b/>
          <w:bCs/>
          <w:sz w:val="22"/>
          <w:szCs w:val="22"/>
          <w:u w:val="single"/>
        </w:rPr>
        <w:t>折扣值）</w:t>
      </w:r>
      <w:r>
        <w:rPr>
          <w:rFonts w:hint="eastAsia" w:ascii="宋体" w:hAnsi="宋体" w:eastAsia="宋体" w:cs="宋体"/>
          <w:sz w:val="22"/>
          <w:szCs w:val="22"/>
          <w:u w:val="single"/>
        </w:rPr>
        <w:t>。</w:t>
      </w:r>
    </w:p>
    <w:p>
      <w:pPr>
        <w:autoSpaceDE w:val="0"/>
        <w:autoSpaceDN w:val="0"/>
        <w:adjustRightInd w:val="0"/>
        <w:ind w:firstLine="442" w:firstLineChars="200"/>
        <w:rPr>
          <w:rFonts w:hint="eastAsia" w:ascii="宋体" w:hAnsi="宋体" w:eastAsia="宋体" w:cs="宋体"/>
          <w:highlight w:val="none"/>
          <w:lang w:val="en-US" w:eastAsia="zh-CN"/>
        </w:rPr>
      </w:pPr>
      <w:r>
        <w:rPr>
          <w:rFonts w:hint="eastAsia" w:ascii="宋体" w:hAnsi="宋体" w:eastAsia="宋体" w:cs="宋体"/>
          <w:b/>
          <w:bCs/>
          <w:sz w:val="22"/>
          <w:szCs w:val="22"/>
          <w:highlight w:val="none"/>
          <w:u w:val="single"/>
        </w:rPr>
        <w:t>▲</w:t>
      </w:r>
      <w:r>
        <w:rPr>
          <w:rFonts w:hint="eastAsia" w:ascii="宋体" w:hAnsi="宋体" w:eastAsia="宋体" w:cs="宋体"/>
          <w:b/>
          <w:bCs/>
          <w:sz w:val="22"/>
          <w:szCs w:val="22"/>
          <w:highlight w:val="none"/>
          <w:u w:val="single"/>
          <w:lang w:val="en-US" w:eastAsia="zh-CN"/>
        </w:rPr>
        <w:t>投标人</w:t>
      </w:r>
      <w:r>
        <w:rPr>
          <w:rFonts w:hint="eastAsia" w:ascii="宋体" w:hAnsi="宋体" w:eastAsia="宋体" w:cs="宋体"/>
          <w:b/>
          <w:bCs/>
          <w:sz w:val="22"/>
          <w:szCs w:val="22"/>
          <w:highlight w:val="none"/>
          <w:u w:val="single"/>
        </w:rPr>
        <w:t>自主定价系数</w:t>
      </w:r>
      <w:r>
        <w:rPr>
          <w:rFonts w:hint="eastAsia" w:ascii="宋体" w:hAnsi="宋体" w:eastAsia="宋体" w:cs="宋体"/>
          <w:b/>
          <w:bCs/>
          <w:sz w:val="22"/>
          <w:szCs w:val="22"/>
          <w:highlight w:val="none"/>
          <w:u w:val="single"/>
          <w:lang w:val="en-US" w:eastAsia="zh-CN"/>
        </w:rPr>
        <w:t>报价</w:t>
      </w:r>
      <w:r>
        <w:rPr>
          <w:rFonts w:hint="eastAsia" w:ascii="宋体" w:hAnsi="宋体" w:eastAsia="宋体" w:cs="宋体"/>
          <w:b/>
          <w:bCs/>
          <w:sz w:val="22"/>
          <w:szCs w:val="22"/>
          <w:highlight w:val="none"/>
          <w:u w:val="single"/>
        </w:rPr>
        <w:t>范围：【</w:t>
      </w:r>
      <w:r>
        <w:rPr>
          <w:rFonts w:hint="eastAsia" w:ascii="宋体" w:hAnsi="宋体" w:eastAsia="宋体" w:cs="宋体"/>
          <w:b/>
          <w:bCs/>
          <w:sz w:val="22"/>
          <w:szCs w:val="22"/>
          <w:highlight w:val="none"/>
          <w:u w:val="single"/>
          <w:lang w:val="en-US" w:eastAsia="zh-CN"/>
        </w:rPr>
        <w:t>50</w:t>
      </w:r>
      <w:r>
        <w:rPr>
          <w:rFonts w:hint="eastAsia" w:ascii="宋体" w:hAnsi="宋体" w:eastAsia="宋体" w:cs="宋体"/>
          <w:b/>
          <w:bCs/>
          <w:sz w:val="22"/>
          <w:szCs w:val="22"/>
          <w:highlight w:val="none"/>
          <w:u w:val="single"/>
        </w:rPr>
        <w:t>.00%-1</w:t>
      </w:r>
      <w:r>
        <w:rPr>
          <w:rFonts w:hint="eastAsia" w:ascii="宋体" w:hAnsi="宋体" w:eastAsia="宋体" w:cs="宋体"/>
          <w:b/>
          <w:bCs/>
          <w:sz w:val="22"/>
          <w:szCs w:val="22"/>
          <w:highlight w:val="none"/>
          <w:u w:val="single"/>
          <w:lang w:val="en-US" w:eastAsia="zh-CN"/>
        </w:rPr>
        <w:t>50</w:t>
      </w:r>
      <w:r>
        <w:rPr>
          <w:rFonts w:hint="eastAsia" w:ascii="宋体" w:hAnsi="宋体" w:eastAsia="宋体" w:cs="宋体"/>
          <w:b/>
          <w:bCs/>
          <w:sz w:val="22"/>
          <w:szCs w:val="22"/>
          <w:highlight w:val="none"/>
          <w:u w:val="single"/>
        </w:rPr>
        <w:t>.00%】</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u w:val="single"/>
          <w:lang w:val="en-US" w:eastAsia="zh-CN"/>
        </w:rPr>
        <w:t>投标人自主定价系数报价小于50%，或者大于150%的作无效标处理</w:t>
      </w:r>
      <w:r>
        <w:rPr>
          <w:rFonts w:hint="eastAsia" w:ascii="宋体" w:hAnsi="宋体" w:eastAsia="宋体" w:cs="宋体"/>
          <w:b/>
          <w:bCs/>
          <w:sz w:val="22"/>
          <w:szCs w:val="22"/>
          <w:highlight w:val="none"/>
          <w:u w:val="none"/>
          <w:lang w:val="en-US" w:eastAsia="zh-CN"/>
        </w:rPr>
        <w:t>。</w:t>
      </w:r>
    </w:p>
    <w:p>
      <w:pPr>
        <w:autoSpaceDE w:val="0"/>
        <w:autoSpaceDN w:val="0"/>
        <w:adjustRightInd w:val="0"/>
        <w:ind w:firstLine="440" w:firstLineChars="200"/>
        <w:rPr>
          <w:rFonts w:hint="eastAsia" w:ascii="宋体" w:hAnsi="宋体" w:eastAsia="宋体" w:cs="宋体"/>
          <w:sz w:val="22"/>
          <w:szCs w:val="22"/>
          <w:u w:val="single"/>
        </w:rPr>
      </w:pPr>
      <w:r>
        <w:rPr>
          <w:rFonts w:hint="eastAsia" w:ascii="宋体" w:hAnsi="宋体" w:eastAsia="宋体" w:cs="宋体"/>
          <w:sz w:val="22"/>
          <w:szCs w:val="22"/>
          <w:u w:val="single"/>
          <w:lang w:val="en-US" w:eastAsia="zh-CN"/>
        </w:rPr>
        <w:t>2</w:t>
      </w:r>
      <w:r>
        <w:rPr>
          <w:rFonts w:hint="eastAsia" w:ascii="宋体" w:hAnsi="宋体" w:eastAsia="宋体" w:cs="宋体"/>
          <w:sz w:val="22"/>
          <w:szCs w:val="22"/>
          <w:u w:val="single"/>
        </w:rPr>
        <w:t>、▲交通事故责任强制险在符合政策规定情况下按照最优惠的折扣值执行。</w:t>
      </w:r>
      <w:r>
        <w:rPr>
          <w:rFonts w:hint="eastAsia" w:ascii="宋体" w:hAnsi="宋体" w:eastAsia="宋体" w:cs="宋体"/>
          <w:color w:val="0D0D0D"/>
          <w:sz w:val="24"/>
          <w:u w:val="single"/>
        </w:rPr>
        <w:t>车船税按国家要求</w:t>
      </w:r>
      <w:r>
        <w:rPr>
          <w:rFonts w:hint="eastAsia" w:ascii="宋体" w:hAnsi="宋体" w:eastAsia="宋体" w:cs="宋体"/>
          <w:color w:val="0D0D0D"/>
          <w:sz w:val="24"/>
          <w:u w:val="single"/>
          <w:lang w:val="zh-CN"/>
        </w:rPr>
        <w:t>据实</w:t>
      </w:r>
      <w:r>
        <w:rPr>
          <w:rFonts w:hint="eastAsia" w:ascii="宋体" w:hAnsi="宋体" w:eastAsia="宋体" w:cs="宋体"/>
          <w:color w:val="0D0D0D"/>
          <w:sz w:val="24"/>
          <w:u w:val="single"/>
        </w:rPr>
        <w:t>执行。</w:t>
      </w:r>
    </w:p>
    <w:p>
      <w:pPr>
        <w:autoSpaceDE w:val="0"/>
        <w:autoSpaceDN w:val="0"/>
        <w:adjustRightInd w:val="0"/>
        <w:ind w:firstLine="440" w:firstLineChars="200"/>
        <w:rPr>
          <w:rFonts w:hint="eastAsia" w:ascii="宋体" w:hAnsi="宋体" w:eastAsia="宋体" w:cs="宋体"/>
          <w:sz w:val="22"/>
          <w:szCs w:val="22"/>
          <w:u w:val="single"/>
        </w:rPr>
      </w:pPr>
      <w:r>
        <w:rPr>
          <w:rFonts w:hint="eastAsia" w:ascii="宋体" w:hAnsi="宋体" w:eastAsia="宋体" w:cs="宋体"/>
          <w:sz w:val="22"/>
          <w:szCs w:val="22"/>
          <w:u w:val="single"/>
          <w:lang w:val="en-US" w:eastAsia="zh-CN"/>
        </w:rPr>
        <w:t>3</w:t>
      </w:r>
      <w:r>
        <w:rPr>
          <w:rFonts w:hint="eastAsia" w:ascii="宋体" w:hAnsi="宋体" w:eastAsia="宋体" w:cs="宋体"/>
          <w:sz w:val="22"/>
          <w:szCs w:val="22"/>
          <w:u w:val="single"/>
        </w:rPr>
        <w:t>、▲不提供此表格的将视为没有实质性相应采购文件。</w:t>
      </w:r>
    </w:p>
    <w:p>
      <w:pPr>
        <w:pStyle w:val="14"/>
        <w:ind w:firstLine="440" w:firstLineChars="200"/>
        <w:rPr>
          <w:rFonts w:hint="eastAsia" w:ascii="宋体" w:hAnsi="宋体" w:eastAsia="宋体" w:cs="宋体"/>
          <w:sz w:val="22"/>
          <w:szCs w:val="22"/>
          <w:u w:val="single"/>
        </w:rPr>
      </w:pPr>
      <w:r>
        <w:rPr>
          <w:rFonts w:hint="eastAsia" w:ascii="宋体" w:hAnsi="宋体" w:eastAsia="宋体" w:cs="宋体"/>
          <w:sz w:val="22"/>
          <w:szCs w:val="22"/>
          <w:u w:val="single"/>
          <w:lang w:val="en-US" w:eastAsia="zh-CN"/>
        </w:rPr>
        <w:t>4</w:t>
      </w:r>
      <w:r>
        <w:rPr>
          <w:rFonts w:hint="eastAsia" w:ascii="宋体" w:hAnsi="宋体" w:eastAsia="宋体" w:cs="宋体"/>
          <w:sz w:val="22"/>
          <w:szCs w:val="22"/>
          <w:u w:val="single"/>
        </w:rPr>
        <w:t>、▲报价必须按采购文件注明的内容进行报价，否则将可能导致重大偏离予以废标。</w:t>
      </w:r>
    </w:p>
    <w:p>
      <w:pPr>
        <w:pStyle w:val="14"/>
        <w:ind w:firstLine="440" w:firstLineChars="200"/>
        <w:rPr>
          <w:rFonts w:hint="eastAsia" w:ascii="宋体" w:hAnsi="宋体" w:eastAsia="宋体" w:cs="宋体"/>
          <w:sz w:val="22"/>
          <w:szCs w:val="22"/>
          <w:u w:val="single"/>
        </w:rPr>
      </w:pPr>
      <w:r>
        <w:rPr>
          <w:rFonts w:hint="eastAsia" w:ascii="宋体" w:hAnsi="宋体" w:eastAsia="宋体" w:cs="宋体"/>
          <w:sz w:val="22"/>
          <w:szCs w:val="22"/>
          <w:u w:val="single"/>
          <w:lang w:val="en-US" w:eastAsia="zh-CN"/>
        </w:rPr>
        <w:t>5</w:t>
      </w:r>
      <w:r>
        <w:rPr>
          <w:rFonts w:hint="eastAsia" w:ascii="宋体" w:hAnsi="宋体" w:eastAsia="宋体" w:cs="宋体"/>
          <w:sz w:val="22"/>
          <w:szCs w:val="22"/>
          <w:u w:val="single"/>
        </w:rPr>
        <w:t>、▲</w:t>
      </w:r>
      <w:r>
        <w:rPr>
          <w:rFonts w:hint="eastAsia" w:ascii="宋体" w:hAnsi="宋体" w:eastAsia="宋体" w:cs="宋体"/>
          <w:color w:val="0D0D0D"/>
          <w:sz w:val="24"/>
          <w:szCs w:val="24"/>
          <w:u w:val="single"/>
        </w:rPr>
        <w:t>基准保险费、</w:t>
      </w:r>
      <w:r>
        <w:rPr>
          <w:rFonts w:hint="eastAsia" w:ascii="宋体" w:hAnsi="宋体" w:eastAsia="宋体" w:cs="宋体"/>
          <w:color w:val="0D0D0D"/>
          <w:sz w:val="24"/>
          <w:szCs w:val="24"/>
          <w:u w:val="single"/>
          <w:lang w:val="zh-CN"/>
        </w:rPr>
        <w:t>无赔款优待系数按</w:t>
      </w:r>
      <w:r>
        <w:rPr>
          <w:rFonts w:hint="eastAsia" w:ascii="宋体" w:hAnsi="宋体" w:eastAsia="宋体" w:cs="宋体"/>
          <w:color w:val="0D0D0D"/>
          <w:sz w:val="24"/>
          <w:szCs w:val="24"/>
          <w:u w:val="single"/>
        </w:rPr>
        <w:t>最新</w:t>
      </w:r>
      <w:r>
        <w:rPr>
          <w:rFonts w:hint="eastAsia" w:ascii="宋体" w:hAnsi="宋体" w:eastAsia="宋体" w:cs="宋体"/>
          <w:color w:val="0D0D0D"/>
          <w:sz w:val="24"/>
          <w:szCs w:val="24"/>
          <w:u w:val="single"/>
          <w:lang w:val="zh-CN"/>
        </w:rPr>
        <w:t>国家要求据实</w:t>
      </w:r>
      <w:r>
        <w:rPr>
          <w:rFonts w:hint="eastAsia" w:ascii="宋体" w:hAnsi="宋体" w:eastAsia="宋体" w:cs="宋体"/>
          <w:color w:val="0D0D0D"/>
          <w:sz w:val="24"/>
          <w:szCs w:val="24"/>
          <w:u w:val="single"/>
        </w:rPr>
        <w:t>执行，</w:t>
      </w:r>
      <w:r>
        <w:rPr>
          <w:rFonts w:hint="eastAsia" w:ascii="宋体" w:hAnsi="宋体" w:eastAsia="宋体" w:cs="宋体"/>
          <w:sz w:val="22"/>
          <w:szCs w:val="22"/>
          <w:u w:val="single"/>
          <w:lang w:eastAsia="zh-CN"/>
        </w:rPr>
        <w:t>投标人</w:t>
      </w:r>
      <w:r>
        <w:rPr>
          <w:rFonts w:hint="eastAsia" w:ascii="宋体" w:hAnsi="宋体" w:eastAsia="宋体" w:cs="宋体"/>
          <w:sz w:val="22"/>
          <w:szCs w:val="22"/>
          <w:u w:val="single"/>
        </w:rPr>
        <w:t>投标报价须符合保监会最新规定。</w:t>
      </w:r>
    </w:p>
    <w:p>
      <w:pPr>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lang w:val="en-US" w:eastAsia="zh-CN"/>
        </w:rPr>
        <w:t>6、</w:t>
      </w:r>
      <w:r>
        <w:rPr>
          <w:rFonts w:hint="eastAsia" w:ascii="宋体" w:hAnsi="宋体" w:eastAsia="宋体" w:cs="宋体"/>
          <w:sz w:val="22"/>
          <w:szCs w:val="24"/>
          <w:highlight w:val="none"/>
        </w:rPr>
        <w:t>投标报价应包括采购代理服务费。</w:t>
      </w:r>
    </w:p>
    <w:p>
      <w:pPr>
        <w:ind w:left="518" w:leftChars="208" w:hanging="81" w:hangingChars="37"/>
        <w:rPr>
          <w:rFonts w:hint="eastAsia" w:ascii="宋体" w:hAnsi="宋体" w:eastAsia="宋体" w:cs="宋体"/>
          <w:sz w:val="22"/>
          <w:szCs w:val="24"/>
          <w:highlight w:val="none"/>
        </w:rPr>
      </w:pPr>
      <w:r>
        <w:rPr>
          <w:rFonts w:hint="eastAsia" w:ascii="宋体" w:hAnsi="宋体" w:eastAsia="宋体" w:cs="宋体"/>
          <w:sz w:val="22"/>
          <w:szCs w:val="24"/>
          <w:highlight w:val="none"/>
          <w:lang w:val="en-US" w:eastAsia="zh-CN"/>
        </w:rPr>
        <w:t>7、</w:t>
      </w:r>
      <w:r>
        <w:rPr>
          <w:rFonts w:hint="eastAsia" w:ascii="宋体" w:hAnsi="宋体" w:eastAsia="宋体" w:cs="宋体"/>
          <w:sz w:val="22"/>
          <w:szCs w:val="24"/>
          <w:highlight w:val="none"/>
          <w:u w:val="single"/>
        </w:rPr>
        <w:t>▲不提供此表格将被视为没有实质性响应采购文件, 作无效标处理</w:t>
      </w:r>
      <w:r>
        <w:rPr>
          <w:rFonts w:hint="eastAsia" w:ascii="宋体" w:hAnsi="宋体" w:eastAsia="宋体" w:cs="宋体"/>
          <w:sz w:val="22"/>
          <w:szCs w:val="24"/>
          <w:highlight w:val="none"/>
        </w:rPr>
        <w:t>。</w:t>
      </w:r>
    </w:p>
    <w:p>
      <w:pPr>
        <w:ind w:left="518" w:leftChars="208" w:hanging="81" w:hangingChars="37"/>
        <w:rPr>
          <w:rFonts w:hint="eastAsia" w:ascii="宋体" w:hAnsi="宋体" w:eastAsia="宋体" w:cs="宋体"/>
          <w:szCs w:val="24"/>
          <w:highlight w:val="none"/>
        </w:rPr>
      </w:pPr>
      <w:r>
        <w:rPr>
          <w:rFonts w:hint="eastAsia" w:ascii="宋体" w:hAnsi="宋体" w:eastAsia="宋体" w:cs="宋体"/>
          <w:sz w:val="22"/>
          <w:szCs w:val="24"/>
          <w:highlight w:val="none"/>
          <w:lang w:val="en-US" w:eastAsia="zh-CN"/>
        </w:rPr>
        <w:t>8、</w:t>
      </w:r>
      <w:r>
        <w:rPr>
          <w:rFonts w:hint="eastAsia" w:ascii="宋体" w:hAnsi="宋体" w:eastAsia="宋体" w:cs="宋体"/>
          <w:sz w:val="22"/>
          <w:szCs w:val="24"/>
          <w:highlight w:val="none"/>
          <w:u w:val="single"/>
        </w:rPr>
        <w:t>▲以上报价不得出现在技术标中</w:t>
      </w:r>
      <w:r>
        <w:rPr>
          <w:rFonts w:hint="eastAsia" w:ascii="宋体" w:hAnsi="宋体" w:eastAsia="宋体" w:cs="宋体"/>
          <w:sz w:val="22"/>
          <w:szCs w:val="24"/>
          <w:highlight w:val="none"/>
        </w:rPr>
        <w:t>。</w:t>
      </w:r>
    </w:p>
    <w:p>
      <w:pPr>
        <w:spacing w:line="380" w:lineRule="exact"/>
        <w:rPr>
          <w:rFonts w:hint="eastAsia" w:ascii="宋体" w:hAnsi="宋体" w:eastAsia="宋体" w:cs="宋体"/>
          <w:b/>
          <w:bCs/>
          <w:sz w:val="22"/>
          <w:highlight w:val="none"/>
          <w:u w:val="singl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法定代表人（负责人）或授权代表（签字或盖章）：</w:t>
      </w:r>
    </w:p>
    <w:p>
      <w:pPr>
        <w:rPr>
          <w:rFonts w:hint="eastAsia" w:ascii="宋体" w:hAnsi="宋体" w:eastAsia="宋体" w:cs="宋体"/>
          <w:sz w:val="22"/>
          <w:highlight w:val="none"/>
        </w:rPr>
      </w:pPr>
      <w:r>
        <w:rPr>
          <w:rFonts w:hint="eastAsia" w:ascii="宋体" w:hAnsi="宋体" w:eastAsia="宋体" w:cs="宋体"/>
          <w:sz w:val="22"/>
          <w:highlight w:val="none"/>
        </w:rPr>
        <w:t>日  期：</w:t>
      </w:r>
    </w:p>
    <w:p>
      <w:pPr>
        <w:rPr>
          <w:rFonts w:hint="eastAsia" w:ascii="宋体" w:hAnsi="宋体" w:eastAsia="宋体" w:cs="宋体"/>
          <w:sz w:val="22"/>
          <w:highlight w:val="none"/>
        </w:rPr>
      </w:pPr>
      <w:r>
        <w:rPr>
          <w:rFonts w:hint="eastAsia" w:ascii="宋体" w:hAnsi="宋体" w:eastAsia="宋体" w:cs="宋体"/>
          <w:sz w:val="22"/>
          <w:highlight w:val="none"/>
        </w:rPr>
        <w:br w:type="page"/>
      </w:r>
    </w:p>
    <w:p>
      <w:pPr>
        <w:keepLines/>
        <w:spacing w:before="260" w:after="260"/>
        <w:jc w:val="center"/>
        <w:outlineLvl w:val="1"/>
        <w:rPr>
          <w:rFonts w:hint="eastAsia" w:ascii="宋体" w:hAnsi="宋体" w:eastAsia="宋体" w:cs="宋体"/>
          <w:sz w:val="36"/>
          <w:szCs w:val="36"/>
          <w:highlight w:val="none"/>
        </w:rPr>
      </w:pPr>
      <w:bookmarkStart w:id="192" w:name="_Toc448846626"/>
      <w:bookmarkStart w:id="193" w:name="_Toc262105510"/>
      <w:bookmarkStart w:id="194" w:name="_Toc249758721"/>
      <w:bookmarkStart w:id="195" w:name="_Toc249758871"/>
      <w:bookmarkStart w:id="196" w:name="_Toc262049425"/>
      <w:bookmarkStart w:id="197" w:name="_Hlk69240860"/>
      <w:r>
        <w:rPr>
          <w:rFonts w:hint="eastAsia" w:ascii="宋体" w:hAnsi="宋体" w:eastAsia="宋体" w:cs="宋体"/>
          <w:sz w:val="36"/>
          <w:szCs w:val="36"/>
          <w:highlight w:val="none"/>
        </w:rPr>
        <w:t>第四部分   采购内容及要求</w:t>
      </w:r>
      <w:bookmarkEnd w:id="192"/>
      <w:bookmarkEnd w:id="193"/>
      <w:bookmarkEnd w:id="194"/>
      <w:bookmarkEnd w:id="195"/>
      <w:bookmarkEnd w:id="196"/>
    </w:p>
    <w:p>
      <w:pPr>
        <w:spacing w:line="320" w:lineRule="exact"/>
        <w:jc w:val="center"/>
        <w:rPr>
          <w:rFonts w:hint="eastAsia" w:ascii="宋体" w:hAnsi="宋体" w:eastAsia="宋体" w:cs="宋体"/>
          <w:highlight w:val="none"/>
        </w:rPr>
      </w:pPr>
      <w:bookmarkStart w:id="198" w:name="_Toc221356960"/>
      <w:bookmarkStart w:id="199" w:name="_Toc221374633"/>
      <w:bookmarkStart w:id="200" w:name="_Toc221356897"/>
      <w:r>
        <w:rPr>
          <w:rFonts w:hint="eastAsia" w:ascii="宋体" w:hAnsi="宋体" w:eastAsia="宋体" w:cs="宋体"/>
          <w:b/>
          <w:bCs/>
          <w:sz w:val="28"/>
          <w:szCs w:val="28"/>
          <w:highlight w:val="none"/>
          <w:lang w:val="en-US" w:eastAsia="zh-CN"/>
        </w:rPr>
        <w:t>集团系统生产经营用车保险服务</w:t>
      </w:r>
      <w:r>
        <w:rPr>
          <w:rFonts w:hint="eastAsia" w:ascii="宋体" w:hAnsi="宋体" w:eastAsia="宋体" w:cs="宋体"/>
          <w:b/>
          <w:bCs/>
          <w:sz w:val="28"/>
          <w:szCs w:val="28"/>
          <w:highlight w:val="none"/>
        </w:rPr>
        <w:t>内容及要求</w:t>
      </w:r>
      <w:bookmarkEnd w:id="197"/>
      <w:bookmarkStart w:id="201" w:name="_Toc249758722"/>
      <w:bookmarkStart w:id="202" w:name="_Toc221423626"/>
      <w:bookmarkStart w:id="203" w:name="_Toc223716005"/>
      <w:bookmarkStart w:id="204" w:name="_Toc241404209"/>
      <w:bookmarkStart w:id="205" w:name="_Toc448846693"/>
      <w:bookmarkStart w:id="206" w:name="_Toc246261272"/>
      <w:bookmarkStart w:id="207" w:name="_Toc262049426"/>
      <w:bookmarkStart w:id="208" w:name="_Toc222114886"/>
      <w:bookmarkStart w:id="209" w:name="_Toc249758872"/>
      <w:bookmarkStart w:id="210" w:name="_Toc245722288"/>
      <w:bookmarkStart w:id="211" w:name="_Toc245191321"/>
      <w:bookmarkStart w:id="212" w:name="_Toc239145361"/>
      <w:bookmarkStart w:id="213" w:name="_Toc262105511"/>
    </w:p>
    <w:p>
      <w:pPr>
        <w:spacing w:line="240" w:lineRule="auto"/>
        <w:ind w:firstLine="440" w:firstLineChars="200"/>
        <w:rPr>
          <w:rFonts w:hint="eastAsia" w:ascii="宋体" w:hAnsi="宋体" w:eastAsia="宋体" w:cs="宋体"/>
          <w:sz w:val="22"/>
          <w:szCs w:val="22"/>
          <w:highlight w:val="none"/>
        </w:rPr>
      </w:pPr>
    </w:p>
    <w:p>
      <w:pPr>
        <w:bidi w:val="0"/>
        <w:spacing w:line="240" w:lineRule="auto"/>
        <w:rPr>
          <w:rFonts w:hint="eastAsia" w:ascii="宋体" w:hAnsi="宋体" w:eastAsia="宋体" w:cs="宋体"/>
          <w:sz w:val="22"/>
          <w:szCs w:val="22"/>
        </w:rPr>
      </w:pPr>
      <w:bookmarkStart w:id="214" w:name="_Toc414286124"/>
      <w:bookmarkStart w:id="215" w:name="_Toc281206744"/>
      <w:bookmarkStart w:id="216" w:name="_Toc232392357"/>
      <w:bookmarkStart w:id="217" w:name="_Toc421606966"/>
      <w:bookmarkStart w:id="218" w:name="_Toc490125250"/>
      <w:r>
        <w:rPr>
          <w:rFonts w:hint="eastAsia" w:ascii="宋体" w:hAnsi="宋体" w:eastAsia="宋体" w:cs="宋体"/>
          <w:sz w:val="22"/>
          <w:szCs w:val="22"/>
        </w:rPr>
        <w:t>一、</w:t>
      </w:r>
      <w:bookmarkEnd w:id="214"/>
      <w:bookmarkEnd w:id="215"/>
      <w:bookmarkEnd w:id="216"/>
      <w:bookmarkEnd w:id="217"/>
      <w:r>
        <w:rPr>
          <w:rFonts w:hint="eastAsia" w:ascii="宋体" w:hAnsi="宋体" w:eastAsia="宋体" w:cs="宋体"/>
          <w:sz w:val="22"/>
          <w:szCs w:val="22"/>
        </w:rPr>
        <w:t>采购内容</w:t>
      </w:r>
      <w:bookmarkEnd w:id="218"/>
    </w:p>
    <w:p>
      <w:pPr>
        <w:bidi w:val="0"/>
        <w:spacing w:line="24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车辆保险承包数量约为</w:t>
      </w:r>
      <w:r>
        <w:rPr>
          <w:rFonts w:hint="eastAsia" w:ascii="宋体" w:hAnsi="宋体" w:eastAsia="宋体" w:cs="宋体"/>
          <w:sz w:val="22"/>
          <w:szCs w:val="22"/>
          <w:highlight w:val="none"/>
          <w:lang w:val="en-US" w:eastAsia="zh-CN"/>
        </w:rPr>
        <w:t>334</w:t>
      </w:r>
      <w:r>
        <w:rPr>
          <w:rFonts w:hint="eastAsia" w:ascii="宋体" w:hAnsi="宋体" w:eastAsia="宋体" w:cs="宋体"/>
          <w:sz w:val="22"/>
          <w:szCs w:val="22"/>
          <w:highlight w:val="none"/>
        </w:rPr>
        <w:t>辆左右，</w:t>
      </w:r>
      <w:r>
        <w:rPr>
          <w:rFonts w:hint="eastAsia" w:ascii="宋体" w:hAnsi="宋体" w:eastAsia="宋体" w:cs="宋体"/>
          <w:sz w:val="22"/>
          <w:szCs w:val="22"/>
          <w:highlight w:val="none"/>
          <w:lang w:val="en-US" w:eastAsia="zh-CN"/>
        </w:rPr>
        <w:t>年</w:t>
      </w:r>
      <w:r>
        <w:rPr>
          <w:rFonts w:hint="eastAsia" w:ascii="宋体" w:hAnsi="宋体" w:eastAsia="宋体" w:cs="宋体"/>
          <w:sz w:val="22"/>
          <w:szCs w:val="22"/>
          <w:highlight w:val="none"/>
        </w:rPr>
        <w:t>采购预算</w:t>
      </w:r>
      <w:r>
        <w:rPr>
          <w:rFonts w:hint="eastAsia" w:ascii="宋体" w:hAnsi="宋体" w:eastAsia="宋体" w:cs="宋体"/>
          <w:sz w:val="22"/>
          <w:szCs w:val="22"/>
          <w:highlight w:val="none"/>
          <w:lang w:val="en-US" w:eastAsia="zh-CN"/>
        </w:rPr>
        <w:t>256</w:t>
      </w:r>
      <w:r>
        <w:rPr>
          <w:rFonts w:hint="eastAsia" w:ascii="宋体" w:hAnsi="宋体" w:eastAsia="宋体" w:cs="宋体"/>
          <w:sz w:val="22"/>
          <w:szCs w:val="22"/>
          <w:highlight w:val="none"/>
        </w:rPr>
        <w:t>万元。</w:t>
      </w:r>
    </w:p>
    <w:p>
      <w:pPr>
        <w:bidi w:val="0"/>
        <w:spacing w:line="24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、需要保险的车辆清单：</w:t>
      </w:r>
    </w:p>
    <w:p>
      <w:pPr>
        <w:ind w:firstLine="422" w:firstLineChars="200"/>
        <w:rPr>
          <w:rFonts w:hint="default" w:ascii="宋体" w:hAnsi="宋体" w:eastAsia="宋体" w:cs="宋体"/>
          <w:b/>
          <w:bCs/>
          <w:szCs w:val="21"/>
          <w:lang w:val="en-US" w:eastAsia="zh-CN"/>
        </w:rPr>
      </w:pPr>
      <w:r>
        <w:rPr>
          <w:rFonts w:hint="eastAsia" w:ascii="宋体" w:hAnsi="宋体" w:eastAsia="宋体" w:cs="宋体"/>
          <w:b/>
          <w:bCs/>
          <w:szCs w:val="21"/>
          <w:lang w:val="en-US" w:eastAsia="zh-CN"/>
        </w:rPr>
        <w:t>2.1标段1、标段2需要保险车辆情况：</w:t>
      </w:r>
    </w:p>
    <w:tbl>
      <w:tblPr>
        <w:tblStyle w:val="29"/>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583"/>
        <w:gridCol w:w="3105"/>
        <w:gridCol w:w="1500"/>
        <w:gridCol w:w="1425"/>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rPr>
            </w:pPr>
            <w:r>
              <w:rPr>
                <w:rFonts w:hint="eastAsia" w:ascii="宋体" w:hAnsi="宋体" w:eastAsia="宋体" w:cs="宋体"/>
                <w:color w:val="auto"/>
                <w:sz w:val="18"/>
                <w:szCs w:val="18"/>
                <w:highlight w:val="none"/>
                <w:u w:val="none"/>
              </w:rPr>
              <w:t>序号</w:t>
            </w:r>
          </w:p>
        </w:tc>
        <w:tc>
          <w:tcPr>
            <w:tcW w:w="583" w:type="dxa"/>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标包划分</w:t>
            </w:r>
          </w:p>
        </w:tc>
        <w:tc>
          <w:tcPr>
            <w:tcW w:w="3105" w:type="dxa"/>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rPr>
            </w:pPr>
            <w:r>
              <w:rPr>
                <w:rFonts w:hint="eastAsia" w:ascii="宋体" w:hAnsi="宋体" w:eastAsia="宋体" w:cs="宋体"/>
                <w:color w:val="auto"/>
                <w:kern w:val="0"/>
                <w:sz w:val="18"/>
                <w:szCs w:val="18"/>
                <w:highlight w:val="none"/>
                <w:u w:val="none"/>
                <w:lang w:val="en-US" w:eastAsia="zh-CN"/>
              </w:rPr>
              <w:t>项目单位（需求单位）</w:t>
            </w:r>
          </w:p>
        </w:tc>
        <w:tc>
          <w:tcPr>
            <w:tcW w:w="1500" w:type="dxa"/>
            <w:noWrap w:val="0"/>
            <w:vAlign w:val="center"/>
          </w:tcPr>
          <w:p>
            <w:pPr>
              <w:widowControl/>
              <w:adjustRightInd w:val="0"/>
              <w:snapToGrid w:val="0"/>
              <w:spacing w:line="240" w:lineRule="exact"/>
              <w:jc w:val="center"/>
              <w:rPr>
                <w:rFonts w:hint="default" w:ascii="宋体" w:hAnsi="宋体" w:eastAsia="宋体" w:cs="宋体"/>
                <w:color w:val="auto"/>
                <w:kern w:val="0"/>
                <w:sz w:val="18"/>
                <w:szCs w:val="18"/>
                <w:highlight w:val="none"/>
                <w:u w:val="none"/>
                <w:lang w:val="en-US" w:eastAsia="zh-CN"/>
              </w:rPr>
            </w:pPr>
            <w:r>
              <w:rPr>
                <w:rFonts w:hint="eastAsia" w:ascii="宋体" w:hAnsi="宋体" w:eastAsia="宋体" w:cs="宋体"/>
                <w:color w:val="auto"/>
                <w:kern w:val="0"/>
                <w:sz w:val="18"/>
                <w:szCs w:val="18"/>
                <w:highlight w:val="none"/>
                <w:u w:val="none"/>
                <w:lang w:val="en-US" w:eastAsia="zh-CN"/>
              </w:rPr>
              <w:t>需要保险的车辆数量（暂定）</w:t>
            </w:r>
          </w:p>
        </w:tc>
        <w:tc>
          <w:tcPr>
            <w:tcW w:w="1425" w:type="dxa"/>
            <w:tcBorders>
              <w:bottom w:val="thinThickSmallGap" w:color="auto" w:sz="24" w:space="0"/>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none"/>
                <w:u w:val="none"/>
                <w:lang w:eastAsia="zh-CN"/>
              </w:rPr>
            </w:pPr>
            <w:r>
              <w:rPr>
                <w:rFonts w:hint="eastAsia" w:ascii="宋体" w:hAnsi="宋体" w:eastAsia="宋体" w:cs="宋体"/>
                <w:color w:val="auto"/>
                <w:kern w:val="0"/>
                <w:sz w:val="18"/>
                <w:szCs w:val="18"/>
                <w:highlight w:val="none"/>
                <w:u w:val="none"/>
                <w:lang w:eastAsia="zh-CN"/>
              </w:rPr>
              <w:t>合同签订单位（</w:t>
            </w:r>
            <w:r>
              <w:rPr>
                <w:rFonts w:hint="eastAsia" w:ascii="宋体" w:hAnsi="宋体" w:eastAsia="宋体" w:cs="宋体"/>
                <w:color w:val="auto"/>
                <w:kern w:val="0"/>
                <w:sz w:val="18"/>
                <w:szCs w:val="18"/>
                <w:highlight w:val="none"/>
                <w:u w:val="none"/>
                <w:lang w:val="en-US" w:eastAsia="zh-CN"/>
              </w:rPr>
              <w:t>合同甲方</w:t>
            </w:r>
            <w:r>
              <w:rPr>
                <w:rFonts w:hint="eastAsia" w:ascii="宋体" w:hAnsi="宋体" w:eastAsia="宋体" w:cs="宋体"/>
                <w:color w:val="auto"/>
                <w:kern w:val="0"/>
                <w:sz w:val="18"/>
                <w:szCs w:val="18"/>
                <w:highlight w:val="none"/>
                <w:u w:val="none"/>
                <w:lang w:eastAsia="zh-CN"/>
              </w:rPr>
              <w:t>）</w:t>
            </w:r>
          </w:p>
        </w:tc>
        <w:tc>
          <w:tcPr>
            <w:tcW w:w="1761" w:type="dxa"/>
            <w:noWrap w:val="0"/>
            <w:vAlign w:val="center"/>
          </w:tcPr>
          <w:p>
            <w:pPr>
              <w:widowControl/>
              <w:adjustRightInd w:val="0"/>
              <w:snapToGrid w:val="0"/>
              <w:jc w:val="center"/>
              <w:rPr>
                <w:rFonts w:hint="default" w:ascii="宋体" w:hAnsi="宋体" w:eastAsia="宋体" w:cs="宋体"/>
                <w:color w:val="auto"/>
                <w:kern w:val="0"/>
                <w:sz w:val="18"/>
                <w:szCs w:val="18"/>
                <w:highlight w:val="none"/>
                <w:u w:val="none"/>
                <w:lang w:val="en-US"/>
              </w:rPr>
            </w:pPr>
            <w:r>
              <w:rPr>
                <w:rFonts w:hint="eastAsia" w:ascii="宋体" w:hAnsi="宋体" w:eastAsia="宋体" w:cs="宋体"/>
                <w:color w:val="auto"/>
                <w:kern w:val="0"/>
                <w:sz w:val="18"/>
                <w:szCs w:val="18"/>
                <w:highlight w:val="none"/>
                <w:u w:val="none"/>
                <w:lang w:val="en-US" w:eastAsia="zh-CN"/>
              </w:rPr>
              <w:t>中标人（乙方）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tcBorders>
              <w:top w:val="thinThickSmallGap" w:color="auto" w:sz="24" w:space="0"/>
            </w:tcBorders>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r>
              <w:rPr>
                <w:rFonts w:hint="eastAsia" w:ascii="宋体" w:hAnsi="宋体" w:eastAsia="宋体" w:cs="宋体"/>
                <w:sz w:val="18"/>
                <w:szCs w:val="18"/>
                <w:highlight w:val="none"/>
                <w:u w:val="none"/>
              </w:rPr>
              <w:t>1</w:t>
            </w:r>
          </w:p>
        </w:tc>
        <w:tc>
          <w:tcPr>
            <w:tcW w:w="583" w:type="dxa"/>
            <w:vMerge w:val="restart"/>
            <w:tcBorders>
              <w:top w:val="thinThickSmallGap" w:color="auto" w:sz="24" w:space="0"/>
            </w:tcBorders>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r>
              <w:rPr>
                <w:rFonts w:hint="eastAsia" w:ascii="宋体" w:hAnsi="宋体" w:eastAsia="宋体" w:cs="宋体"/>
                <w:sz w:val="18"/>
                <w:szCs w:val="18"/>
                <w:highlight w:val="none"/>
                <w:u w:val="none"/>
                <w:lang w:val="en-US" w:eastAsia="zh-CN"/>
              </w:rPr>
              <w:t>标段1</w:t>
            </w:r>
          </w:p>
        </w:tc>
        <w:tc>
          <w:tcPr>
            <w:tcW w:w="3105" w:type="dxa"/>
            <w:tcBorders>
              <w:top w:val="thinThickSmallGap" w:color="auto" w:sz="24" w:space="0"/>
            </w:tcBorders>
            <w:shd w:val="clear" w:color="auto" w:fill="auto"/>
            <w:noWrap w:val="0"/>
            <w:vAlign w:val="center"/>
          </w:tcPr>
          <w:p>
            <w:pPr>
              <w:widowControl/>
              <w:adjustRightInd w:val="0"/>
              <w:snapToGrid w:val="0"/>
              <w:spacing w:line="240" w:lineRule="exact"/>
              <w:jc w:val="left"/>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sz w:val="18"/>
                <w:szCs w:val="18"/>
                <w:highlight w:val="none"/>
                <w:u w:val="none"/>
              </w:rPr>
              <w:t>温州市交通发展集团有限公司本部</w:t>
            </w:r>
          </w:p>
        </w:tc>
        <w:tc>
          <w:tcPr>
            <w:tcW w:w="1500" w:type="dxa"/>
            <w:tcBorders>
              <w:top w:val="thinThickSmallGap" w:color="auto" w:sz="2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8</w:t>
            </w:r>
          </w:p>
        </w:tc>
        <w:tc>
          <w:tcPr>
            <w:tcW w:w="1425" w:type="dxa"/>
            <w:vMerge w:val="restart"/>
            <w:tcBorders>
              <w:top w:val="thinThickSmallGap" w:color="auto" w:sz="24" w:space="0"/>
            </w:tcBorders>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eastAsia="zh-CN"/>
              </w:rPr>
            </w:pPr>
            <w:r>
              <w:rPr>
                <w:rFonts w:hint="eastAsia" w:ascii="宋体" w:hAnsi="宋体" w:eastAsia="宋体" w:cs="宋体"/>
                <w:sz w:val="18"/>
                <w:szCs w:val="18"/>
                <w:highlight w:val="none"/>
                <w:u w:val="none"/>
                <w:lang w:eastAsia="zh-CN"/>
              </w:rPr>
              <w:t>温州</w:t>
            </w:r>
            <w:r>
              <w:rPr>
                <w:rFonts w:hint="eastAsia" w:ascii="宋体" w:hAnsi="宋体" w:eastAsia="宋体" w:cs="宋体"/>
                <w:sz w:val="18"/>
                <w:szCs w:val="18"/>
                <w:highlight w:val="none"/>
                <w:u w:val="none"/>
                <w:lang w:val="en-US" w:eastAsia="zh-CN"/>
              </w:rPr>
              <w:t>市交通</w:t>
            </w:r>
            <w:r>
              <w:rPr>
                <w:rFonts w:hint="eastAsia" w:ascii="宋体" w:hAnsi="宋体" w:eastAsia="宋体" w:cs="宋体"/>
                <w:sz w:val="18"/>
                <w:szCs w:val="18"/>
                <w:highlight w:val="none"/>
                <w:u w:val="none"/>
                <w:lang w:eastAsia="zh-CN"/>
              </w:rPr>
              <w:t>发展</w:t>
            </w:r>
            <w:r>
              <w:rPr>
                <w:rFonts w:hint="eastAsia" w:ascii="宋体" w:hAnsi="宋体" w:eastAsia="宋体" w:cs="宋体"/>
                <w:sz w:val="18"/>
                <w:szCs w:val="18"/>
                <w:highlight w:val="none"/>
                <w:u w:val="none"/>
                <w:lang w:val="en-US" w:eastAsia="zh-CN"/>
              </w:rPr>
              <w:t>集团</w:t>
            </w:r>
            <w:r>
              <w:rPr>
                <w:rFonts w:hint="eastAsia" w:ascii="宋体" w:hAnsi="宋体" w:eastAsia="宋体" w:cs="宋体"/>
                <w:sz w:val="18"/>
                <w:szCs w:val="18"/>
                <w:highlight w:val="none"/>
                <w:u w:val="none"/>
                <w:lang w:eastAsia="zh-CN"/>
              </w:rPr>
              <w:t>有限公司</w:t>
            </w:r>
          </w:p>
        </w:tc>
        <w:tc>
          <w:tcPr>
            <w:tcW w:w="1761" w:type="dxa"/>
            <w:vMerge w:val="restart"/>
            <w:tcBorders>
              <w:top w:val="thinThickSmallGap" w:color="auto" w:sz="24" w:space="0"/>
            </w:tcBorders>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sz w:val="18"/>
                <w:szCs w:val="18"/>
                <w:highlight w:val="none"/>
                <w:u w:val="none"/>
                <w:lang w:val="en-US" w:eastAsia="zh-CN"/>
              </w:rPr>
              <w:t>2</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3105" w:type="dxa"/>
            <w:shd w:val="clear" w:color="auto" w:fill="auto"/>
            <w:noWrap w:val="0"/>
            <w:vAlign w:val="center"/>
          </w:tcPr>
          <w:p>
            <w:pPr>
              <w:widowControl/>
              <w:adjustRightInd w:val="0"/>
              <w:snapToGrid w:val="0"/>
              <w:spacing w:line="240" w:lineRule="exact"/>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温州诚达交通发展股份有限公司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bidi="ar-SA"/>
              </w:rPr>
            </w:pPr>
            <w:r>
              <w:rPr>
                <w:rFonts w:hint="eastAsia" w:ascii="宋体" w:hAnsi="宋体" w:eastAsia="宋体" w:cs="宋体"/>
                <w:kern w:val="0"/>
                <w:sz w:val="18"/>
                <w:szCs w:val="18"/>
                <w:highlight w:val="none"/>
                <w:u w:val="none"/>
                <w:lang w:val="en-US" w:eastAsia="zh-CN" w:bidi="ar-SA"/>
              </w:rPr>
              <w:t>74</w:t>
            </w:r>
          </w:p>
        </w:tc>
        <w:tc>
          <w:tcPr>
            <w:tcW w:w="1425" w:type="dxa"/>
            <w:vMerge w:val="continue"/>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sz w:val="18"/>
                <w:szCs w:val="18"/>
                <w:highlight w:val="none"/>
                <w:u w:val="none"/>
                <w:lang w:val="en-US" w:eastAsia="zh-CN"/>
              </w:rPr>
              <w:t>3</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3105" w:type="dxa"/>
            <w:shd w:val="clear" w:color="auto" w:fill="auto"/>
            <w:noWrap w:val="0"/>
            <w:vAlign w:val="center"/>
          </w:tcPr>
          <w:p>
            <w:pPr>
              <w:widowControl/>
              <w:adjustRightInd w:val="0"/>
              <w:snapToGrid w:val="0"/>
              <w:spacing w:line="240" w:lineRule="exact"/>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sz w:val="18"/>
                <w:szCs w:val="18"/>
                <w:highlight w:val="none"/>
                <w:u w:val="none"/>
                <w:lang w:eastAsia="zh-CN"/>
              </w:rPr>
              <w:t>温州甬莞高速公路联络线有限公司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bidi="ar-SA"/>
              </w:rPr>
            </w:pPr>
            <w:r>
              <w:rPr>
                <w:rFonts w:hint="eastAsia" w:ascii="宋体" w:hAnsi="宋体" w:eastAsia="宋体" w:cs="宋体"/>
                <w:kern w:val="0"/>
                <w:sz w:val="18"/>
                <w:szCs w:val="18"/>
                <w:highlight w:val="none"/>
                <w:u w:val="none"/>
                <w:lang w:val="en-US" w:eastAsia="zh-CN" w:bidi="ar-SA"/>
              </w:rPr>
              <w:t>64</w:t>
            </w:r>
          </w:p>
        </w:tc>
        <w:tc>
          <w:tcPr>
            <w:tcW w:w="1425" w:type="dxa"/>
            <w:vMerge w:val="continue"/>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default" w:ascii="宋体" w:hAnsi="宋体" w:eastAsia="宋体" w:cs="宋体"/>
                <w:sz w:val="18"/>
                <w:szCs w:val="18"/>
                <w:highlight w:val="none"/>
                <w:u w:val="none"/>
                <w:lang w:val="en-US" w:eastAsia="zh-CN"/>
              </w:rPr>
            </w:pPr>
            <w:r>
              <w:rPr>
                <w:rFonts w:hint="eastAsia" w:ascii="宋体" w:hAnsi="宋体" w:eastAsia="宋体" w:cs="宋体"/>
                <w:sz w:val="18"/>
                <w:szCs w:val="18"/>
                <w:highlight w:val="none"/>
                <w:u w:val="none"/>
                <w:lang w:val="en-US" w:eastAsia="zh-CN"/>
              </w:rPr>
              <w:t>4</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3105" w:type="dxa"/>
            <w:shd w:val="clear" w:color="auto" w:fill="auto"/>
            <w:noWrap w:val="0"/>
            <w:vAlign w:val="center"/>
          </w:tcPr>
          <w:p>
            <w:pPr>
              <w:widowControl/>
              <w:adjustRightInd w:val="0"/>
              <w:snapToGrid w:val="0"/>
              <w:spacing w:line="240" w:lineRule="exact"/>
              <w:jc w:val="left"/>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温州市公路工程有限公司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33</w:t>
            </w:r>
          </w:p>
        </w:tc>
        <w:tc>
          <w:tcPr>
            <w:tcW w:w="1425" w:type="dxa"/>
            <w:vMerge w:val="continue"/>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1" w:type="dxa"/>
            <w:gridSpan w:val="3"/>
            <w:tcBorders>
              <w:bottom w:val="thinThickSmallGap" w:color="auto" w:sz="24" w:space="0"/>
            </w:tcBorders>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r>
              <w:rPr>
                <w:rFonts w:hint="eastAsia" w:ascii="宋体" w:hAnsi="宋体" w:eastAsia="宋体" w:cs="宋体"/>
                <w:sz w:val="18"/>
                <w:szCs w:val="18"/>
                <w:highlight w:val="none"/>
                <w:u w:val="none"/>
                <w:lang w:val="en-US" w:eastAsia="zh-CN"/>
              </w:rPr>
              <w:t>标段1小计</w:t>
            </w:r>
          </w:p>
        </w:tc>
        <w:tc>
          <w:tcPr>
            <w:tcW w:w="1500" w:type="dxa"/>
            <w:tcBorders>
              <w:bottom w:val="thinThickSmallGap" w:color="auto" w:sz="24" w:space="0"/>
            </w:tcBorders>
            <w:noWrap w:val="0"/>
            <w:vAlign w:val="center"/>
          </w:tcPr>
          <w:p>
            <w:pPr>
              <w:widowControl/>
              <w:adjustRightInd w:val="0"/>
              <w:snapToGrid w:val="0"/>
              <w:spacing w:line="240" w:lineRule="exact"/>
              <w:jc w:val="center"/>
              <w:rPr>
                <w:rFonts w:hint="default" w:ascii="宋体" w:hAnsi="宋体" w:eastAsia="宋体" w:cs="宋体"/>
                <w:sz w:val="18"/>
                <w:szCs w:val="18"/>
                <w:highlight w:val="none"/>
                <w:u w:val="none"/>
                <w:lang w:val="en-US" w:eastAsia="zh-CN"/>
              </w:rPr>
            </w:pPr>
            <w:r>
              <w:rPr>
                <w:rFonts w:hint="eastAsia" w:ascii="宋体" w:hAnsi="宋体" w:eastAsia="宋体" w:cs="宋体"/>
                <w:sz w:val="18"/>
                <w:szCs w:val="18"/>
                <w:highlight w:val="none"/>
                <w:u w:val="none"/>
                <w:lang w:val="en-US" w:eastAsia="zh-CN"/>
              </w:rPr>
              <w:t>179</w:t>
            </w:r>
          </w:p>
        </w:tc>
        <w:tc>
          <w:tcPr>
            <w:tcW w:w="1425"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eastAsia="zh-CN"/>
              </w:rPr>
            </w:pPr>
          </w:p>
        </w:tc>
        <w:tc>
          <w:tcPr>
            <w:tcW w:w="1761" w:type="dxa"/>
            <w:vMerge w:val="continue"/>
            <w:tcBorders>
              <w:bottom w:val="thinThickSmallGap" w:color="auto" w:sz="24" w:space="0"/>
            </w:tcBorders>
            <w:noWrap w:val="0"/>
            <w:vAlign w:val="center"/>
          </w:tcPr>
          <w:p>
            <w:pPr>
              <w:widowControl/>
              <w:adjustRightInd w:val="0"/>
              <w:snapToGrid w:val="0"/>
              <w:jc w:val="center"/>
              <w:rPr>
                <w:rFonts w:hint="eastAsia" w:ascii="宋体" w:hAnsi="宋体" w:eastAsia="宋体" w:cs="宋体"/>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w:t>
            </w:r>
          </w:p>
        </w:tc>
        <w:tc>
          <w:tcPr>
            <w:tcW w:w="583" w:type="dxa"/>
            <w:vMerge w:val="restart"/>
            <w:noWrap w:val="0"/>
            <w:vAlign w:val="center"/>
          </w:tcPr>
          <w:p>
            <w:pPr>
              <w:widowControl/>
              <w:adjustRightInd w:val="0"/>
              <w:snapToGrid w:val="0"/>
              <w:spacing w:line="240" w:lineRule="exact"/>
              <w:jc w:val="center"/>
              <w:rPr>
                <w:rFonts w:hint="default" w:ascii="宋体" w:hAnsi="宋体" w:eastAsia="宋体" w:cs="宋体"/>
                <w:sz w:val="18"/>
                <w:szCs w:val="18"/>
                <w:highlight w:val="none"/>
                <w:u w:val="none"/>
                <w:lang w:val="en-US" w:eastAsia="zh-CN"/>
              </w:rPr>
            </w:pPr>
            <w:r>
              <w:rPr>
                <w:rFonts w:hint="eastAsia" w:ascii="宋体" w:hAnsi="宋体" w:eastAsia="宋体" w:cs="宋体"/>
                <w:sz w:val="18"/>
                <w:szCs w:val="18"/>
                <w:highlight w:val="none"/>
                <w:u w:val="none"/>
                <w:lang w:val="en-US" w:eastAsia="zh-CN"/>
              </w:rPr>
              <w:t>标段2</w:t>
            </w:r>
          </w:p>
        </w:tc>
        <w:tc>
          <w:tcPr>
            <w:tcW w:w="3105" w:type="dxa"/>
            <w:shd w:val="clear" w:color="auto" w:fill="auto"/>
            <w:noWrap w:val="0"/>
            <w:vAlign w:val="center"/>
          </w:tcPr>
          <w:p>
            <w:pPr>
              <w:widowControl/>
              <w:adjustRightInd w:val="0"/>
              <w:snapToGrid w:val="0"/>
              <w:spacing w:line="240" w:lineRule="exact"/>
              <w:rPr>
                <w:rFonts w:hint="default" w:ascii="宋体" w:hAnsi="宋体" w:eastAsia="宋体" w:cs="宋体"/>
                <w:kern w:val="0"/>
                <w:sz w:val="18"/>
                <w:szCs w:val="18"/>
                <w:highlight w:val="none"/>
                <w:u w:val="none"/>
                <w:lang w:val="en-US" w:eastAsia="zh-CN" w:bidi="ar-SA"/>
              </w:rPr>
            </w:pPr>
            <w:r>
              <w:rPr>
                <w:rFonts w:hint="eastAsia" w:ascii="宋体" w:hAnsi="宋体" w:eastAsia="宋体" w:cs="宋体"/>
                <w:kern w:val="0"/>
                <w:sz w:val="18"/>
                <w:szCs w:val="18"/>
                <w:highlight w:val="none"/>
                <w:u w:val="none"/>
                <w:lang w:val="en-US" w:eastAsia="zh-CN" w:bidi="ar-SA"/>
              </w:rPr>
              <w:t>温州苍泰高速公路有限公司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25</w:t>
            </w:r>
          </w:p>
        </w:tc>
        <w:tc>
          <w:tcPr>
            <w:tcW w:w="1425"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restart"/>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2</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shd w:val="clear" w:color="auto" w:fill="auto"/>
            <w:noWrap w:val="0"/>
            <w:vAlign w:val="center"/>
          </w:tcPr>
          <w:p>
            <w:pPr>
              <w:widowControl/>
              <w:adjustRightInd w:val="0"/>
              <w:snapToGrid w:val="0"/>
              <w:spacing w:line="240" w:lineRule="exact"/>
              <w:jc w:val="left"/>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温州大小门岛投资开发有限公司</w:t>
            </w:r>
          </w:p>
        </w:tc>
        <w:tc>
          <w:tcPr>
            <w:tcW w:w="1500"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w:t>
            </w:r>
          </w:p>
        </w:tc>
        <w:tc>
          <w:tcPr>
            <w:tcW w:w="1425"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83" w:type="dxa"/>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3</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shd w:val="clear" w:color="auto" w:fill="auto"/>
            <w:noWrap w:val="0"/>
            <w:vAlign w:val="center"/>
          </w:tcPr>
          <w:p>
            <w:pPr>
              <w:widowControl/>
              <w:adjustRightInd w:val="0"/>
              <w:snapToGrid w:val="0"/>
              <w:spacing w:line="240" w:lineRule="exact"/>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温州房地产开发股份有限公司</w:t>
            </w:r>
          </w:p>
        </w:tc>
        <w:tc>
          <w:tcPr>
            <w:tcW w:w="1500" w:type="dxa"/>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10</w:t>
            </w:r>
          </w:p>
        </w:tc>
        <w:tc>
          <w:tcPr>
            <w:tcW w:w="1425" w:type="dxa"/>
            <w:vMerge w:val="continue"/>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83" w:type="dxa"/>
            <w:tcBorders>
              <w:bottom w:val="single" w:color="auto" w:sz="4" w:space="0"/>
            </w:tcBorders>
            <w:shd w:val="clear" w:color="auto" w:fill="auto"/>
            <w:noWrap w:val="0"/>
            <w:vAlign w:val="center"/>
          </w:tcPr>
          <w:p>
            <w:pPr>
              <w:widowControl/>
              <w:adjustRightInd w:val="0"/>
              <w:snapToGrid w:val="0"/>
              <w:spacing w:line="240" w:lineRule="exact"/>
              <w:jc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4</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tcBorders>
              <w:bottom w:val="single" w:color="auto" w:sz="4" w:space="0"/>
            </w:tcBorders>
            <w:shd w:val="clear" w:color="auto" w:fill="auto"/>
            <w:noWrap w:val="0"/>
            <w:vAlign w:val="center"/>
          </w:tcPr>
          <w:p>
            <w:pPr>
              <w:widowControl/>
              <w:tabs>
                <w:tab w:val="right" w:pos="2015"/>
              </w:tabs>
              <w:adjustRightInd w:val="0"/>
              <w:snapToGrid w:val="0"/>
              <w:spacing w:line="240" w:lineRule="exact"/>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温州市交通规划设计研究院有限公司</w:t>
            </w:r>
          </w:p>
        </w:tc>
        <w:tc>
          <w:tcPr>
            <w:tcW w:w="1500"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8</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5</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tcBorders>
              <w:bottom w:val="single" w:color="auto" w:sz="4" w:space="0"/>
            </w:tcBorders>
            <w:shd w:val="clear" w:color="auto" w:fill="auto"/>
            <w:noWrap w:val="0"/>
            <w:vAlign w:val="center"/>
          </w:tcPr>
          <w:p>
            <w:pPr>
              <w:widowControl/>
              <w:adjustRightInd w:val="0"/>
              <w:snapToGrid w:val="0"/>
              <w:spacing w:line="240" w:lineRule="exact"/>
              <w:jc w:val="left"/>
              <w:rPr>
                <w:rFonts w:hint="default" w:ascii="宋体" w:hAnsi="宋体" w:eastAsia="宋体" w:cs="宋体"/>
                <w:kern w:val="2"/>
                <w:sz w:val="18"/>
                <w:szCs w:val="18"/>
                <w:highlight w:val="none"/>
                <w:u w:val="none"/>
                <w:lang w:val="en-US" w:eastAsia="zh-CN" w:bidi="ar-SA"/>
              </w:rPr>
            </w:pPr>
            <w:r>
              <w:rPr>
                <w:rFonts w:hint="default" w:ascii="宋体" w:hAnsi="宋体" w:eastAsia="宋体" w:cs="宋体"/>
                <w:kern w:val="2"/>
                <w:sz w:val="18"/>
                <w:szCs w:val="18"/>
                <w:highlight w:val="none"/>
                <w:u w:val="none"/>
                <w:lang w:val="en-US" w:eastAsia="zh-CN" w:bidi="ar-SA"/>
              </w:rPr>
              <w:t>温州金丽温高速公路东延线有限公司（温州</w:t>
            </w:r>
            <w:r>
              <w:rPr>
                <w:rFonts w:hint="eastAsia" w:ascii="宋体" w:hAnsi="宋体" w:eastAsia="宋体" w:cs="宋体"/>
                <w:kern w:val="2"/>
                <w:sz w:val="18"/>
                <w:szCs w:val="18"/>
                <w:highlight w:val="none"/>
                <w:u w:val="none"/>
                <w:lang w:val="en-US" w:eastAsia="zh-CN" w:bidi="ar-SA"/>
              </w:rPr>
              <w:t>交发沈海</w:t>
            </w:r>
            <w:r>
              <w:rPr>
                <w:rFonts w:hint="default" w:ascii="宋体" w:hAnsi="宋体" w:eastAsia="宋体" w:cs="宋体"/>
                <w:kern w:val="2"/>
                <w:sz w:val="18"/>
                <w:szCs w:val="18"/>
                <w:highlight w:val="none"/>
                <w:u w:val="none"/>
                <w:lang w:val="en-US" w:eastAsia="zh-CN" w:bidi="ar-SA"/>
              </w:rPr>
              <w:t>高速公路有限公司、温州交发大桥有限公司）</w:t>
            </w:r>
          </w:p>
        </w:tc>
        <w:tc>
          <w:tcPr>
            <w:tcW w:w="1500"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20</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6</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tcBorders>
              <w:bottom w:val="single" w:color="auto" w:sz="4" w:space="0"/>
            </w:tcBorders>
            <w:shd w:val="clear" w:color="auto" w:fill="auto"/>
            <w:noWrap w:val="0"/>
            <w:vAlign w:val="center"/>
          </w:tcPr>
          <w:p>
            <w:pPr>
              <w:widowControl/>
              <w:adjustRightInd w:val="0"/>
              <w:snapToGrid w:val="0"/>
              <w:spacing w:line="240" w:lineRule="exact"/>
              <w:jc w:val="left"/>
              <w:rPr>
                <w:rFonts w:hint="eastAsia" w:ascii="宋体" w:hAnsi="宋体" w:eastAsia="宋体" w:cs="宋体"/>
                <w:kern w:val="0"/>
                <w:sz w:val="18"/>
                <w:szCs w:val="18"/>
                <w:highlight w:val="none"/>
                <w:u w:val="none"/>
                <w:lang w:val="en-US" w:eastAsia="zh-CN" w:bidi="ar-SA"/>
              </w:rPr>
            </w:pPr>
            <w:r>
              <w:rPr>
                <w:rFonts w:hint="eastAsia" w:ascii="宋体" w:hAnsi="宋体" w:eastAsia="宋体" w:cs="宋体"/>
                <w:kern w:val="0"/>
                <w:sz w:val="18"/>
                <w:szCs w:val="18"/>
                <w:highlight w:val="none"/>
                <w:u w:val="none"/>
                <w:lang w:val="en-US" w:eastAsia="zh-CN" w:bidi="ar-SA"/>
              </w:rPr>
              <w:t>温州市高速公路资产经营有限公司</w:t>
            </w:r>
          </w:p>
        </w:tc>
        <w:tc>
          <w:tcPr>
            <w:tcW w:w="1500"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12</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7</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tcBorders>
              <w:bottom w:val="single" w:color="auto" w:sz="4" w:space="0"/>
            </w:tcBorders>
            <w:shd w:val="clear" w:color="auto" w:fill="auto"/>
            <w:noWrap w:val="0"/>
            <w:vAlign w:val="center"/>
          </w:tcPr>
          <w:p>
            <w:pPr>
              <w:widowControl/>
              <w:adjustRightInd w:val="0"/>
              <w:snapToGrid w:val="0"/>
              <w:spacing w:line="240" w:lineRule="exact"/>
              <w:jc w:val="left"/>
              <w:rPr>
                <w:rFonts w:hint="eastAsia" w:ascii="宋体" w:hAnsi="宋体" w:eastAsia="宋体" w:cs="宋体"/>
                <w:kern w:val="0"/>
                <w:sz w:val="18"/>
                <w:szCs w:val="18"/>
                <w:highlight w:val="none"/>
                <w:u w:val="none"/>
                <w:lang w:val="en-US" w:eastAsia="zh-CN" w:bidi="ar-SA"/>
              </w:rPr>
            </w:pPr>
            <w:r>
              <w:rPr>
                <w:rFonts w:hint="eastAsia" w:ascii="宋体" w:hAnsi="宋体" w:eastAsia="宋体" w:cs="宋体"/>
                <w:kern w:val="0"/>
                <w:sz w:val="18"/>
                <w:szCs w:val="18"/>
                <w:highlight w:val="none"/>
                <w:u w:val="none"/>
                <w:lang w:val="en-US" w:eastAsia="zh-CN" w:bidi="ar-SA"/>
              </w:rPr>
              <w:t>温州市自然资源开发投资有限公司</w:t>
            </w:r>
          </w:p>
        </w:tc>
        <w:tc>
          <w:tcPr>
            <w:tcW w:w="1500"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2</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83"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8</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tcBorders>
              <w:bottom w:val="single" w:color="auto" w:sz="4" w:space="0"/>
            </w:tcBorders>
            <w:shd w:val="clear" w:color="auto" w:fill="auto"/>
            <w:noWrap w:val="0"/>
            <w:vAlign w:val="center"/>
          </w:tcPr>
          <w:p>
            <w:pPr>
              <w:widowControl/>
              <w:adjustRightInd w:val="0"/>
              <w:snapToGrid w:val="0"/>
              <w:spacing w:line="240" w:lineRule="exact"/>
              <w:jc w:val="left"/>
              <w:rPr>
                <w:rFonts w:hint="default" w:ascii="宋体" w:hAnsi="宋体" w:eastAsia="宋体" w:cs="宋体"/>
                <w:kern w:val="0"/>
                <w:sz w:val="18"/>
                <w:szCs w:val="18"/>
                <w:highlight w:val="none"/>
                <w:u w:val="none"/>
                <w:lang w:val="en-US" w:eastAsia="zh-CN" w:bidi="ar-SA"/>
              </w:rPr>
            </w:pPr>
            <w:r>
              <w:rPr>
                <w:rFonts w:hint="default" w:ascii="宋体" w:hAnsi="宋体" w:eastAsia="宋体" w:cs="宋体"/>
                <w:kern w:val="0"/>
                <w:sz w:val="18"/>
                <w:szCs w:val="18"/>
                <w:highlight w:val="none"/>
                <w:u w:val="none"/>
                <w:lang w:val="en-US" w:eastAsia="zh-CN" w:bidi="ar-SA"/>
              </w:rPr>
              <w:t>温州市高速公路运营管理有限公司</w:t>
            </w:r>
          </w:p>
        </w:tc>
        <w:tc>
          <w:tcPr>
            <w:tcW w:w="1500"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63</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9</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tcBorders>
              <w:bottom w:val="single" w:color="auto" w:sz="4" w:space="0"/>
            </w:tcBorders>
            <w:shd w:val="clear" w:color="auto" w:fill="auto"/>
            <w:noWrap w:val="0"/>
            <w:vAlign w:val="center"/>
          </w:tcPr>
          <w:p>
            <w:pPr>
              <w:widowControl/>
              <w:adjustRightInd w:val="0"/>
              <w:snapToGrid w:val="0"/>
              <w:spacing w:line="240" w:lineRule="exact"/>
              <w:jc w:val="left"/>
              <w:rPr>
                <w:rFonts w:hint="default" w:ascii="宋体" w:hAnsi="宋体" w:eastAsia="宋体" w:cs="宋体"/>
                <w:kern w:val="0"/>
                <w:sz w:val="18"/>
                <w:szCs w:val="18"/>
                <w:highlight w:val="none"/>
                <w:u w:val="none"/>
                <w:lang w:val="en-US" w:eastAsia="zh-CN" w:bidi="ar-SA"/>
              </w:rPr>
            </w:pPr>
            <w:r>
              <w:rPr>
                <w:rFonts w:hint="default" w:ascii="宋体" w:hAnsi="宋体" w:eastAsia="宋体" w:cs="宋体"/>
                <w:kern w:val="0"/>
                <w:sz w:val="18"/>
                <w:szCs w:val="18"/>
                <w:highlight w:val="none"/>
                <w:u w:val="none"/>
                <w:lang w:val="en-US" w:eastAsia="zh-CN" w:bidi="ar-SA"/>
              </w:rPr>
              <w:t>温州文青高速公路有限公司</w:t>
            </w:r>
          </w:p>
        </w:tc>
        <w:tc>
          <w:tcPr>
            <w:tcW w:w="1500"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3</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83"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10</w:t>
            </w:r>
          </w:p>
        </w:tc>
        <w:tc>
          <w:tcPr>
            <w:tcW w:w="583" w:type="dxa"/>
            <w:vMerge w:val="continue"/>
            <w:noWrap w:val="0"/>
            <w:vAlign w:val="center"/>
          </w:tcPr>
          <w:p>
            <w:pPr>
              <w:widowControl/>
              <w:adjustRightInd w:val="0"/>
              <w:snapToGrid w:val="0"/>
              <w:spacing w:line="240" w:lineRule="exact"/>
              <w:jc w:val="center"/>
              <w:rPr>
                <w:rFonts w:hint="eastAsia" w:ascii="宋体" w:hAnsi="宋体" w:eastAsia="宋体" w:cs="宋体"/>
                <w:sz w:val="18"/>
                <w:szCs w:val="18"/>
                <w:highlight w:val="none"/>
                <w:u w:val="none"/>
                <w:lang w:val="en-US" w:eastAsia="zh-CN"/>
              </w:rPr>
            </w:pPr>
          </w:p>
        </w:tc>
        <w:tc>
          <w:tcPr>
            <w:tcW w:w="3105" w:type="dxa"/>
            <w:tcBorders>
              <w:bottom w:val="single" w:color="auto" w:sz="4" w:space="0"/>
            </w:tcBorders>
            <w:shd w:val="clear" w:color="auto" w:fill="auto"/>
            <w:noWrap w:val="0"/>
            <w:vAlign w:val="center"/>
          </w:tcPr>
          <w:p>
            <w:pPr>
              <w:widowControl/>
              <w:adjustRightInd w:val="0"/>
              <w:snapToGrid w:val="0"/>
              <w:spacing w:line="240" w:lineRule="exact"/>
              <w:jc w:val="left"/>
              <w:rPr>
                <w:rFonts w:hint="default" w:ascii="宋体" w:hAnsi="宋体" w:eastAsia="宋体" w:cs="宋体"/>
                <w:kern w:val="0"/>
                <w:sz w:val="18"/>
                <w:szCs w:val="18"/>
                <w:highlight w:val="none"/>
                <w:u w:val="none"/>
                <w:lang w:val="en-US" w:eastAsia="zh-CN" w:bidi="ar-SA"/>
              </w:rPr>
            </w:pPr>
            <w:r>
              <w:rPr>
                <w:rFonts w:hint="default" w:ascii="宋体" w:hAnsi="宋体" w:eastAsia="宋体" w:cs="宋体"/>
                <w:kern w:val="0"/>
                <w:sz w:val="18"/>
                <w:szCs w:val="18"/>
                <w:highlight w:val="none"/>
                <w:u w:val="none"/>
              </w:rPr>
              <w:t>浙江瓯越交建科技股份有限公司</w:t>
            </w:r>
          </w:p>
        </w:tc>
        <w:tc>
          <w:tcPr>
            <w:tcW w:w="1500" w:type="dxa"/>
            <w:tcBorders>
              <w:bottom w:val="single" w:color="auto" w:sz="4" w:space="0"/>
            </w:tcBorders>
            <w:shd w:val="clear" w:color="auto" w:fill="auto"/>
            <w:noWrap w:val="0"/>
            <w:vAlign w:val="center"/>
          </w:tcPr>
          <w:p>
            <w:pPr>
              <w:widowControl/>
              <w:adjustRightInd w:val="0"/>
              <w:snapToGrid w:val="0"/>
              <w:spacing w:line="240" w:lineRule="exact"/>
              <w:jc w:val="center"/>
              <w:rPr>
                <w:rFonts w:hint="default" w:ascii="宋体" w:hAnsi="宋体" w:eastAsia="宋体" w:cs="宋体"/>
                <w:kern w:val="2"/>
                <w:sz w:val="18"/>
                <w:szCs w:val="18"/>
                <w:highlight w:val="none"/>
                <w:u w:val="none"/>
                <w:lang w:val="en-US" w:eastAsia="zh-CN" w:bidi="ar-SA"/>
              </w:rPr>
            </w:pPr>
            <w:r>
              <w:rPr>
                <w:rFonts w:hint="eastAsia" w:ascii="宋体" w:hAnsi="宋体" w:eastAsia="宋体" w:cs="宋体"/>
                <w:kern w:val="2"/>
                <w:sz w:val="18"/>
                <w:szCs w:val="18"/>
                <w:highlight w:val="none"/>
                <w:u w:val="none"/>
                <w:lang w:val="en-US" w:eastAsia="zh-CN" w:bidi="ar-SA"/>
              </w:rPr>
              <w:t>11</w:t>
            </w:r>
          </w:p>
        </w:tc>
        <w:tc>
          <w:tcPr>
            <w:tcW w:w="1425" w:type="dxa"/>
            <w:vMerge w:val="continue"/>
            <w:shd w:val="clear" w:color="auto" w:fill="auto"/>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vMerge w:val="continue"/>
            <w:shd w:val="clear" w:color="auto" w:fill="auto"/>
            <w:noWrap w:val="0"/>
            <w:vAlign w:val="center"/>
          </w:tcPr>
          <w:p>
            <w:pPr>
              <w:widowControl/>
              <w:adjustRightInd w:val="0"/>
              <w:snapToGrid w:val="0"/>
              <w:jc w:val="center"/>
              <w:rPr>
                <w:rFonts w:hint="eastAsia" w:ascii="宋体" w:hAnsi="宋体" w:eastAsia="宋体" w:cs="宋体"/>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1" w:type="dxa"/>
            <w:gridSpan w:val="3"/>
            <w:tcBorders>
              <w:bottom w:val="thinThickSmallGap" w:color="auto" w:sz="24" w:space="0"/>
            </w:tcBorders>
            <w:noWrap w:val="0"/>
            <w:vAlign w:val="center"/>
          </w:tcPr>
          <w:p>
            <w:pPr>
              <w:widowControl/>
              <w:adjustRightInd w:val="0"/>
              <w:snapToGrid w:val="0"/>
              <w:spacing w:line="240" w:lineRule="exact"/>
              <w:jc w:val="center"/>
              <w:rPr>
                <w:rFonts w:hint="eastAsia" w:ascii="宋体" w:hAnsi="宋体" w:eastAsia="宋体" w:cs="宋体"/>
                <w:color w:val="auto"/>
                <w:kern w:val="0"/>
                <w:sz w:val="18"/>
                <w:szCs w:val="18"/>
                <w:highlight w:val="none"/>
                <w:u w:val="none"/>
                <w:lang w:val="en-US" w:eastAsia="zh-CN"/>
              </w:rPr>
            </w:pPr>
            <w:r>
              <w:rPr>
                <w:rFonts w:hint="eastAsia" w:ascii="宋体" w:hAnsi="宋体" w:eastAsia="宋体" w:cs="宋体"/>
                <w:color w:val="auto"/>
                <w:kern w:val="0"/>
                <w:sz w:val="18"/>
                <w:szCs w:val="18"/>
                <w:highlight w:val="none"/>
                <w:u w:val="none"/>
                <w:lang w:val="en-US" w:eastAsia="zh-CN"/>
              </w:rPr>
              <w:t>标段2小计</w:t>
            </w:r>
          </w:p>
        </w:tc>
        <w:tc>
          <w:tcPr>
            <w:tcW w:w="1500" w:type="dxa"/>
            <w:tcBorders>
              <w:bottom w:val="thinThickSmallGap" w:color="auto" w:sz="24" w:space="0"/>
            </w:tcBorders>
            <w:noWrap w:val="0"/>
            <w:vAlign w:val="center"/>
          </w:tcPr>
          <w:p>
            <w:pPr>
              <w:widowControl/>
              <w:adjustRightInd w:val="0"/>
              <w:snapToGrid w:val="0"/>
              <w:spacing w:line="240" w:lineRule="exact"/>
              <w:jc w:val="center"/>
              <w:rPr>
                <w:rFonts w:hint="default" w:ascii="宋体" w:hAnsi="宋体" w:eastAsia="宋体" w:cs="宋体"/>
                <w:color w:val="auto"/>
                <w:kern w:val="0"/>
                <w:sz w:val="18"/>
                <w:szCs w:val="18"/>
                <w:highlight w:val="none"/>
                <w:u w:val="none"/>
                <w:lang w:val="en-US" w:eastAsia="zh-CN"/>
              </w:rPr>
            </w:pPr>
            <w:r>
              <w:rPr>
                <w:rFonts w:hint="eastAsia" w:ascii="宋体" w:hAnsi="宋体" w:eastAsia="宋体" w:cs="宋体"/>
                <w:color w:val="auto"/>
                <w:kern w:val="0"/>
                <w:sz w:val="18"/>
                <w:szCs w:val="18"/>
                <w:highlight w:val="none"/>
                <w:u w:val="none"/>
                <w:lang w:val="en-US" w:eastAsia="zh-CN"/>
              </w:rPr>
              <w:t>155</w:t>
            </w:r>
          </w:p>
        </w:tc>
        <w:tc>
          <w:tcPr>
            <w:tcW w:w="1425" w:type="dxa"/>
            <w:vMerge w:val="continue"/>
            <w:noWrap w:val="0"/>
            <w:vAlign w:val="center"/>
          </w:tcPr>
          <w:p>
            <w:pPr>
              <w:widowControl/>
              <w:adjustRightInd w:val="0"/>
              <w:snapToGrid w:val="0"/>
              <w:spacing w:line="240" w:lineRule="exact"/>
              <w:jc w:val="center"/>
              <w:rPr>
                <w:rFonts w:hint="eastAsia" w:ascii="宋体" w:hAnsi="宋体" w:eastAsia="宋体" w:cs="宋体"/>
                <w:color w:val="auto"/>
                <w:kern w:val="0"/>
                <w:sz w:val="18"/>
                <w:szCs w:val="18"/>
                <w:highlight w:val="none"/>
                <w:u w:val="none"/>
                <w:lang w:eastAsia="zh-CN"/>
              </w:rPr>
            </w:pPr>
          </w:p>
        </w:tc>
        <w:tc>
          <w:tcPr>
            <w:tcW w:w="1761" w:type="dxa"/>
            <w:vMerge w:val="continue"/>
            <w:tcBorders>
              <w:bottom w:val="thinThickSmallGap" w:color="auto" w:sz="24" w:space="0"/>
            </w:tcBorders>
            <w:noWrap w:val="0"/>
            <w:vAlign w:val="center"/>
          </w:tcPr>
          <w:p>
            <w:pPr>
              <w:widowControl/>
              <w:adjustRightInd w:val="0"/>
              <w:snapToGrid w:val="0"/>
              <w:jc w:val="center"/>
              <w:rPr>
                <w:rFonts w:hint="eastAsia" w:ascii="宋体" w:hAnsi="宋体" w:eastAsia="宋体" w:cs="宋体"/>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1" w:type="dxa"/>
            <w:gridSpan w:val="3"/>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标段1+标段2合计</w:t>
            </w:r>
          </w:p>
        </w:tc>
        <w:tc>
          <w:tcPr>
            <w:tcW w:w="1500" w:type="dxa"/>
            <w:noWrap w:val="0"/>
            <w:vAlign w:val="center"/>
          </w:tcPr>
          <w:p>
            <w:pPr>
              <w:widowControl/>
              <w:adjustRightInd w:val="0"/>
              <w:snapToGrid w:val="0"/>
              <w:spacing w:line="240" w:lineRule="exact"/>
              <w:jc w:val="center"/>
              <w:rPr>
                <w:rFonts w:hint="default" w:ascii="宋体" w:hAnsi="宋体" w:eastAsia="宋体" w:cs="宋体"/>
                <w:kern w:val="0"/>
                <w:sz w:val="18"/>
                <w:szCs w:val="18"/>
                <w:highlight w:val="none"/>
                <w:u w:val="none"/>
                <w:lang w:val="en-US" w:eastAsia="zh-CN"/>
              </w:rPr>
            </w:pPr>
            <w:r>
              <w:rPr>
                <w:rFonts w:hint="eastAsia" w:ascii="宋体" w:hAnsi="宋体" w:eastAsia="宋体" w:cs="宋体"/>
                <w:kern w:val="0"/>
                <w:sz w:val="18"/>
                <w:szCs w:val="18"/>
                <w:highlight w:val="none"/>
                <w:u w:val="none"/>
                <w:lang w:val="en-US" w:eastAsia="zh-CN"/>
              </w:rPr>
              <w:t>334</w:t>
            </w:r>
          </w:p>
        </w:tc>
        <w:tc>
          <w:tcPr>
            <w:tcW w:w="1425" w:type="dxa"/>
            <w:vMerge w:val="continue"/>
            <w:noWrap w:val="0"/>
            <w:vAlign w:val="top"/>
          </w:tcPr>
          <w:p>
            <w:pPr>
              <w:widowControl/>
              <w:adjustRightInd w:val="0"/>
              <w:snapToGrid w:val="0"/>
              <w:spacing w:line="240" w:lineRule="exact"/>
              <w:jc w:val="center"/>
              <w:rPr>
                <w:rFonts w:hint="eastAsia" w:ascii="宋体" w:hAnsi="宋体" w:eastAsia="宋体" w:cs="宋体"/>
                <w:sz w:val="18"/>
                <w:szCs w:val="18"/>
                <w:highlight w:val="none"/>
                <w:u w:val="none"/>
              </w:rPr>
            </w:pPr>
          </w:p>
        </w:tc>
        <w:tc>
          <w:tcPr>
            <w:tcW w:w="1761" w:type="dxa"/>
            <w:noWrap w:val="0"/>
            <w:vAlign w:val="center"/>
          </w:tcPr>
          <w:p>
            <w:pPr>
              <w:widowControl/>
              <w:adjustRightInd w:val="0"/>
              <w:snapToGrid w:val="0"/>
              <w:jc w:val="center"/>
              <w:rPr>
                <w:rFonts w:hint="eastAsia" w:ascii="宋体" w:hAnsi="宋体" w:eastAsia="宋体" w:cs="宋体"/>
                <w:kern w:val="0"/>
                <w:sz w:val="18"/>
                <w:szCs w:val="18"/>
                <w:highlight w:val="none"/>
                <w:u w:val="none"/>
              </w:rPr>
            </w:pPr>
          </w:p>
        </w:tc>
      </w:tr>
    </w:tbl>
    <w:p>
      <w:pPr>
        <w:bidi w:val="0"/>
        <w:spacing w:line="240" w:lineRule="auto"/>
        <w:ind w:firstLine="440" w:firstLineChars="200"/>
        <w:rPr>
          <w:rFonts w:hint="eastAsia" w:ascii="宋体" w:hAnsi="宋体" w:eastAsia="宋体" w:cs="宋体"/>
          <w:sz w:val="22"/>
          <w:szCs w:val="22"/>
        </w:rPr>
      </w:pPr>
    </w:p>
    <w:p>
      <w:pPr>
        <w:bidi w:val="0"/>
        <w:spacing w:line="240" w:lineRule="auto"/>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2.2</w:t>
      </w:r>
      <w:r>
        <w:rPr>
          <w:rFonts w:hint="eastAsia" w:ascii="宋体" w:hAnsi="宋体" w:eastAsia="宋体" w:cs="宋体"/>
          <w:sz w:val="22"/>
          <w:szCs w:val="22"/>
        </w:rPr>
        <w:t>需要保险的车辆</w:t>
      </w:r>
      <w:r>
        <w:rPr>
          <w:rFonts w:hint="eastAsia" w:ascii="宋体" w:hAnsi="宋体" w:eastAsia="宋体" w:cs="宋体"/>
          <w:sz w:val="22"/>
          <w:szCs w:val="22"/>
          <w:lang w:val="en-US" w:eastAsia="zh-CN"/>
        </w:rPr>
        <w:t>详细</w:t>
      </w:r>
      <w:r>
        <w:rPr>
          <w:rFonts w:hint="eastAsia" w:ascii="宋体" w:hAnsi="宋体" w:eastAsia="宋体" w:cs="宋体"/>
          <w:sz w:val="22"/>
          <w:szCs w:val="22"/>
        </w:rPr>
        <w:t>清单：</w:t>
      </w:r>
    </w:p>
    <w:tbl>
      <w:tblPr>
        <w:tblStyle w:val="29"/>
        <w:tblW w:w="8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332"/>
        <w:gridCol w:w="1524"/>
        <w:gridCol w:w="1548"/>
        <w:gridCol w:w="2076"/>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8566"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标段1：温州市交通发展集团有限公司机动车辆情况汇总表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kern w:val="0"/>
                <w:sz w:val="18"/>
                <w:szCs w:val="18"/>
                <w:highlight w:val="none"/>
                <w:u w:val="none"/>
                <w:lang w:val="en-US" w:eastAsia="zh-CN"/>
              </w:rPr>
              <w:t>项目单位（需求单位）</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车型</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购买时间</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用途（如通勤车、生产经营用车、工程车等，特种车辆请备注）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r>
              <w:rPr>
                <w:rFonts w:hint="eastAsia" w:ascii="宋体" w:hAnsi="宋体" w:eastAsia="宋体" w:cs="宋体"/>
                <w:b/>
                <w:bCs/>
                <w:i w:val="0"/>
                <w:iCs w:val="0"/>
                <w:color w:val="000000"/>
                <w:kern w:val="0"/>
                <w:sz w:val="18"/>
                <w:szCs w:val="18"/>
                <w:u w:val="none"/>
                <w:lang w:val="en-US" w:eastAsia="zh-CN" w:bidi="ar"/>
              </w:rPr>
              <w:t>（备注中未注明的全部为油车）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温州市交通发展集团有限公司本部</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2013.12.13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kern w:val="2"/>
                <w:sz w:val="18"/>
                <w:szCs w:val="18"/>
                <w:highlight w:val="none"/>
                <w:u w:val="none"/>
                <w:lang w:val="en-US" w:eastAsia="zh-CN" w:bidi="ar-SA"/>
              </w:rPr>
              <w:t>温州诚达交通发展股份有限公司</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2023.08.31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2023.08.31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2023.08.30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2023.08.30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2023.08.30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2023.08.30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小型越野车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2014/6/30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小型普通客车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2016.12.08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小型普通客车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2017.04.15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小型越野车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2017.05.27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小型普通客车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2017.12.25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2023.08.31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2023.08.31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2023.09.04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2023.09.04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2024.08.15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2024.08.15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桥检车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2021.07.23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横向力车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2021.06.23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弯沉车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2021.06.25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2021.08.21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落锤式弯沉车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2024.03.28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2024.08.05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弯沉车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2014.12.17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桥梁检测车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2015.01.23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2017.12.21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综合检测车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2015.09.25</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综合检测车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2023.10.27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2023.10.10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2023.10.10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2019.06.19</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2024.08.07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2024.08.07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2024.08.07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2021.09.30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2019.06.19</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2019.12.03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2019.06.19</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2017.09.21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2017.09.21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2019.06.19</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2017.09.27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2021.09.30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2021.09.30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2021.09.30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2024.07.11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2024.07.11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2024.07.11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2024.07.11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sz w:val="18"/>
                <w:szCs w:val="18"/>
                <w:highlight w:val="none"/>
                <w:u w:val="none"/>
                <w:lang w:eastAsia="zh-CN"/>
              </w:rPr>
              <w:t>温州甬莞高速公路联络线有限公司</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2015/3/20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2015/12/29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2012/9/29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2018/5/18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2018/5/18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2014/4/30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2018/3/6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2018/3/6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2018/5/1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2019/12/26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2019/12/26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2018/3/7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2014/3/26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专用货车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专用货车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专用货车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专用货车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2020/3/27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专用货车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2019/11/12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2019/12/19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2019/12/26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2019/12/26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2019/12/26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2018/5/1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2018/5/1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2018/3/6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2019/12/26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生产经营性用车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隧道清障车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温州市公路工程有限公司</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宇通牌19座中巴</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2018.8.01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黄海双排皮卡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2018.10.8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黄海双排皮卡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2018.10.8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黄海双排皮卡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2018.10.8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黄海双排皮卡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2018.10.8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黄海双排皮卡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2023.11.09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黄海双排皮卡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2023.11.09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江铃双排货车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2015.5.13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江铃双排货车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2019.6.6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江铃双排货车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2019.6.6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江铃双排货车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2015.5.13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江铃特种客车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2015.5.13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江铃特种客车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2015.5.13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江铃单排货车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2015.5.13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江铃单排货车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2015.5.13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大通牌电瓶车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2020.3.20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大通牌电瓶车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2020.3.20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大通牌电瓶车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2020.3.20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大通牌电瓶车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2020.3.20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大通牌电瓶车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2020.3.20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大通牌电瓶车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2020.3.20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中联牌清扫车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2018.7.25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清扫车，特种车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东风天锦清扫车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2019.11.28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清扫车，特种车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徐工牌清扫车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清扫车，特种车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东风牌补洞车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2020.1.16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坑洞修补，特种车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东风多利卡洒布车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2023.11.08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撒布车，特种车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徐工牌登高车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2022.9.28</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登高车，特种车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特种车辆</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特种车辆</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bidi w:val="0"/>
        <w:ind w:firstLine="420" w:firstLineChars="200"/>
        <w:rPr>
          <w:rFonts w:hint="eastAsia" w:ascii="宋体" w:hAnsi="宋体" w:eastAsia="宋体" w:cs="宋体"/>
          <w:szCs w:val="22"/>
        </w:rPr>
      </w:pPr>
    </w:p>
    <w:tbl>
      <w:tblPr>
        <w:tblStyle w:val="29"/>
        <w:tblW w:w="8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389"/>
        <w:gridCol w:w="1884"/>
        <w:gridCol w:w="1536"/>
        <w:gridCol w:w="1932"/>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868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标段2：温州市交通发展集团有限公司机动车辆情况汇总表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kern w:val="0"/>
                <w:sz w:val="18"/>
                <w:szCs w:val="18"/>
                <w:highlight w:val="none"/>
                <w:u w:val="none"/>
                <w:lang w:val="en-US" w:eastAsia="zh-CN"/>
              </w:rPr>
              <w:t>项目单位（需求单位）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购买时间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用途（如通勤车、生产经营用车、工程车等，特种车辆请备注）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r>
              <w:rPr>
                <w:rFonts w:hint="eastAsia" w:ascii="宋体" w:hAnsi="宋体" w:eastAsia="宋体" w:cs="宋体"/>
                <w:b/>
                <w:bCs/>
                <w:i w:val="0"/>
                <w:iCs w:val="0"/>
                <w:color w:val="000000"/>
                <w:kern w:val="0"/>
                <w:sz w:val="18"/>
                <w:szCs w:val="18"/>
                <w:u w:val="none"/>
                <w:lang w:val="en-US" w:eastAsia="zh-CN" w:bidi="ar"/>
              </w:rPr>
              <w:t>（备注中未注明的全部为油车）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温州苍泰高速公路有限公司</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大型客车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大型客车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中型专业作业车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重型载货专业作业车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中型栏板货车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中型栏板货车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中型专业作业车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重型非载货专业作业车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重型非载货专业作业车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中型载货专业作业车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重型载货专业作业车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大型客车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8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温州大小门岛投资开发有限公司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温州房地产开发股份有限公司</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2019.06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2019.06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2019.06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2023.10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2021.10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2024.09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2025.06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小型普通客车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2025.02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kern w:val="2"/>
                <w:sz w:val="18"/>
                <w:szCs w:val="18"/>
                <w:highlight w:val="none"/>
                <w:u w:val="none"/>
                <w:lang w:val="en-US" w:eastAsia="zh-CN" w:bidi="ar-SA"/>
              </w:rPr>
              <w:t>温州市交通规划设计研究院有限公司</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kern w:val="2"/>
                <w:sz w:val="18"/>
                <w:szCs w:val="18"/>
                <w:highlight w:val="none"/>
                <w:u w:val="none"/>
                <w:lang w:val="en-US" w:eastAsia="zh-CN" w:bidi="ar-SA"/>
              </w:rPr>
              <w:t>温州金丽温高速公路东延线有限公司（温州</w:t>
            </w:r>
            <w:r>
              <w:rPr>
                <w:rFonts w:hint="eastAsia" w:ascii="宋体" w:hAnsi="宋体" w:eastAsia="宋体" w:cs="宋体"/>
                <w:kern w:val="2"/>
                <w:sz w:val="18"/>
                <w:szCs w:val="18"/>
                <w:highlight w:val="none"/>
                <w:u w:val="none"/>
                <w:lang w:val="en-US" w:eastAsia="zh-CN" w:bidi="ar-SA"/>
              </w:rPr>
              <w:t>交发沈海</w:t>
            </w:r>
            <w:r>
              <w:rPr>
                <w:rFonts w:hint="default" w:ascii="宋体" w:hAnsi="宋体" w:eastAsia="宋体" w:cs="宋体"/>
                <w:kern w:val="2"/>
                <w:sz w:val="18"/>
                <w:szCs w:val="18"/>
                <w:highlight w:val="none"/>
                <w:u w:val="none"/>
                <w:lang w:val="en-US" w:eastAsia="zh-CN" w:bidi="ar-SA"/>
              </w:rPr>
              <w:t>高速公路有限公司、温州交发大桥有限公司）</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2016.10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多功能除雪车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防撞缓冲车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轮式挖机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多功能救险车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防撞缓冲车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highlight w:val="none"/>
                <w:u w:val="none"/>
                <w:lang w:val="en-US" w:eastAsia="zh-CN" w:bidi="ar-SA"/>
              </w:rPr>
              <w:t>温州市高速公路资产经营有限公司</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2019.12.31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2019.12.31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2024.5.27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2019.12.31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2024.5.27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2019.12.31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2019.12.31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2023.8.16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2023.8.16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kern w:val="0"/>
                <w:sz w:val="18"/>
                <w:szCs w:val="18"/>
                <w:highlight w:val="none"/>
                <w:u w:val="none"/>
                <w:lang w:val="en-US" w:eastAsia="zh-CN" w:bidi="ar-SA"/>
              </w:rPr>
              <w:t>温州市自然资源开发投资有限公司</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kern w:val="0"/>
                <w:sz w:val="18"/>
                <w:szCs w:val="18"/>
                <w:highlight w:val="none"/>
                <w:u w:val="none"/>
                <w:lang w:val="en-US" w:eastAsia="zh-CN" w:bidi="ar-SA"/>
              </w:rPr>
              <w:t>温州市高速公路运营管理有限公司</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中巴车（20座）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轻型普通货车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轻型普通货车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中巴车（20座）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小型普通客车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小型普通客车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小型普通客车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大巴车（35座）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中巴车（20座）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2013.12.13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2014.3.13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中巴客车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2018.4.23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2018.5.22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2018.5.22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2018.6.1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2018.5.11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2018.5.11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2014.3.13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2014.3.13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2019.9.29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2019.9.20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2019.9.20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2020.1.17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2019.11.28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2019.11.28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双排工程车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双排工程车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双排工程车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随车吊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2019.11.28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扫路车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扫路车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中巴客车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2018.5.14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kern w:val="0"/>
                <w:sz w:val="18"/>
                <w:szCs w:val="18"/>
                <w:highlight w:val="none"/>
                <w:u w:val="none"/>
                <w:lang w:val="en-US" w:eastAsia="zh-CN" w:bidi="ar-SA"/>
              </w:rPr>
              <w:t>温州文青高速公路有限公司</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双排皮卡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kern w:val="0"/>
                <w:sz w:val="18"/>
                <w:szCs w:val="18"/>
                <w:highlight w:val="none"/>
                <w:u w:val="none"/>
              </w:rPr>
              <w:t>浙江瓯越交建科技股份有限公司</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通勤车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皮卡车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生产经营用车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T梁运输车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特种车辆</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油电混合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T梁运输车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特种车辆</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油电混合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T梁运输车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新增车辆采购中</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特种车辆</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油电混合</w:t>
            </w:r>
          </w:p>
        </w:tc>
      </w:tr>
    </w:tbl>
    <w:p>
      <w:pPr>
        <w:bidi w:val="0"/>
        <w:rPr>
          <w:rFonts w:hint="eastAsia" w:ascii="宋体" w:hAnsi="宋体" w:eastAsia="宋体" w:cs="宋体"/>
          <w:szCs w:val="22"/>
        </w:rPr>
      </w:pPr>
    </w:p>
    <w:p>
      <w:pPr>
        <w:bidi w:val="0"/>
        <w:ind w:firstLine="420" w:firstLineChars="200"/>
        <w:rPr>
          <w:rFonts w:hint="eastAsia" w:ascii="宋体" w:hAnsi="宋体" w:eastAsia="宋体" w:cs="宋体"/>
          <w:szCs w:val="22"/>
        </w:rPr>
      </w:pPr>
      <w:r>
        <w:rPr>
          <w:rFonts w:hint="eastAsia" w:ascii="宋体" w:hAnsi="宋体" w:eastAsia="宋体" w:cs="宋体"/>
          <w:szCs w:val="22"/>
        </w:rPr>
        <w:t>注：以上车辆信息如与实际车辆信息有出入，以实际车辆信息为准，实际保险中车辆数量可能存在有报废或者增加其他车辆的变化，所以最终数量以实际的数量为准，且中标结果不允许变化（</w:t>
      </w:r>
      <w:r>
        <w:rPr>
          <w:rFonts w:hint="eastAsia" w:ascii="宋体" w:hAnsi="宋体" w:eastAsia="宋体" w:cs="宋体"/>
          <w:color w:val="000000"/>
          <w:szCs w:val="22"/>
          <w:u w:val="single"/>
        </w:rPr>
        <w:t>遇国家保险行业监管规定及条款费率调整执行</w:t>
      </w:r>
      <w:r>
        <w:rPr>
          <w:rFonts w:hint="eastAsia" w:ascii="宋体" w:hAnsi="宋体" w:eastAsia="宋体" w:cs="宋体"/>
          <w:szCs w:val="22"/>
          <w:u w:val="single"/>
        </w:rPr>
        <w:t>新标准的除外</w:t>
      </w:r>
      <w:r>
        <w:rPr>
          <w:rFonts w:hint="eastAsia" w:ascii="宋体" w:hAnsi="宋体" w:eastAsia="宋体" w:cs="宋体"/>
          <w:szCs w:val="22"/>
        </w:rPr>
        <w:t>），各</w:t>
      </w:r>
      <w:r>
        <w:rPr>
          <w:rFonts w:hint="eastAsia" w:ascii="宋体" w:hAnsi="宋体" w:eastAsia="宋体" w:cs="宋体"/>
          <w:szCs w:val="22"/>
          <w:lang w:eastAsia="zh-CN"/>
        </w:rPr>
        <w:t>投标人</w:t>
      </w:r>
      <w:r>
        <w:rPr>
          <w:rFonts w:hint="eastAsia" w:ascii="宋体" w:hAnsi="宋体" w:eastAsia="宋体" w:cs="宋体"/>
          <w:szCs w:val="22"/>
        </w:rPr>
        <w:t>注意报价风险。</w:t>
      </w:r>
      <w:bookmarkStart w:id="219" w:name="_Toc490125251"/>
    </w:p>
    <w:p>
      <w:pPr>
        <w:bidi w:val="0"/>
        <w:rPr>
          <w:rFonts w:hint="eastAsia" w:ascii="宋体" w:hAnsi="宋体" w:eastAsia="宋体" w:cs="宋体"/>
        </w:rPr>
      </w:pPr>
    </w:p>
    <w:p>
      <w:pPr>
        <w:bidi w:val="0"/>
        <w:rPr>
          <w:rFonts w:hint="eastAsia" w:ascii="宋体" w:hAnsi="宋体" w:eastAsia="宋体" w:cs="宋体"/>
          <w:highlight w:val="none"/>
        </w:rPr>
      </w:pPr>
      <w:r>
        <w:rPr>
          <w:rFonts w:hint="eastAsia" w:ascii="宋体" w:hAnsi="宋体" w:eastAsia="宋体" w:cs="宋体"/>
          <w:highlight w:val="none"/>
        </w:rPr>
        <w:t>二、投保</w:t>
      </w:r>
      <w:r>
        <w:rPr>
          <w:rFonts w:hint="eastAsia" w:ascii="宋体" w:hAnsi="宋体" w:eastAsia="宋体" w:cs="宋体"/>
          <w:highlight w:val="none"/>
          <w:lang w:val="en-US" w:eastAsia="zh-CN"/>
        </w:rPr>
        <w:t>基本</w:t>
      </w:r>
      <w:r>
        <w:rPr>
          <w:rFonts w:hint="eastAsia" w:ascii="宋体" w:hAnsi="宋体" w:eastAsia="宋体" w:cs="宋体"/>
          <w:highlight w:val="none"/>
        </w:rPr>
        <w:t>险种</w:t>
      </w:r>
      <w:bookmarkEnd w:id="219"/>
    </w:p>
    <w:p>
      <w:pPr>
        <w:bidi w:val="0"/>
        <w:spacing w:line="240" w:lineRule="auto"/>
        <w:ind w:firstLine="440" w:firstLineChars="200"/>
        <w:rPr>
          <w:rFonts w:hint="eastAsia" w:ascii="宋体" w:hAnsi="宋体" w:eastAsia="宋体" w:cs="宋体"/>
          <w:sz w:val="22"/>
          <w:szCs w:val="22"/>
          <w:highlight w:val="none"/>
          <w:lang w:val="en-US" w:eastAsia="zh-CN"/>
        </w:rPr>
      </w:pPr>
      <w:bookmarkStart w:id="220" w:name="_Toc490125252"/>
      <w:bookmarkStart w:id="221" w:name="_Toc387906187"/>
      <w:bookmarkStart w:id="222" w:name="_Toc398118955"/>
      <w:bookmarkStart w:id="223" w:name="_Toc275358612"/>
      <w:r>
        <w:rPr>
          <w:rFonts w:hint="eastAsia" w:ascii="宋体" w:hAnsi="宋体" w:eastAsia="宋体" w:cs="宋体"/>
          <w:sz w:val="22"/>
          <w:szCs w:val="22"/>
          <w:highlight w:val="none"/>
          <w:lang w:val="en-US" w:eastAsia="zh-CN"/>
        </w:rPr>
        <w:t>1、交强险</w:t>
      </w:r>
    </w:p>
    <w:p>
      <w:pPr>
        <w:bidi w:val="0"/>
        <w:spacing w:line="24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2、车辆损失险（含自燃、单独玻璃破碎、无法找到第三方、不计免赔等中国保险行业协会机动车商业保险示范条款(2020最新版)规定的内容）</w:t>
      </w:r>
    </w:p>
    <w:p>
      <w:pPr>
        <w:bidi w:val="0"/>
        <w:spacing w:line="24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3、第三者责任险（200万）</w:t>
      </w:r>
    </w:p>
    <w:p>
      <w:pPr>
        <w:bidi w:val="0"/>
        <w:spacing w:line="24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4、车上人员责任险（司机、乘客）（3万/座）</w:t>
      </w:r>
    </w:p>
    <w:p>
      <w:pPr>
        <w:bidi w:val="0"/>
        <w:spacing w:line="24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5、医保外医疗费用责任险（三责）（100000）</w:t>
      </w:r>
    </w:p>
    <w:p>
      <w:pPr>
        <w:bidi w:val="0"/>
        <w:spacing w:line="24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以上为基本险种，实际按各投保单位根据具体需求进行投保。</w:t>
      </w:r>
    </w:p>
    <w:p>
      <w:pPr>
        <w:bidi w:val="0"/>
        <w:rPr>
          <w:rFonts w:hint="eastAsia" w:ascii="宋体" w:hAnsi="宋体" w:eastAsia="宋体" w:cs="宋体"/>
          <w:highlight w:val="none"/>
        </w:rPr>
      </w:pPr>
    </w:p>
    <w:p>
      <w:pPr>
        <w:bidi w:val="0"/>
        <w:rPr>
          <w:rFonts w:hint="eastAsia" w:ascii="宋体" w:hAnsi="宋体" w:eastAsia="宋体" w:cs="宋体"/>
        </w:rPr>
      </w:pPr>
      <w:r>
        <w:rPr>
          <w:rFonts w:hint="eastAsia" w:ascii="宋体" w:hAnsi="宋体" w:eastAsia="宋体" w:cs="宋体"/>
        </w:rPr>
        <w:t>三、服务期限</w:t>
      </w:r>
      <w:bookmarkEnd w:id="220"/>
      <w:r>
        <w:rPr>
          <w:rFonts w:hint="eastAsia" w:ascii="宋体" w:hAnsi="宋体" w:eastAsia="宋体" w:cs="宋体"/>
        </w:rPr>
        <w:t>及付款方式</w:t>
      </w:r>
    </w:p>
    <w:p>
      <w:pPr>
        <w:numPr>
          <w:ilvl w:val="0"/>
          <w:numId w:val="24"/>
        </w:numPr>
        <w:snapToGrid w:val="0"/>
        <w:spacing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u w:val="single"/>
        </w:rPr>
        <w:t>本合同期限</w:t>
      </w:r>
      <w:r>
        <w:rPr>
          <w:rFonts w:hint="eastAsia" w:ascii="宋体" w:hAnsi="宋体" w:eastAsia="宋体" w:cs="宋体"/>
          <w:color w:val="000000"/>
          <w:sz w:val="22"/>
          <w:szCs w:val="22"/>
          <w:u w:val="single"/>
          <w:lang w:val="en-US" w:eastAsia="zh-CN"/>
        </w:rPr>
        <w:t>采用</w:t>
      </w:r>
      <w:r>
        <w:rPr>
          <w:rFonts w:hint="eastAsia" w:ascii="宋体" w:hAnsi="宋体" w:eastAsia="宋体" w:cs="宋体"/>
          <w:color w:val="000000"/>
          <w:sz w:val="22"/>
          <w:szCs w:val="22"/>
          <w:u w:val="single"/>
        </w:rPr>
        <w:t>1年+1年+1年模式，自保单载明生效日零时（以北京时间为准）开始生效。</w:t>
      </w:r>
      <w:r>
        <w:rPr>
          <w:rFonts w:hint="eastAsia" w:ascii="宋体" w:hAnsi="宋体" w:eastAsia="宋体" w:cs="宋体"/>
          <w:szCs w:val="21"/>
          <w:u w:val="single"/>
        </w:rPr>
        <w:t>合同到期后</w:t>
      </w:r>
      <w:r>
        <w:rPr>
          <w:rFonts w:hint="eastAsia" w:ascii="宋体" w:hAnsi="宋体" w:eastAsia="宋体" w:cs="宋体"/>
          <w:szCs w:val="21"/>
          <w:highlight w:val="none"/>
          <w:u w:val="single"/>
        </w:rPr>
        <w:t>，</w:t>
      </w:r>
      <w:r>
        <w:rPr>
          <w:rFonts w:hint="eastAsia" w:ascii="宋体" w:hAnsi="宋体" w:eastAsia="宋体" w:cs="宋体"/>
          <w:sz w:val="22"/>
          <w:szCs w:val="22"/>
          <w:highlight w:val="none"/>
          <w:u w:val="single"/>
        </w:rPr>
        <w:t>由甲方对乙方进行履约验收，验收合格后（平均分达到90分为合格），</w:t>
      </w:r>
      <w:r>
        <w:rPr>
          <w:rFonts w:hint="eastAsia" w:ascii="宋体" w:hAnsi="宋体" w:eastAsia="宋体" w:cs="宋体"/>
          <w:color w:val="000000"/>
          <w:sz w:val="22"/>
          <w:szCs w:val="22"/>
          <w:highlight w:val="none"/>
          <w:u w:val="single"/>
        </w:rPr>
        <w:t>如双方均无异议，甲乙双方按规定续签下一年合同（</w:t>
      </w:r>
      <w:r>
        <w:rPr>
          <w:rFonts w:hint="eastAsia" w:ascii="宋体" w:hAnsi="宋体" w:eastAsia="宋体" w:cs="宋体"/>
          <w:color w:val="000000"/>
          <w:sz w:val="22"/>
          <w:szCs w:val="22"/>
          <w:highlight w:val="none"/>
          <w:u w:val="single"/>
          <w:lang w:val="en-US" w:eastAsia="zh-CN"/>
        </w:rPr>
        <w:t>最多续签2次，</w:t>
      </w:r>
      <w:r>
        <w:rPr>
          <w:rFonts w:hint="eastAsia" w:ascii="宋体" w:hAnsi="宋体" w:eastAsia="宋体" w:cs="宋体"/>
          <w:color w:val="000000"/>
          <w:sz w:val="22"/>
          <w:szCs w:val="22"/>
          <w:highlight w:val="none"/>
          <w:u w:val="single"/>
        </w:rPr>
        <w:t>以另签合同为准）。否则，采购人有权按期终止合同。除因政策性因素引起改变的，续签合同的主要条款不予调整。保险行业有新政策出台（如保险费率降低、理赔条款放开、交通违法浮动系数采用），按新政策最优服务执行</w:t>
      </w:r>
      <w:r>
        <w:rPr>
          <w:rFonts w:hint="eastAsia" w:ascii="宋体" w:hAnsi="宋体" w:eastAsia="宋体" w:cs="宋体"/>
          <w:color w:val="000000"/>
          <w:sz w:val="22"/>
          <w:szCs w:val="22"/>
          <w:u w:val="single"/>
        </w:rPr>
        <w:t>的承诺。</w:t>
      </w:r>
    </w:p>
    <w:p>
      <w:pPr>
        <w:numPr>
          <w:ilvl w:val="0"/>
          <w:numId w:val="24"/>
        </w:numPr>
        <w:spacing w:line="420" w:lineRule="exact"/>
        <w:rPr>
          <w:rFonts w:hint="eastAsia" w:ascii="宋体" w:hAnsi="宋体" w:eastAsia="宋体" w:cs="宋体"/>
          <w:b/>
          <w:bCs/>
          <w:sz w:val="22"/>
          <w:szCs w:val="22"/>
        </w:rPr>
      </w:pPr>
      <w:r>
        <w:rPr>
          <w:rFonts w:hint="eastAsia" w:ascii="宋体" w:hAnsi="宋体" w:eastAsia="宋体" w:cs="宋体"/>
          <w:b/>
          <w:sz w:val="22"/>
          <w:szCs w:val="22"/>
        </w:rPr>
        <w:t>保费：所有车辆保险保费均根据</w:t>
      </w:r>
      <w:r>
        <w:rPr>
          <w:rFonts w:hint="eastAsia" w:ascii="宋体" w:hAnsi="宋体" w:eastAsia="宋体" w:cs="宋体"/>
          <w:b/>
          <w:sz w:val="22"/>
          <w:szCs w:val="22"/>
          <w:lang w:eastAsia="zh-CN"/>
        </w:rPr>
        <w:t>投标人</w:t>
      </w:r>
      <w:r>
        <w:rPr>
          <w:rFonts w:hint="eastAsia" w:ascii="宋体" w:hAnsi="宋体" w:eastAsia="宋体" w:cs="宋体"/>
          <w:b/>
          <w:sz w:val="22"/>
          <w:szCs w:val="22"/>
        </w:rPr>
        <w:t>商务报价中所报折扣值</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u w:val="single"/>
          <w:lang w:val="en-US" w:eastAsia="zh-CN"/>
        </w:rPr>
        <w:t>自主定价系数</w:t>
      </w:r>
      <w:r>
        <w:rPr>
          <w:rFonts w:hint="eastAsia" w:ascii="宋体" w:hAnsi="宋体" w:eastAsia="宋体" w:cs="宋体"/>
          <w:b/>
          <w:bCs/>
          <w:sz w:val="22"/>
          <w:szCs w:val="22"/>
          <w:highlight w:val="none"/>
          <w:u w:val="single"/>
          <w:lang w:eastAsia="zh-CN"/>
        </w:rPr>
        <w:t>）</w:t>
      </w:r>
      <w:r>
        <w:rPr>
          <w:rFonts w:hint="eastAsia" w:ascii="宋体" w:hAnsi="宋体" w:eastAsia="宋体" w:cs="宋体"/>
          <w:b/>
          <w:sz w:val="22"/>
          <w:szCs w:val="22"/>
        </w:rPr>
        <w:t>，并按车辆实际情况进行结算保费。</w:t>
      </w:r>
    </w:p>
    <w:p>
      <w:pPr>
        <w:spacing w:line="420" w:lineRule="exact"/>
        <w:rPr>
          <w:rFonts w:hint="eastAsia" w:ascii="宋体" w:hAnsi="宋体" w:eastAsia="宋体" w:cs="宋体"/>
          <w:b/>
          <w:sz w:val="22"/>
          <w:szCs w:val="22"/>
        </w:rPr>
      </w:pPr>
      <w:r>
        <w:rPr>
          <w:rFonts w:hint="eastAsia" w:ascii="宋体" w:hAnsi="宋体" w:eastAsia="宋体" w:cs="宋体"/>
          <w:b/>
          <w:sz w:val="22"/>
          <w:szCs w:val="22"/>
          <w:lang w:eastAsia="zh-CN"/>
        </w:rPr>
        <w:t>投标人</w:t>
      </w:r>
      <w:r>
        <w:rPr>
          <w:rFonts w:hint="eastAsia" w:ascii="宋体" w:hAnsi="宋体" w:eastAsia="宋体" w:cs="宋体"/>
          <w:b/>
          <w:sz w:val="22"/>
          <w:szCs w:val="22"/>
        </w:rPr>
        <w:t>投标报价须符合保监会最新规定。</w:t>
      </w:r>
    </w:p>
    <w:p>
      <w:pPr>
        <w:snapToGrid w:val="0"/>
        <w:spacing w:line="440" w:lineRule="exact"/>
        <w:rPr>
          <w:rFonts w:hint="eastAsia" w:ascii="宋体" w:hAnsi="宋体" w:eastAsia="宋体" w:cs="宋体"/>
          <w:b/>
          <w:sz w:val="22"/>
          <w:szCs w:val="22"/>
        </w:rPr>
      </w:pPr>
      <w:r>
        <w:rPr>
          <w:rFonts w:hint="eastAsia" w:ascii="宋体" w:hAnsi="宋体" w:eastAsia="宋体" w:cs="宋体"/>
          <w:b/>
          <w:sz w:val="22"/>
          <w:szCs w:val="22"/>
        </w:rPr>
        <w:t>保险条款符合：《机动车综合商业保险条款》等条款规定。</w:t>
      </w:r>
    </w:p>
    <w:p>
      <w:pPr>
        <w:snapToGrid w:val="0"/>
        <w:spacing w:line="440" w:lineRule="exact"/>
        <w:rPr>
          <w:rFonts w:hint="eastAsia" w:ascii="宋体" w:hAnsi="宋体" w:eastAsia="宋体" w:cs="宋体"/>
          <w:b/>
          <w:sz w:val="22"/>
          <w:szCs w:val="22"/>
          <w:highlight w:val="none"/>
        </w:rPr>
      </w:pPr>
      <w:r>
        <w:rPr>
          <w:rFonts w:hint="eastAsia" w:ascii="宋体" w:hAnsi="宋体" w:eastAsia="宋体" w:cs="宋体"/>
          <w:b/>
          <w:sz w:val="22"/>
          <w:szCs w:val="22"/>
        </w:rPr>
        <w:t>3.付款方式：</w:t>
      </w:r>
      <w:bookmarkEnd w:id="221"/>
      <w:bookmarkEnd w:id="222"/>
      <w:bookmarkEnd w:id="223"/>
      <w:bookmarkStart w:id="224" w:name="_Toc398118957"/>
      <w:bookmarkStart w:id="225" w:name="_Toc387906189"/>
      <w:r>
        <w:rPr>
          <w:rFonts w:hint="eastAsia" w:ascii="宋体" w:hAnsi="宋体" w:eastAsia="宋体" w:cs="宋体"/>
          <w:b/>
          <w:sz w:val="22"/>
          <w:szCs w:val="22"/>
          <w:highlight w:val="none"/>
        </w:rPr>
        <w:t>见费出单结算，采购单位转账支付后出具正式保单及发票。</w:t>
      </w:r>
    </w:p>
    <w:bookmarkEnd w:id="224"/>
    <w:bookmarkEnd w:id="225"/>
    <w:p>
      <w:pPr>
        <w:pStyle w:val="26"/>
        <w:spacing w:before="0" w:after="0" w:line="420" w:lineRule="exact"/>
        <w:rPr>
          <w:rFonts w:hint="eastAsia" w:ascii="宋体" w:hAnsi="宋体" w:eastAsia="宋体" w:cs="宋体"/>
          <w:b/>
          <w:bCs/>
          <w:sz w:val="22"/>
          <w:szCs w:val="22"/>
          <w:lang w:val="en-US" w:eastAsia="zh-CN"/>
        </w:rPr>
      </w:pPr>
      <w:bookmarkStart w:id="226" w:name="_Toc413403980"/>
      <w:r>
        <w:rPr>
          <w:rFonts w:hint="eastAsia" w:ascii="宋体" w:hAnsi="宋体" w:eastAsia="宋体" w:cs="宋体"/>
          <w:b/>
          <w:bCs/>
          <w:sz w:val="22"/>
          <w:szCs w:val="22"/>
          <w:lang w:val="en-US" w:eastAsia="zh-CN"/>
        </w:rPr>
        <w:t>4.所有车辆的损失险均按4S店原厂配件进行报价理赔；</w:t>
      </w:r>
    </w:p>
    <w:p>
      <w:pPr>
        <w:pStyle w:val="26"/>
        <w:spacing w:before="0" w:after="0" w:line="420" w:lineRule="exact"/>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5.车辆因保期不一，如遇保险行业监管规定及条款费率调整执行新标准，与原保费有差异的，需提供行业相关证明及情况说明。</w:t>
      </w:r>
    </w:p>
    <w:p>
      <w:pPr>
        <w:pStyle w:val="26"/>
        <w:spacing w:before="0" w:after="0" w:line="240" w:lineRule="auto"/>
        <w:rPr>
          <w:rFonts w:hint="eastAsia" w:ascii="宋体" w:hAnsi="宋体" w:eastAsia="宋体" w:cs="宋体"/>
          <w:b/>
          <w:bCs/>
          <w:sz w:val="22"/>
          <w:szCs w:val="22"/>
        </w:rPr>
      </w:pPr>
    </w:p>
    <w:p>
      <w:pPr>
        <w:pStyle w:val="26"/>
        <w:spacing w:before="0" w:after="0" w:line="420" w:lineRule="exact"/>
        <w:rPr>
          <w:rFonts w:hint="eastAsia" w:ascii="宋体" w:hAnsi="宋体" w:eastAsia="宋体" w:cs="宋体"/>
          <w:b/>
          <w:bCs/>
          <w:sz w:val="22"/>
          <w:szCs w:val="22"/>
        </w:rPr>
      </w:pPr>
      <w:r>
        <w:rPr>
          <w:rFonts w:hint="eastAsia" w:ascii="宋体" w:hAnsi="宋体" w:eastAsia="宋体" w:cs="宋体"/>
          <w:b/>
          <w:bCs/>
          <w:sz w:val="22"/>
          <w:szCs w:val="22"/>
        </w:rPr>
        <w:t>四、服务要求</w:t>
      </w:r>
      <w:bookmarkEnd w:id="226"/>
    </w:p>
    <w:p>
      <w:pPr>
        <w:spacing w:line="42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（一）承保服务</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1．针对本项目成立健全的专门服务小组，分工明确（应有具体成员名单，包括姓名、职务、职称、工作职责、联系方式等）；</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2．服务小组工作成员能保证随叫随到、主动上门办理投保、承保手续，保证投保单位获得优先服务的权利；</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3．承诺在</w:t>
      </w:r>
      <w:r>
        <w:rPr>
          <w:rFonts w:hint="eastAsia" w:ascii="宋体" w:hAnsi="宋体" w:eastAsia="宋体" w:cs="宋体"/>
          <w:sz w:val="22"/>
          <w:szCs w:val="22"/>
          <w:highlight w:val="none"/>
          <w:u w:val="single"/>
        </w:rPr>
        <w:t>4</w:t>
      </w:r>
      <w:r>
        <w:rPr>
          <w:rFonts w:hint="eastAsia" w:ascii="宋体" w:hAnsi="宋体" w:eastAsia="宋体" w:cs="宋体"/>
          <w:sz w:val="22"/>
          <w:szCs w:val="22"/>
          <w:highlight w:val="none"/>
        </w:rPr>
        <w:t xml:space="preserve">小时内出具正式保险单、提供保险卡； </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4．有客户回访安排；</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5．设有24小时热线客户咨询服务、投诉举报电话，有专人接听、记录、受理；</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6．有服务保障措施，如对服务态度、服务质量较差的业务人员有具体处罚办法。</w:t>
      </w:r>
    </w:p>
    <w:p>
      <w:pPr>
        <w:spacing w:line="42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（二）理赔服务</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1．针对本项目理赔服务成立专门的服务小组，分管领导亲自负责（应有具体成员名单，包括姓名、职务、职称、工作职责、联系方式等）；</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2．设有24小时报案、理赔服务电话，并保证随时有专人接听，受理索赔接报案。有充足的现场勘查人员和车辆（附勘查车辆照片和行驶证复印件）；</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服务网点齐全，分布广泛。定点保险公司在接到投保单位的出险报案后，温州市范围内理赔人员应于1小时以内到达报案现场。其他地区应以2小时内赶到报案现场，超过该时限，视为保险公司已到现场，事故车可自行移位；被保险车辆在温州市外发生保险事故后，定点保险公司能通过当地本系统保险机构提供异地代查勘、代理赔服务，快速处理、赔付结案；</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4．有专人指导投保单位全程办理相关的索赔手续；</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在出险车辆进行定损、修理时，承诺对配件价格实行现场报价，并保证配件为4S店原厂配件，且在对个别配件报价金额上若三方（指投保单位、保险公司、汽车修理厂家）有分歧的，承诺以当地市场价格为准或由保险公司在5个工作日内提供正厂配件；修理工时费用以市场价格、物价部门、交通部门的价格为依据；</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6．订有机动车辆简易赔案赔付的相关处理办法，为不堵塞交通，责任明确的小案件允许移位；</w:t>
      </w:r>
    </w:p>
    <w:p>
      <w:pPr>
        <w:spacing w:line="42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7．小额赔案可快速处理。承诺对责任明确的不涉及人伤的，5000元以下事故可以现场定损，以现场查勘定损人员出具的单证直接到保险公司领取赔款，10000元以下事故经保险公司认可，责任明确的，免事故认定书；</w:t>
      </w:r>
    </w:p>
    <w:p>
      <w:pPr>
        <w:spacing w:line="440" w:lineRule="exact"/>
        <w:ind w:firstLine="440" w:firstLineChars="200"/>
        <w:rPr>
          <w:rFonts w:hint="eastAsia" w:ascii="宋体" w:hAnsi="宋体" w:eastAsia="宋体" w:cs="宋体"/>
          <w:color w:val="000000"/>
          <w:sz w:val="22"/>
          <w:szCs w:val="22"/>
          <w:highlight w:val="none"/>
          <w:u w:val="single"/>
        </w:rPr>
      </w:pPr>
      <w:r>
        <w:rPr>
          <w:rFonts w:hint="eastAsia" w:ascii="宋体" w:hAnsi="宋体" w:eastAsia="宋体" w:cs="宋体"/>
          <w:sz w:val="22"/>
          <w:szCs w:val="22"/>
          <w:highlight w:val="none"/>
        </w:rPr>
        <w:t>8．对于重大事故或因特殊原因不能按期结案的，经车属单位申请，保险责任相对明确，保险公司应在保险责任相对明确后5个工作日内提供能确定的车辆损失金额50％的预付赔款。</w:t>
      </w:r>
    </w:p>
    <w:p>
      <w:pPr>
        <w:spacing w:line="240" w:lineRule="auto"/>
        <w:rPr>
          <w:rFonts w:hint="eastAsia" w:ascii="宋体" w:hAnsi="宋体" w:eastAsia="宋体" w:cs="宋体"/>
          <w:b/>
          <w:bCs/>
          <w:color w:val="000000"/>
          <w:sz w:val="22"/>
          <w:szCs w:val="22"/>
          <w:highlight w:val="none"/>
        </w:rPr>
      </w:pPr>
    </w:p>
    <w:p>
      <w:pPr>
        <w:spacing w:line="440" w:lineRule="exact"/>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五、其他要求</w:t>
      </w:r>
    </w:p>
    <w:p>
      <w:pPr>
        <w:pStyle w:val="10"/>
        <w:adjustRightInd w:val="0"/>
        <w:snapToGrid w:val="0"/>
        <w:spacing w:line="440" w:lineRule="exact"/>
        <w:ind w:firstLine="442" w:firstLineChars="200"/>
        <w:rPr>
          <w:rFonts w:hint="eastAsia" w:ascii="宋体" w:hAnsi="宋体" w:eastAsia="宋体" w:cs="宋体"/>
          <w:b/>
          <w:bCs/>
          <w:color w:val="000000"/>
          <w:sz w:val="22"/>
          <w:szCs w:val="22"/>
          <w:highlight w:val="none"/>
          <w:u w:val="single"/>
          <w:lang w:val="en-US" w:eastAsia="zh-CN"/>
        </w:rPr>
      </w:pPr>
      <w:r>
        <w:rPr>
          <w:rFonts w:hint="eastAsia" w:ascii="宋体" w:hAnsi="宋体" w:eastAsia="宋体" w:cs="宋体"/>
          <w:b/>
          <w:bCs/>
          <w:color w:val="000000"/>
          <w:sz w:val="22"/>
          <w:szCs w:val="22"/>
          <w:highlight w:val="none"/>
          <w:u w:val="single"/>
          <w:lang w:val="en-US" w:eastAsia="zh-CN"/>
        </w:rPr>
        <w:t>1、▲投标人须在温州地区设有分支机构，具有相应的出单及理赔权限；</w:t>
      </w:r>
    </w:p>
    <w:p>
      <w:pPr>
        <w:pStyle w:val="10"/>
        <w:adjustRightInd w:val="0"/>
        <w:snapToGrid w:val="0"/>
        <w:spacing w:line="440" w:lineRule="exact"/>
        <w:ind w:firstLine="440" w:firstLineChars="200"/>
        <w:rPr>
          <w:rFonts w:hint="eastAsia" w:ascii="宋体" w:hAnsi="宋体" w:eastAsia="宋体" w:cs="宋体"/>
          <w:bCs/>
          <w:szCs w:val="21"/>
          <w:highlight w:val="none"/>
        </w:rPr>
      </w:pPr>
      <w:r>
        <w:rPr>
          <w:rFonts w:hint="eastAsia" w:ascii="宋体" w:hAnsi="宋体" w:eastAsia="宋体" w:cs="宋体"/>
          <w:color w:val="000000"/>
          <w:sz w:val="22"/>
          <w:szCs w:val="22"/>
          <w:highlight w:val="none"/>
          <w:u w:val="single"/>
          <w:lang w:val="en-US" w:eastAsia="zh-CN"/>
        </w:rPr>
        <w:t>2、</w:t>
      </w:r>
      <w:r>
        <w:rPr>
          <w:rFonts w:hint="eastAsia" w:ascii="宋体" w:hAnsi="宋体" w:eastAsia="宋体" w:cs="宋体"/>
          <w:color w:val="000000"/>
          <w:sz w:val="22"/>
          <w:szCs w:val="22"/>
          <w:highlight w:val="none"/>
          <w:u w:val="single"/>
        </w:rPr>
        <w:t>车辆因保期不一，如遇国家保险行业监管规定及条款费率调整执行</w:t>
      </w:r>
      <w:r>
        <w:rPr>
          <w:rFonts w:hint="eastAsia" w:ascii="宋体" w:hAnsi="宋体" w:eastAsia="宋体" w:cs="宋体"/>
          <w:sz w:val="22"/>
          <w:szCs w:val="22"/>
          <w:highlight w:val="none"/>
          <w:u w:val="single"/>
        </w:rPr>
        <w:t>新标准，与原保费有差异的，需提供行业相关证明及情况说明。</w:t>
      </w:r>
    </w:p>
    <w:p>
      <w:pPr>
        <w:spacing w:line="240" w:lineRule="auto"/>
        <w:rPr>
          <w:rFonts w:hint="eastAsia" w:ascii="宋体" w:hAnsi="宋体" w:eastAsia="宋体" w:cs="宋体"/>
          <w:b/>
          <w:bCs/>
          <w:szCs w:val="21"/>
          <w:highlight w:val="none"/>
        </w:rPr>
      </w:pPr>
    </w:p>
    <w:p>
      <w:pPr>
        <w:rPr>
          <w:rFonts w:hint="eastAsia" w:ascii="宋体" w:hAnsi="宋体" w:eastAsia="宋体" w:cs="宋体"/>
          <w:b/>
          <w:bCs/>
          <w:sz w:val="24"/>
          <w:szCs w:val="24"/>
          <w:highlight w:val="none"/>
        </w:rPr>
      </w:pPr>
      <w:r>
        <w:rPr>
          <w:rFonts w:hint="eastAsia" w:ascii="宋体" w:hAnsi="宋体" w:eastAsia="宋体" w:cs="宋体"/>
          <w:b/>
          <w:bCs/>
          <w:szCs w:val="21"/>
          <w:highlight w:val="none"/>
        </w:rPr>
        <w:t>六、履约验收</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具体内容详见合同附件“服务项目评价表”</w:t>
      </w:r>
    </w:p>
    <w:p>
      <w:pPr>
        <w:spacing w:line="24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pPr>
        <w:keepNext/>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第五部分   评标原则及方法</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jc w:val="center"/>
        <w:rPr>
          <w:rFonts w:hint="eastAsia" w:ascii="宋体" w:hAnsi="宋体" w:eastAsia="宋体" w:cs="宋体"/>
          <w:sz w:val="22"/>
          <w:highlight w:val="none"/>
        </w:rPr>
      </w:pP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本项目属非政府采购项目，根据</w:t>
      </w:r>
      <w:r>
        <w:rPr>
          <w:rFonts w:hint="eastAsia" w:ascii="宋体" w:hAnsi="宋体" w:eastAsia="宋体" w:cs="宋体"/>
          <w:sz w:val="22"/>
          <w:highlight w:val="none"/>
          <w:lang w:eastAsia="zh-CN"/>
        </w:rPr>
        <w:t>《温州市市属国有企业采购管理办法》（温国资委【2024】51号）</w:t>
      </w:r>
      <w:r>
        <w:rPr>
          <w:rFonts w:hint="eastAsia" w:ascii="宋体" w:hAnsi="宋体" w:eastAsia="宋体" w:cs="宋体"/>
          <w:sz w:val="22"/>
          <w:highlight w:val="none"/>
        </w:rPr>
        <w:t>等有关法规、规定，结合本项目的实际，按照公平、公正、科学、择优的原则选择中标单位，特制定本评标办法。</w:t>
      </w:r>
    </w:p>
    <w:p>
      <w:pPr>
        <w:rPr>
          <w:rFonts w:hint="eastAsia" w:ascii="宋体" w:hAnsi="宋体" w:eastAsia="宋体" w:cs="宋体"/>
          <w:b/>
          <w:bCs/>
          <w:sz w:val="22"/>
          <w:szCs w:val="24"/>
          <w:highlight w:val="none"/>
        </w:rPr>
      </w:pPr>
      <w:r>
        <w:rPr>
          <w:rFonts w:hint="eastAsia" w:ascii="宋体" w:hAnsi="宋体" w:eastAsia="宋体" w:cs="宋体"/>
          <w:b/>
          <w:bCs/>
          <w:sz w:val="22"/>
          <w:szCs w:val="24"/>
          <w:highlight w:val="none"/>
        </w:rPr>
        <w:t>一、总则</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hint="eastAsia" w:ascii="宋体" w:hAnsi="宋体" w:eastAsia="宋体" w:cs="宋体"/>
          <w:b/>
          <w:bCs/>
          <w:sz w:val="22"/>
          <w:szCs w:val="24"/>
          <w:highlight w:val="none"/>
        </w:rPr>
      </w:pPr>
    </w:p>
    <w:p>
      <w:pPr>
        <w:rPr>
          <w:rFonts w:hint="eastAsia" w:ascii="宋体" w:hAnsi="宋体" w:eastAsia="宋体" w:cs="宋体"/>
          <w:b/>
          <w:bCs/>
          <w:sz w:val="22"/>
          <w:szCs w:val="24"/>
          <w:highlight w:val="none"/>
        </w:rPr>
      </w:pPr>
      <w:r>
        <w:rPr>
          <w:rFonts w:hint="eastAsia" w:ascii="宋体" w:hAnsi="宋体" w:eastAsia="宋体" w:cs="宋体"/>
          <w:b/>
          <w:bCs/>
          <w:sz w:val="22"/>
          <w:szCs w:val="24"/>
          <w:highlight w:val="none"/>
        </w:rPr>
        <w:t>二、评标组织</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评标工作由采购人依法组建的评标委员会负责，评标全过程由有关部门指导监督。</w:t>
      </w:r>
    </w:p>
    <w:p>
      <w:pPr>
        <w:rPr>
          <w:rFonts w:hint="eastAsia" w:ascii="宋体" w:hAnsi="宋体" w:eastAsia="宋体" w:cs="宋体"/>
          <w:b/>
          <w:bCs/>
          <w:sz w:val="22"/>
          <w:szCs w:val="24"/>
          <w:highlight w:val="none"/>
        </w:rPr>
      </w:pPr>
    </w:p>
    <w:p>
      <w:pPr>
        <w:rPr>
          <w:rFonts w:hint="eastAsia" w:ascii="宋体" w:hAnsi="宋体" w:eastAsia="宋体" w:cs="宋体"/>
          <w:b/>
          <w:bCs/>
          <w:sz w:val="22"/>
          <w:szCs w:val="24"/>
          <w:highlight w:val="none"/>
        </w:rPr>
      </w:pPr>
      <w:r>
        <w:rPr>
          <w:rFonts w:hint="eastAsia" w:ascii="宋体" w:hAnsi="宋体" w:eastAsia="宋体" w:cs="宋体"/>
          <w:b/>
          <w:bCs/>
          <w:sz w:val="22"/>
          <w:szCs w:val="24"/>
          <w:highlight w:val="none"/>
        </w:rPr>
        <w:t>三、评标程序</w:t>
      </w:r>
    </w:p>
    <w:p>
      <w:pPr>
        <w:ind w:firstLine="442" w:firstLineChars="200"/>
        <w:rPr>
          <w:rFonts w:hint="eastAsia" w:ascii="宋体" w:hAnsi="宋体" w:eastAsia="宋体" w:cs="宋体"/>
          <w:sz w:val="22"/>
          <w:highlight w:val="none"/>
        </w:rPr>
      </w:pPr>
      <w:r>
        <w:rPr>
          <w:rFonts w:hint="eastAsia" w:ascii="宋体" w:hAnsi="宋体" w:eastAsia="宋体" w:cs="宋体"/>
          <w:b/>
          <w:bCs w:val="0"/>
          <w:color w:val="auto"/>
          <w:sz w:val="22"/>
          <w:szCs w:val="22"/>
          <w:highlight w:val="none"/>
          <w:u w:val="single"/>
        </w:rPr>
        <w:t>本次评标，以标段为单位</w:t>
      </w:r>
      <w:r>
        <w:rPr>
          <w:rFonts w:hint="eastAsia" w:ascii="宋体" w:hAnsi="宋体" w:eastAsia="宋体" w:cs="宋体"/>
          <w:b/>
          <w:bCs w:val="0"/>
          <w:color w:val="auto"/>
          <w:sz w:val="22"/>
          <w:szCs w:val="22"/>
          <w:highlight w:val="none"/>
          <w:u w:val="single"/>
          <w:lang w:eastAsia="zh-CN"/>
        </w:rPr>
        <w:t>分别</w:t>
      </w:r>
      <w:r>
        <w:rPr>
          <w:rFonts w:hint="eastAsia" w:ascii="宋体" w:hAnsi="宋体" w:eastAsia="宋体" w:cs="宋体"/>
          <w:b/>
          <w:bCs w:val="0"/>
          <w:color w:val="auto"/>
          <w:sz w:val="22"/>
          <w:szCs w:val="22"/>
          <w:highlight w:val="none"/>
          <w:u w:val="single"/>
        </w:rPr>
        <w:t>进行评审</w:t>
      </w:r>
      <w:r>
        <w:rPr>
          <w:rFonts w:hint="eastAsia" w:ascii="宋体" w:hAnsi="宋体" w:eastAsia="宋体" w:cs="宋体"/>
          <w:bCs/>
          <w:color w:val="auto"/>
          <w:sz w:val="22"/>
          <w:szCs w:val="22"/>
          <w:highlight w:val="none"/>
        </w:rPr>
        <w:t>。</w:t>
      </w:r>
      <w:r>
        <w:rPr>
          <w:rFonts w:hint="eastAsia" w:ascii="宋体" w:hAnsi="宋体" w:eastAsia="宋体" w:cs="宋体"/>
          <w:b/>
          <w:bCs w:val="0"/>
          <w:color w:val="auto"/>
          <w:sz w:val="22"/>
          <w:szCs w:val="22"/>
          <w:highlight w:val="none"/>
          <w:u w:val="single"/>
          <w:lang w:val="en-US" w:eastAsia="zh-CN"/>
        </w:rPr>
        <w:t>各标段评审程序：</w:t>
      </w:r>
    </w:p>
    <w:p>
      <w:pPr>
        <w:ind w:firstLine="440" w:firstLineChars="200"/>
        <w:rPr>
          <w:rFonts w:hint="eastAsia" w:ascii="宋体" w:hAnsi="宋体" w:eastAsia="宋体" w:cs="宋体"/>
          <w:sz w:val="22"/>
          <w:szCs w:val="24"/>
          <w:highlight w:val="none"/>
        </w:rPr>
      </w:pPr>
      <w:r>
        <w:rPr>
          <w:rFonts w:hint="eastAsia" w:ascii="宋体" w:hAnsi="宋体" w:eastAsia="宋体" w:cs="宋体"/>
          <w:sz w:val="22"/>
          <w:highlight w:val="none"/>
        </w:rPr>
        <w:t>评标委员会对各投标人的投标进行初审（资格性审查和符合性审查）；然后对合格投标人的技术资信标进行评审；标段1、标段2技术资信标评审结束后，再标段1、标段2合格投标人的商务（报价）标进行评审，最终得出各</w:t>
      </w:r>
      <w:r>
        <w:rPr>
          <w:rFonts w:hint="eastAsia" w:ascii="宋体" w:hAnsi="宋体" w:eastAsia="宋体" w:cs="宋体"/>
          <w:sz w:val="22"/>
          <w:highlight w:val="none"/>
          <w:lang w:val="en-US" w:eastAsia="zh-CN"/>
        </w:rPr>
        <w:t>标段</w:t>
      </w:r>
      <w:r>
        <w:rPr>
          <w:rFonts w:hint="eastAsia" w:ascii="宋体" w:hAnsi="宋体" w:eastAsia="宋体" w:cs="宋体"/>
          <w:sz w:val="22"/>
          <w:highlight w:val="none"/>
        </w:rPr>
        <w:t>有效标的评审综合得分，根据综合评审结果，提交评审报告。</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1、本项目评标的依据为采购文件和投标文件。</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2、先熟悉采购文件和评标办法。</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、说明或补正）。澄清、说明或补正应以书面形式并由法定代表人（负责人）或其授权代表签署，但澄清内容不得超出投标文件的范围或者改变投标文件的实质性内容。</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5、比较与评价：评标委员会按采购文件中规定的评标方法和标准，对初审检查合格的投标文件进行商务（报价）和技术资信评估、综合比较与评价，并按照评标细则进行打分。</w:t>
      </w:r>
    </w:p>
    <w:p>
      <w:pPr>
        <w:adjustRightInd w:val="0"/>
        <w:snapToGrid w:val="0"/>
        <w:ind w:firstLine="440" w:firstLineChars="200"/>
        <w:rPr>
          <w:rFonts w:hint="eastAsia" w:ascii="宋体" w:hAnsi="宋体" w:eastAsia="宋体" w:cs="宋体"/>
          <w:szCs w:val="24"/>
          <w:highlight w:val="none"/>
        </w:rPr>
      </w:pPr>
      <w:r>
        <w:rPr>
          <w:rFonts w:hint="eastAsia" w:ascii="宋体" w:hAnsi="宋体" w:eastAsia="宋体" w:cs="宋体"/>
          <w:snapToGrid w:val="0"/>
          <w:kern w:val="0"/>
          <w:sz w:val="22"/>
          <w:highlight w:val="none"/>
        </w:rPr>
        <w:t>6、推荐中标候选人。</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pPr>
        <w:rPr>
          <w:rFonts w:hint="eastAsia" w:ascii="宋体" w:hAnsi="宋体" w:eastAsia="宋体" w:cs="宋体"/>
          <w:b/>
          <w:bCs/>
          <w:sz w:val="22"/>
          <w:szCs w:val="24"/>
          <w:highlight w:val="none"/>
        </w:rPr>
      </w:pPr>
    </w:p>
    <w:p>
      <w:pPr>
        <w:rPr>
          <w:rFonts w:hint="eastAsia" w:ascii="宋体" w:hAnsi="宋体" w:eastAsia="宋体" w:cs="宋体"/>
          <w:b/>
          <w:bCs/>
          <w:sz w:val="22"/>
          <w:szCs w:val="24"/>
          <w:highlight w:val="none"/>
        </w:rPr>
      </w:pPr>
      <w:r>
        <w:rPr>
          <w:rFonts w:hint="eastAsia" w:ascii="宋体" w:hAnsi="宋体" w:eastAsia="宋体" w:cs="宋体"/>
          <w:b/>
          <w:bCs/>
          <w:sz w:val="22"/>
          <w:szCs w:val="24"/>
          <w:highlight w:val="none"/>
        </w:rPr>
        <w:t>四、评标办法</w:t>
      </w:r>
    </w:p>
    <w:p>
      <w:pPr>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本次采购采用百分制综合评分法，即投标人最大限度地满足采购文件实质性要求的基础上，按照采购文件的各项因素进行综合评审，总分设定为100分；其中技术资信分</w:t>
      </w:r>
      <w:r>
        <w:rPr>
          <w:rFonts w:hint="eastAsia" w:ascii="宋体" w:hAnsi="宋体" w:eastAsia="宋体" w:cs="宋体"/>
          <w:sz w:val="22"/>
          <w:szCs w:val="24"/>
          <w:highlight w:val="none"/>
          <w:lang w:val="en-US" w:eastAsia="zh-CN"/>
        </w:rPr>
        <w:t>80</w:t>
      </w:r>
      <w:r>
        <w:rPr>
          <w:rFonts w:hint="eastAsia" w:ascii="宋体" w:hAnsi="宋体" w:eastAsia="宋体" w:cs="宋体"/>
          <w:sz w:val="22"/>
          <w:szCs w:val="24"/>
          <w:highlight w:val="none"/>
        </w:rPr>
        <w:t>分，商务（报价）分</w:t>
      </w:r>
      <w:r>
        <w:rPr>
          <w:rFonts w:hint="eastAsia" w:ascii="宋体" w:hAnsi="宋体" w:eastAsia="宋体" w:cs="宋体"/>
          <w:sz w:val="22"/>
          <w:szCs w:val="24"/>
          <w:highlight w:val="none"/>
          <w:lang w:val="en-US" w:eastAsia="zh-CN"/>
        </w:rPr>
        <w:t>20</w:t>
      </w:r>
      <w:r>
        <w:rPr>
          <w:rFonts w:hint="eastAsia" w:ascii="宋体" w:hAnsi="宋体" w:eastAsia="宋体" w:cs="宋体"/>
          <w:sz w:val="22"/>
          <w:szCs w:val="24"/>
          <w:highlight w:val="none"/>
        </w:rPr>
        <w:t>分，</w:t>
      </w:r>
      <w:r>
        <w:rPr>
          <w:rFonts w:hint="eastAsia" w:ascii="宋体" w:hAnsi="宋体" w:eastAsia="宋体" w:cs="宋体"/>
          <w:sz w:val="22"/>
          <w:highlight w:val="none"/>
        </w:rPr>
        <w:t>各投标人的最终得为技术资信分 + 商务（报价）分。</w:t>
      </w:r>
    </w:p>
    <w:p>
      <w:pPr>
        <w:rPr>
          <w:rFonts w:hint="eastAsia" w:ascii="宋体" w:hAnsi="宋体" w:eastAsia="宋体" w:cs="宋体"/>
          <w:b/>
          <w:bCs/>
          <w:sz w:val="22"/>
          <w:szCs w:val="24"/>
          <w:highlight w:val="none"/>
        </w:rPr>
      </w:pPr>
    </w:p>
    <w:p>
      <w:pPr>
        <w:rPr>
          <w:rFonts w:hint="eastAsia" w:ascii="宋体" w:hAnsi="宋体" w:eastAsia="宋体" w:cs="宋体"/>
          <w:b/>
          <w:bCs/>
          <w:sz w:val="22"/>
          <w:szCs w:val="24"/>
          <w:highlight w:val="none"/>
        </w:rPr>
      </w:pPr>
      <w:r>
        <w:rPr>
          <w:rFonts w:hint="eastAsia" w:ascii="宋体" w:hAnsi="宋体" w:eastAsia="宋体" w:cs="宋体"/>
          <w:b/>
          <w:bCs/>
          <w:sz w:val="22"/>
          <w:szCs w:val="24"/>
          <w:highlight w:val="none"/>
        </w:rPr>
        <w:t>五、评分细则</w:t>
      </w:r>
    </w:p>
    <w:p>
      <w:pPr>
        <w:adjustRightInd w:val="0"/>
        <w:snapToGrid w:val="0"/>
        <w:ind w:firstLine="442" w:firstLineChars="200"/>
        <w:rPr>
          <w:rFonts w:hint="eastAsia" w:ascii="宋体" w:hAnsi="宋体" w:eastAsia="宋体" w:cs="宋体"/>
          <w:b/>
          <w:bCs/>
          <w:sz w:val="22"/>
          <w:highlight w:val="none"/>
        </w:rPr>
      </w:pPr>
      <w:r>
        <w:rPr>
          <w:rFonts w:hint="eastAsia" w:ascii="宋体" w:hAnsi="宋体" w:eastAsia="宋体" w:cs="宋体"/>
          <w:b/>
          <w:bCs/>
          <w:sz w:val="22"/>
          <w:highlight w:val="none"/>
        </w:rPr>
        <w:t>1、技术资信评审分值（</w:t>
      </w:r>
      <w:r>
        <w:rPr>
          <w:rFonts w:hint="eastAsia" w:ascii="宋体" w:hAnsi="宋体" w:eastAsia="宋体" w:cs="宋体"/>
          <w:b/>
          <w:bCs/>
          <w:sz w:val="22"/>
          <w:highlight w:val="none"/>
          <w:lang w:val="en-US" w:eastAsia="zh-CN"/>
        </w:rPr>
        <w:t>80</w:t>
      </w:r>
      <w:r>
        <w:rPr>
          <w:rFonts w:hint="eastAsia" w:ascii="宋体" w:hAnsi="宋体" w:eastAsia="宋体" w:cs="宋体"/>
          <w:b/>
          <w:bCs/>
          <w:sz w:val="22"/>
          <w:highlight w:val="none"/>
        </w:rPr>
        <w:t>分）</w:t>
      </w:r>
      <w:r>
        <w:rPr>
          <w:rFonts w:hint="eastAsia" w:ascii="宋体" w:hAnsi="宋体" w:eastAsia="宋体" w:cs="宋体"/>
          <w:b/>
          <w:bCs/>
          <w:i/>
          <w:iCs/>
          <w:color w:val="auto"/>
          <w:sz w:val="22"/>
          <w:highlight w:val="none"/>
          <w:u w:val="single"/>
          <w:lang w:eastAsia="zh-CN"/>
        </w:rPr>
        <w:t>（技术资信</w:t>
      </w:r>
      <w:r>
        <w:rPr>
          <w:rFonts w:hint="eastAsia" w:ascii="宋体" w:hAnsi="宋体" w:eastAsia="宋体" w:cs="宋体"/>
          <w:b/>
          <w:bCs/>
          <w:i/>
          <w:iCs/>
          <w:color w:val="auto"/>
          <w:sz w:val="22"/>
          <w:highlight w:val="none"/>
          <w:u w:val="single"/>
          <w:lang w:val="en-US" w:eastAsia="zh-CN"/>
        </w:rPr>
        <w:t>标以标段为单位进行评审，评分细则标段1、标段2通用</w:t>
      </w:r>
      <w:r>
        <w:rPr>
          <w:rFonts w:hint="eastAsia" w:ascii="宋体" w:hAnsi="宋体" w:eastAsia="宋体" w:cs="宋体"/>
          <w:b/>
          <w:bCs/>
          <w:i/>
          <w:iCs/>
          <w:color w:val="auto"/>
          <w:sz w:val="22"/>
          <w:highlight w:val="none"/>
          <w:u w:val="single"/>
          <w:lang w:eastAsia="zh-CN"/>
        </w:rPr>
        <w:t>）：</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sz w:val="22"/>
          <w:szCs w:val="24"/>
          <w:highlight w:val="none"/>
        </w:rPr>
        <w:t>各评委成员按下列评分项目进行评定，每人一张评分计算表，由评标委员会成员各自评定打分并记实名。如</w:t>
      </w:r>
      <w:r>
        <w:rPr>
          <w:rFonts w:hint="eastAsia" w:ascii="宋体" w:hAnsi="宋体" w:eastAsia="宋体" w:cs="宋体"/>
          <w:color w:val="auto"/>
          <w:sz w:val="22"/>
          <w:szCs w:val="24"/>
          <w:highlight w:val="none"/>
        </w:rPr>
        <w:t>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9"/>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1"/>
        <w:gridCol w:w="861"/>
        <w:gridCol w:w="573"/>
        <w:gridCol w:w="7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评分内容</w:t>
            </w:r>
          </w:p>
        </w:tc>
        <w:tc>
          <w:tcPr>
            <w:tcW w:w="5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满分值</w:t>
            </w:r>
          </w:p>
        </w:tc>
        <w:tc>
          <w:tcPr>
            <w:tcW w:w="704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评标要点及说明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numPr>
                <w:ilvl w:val="0"/>
                <w:numId w:val="25"/>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公司信誉</w:t>
            </w:r>
          </w:p>
        </w:tc>
        <w:tc>
          <w:tcPr>
            <w:tcW w:w="5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6"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总公司获得贝氏、标准普尔、穆迪、惠誉等四家中的任意一家国际评级机构A级及以上的得5分；贝氏、标准普尔、穆迪、惠誉等四家中的任意一家国际评级机构B级或其他评定机构认定A级及以上的，得3分；其他评级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numPr>
                <w:ilvl w:val="0"/>
                <w:numId w:val="25"/>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综合偿付能力充足率</w:t>
            </w:r>
          </w:p>
        </w:tc>
        <w:tc>
          <w:tcPr>
            <w:tcW w:w="57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p>
        </w:tc>
        <w:tc>
          <w:tcPr>
            <w:tcW w:w="7046"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strike w:val="0"/>
                <w:dstrike w:val="0"/>
                <w:color w:val="000000"/>
                <w:kern w:val="0"/>
                <w:sz w:val="18"/>
                <w:szCs w:val="18"/>
                <w:highlight w:val="none"/>
                <w:u w:val="none"/>
                <w:lang w:val="en-US" w:eastAsia="zh-CN" w:bidi="ar"/>
              </w:rPr>
            </w:pPr>
            <w:r>
              <w:rPr>
                <w:rFonts w:hint="eastAsia" w:ascii="宋体" w:hAnsi="宋体" w:eastAsia="宋体" w:cs="宋体"/>
                <w:i w:val="0"/>
                <w:iCs w:val="0"/>
                <w:strike w:val="0"/>
                <w:dstrike w:val="0"/>
                <w:color w:val="000000"/>
                <w:kern w:val="0"/>
                <w:sz w:val="18"/>
                <w:szCs w:val="18"/>
                <w:highlight w:val="none"/>
                <w:u w:val="none"/>
                <w:lang w:val="en-US" w:eastAsia="zh-CN" w:bidi="ar"/>
              </w:rPr>
              <w:t>根据投标人所属总公司2024年度偿付能力进行评分：</w:t>
            </w:r>
          </w:p>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trike w:val="0"/>
                <w:dstrike w:val="0"/>
                <w:color w:val="000000"/>
                <w:kern w:val="0"/>
                <w:sz w:val="18"/>
                <w:szCs w:val="18"/>
                <w:highlight w:val="none"/>
                <w:u w:val="none"/>
                <w:lang w:val="en-US" w:eastAsia="zh-CN" w:bidi="ar"/>
              </w:rPr>
              <w:t>综合偿付能力充足率：在300%（含）及以上得8分，300%（不含）-250%（含）得6分，250%（不含）-200%（含）得4分，200%（不含）-150%（含）得2分，小于150%不得分。注：提供总公司2024年度的《审计报告》扫描件或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numPr>
                <w:ilvl w:val="0"/>
                <w:numId w:val="25"/>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服务质量</w:t>
            </w:r>
          </w:p>
        </w:tc>
        <w:tc>
          <w:tcPr>
            <w:tcW w:w="5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7046"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依据投标人所属总公司2024 年财产保险服务质量指数（分）进行评分，具体标准如下：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服务质量指数在 90 分及以上的，得8分；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服务质量指数处于 85（含）-90（不含）区间的，得6分；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服务质量指数在 80（含）-85（不含）范围的，得4分；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服务质量指数为小于80分的，得2分。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须提供</w:t>
            </w:r>
            <w:r>
              <w:rPr>
                <w:rFonts w:hint="eastAsia" w:ascii="宋体" w:hAnsi="宋体" w:eastAsia="宋体" w:cs="宋体"/>
                <w:b w:val="0"/>
                <w:bCs w:val="0"/>
                <w:i w:val="0"/>
                <w:iCs w:val="0"/>
                <w:color w:val="auto"/>
                <w:kern w:val="0"/>
                <w:sz w:val="18"/>
                <w:szCs w:val="18"/>
                <w:u w:val="none"/>
                <w:lang w:val="en-US" w:eastAsia="zh-CN" w:bidi="ar"/>
              </w:rPr>
              <w:t>能证明投标人所属总公司2024年财产保险服务质量指数的证明材料，提供中国银行保险信息技术管理有限公司发布的官网文件（银保信函〔2025〕38 号）及系统查询数据截图材料加盖单位公章</w:t>
            </w:r>
            <w:r>
              <w:rPr>
                <w:rFonts w:hint="eastAsia" w:ascii="宋体" w:hAnsi="宋体" w:eastAsia="宋体" w:cs="宋体"/>
                <w:i w:val="0"/>
                <w:iCs w:val="0"/>
                <w:color w:val="auto"/>
                <w:kern w:val="0"/>
                <w:sz w:val="18"/>
                <w:szCs w:val="18"/>
                <w:u w:val="none"/>
                <w:lang w:val="en-US" w:eastAsia="zh-CN" w:bidi="ar"/>
              </w:rPr>
              <w:t>，投标人需对查询结果出具说明，并承诺该说明内容真实、准确、完整（该说明文件须加盖供应商公章），附入投标文件中，否则不得分。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numPr>
                <w:ilvl w:val="0"/>
                <w:numId w:val="25"/>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售后服务网点</w:t>
            </w:r>
          </w:p>
        </w:tc>
        <w:tc>
          <w:tcPr>
            <w:tcW w:w="5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46"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根据投标供应商在温州市全辖区内的服务网点数量进行评分，具体标准如下：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每有1个服务网点得0.5分，最多得10分。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标时，供应商需提供各服务网点的营业执照和经营许可证复印件，要求许可范围覆盖本项目采购内容，并加盖公章，以此作为服务网点数量及合法经营的证明材料。未按要求完整提供证明材料的，该评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numPr>
                <w:ilvl w:val="0"/>
                <w:numId w:val="25"/>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服务团队配备</w:t>
            </w:r>
          </w:p>
        </w:tc>
        <w:tc>
          <w:tcPr>
            <w:tcW w:w="5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46"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依据投标供应商针对本项目投入的项目服务人员数量进行评分，具体标准如下：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投入项目服务人员达到10人，得基础分2分；在此基础上，每增加1人，加0.5分，本项满分9分。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投标时，供应商需提供项目服务人员</w:t>
            </w:r>
            <w:r>
              <w:rPr>
                <w:rFonts w:hint="eastAsia" w:ascii="宋体" w:hAnsi="宋体" w:eastAsia="宋体" w:cs="宋体"/>
                <w:i w:val="0"/>
                <w:iCs w:val="0"/>
                <w:color w:val="000000"/>
                <w:kern w:val="0"/>
                <w:sz w:val="18"/>
                <w:szCs w:val="18"/>
                <w:highlight w:val="none"/>
                <w:u w:val="none"/>
                <w:lang w:val="en-US" w:eastAsia="zh-CN" w:bidi="ar"/>
              </w:rPr>
              <w:t>的劳动合同，或</w:t>
            </w:r>
            <w:r>
              <w:rPr>
                <w:rFonts w:hint="eastAsia" w:ascii="宋体" w:hAnsi="宋体" w:eastAsia="宋体" w:cs="宋体"/>
                <w:i w:val="0"/>
                <w:iCs w:val="0"/>
                <w:color w:val="000000"/>
                <w:kern w:val="0"/>
                <w:sz w:val="18"/>
                <w:szCs w:val="18"/>
                <w:u w:val="none"/>
                <w:lang w:val="en-US" w:eastAsia="zh-CN" w:bidi="ar"/>
              </w:rPr>
              <w:t>近6个月连续缴费的社保证明作为人员配备的证明材料，复印件须加盖公章。未按要求提供有效证明材料的，该评分项不得分。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numPr>
                <w:ilvl w:val="0"/>
                <w:numId w:val="25"/>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46"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依据投标供应商为本项目配备的服务人员职称及专业情况进行评分，具体标准如下：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①高级职称评分（4分）：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项目服务人员中，具备高级职称的，每提供一个得2分，最多得4分。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②中级职称评分（5分）：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项目服务人员中，具备中级职称且人数不少于6人的，得5分；中级职称人数在6人基础上每减少1人，扣1分，扣完为止。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投标时供应商需提供项目服务人员的职称证书复印件加盖公章，未提供的不得分。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numPr>
                <w:ilvl w:val="0"/>
                <w:numId w:val="25"/>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车险项目的经验</w:t>
            </w:r>
          </w:p>
        </w:tc>
        <w:tc>
          <w:tcPr>
            <w:tcW w:w="5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46"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根据投标供应商自 2023年1月1日以来承接的企业、事业、机关单位的同类车险项目经验进行评分，每提供1个有效项目案例得 2 分，本项最多得 10分。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投标时，供应商需提供对应项目的保险合同或中标通知书或保单作为项目经验的证明材料（时间以落款时间为准），并加盖供应商公章。未按要求提供有效证明材料的项目案例，不得分。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numPr>
                <w:ilvl w:val="0"/>
                <w:numId w:val="25"/>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服务方案</w:t>
            </w:r>
          </w:p>
        </w:tc>
        <w:tc>
          <w:tcPr>
            <w:tcW w:w="5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制定承保服务方案，根据承保服务方案的全面性、合理性，对采购人有利性，评委综合评分：A档：6-7分，B档：5-6分，C档：4-5分，没有提供的不得分。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numPr>
                <w:ilvl w:val="0"/>
                <w:numId w:val="25"/>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制定理赔服务方案，根据理赔服务方案的全面性、合理性，对采购人有利性，评委综合评分：A档：6-7分，B档：5-6分，C档：4-5分，没有提供的不得分。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numPr>
                <w:ilvl w:val="0"/>
                <w:numId w:val="25"/>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制定防灾防损服务方案，结合实际为投标供应商制订防灾、防损服务方案，根据防灾防损服务方案的全面性、合理性，对采购人有利性，评委综合评分：A档：6-7分，B档：5-6分，C档：4-5分，没有提供的不得分。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1" w:type="dxa"/>
            <w:shd w:val="clear" w:color="auto" w:fill="auto"/>
            <w:vAlign w:val="center"/>
          </w:tcPr>
          <w:p>
            <w:pPr>
              <w:keepNext w:val="0"/>
              <w:keepLines w:val="0"/>
              <w:widowControl/>
              <w:numPr>
                <w:ilvl w:val="0"/>
                <w:numId w:val="25"/>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合计满分</w:t>
            </w:r>
          </w:p>
        </w:tc>
        <w:tc>
          <w:tcPr>
            <w:tcW w:w="57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eastAsia="zh-CN" w:bidi="ar"/>
              </w:rPr>
            </w:pPr>
            <w:r>
              <w:rPr>
                <w:rFonts w:hint="default" w:ascii="宋体" w:hAnsi="宋体" w:eastAsia="宋体" w:cs="宋体"/>
                <w:i w:val="0"/>
                <w:iCs w:val="0"/>
                <w:color w:val="000000"/>
                <w:kern w:val="0"/>
                <w:sz w:val="18"/>
                <w:szCs w:val="18"/>
                <w:u w:val="none"/>
                <w:lang w:eastAsia="zh-CN" w:bidi="ar"/>
              </w:rPr>
              <w:fldChar w:fldCharType="begin"/>
            </w:r>
            <w:r>
              <w:rPr>
                <w:rFonts w:hint="default" w:ascii="宋体" w:hAnsi="宋体" w:eastAsia="宋体" w:cs="宋体"/>
                <w:i w:val="0"/>
                <w:iCs w:val="0"/>
                <w:color w:val="000000"/>
                <w:kern w:val="0"/>
                <w:sz w:val="18"/>
                <w:szCs w:val="18"/>
                <w:u w:val="none"/>
                <w:lang w:eastAsia="zh-CN" w:bidi="ar"/>
              </w:rPr>
              <w:instrText xml:space="preserve"> =SUM(ABOVE) \* MERGEFORMAT </w:instrText>
            </w:r>
            <w:r>
              <w:rPr>
                <w:rFonts w:hint="default" w:ascii="宋体" w:hAnsi="宋体" w:eastAsia="宋体" w:cs="宋体"/>
                <w:i w:val="0"/>
                <w:iCs w:val="0"/>
                <w:color w:val="000000"/>
                <w:kern w:val="0"/>
                <w:sz w:val="18"/>
                <w:szCs w:val="18"/>
                <w:u w:val="none"/>
                <w:lang w:eastAsia="zh-CN" w:bidi="ar"/>
              </w:rPr>
              <w:fldChar w:fldCharType="separate"/>
            </w:r>
            <w:r>
              <w:rPr>
                <w:rFonts w:hint="default" w:ascii="宋体" w:hAnsi="宋体" w:eastAsia="宋体" w:cs="宋体"/>
                <w:i w:val="0"/>
                <w:iCs w:val="0"/>
                <w:color w:val="000000"/>
                <w:kern w:val="0"/>
                <w:sz w:val="18"/>
                <w:szCs w:val="18"/>
                <w:u w:val="none"/>
                <w:lang w:eastAsia="zh-CN" w:bidi="ar"/>
              </w:rPr>
              <w:t>80</w:t>
            </w:r>
            <w:r>
              <w:rPr>
                <w:rFonts w:hint="default" w:ascii="宋体" w:hAnsi="宋体" w:eastAsia="宋体" w:cs="宋体"/>
                <w:i w:val="0"/>
                <w:iCs w:val="0"/>
                <w:color w:val="000000"/>
                <w:kern w:val="0"/>
                <w:sz w:val="18"/>
                <w:szCs w:val="18"/>
                <w:u w:val="none"/>
                <w:lang w:eastAsia="zh-CN" w:bidi="ar"/>
              </w:rPr>
              <w:fldChar w:fldCharType="end"/>
            </w:r>
          </w:p>
        </w:tc>
        <w:tc>
          <w:tcPr>
            <w:tcW w:w="70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rPr>
          <w:rFonts w:hint="eastAsia" w:ascii="宋体" w:hAnsi="宋体" w:eastAsia="宋体" w:cs="宋体"/>
          <w:color w:val="auto"/>
          <w:sz w:val="22"/>
          <w:highlight w:val="yellow"/>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w:t>
      </w:r>
      <w:r>
        <w:rPr>
          <w:rFonts w:hint="eastAsia" w:ascii="宋体" w:hAnsi="宋体" w:eastAsia="宋体" w:cs="宋体"/>
          <w:color w:val="auto"/>
          <w:sz w:val="21"/>
          <w:szCs w:val="21"/>
          <w:highlight w:val="none"/>
        </w:rPr>
        <w:t>投标人应保证所提供文件资料的真实性，所有文件资料必须是针对本次</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的。如发现投标人提供了虚假文件资料，其投标将</w:t>
      </w:r>
      <w:r>
        <w:rPr>
          <w:rFonts w:hint="eastAsia" w:ascii="宋体" w:hAnsi="宋体" w:eastAsia="宋体" w:cs="宋体"/>
          <w:color w:val="auto"/>
          <w:sz w:val="21"/>
          <w:szCs w:val="21"/>
          <w:highlight w:val="none"/>
          <w:lang w:val="en-US" w:eastAsia="zh-CN"/>
        </w:rPr>
        <w:t>作无效标处理</w:t>
      </w:r>
      <w:r>
        <w:rPr>
          <w:rFonts w:hint="eastAsia" w:ascii="宋体" w:hAnsi="宋体" w:eastAsia="宋体" w:cs="宋体"/>
          <w:color w:val="auto"/>
          <w:sz w:val="21"/>
          <w:szCs w:val="21"/>
          <w:highlight w:val="none"/>
        </w:rPr>
        <w:t>，并自行承担相</w:t>
      </w:r>
      <w:r>
        <w:rPr>
          <w:rFonts w:hint="eastAsia" w:ascii="宋体" w:hAnsi="宋体" w:eastAsia="宋体" w:cs="宋体"/>
          <w:color w:val="auto"/>
          <w:sz w:val="21"/>
          <w:szCs w:val="21"/>
          <w:highlight w:val="none"/>
          <w:lang w:val="en-US" w:eastAsia="zh-CN"/>
        </w:rPr>
        <w:t>应的法律责任；</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2）如果上述某项评分细则在技术标中没有描述或不符合评分要求或严重离题，则此项可按零分处理。</w:t>
      </w:r>
      <w:r>
        <w:rPr>
          <w:rFonts w:hint="eastAsia" w:ascii="宋体" w:hAnsi="宋体" w:eastAsia="宋体" w:cs="宋体"/>
          <w:color w:val="auto"/>
          <w:sz w:val="21"/>
          <w:szCs w:val="21"/>
          <w:highlight w:val="none"/>
        </w:rPr>
        <w:t>。</w:t>
      </w:r>
    </w:p>
    <w:p>
      <w:pPr>
        <w:ind w:firstLine="422" w:firstLineChars="200"/>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1"/>
          <w:szCs w:val="21"/>
          <w:highlight w:val="none"/>
          <w:lang w:val="en-US" w:eastAsia="zh-CN"/>
        </w:rPr>
        <w:t>3）投标人提供的相关证明资料、截图查询证明等资料模糊不清，评委无法判断或者难以辨认时，评委评审时将视作未提供相关资料处理。</w:t>
      </w:r>
      <w:bookmarkStart w:id="227" w:name="_Hlk11188594"/>
    </w:p>
    <w:p>
      <w:pPr>
        <w:ind w:firstLine="442" w:firstLineChars="200"/>
        <w:rPr>
          <w:rFonts w:hint="eastAsia" w:ascii="宋体" w:hAnsi="宋体" w:eastAsia="宋体" w:cs="宋体"/>
          <w:b/>
          <w:color w:val="auto"/>
          <w:sz w:val="22"/>
          <w:highlight w:val="none"/>
        </w:rPr>
      </w:pPr>
    </w:p>
    <w:p>
      <w:pPr>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20</w:t>
      </w:r>
      <w:r>
        <w:rPr>
          <w:rFonts w:hint="eastAsia" w:ascii="宋体" w:hAnsi="宋体" w:eastAsia="宋体" w:cs="宋体"/>
          <w:b/>
          <w:color w:val="auto"/>
          <w:sz w:val="22"/>
          <w:highlight w:val="none"/>
        </w:rPr>
        <w:t>分）</w:t>
      </w:r>
      <w:r>
        <w:rPr>
          <w:rFonts w:hint="eastAsia" w:ascii="宋体" w:hAnsi="宋体" w:eastAsia="宋体" w:cs="宋体"/>
          <w:b/>
          <w:bCs/>
          <w:i/>
          <w:iCs/>
          <w:color w:val="auto"/>
          <w:sz w:val="22"/>
          <w:highlight w:val="none"/>
          <w:u w:val="single"/>
          <w:lang w:eastAsia="zh-CN"/>
        </w:rPr>
        <w:t>（商务（报价）</w:t>
      </w:r>
      <w:r>
        <w:rPr>
          <w:rFonts w:hint="eastAsia" w:ascii="宋体" w:hAnsi="宋体" w:eastAsia="宋体" w:cs="宋体"/>
          <w:b/>
          <w:bCs/>
          <w:i/>
          <w:iCs/>
          <w:color w:val="auto"/>
          <w:sz w:val="22"/>
          <w:highlight w:val="none"/>
          <w:u w:val="single"/>
          <w:lang w:val="en-US" w:eastAsia="zh-CN"/>
        </w:rPr>
        <w:t>标以标段为单位进行评审，评分细则标段1、标段2通用</w:t>
      </w:r>
      <w:r>
        <w:rPr>
          <w:rFonts w:hint="eastAsia" w:ascii="宋体" w:hAnsi="宋体" w:eastAsia="宋体" w:cs="宋体"/>
          <w:b/>
          <w:bCs/>
          <w:i/>
          <w:iCs/>
          <w:color w:val="auto"/>
          <w:sz w:val="22"/>
          <w:highlight w:val="none"/>
          <w:u w:val="single"/>
          <w:lang w:eastAsia="zh-CN"/>
        </w:rPr>
        <w:t>）</w:t>
      </w:r>
      <w:r>
        <w:rPr>
          <w:rFonts w:hint="eastAsia" w:ascii="宋体" w:hAnsi="宋体" w:eastAsia="宋体" w:cs="宋体"/>
          <w:b/>
          <w:color w:val="auto"/>
          <w:sz w:val="22"/>
          <w:highlight w:val="none"/>
        </w:rPr>
        <w:t>：</w:t>
      </w:r>
    </w:p>
    <w:bookmarkEnd w:id="227"/>
    <w:p>
      <w:pPr>
        <w:keepNext w:val="0"/>
        <w:keepLines w:val="0"/>
        <w:pageBreakBefore w:val="0"/>
        <w:widowControl w:val="0"/>
        <w:kinsoku/>
        <w:wordWrap/>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lang w:val="en-US" w:eastAsia="zh-CN"/>
        </w:rPr>
      </w:pPr>
      <w:bookmarkStart w:id="228" w:name="_Hlk11191261"/>
      <w:r>
        <w:rPr>
          <w:rFonts w:hint="eastAsia" w:ascii="宋体" w:hAnsi="宋体" w:eastAsia="宋体" w:cs="宋体"/>
          <w:sz w:val="22"/>
          <w:szCs w:val="22"/>
          <w:lang w:val="en-US" w:eastAsia="zh-CN"/>
        </w:rPr>
        <w:t>2.1</w:t>
      </w:r>
      <w:r>
        <w:rPr>
          <w:rFonts w:hint="eastAsia" w:ascii="宋体" w:hAnsi="宋体" w:eastAsia="宋体" w:cs="宋体"/>
          <w:sz w:val="22"/>
          <w:szCs w:val="22"/>
        </w:rPr>
        <w:t>开标一览表中A--</w:t>
      </w:r>
      <w:r>
        <w:rPr>
          <w:rFonts w:hint="eastAsia" w:ascii="宋体" w:hAnsi="宋体" w:eastAsia="宋体" w:cs="宋体"/>
          <w:sz w:val="22"/>
          <w:szCs w:val="22"/>
          <w:lang w:val="en-US" w:eastAsia="zh-CN"/>
        </w:rPr>
        <w:t>H</w:t>
      </w:r>
      <w:r>
        <w:rPr>
          <w:rFonts w:hint="eastAsia" w:ascii="宋体" w:hAnsi="宋体" w:eastAsia="宋体" w:cs="宋体"/>
          <w:sz w:val="22"/>
          <w:szCs w:val="22"/>
        </w:rPr>
        <w:t>项</w:t>
      </w:r>
      <w:r>
        <w:rPr>
          <w:rFonts w:hint="eastAsia" w:ascii="宋体" w:hAnsi="宋体" w:eastAsia="宋体" w:cs="宋体"/>
          <w:sz w:val="22"/>
          <w:szCs w:val="22"/>
          <w:lang w:val="en-US" w:eastAsia="zh-CN"/>
        </w:rPr>
        <w:t>自主定价系数</w:t>
      </w:r>
      <w:r>
        <w:rPr>
          <w:rFonts w:hint="eastAsia" w:ascii="宋体" w:hAnsi="宋体" w:eastAsia="宋体" w:cs="宋体"/>
          <w:sz w:val="22"/>
          <w:szCs w:val="22"/>
        </w:rPr>
        <w:t>报价</w:t>
      </w:r>
      <w:r>
        <w:rPr>
          <w:rFonts w:hint="eastAsia" w:ascii="宋体" w:hAnsi="宋体" w:eastAsia="宋体" w:cs="宋体"/>
          <w:sz w:val="22"/>
          <w:szCs w:val="22"/>
          <w:lang w:val="en-US" w:eastAsia="zh-CN"/>
        </w:rPr>
        <w:t>得分</w:t>
      </w:r>
      <w:r>
        <w:rPr>
          <w:rFonts w:hint="eastAsia" w:ascii="宋体" w:hAnsi="宋体" w:eastAsia="宋体" w:cs="宋体"/>
          <w:sz w:val="22"/>
          <w:szCs w:val="22"/>
        </w:rPr>
        <w:t>按如下规定分别计算</w:t>
      </w:r>
      <w:r>
        <w:rPr>
          <w:rFonts w:hint="eastAsia" w:ascii="宋体" w:hAnsi="宋体" w:eastAsia="宋体" w:cs="宋体"/>
          <w:sz w:val="22"/>
          <w:szCs w:val="22"/>
          <w:lang w:eastAsia="zh-CN"/>
        </w:rPr>
        <w:t>、</w:t>
      </w:r>
      <w:r>
        <w:rPr>
          <w:rFonts w:hint="eastAsia" w:ascii="宋体" w:hAnsi="宋体" w:eastAsia="宋体" w:cs="宋体"/>
          <w:sz w:val="22"/>
          <w:szCs w:val="22"/>
        </w:rPr>
        <w:t>并汇总商务（报价）得分</w:t>
      </w:r>
      <w:r>
        <w:rPr>
          <w:rFonts w:hint="eastAsia" w:ascii="宋体" w:hAnsi="宋体" w:eastAsia="宋体" w:cs="宋体"/>
          <w:sz w:val="22"/>
          <w:szCs w:val="22"/>
          <w:lang w:eastAsia="zh-CN"/>
        </w:rPr>
        <w:t>：</w:t>
      </w:r>
    </w:p>
    <w:p>
      <w:pPr>
        <w:keepNext w:val="0"/>
        <w:keepLines w:val="0"/>
        <w:pageBreakBefore w:val="0"/>
        <w:widowControl w:val="0"/>
        <w:kinsoku/>
        <w:wordWrap/>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2.1.1各分项自主定价系数</w:t>
      </w:r>
      <w:r>
        <w:rPr>
          <w:rFonts w:hint="eastAsia" w:ascii="宋体" w:hAnsi="宋体" w:eastAsia="宋体" w:cs="宋体"/>
          <w:sz w:val="22"/>
          <w:szCs w:val="22"/>
        </w:rPr>
        <w:t>报价</w:t>
      </w:r>
      <w:r>
        <w:rPr>
          <w:rFonts w:hint="eastAsia" w:ascii="宋体" w:hAnsi="宋体" w:eastAsia="宋体" w:cs="宋体"/>
          <w:sz w:val="22"/>
          <w:szCs w:val="22"/>
          <w:lang w:val="en-US" w:eastAsia="zh-CN"/>
        </w:rPr>
        <w:t>得分</w:t>
      </w:r>
      <w:r>
        <w:rPr>
          <w:rFonts w:hint="eastAsia" w:ascii="宋体" w:hAnsi="宋体" w:eastAsia="宋体" w:cs="宋体"/>
          <w:sz w:val="22"/>
          <w:szCs w:val="22"/>
        </w:rPr>
        <w:t>评标基准价的计算：满足采购文件要求且各分项</w:t>
      </w:r>
      <w:r>
        <w:rPr>
          <w:rFonts w:hint="eastAsia" w:ascii="宋体" w:hAnsi="宋体" w:eastAsia="宋体" w:cs="宋体"/>
          <w:sz w:val="22"/>
          <w:szCs w:val="22"/>
          <w:lang w:val="en-US" w:eastAsia="zh-CN"/>
        </w:rPr>
        <w:t>自主定价系数报价中的最低值X值</w:t>
      </w:r>
      <w:r>
        <w:rPr>
          <w:rFonts w:hint="eastAsia" w:ascii="宋体" w:hAnsi="宋体" w:eastAsia="宋体" w:cs="宋体"/>
          <w:b/>
          <w:bCs/>
          <w:sz w:val="22"/>
          <w:szCs w:val="22"/>
          <w:lang w:val="en-US" w:eastAsia="zh-CN"/>
        </w:rPr>
        <w:t>（指在自主定价系数报价范围内的</w:t>
      </w:r>
      <w:r>
        <w:rPr>
          <w:rFonts w:hint="eastAsia" w:ascii="宋体" w:hAnsi="宋体" w:eastAsia="宋体" w:cs="宋体"/>
          <w:b/>
          <w:bCs/>
          <w:sz w:val="22"/>
          <w:szCs w:val="22"/>
        </w:rPr>
        <w:t>最低值</w:t>
      </w:r>
      <w:r>
        <w:rPr>
          <w:rFonts w:hint="eastAsia" w:ascii="宋体" w:hAnsi="宋体" w:eastAsia="宋体" w:cs="宋体"/>
          <w:b/>
          <w:bCs/>
          <w:sz w:val="22"/>
          <w:szCs w:val="22"/>
          <w:lang w:eastAsia="zh-CN"/>
        </w:rPr>
        <w:t>）</w:t>
      </w:r>
      <w:r>
        <w:rPr>
          <w:rFonts w:hint="eastAsia" w:ascii="宋体" w:hAnsi="宋体" w:eastAsia="宋体" w:cs="宋体"/>
          <w:sz w:val="22"/>
          <w:szCs w:val="22"/>
        </w:rPr>
        <w:t>为</w:t>
      </w:r>
      <w:r>
        <w:rPr>
          <w:rFonts w:hint="eastAsia" w:ascii="宋体" w:hAnsi="宋体" w:eastAsia="宋体" w:cs="宋体"/>
          <w:sz w:val="22"/>
          <w:szCs w:val="22"/>
          <w:lang w:val="en-US" w:eastAsia="zh-CN"/>
        </w:rPr>
        <w:t>该分项自主定价系数报价评分的</w:t>
      </w:r>
      <w:r>
        <w:rPr>
          <w:rFonts w:hint="eastAsia" w:ascii="宋体" w:hAnsi="宋体" w:eastAsia="宋体" w:cs="宋体"/>
          <w:sz w:val="22"/>
          <w:szCs w:val="22"/>
        </w:rPr>
        <w:t>评标基准价</w:t>
      </w:r>
      <w:r>
        <w:rPr>
          <w:rFonts w:hint="eastAsia" w:ascii="宋体" w:hAnsi="宋体" w:eastAsia="宋体" w:cs="宋体"/>
          <w:sz w:val="22"/>
          <w:szCs w:val="22"/>
          <w:lang w:eastAsia="zh-CN"/>
        </w:rPr>
        <w:t>。</w:t>
      </w:r>
    </w:p>
    <w:p>
      <w:pPr>
        <w:keepNext w:val="0"/>
        <w:keepLines w:val="0"/>
        <w:pageBreakBefore w:val="0"/>
        <w:widowControl w:val="0"/>
        <w:kinsoku/>
        <w:wordWrap/>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2.1.2</w:t>
      </w:r>
      <w:r>
        <w:rPr>
          <w:rFonts w:hint="eastAsia" w:ascii="宋体" w:hAnsi="宋体" w:eastAsia="宋体" w:cs="宋体"/>
          <w:sz w:val="22"/>
          <w:szCs w:val="22"/>
        </w:rPr>
        <w:t>汇总商务（报价）满分为2</w:t>
      </w:r>
      <w:r>
        <w:rPr>
          <w:rFonts w:hint="eastAsia" w:ascii="宋体" w:hAnsi="宋体" w:eastAsia="宋体" w:cs="宋体"/>
          <w:sz w:val="22"/>
          <w:szCs w:val="22"/>
          <w:lang w:val="en-US" w:eastAsia="zh-CN"/>
        </w:rPr>
        <w:t>0</w:t>
      </w:r>
      <w:r>
        <w:rPr>
          <w:rFonts w:hint="eastAsia" w:ascii="宋体" w:hAnsi="宋体" w:eastAsia="宋体" w:cs="宋体"/>
          <w:sz w:val="22"/>
          <w:szCs w:val="22"/>
        </w:rPr>
        <w:t>分（其中A、B、C、D、E五项</w:t>
      </w:r>
      <w:r>
        <w:rPr>
          <w:rFonts w:hint="eastAsia" w:ascii="宋体" w:hAnsi="宋体" w:eastAsia="宋体" w:cs="宋体"/>
          <w:sz w:val="22"/>
          <w:szCs w:val="22"/>
          <w:lang w:val="en-US" w:eastAsia="zh-CN"/>
        </w:rPr>
        <w:t>分项</w:t>
      </w:r>
      <w:r>
        <w:rPr>
          <w:rFonts w:hint="eastAsia" w:ascii="宋体" w:hAnsi="宋体" w:eastAsia="宋体" w:cs="宋体"/>
          <w:sz w:val="22"/>
          <w:szCs w:val="22"/>
        </w:rPr>
        <w:t>满分各</w:t>
      </w:r>
      <w:r>
        <w:rPr>
          <w:rFonts w:hint="eastAsia" w:ascii="宋体" w:hAnsi="宋体" w:eastAsia="宋体" w:cs="宋体"/>
          <w:sz w:val="22"/>
          <w:szCs w:val="22"/>
          <w:lang w:val="en-US" w:eastAsia="zh-CN"/>
        </w:rPr>
        <w:t>均</w:t>
      </w:r>
      <w:r>
        <w:rPr>
          <w:rFonts w:hint="eastAsia" w:ascii="宋体" w:hAnsi="宋体" w:eastAsia="宋体" w:cs="宋体"/>
          <w:sz w:val="22"/>
          <w:szCs w:val="22"/>
        </w:rPr>
        <w:t>为3分；F、G两项满分</w:t>
      </w:r>
      <w:r>
        <w:rPr>
          <w:rFonts w:hint="eastAsia" w:ascii="宋体" w:hAnsi="宋体" w:eastAsia="宋体" w:cs="宋体"/>
          <w:sz w:val="22"/>
          <w:szCs w:val="22"/>
          <w:lang w:val="en-US" w:eastAsia="zh-CN"/>
        </w:rPr>
        <w:t>均</w:t>
      </w:r>
      <w:r>
        <w:rPr>
          <w:rFonts w:hint="eastAsia" w:ascii="宋体" w:hAnsi="宋体" w:eastAsia="宋体" w:cs="宋体"/>
          <w:sz w:val="22"/>
          <w:szCs w:val="22"/>
        </w:rPr>
        <w:t>为2分；H</w:t>
      </w:r>
      <w:r>
        <w:rPr>
          <w:rFonts w:hint="eastAsia" w:ascii="宋体" w:hAnsi="宋体" w:eastAsia="宋体" w:cs="宋体"/>
          <w:sz w:val="22"/>
          <w:szCs w:val="22"/>
          <w:lang w:val="en-US" w:eastAsia="zh-CN"/>
        </w:rPr>
        <w:t>项</w:t>
      </w:r>
      <w:r>
        <w:rPr>
          <w:rFonts w:hint="eastAsia" w:ascii="宋体" w:hAnsi="宋体" w:eastAsia="宋体" w:cs="宋体"/>
          <w:sz w:val="22"/>
          <w:szCs w:val="22"/>
        </w:rPr>
        <w:t>满分为1分</w:t>
      </w:r>
      <w:r>
        <w:rPr>
          <w:rFonts w:hint="eastAsia" w:ascii="宋体" w:hAnsi="宋体" w:eastAsia="宋体" w:cs="宋体"/>
          <w:sz w:val="22"/>
          <w:szCs w:val="22"/>
          <w:lang w:val="en-US" w:eastAsia="zh-CN"/>
        </w:rPr>
        <w:t>）。</w:t>
      </w:r>
    </w:p>
    <w:p>
      <w:pPr>
        <w:keepNext w:val="0"/>
        <w:keepLines w:val="0"/>
        <w:pageBreakBefore w:val="0"/>
        <w:widowControl w:val="0"/>
        <w:kinsoku/>
        <w:wordWrap/>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2.1.3</w:t>
      </w:r>
      <w:r>
        <w:rPr>
          <w:rFonts w:hint="eastAsia" w:ascii="宋体" w:hAnsi="宋体" w:eastAsia="宋体" w:cs="宋体"/>
          <w:sz w:val="22"/>
          <w:szCs w:val="22"/>
        </w:rPr>
        <w:t>其余</w:t>
      </w:r>
      <w:r>
        <w:rPr>
          <w:rFonts w:hint="eastAsia" w:ascii="宋体" w:hAnsi="宋体" w:eastAsia="宋体" w:cs="宋体"/>
          <w:sz w:val="22"/>
          <w:szCs w:val="22"/>
          <w:lang w:eastAsia="zh-CN"/>
        </w:rPr>
        <w:t>投标人</w:t>
      </w:r>
      <w:r>
        <w:rPr>
          <w:rFonts w:hint="eastAsia" w:ascii="宋体" w:hAnsi="宋体" w:eastAsia="宋体" w:cs="宋体"/>
          <w:sz w:val="22"/>
          <w:szCs w:val="22"/>
        </w:rPr>
        <w:t>对应分项</w:t>
      </w:r>
      <w:r>
        <w:rPr>
          <w:rFonts w:hint="eastAsia" w:ascii="宋体" w:hAnsi="宋体" w:eastAsia="宋体" w:cs="宋体"/>
          <w:sz w:val="22"/>
          <w:szCs w:val="22"/>
          <w:lang w:val="en-US" w:eastAsia="zh-CN"/>
        </w:rPr>
        <w:t>自主定价系数报价</w:t>
      </w:r>
      <w:r>
        <w:rPr>
          <w:rFonts w:hint="eastAsia" w:ascii="宋体" w:hAnsi="宋体" w:eastAsia="宋体" w:cs="宋体"/>
          <w:sz w:val="22"/>
          <w:szCs w:val="22"/>
        </w:rPr>
        <w:t>与该</w:t>
      </w:r>
      <w:r>
        <w:rPr>
          <w:rFonts w:hint="eastAsia" w:ascii="宋体" w:hAnsi="宋体" w:eastAsia="宋体" w:cs="宋体"/>
          <w:sz w:val="22"/>
          <w:szCs w:val="22"/>
          <w:lang w:val="en-US" w:eastAsia="zh-CN"/>
        </w:rPr>
        <w:t>分项</w:t>
      </w:r>
      <w:r>
        <w:rPr>
          <w:rFonts w:hint="eastAsia" w:ascii="宋体" w:hAnsi="宋体" w:eastAsia="宋体" w:cs="宋体"/>
          <w:sz w:val="22"/>
          <w:szCs w:val="22"/>
        </w:rPr>
        <w:t>基准价对比，</w:t>
      </w:r>
      <w:r>
        <w:rPr>
          <w:rFonts w:hint="eastAsia" w:ascii="宋体" w:hAnsi="宋体" w:eastAsia="宋体" w:cs="宋体"/>
          <w:sz w:val="22"/>
          <w:szCs w:val="22"/>
          <w:lang w:val="en-US" w:eastAsia="zh-CN"/>
        </w:rPr>
        <w:t>按如下规定</w:t>
      </w:r>
      <w:r>
        <w:rPr>
          <w:rFonts w:hint="eastAsia" w:ascii="宋体" w:hAnsi="宋体" w:eastAsia="宋体" w:cs="宋体"/>
          <w:sz w:val="22"/>
          <w:szCs w:val="22"/>
        </w:rPr>
        <w:t>计算出各分项商务报价评分值（</w:t>
      </w:r>
      <w:r>
        <w:rPr>
          <w:rFonts w:hint="eastAsia" w:ascii="宋体" w:hAnsi="宋体" w:eastAsia="宋体" w:cs="宋体"/>
          <w:sz w:val="22"/>
          <w:szCs w:val="22"/>
          <w:lang w:val="en-US" w:eastAsia="zh-CN"/>
        </w:rPr>
        <w:t>均</w:t>
      </w:r>
      <w:r>
        <w:rPr>
          <w:rFonts w:hint="eastAsia" w:ascii="宋体" w:hAnsi="宋体" w:eastAsia="宋体" w:cs="宋体"/>
          <w:sz w:val="22"/>
          <w:szCs w:val="22"/>
        </w:rPr>
        <w:t>保留小数2位</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第3位四舍五入</w:t>
      </w:r>
      <w:r>
        <w:rPr>
          <w:rFonts w:hint="eastAsia" w:ascii="宋体" w:hAnsi="宋体" w:eastAsia="宋体" w:cs="宋体"/>
          <w:sz w:val="22"/>
          <w:szCs w:val="22"/>
        </w:rPr>
        <w:t>）</w:t>
      </w:r>
      <w:r>
        <w:rPr>
          <w:rFonts w:hint="eastAsia" w:ascii="宋体" w:hAnsi="宋体" w:eastAsia="宋体" w:cs="宋体"/>
          <w:sz w:val="22"/>
          <w:szCs w:val="22"/>
          <w:lang w:eastAsia="zh-CN"/>
        </w:rPr>
        <w:t>：</w:t>
      </w:r>
    </w:p>
    <w:p>
      <w:pPr>
        <w:keepNext w:val="0"/>
        <w:keepLines w:val="0"/>
        <w:pageBreakBefore w:val="0"/>
        <w:widowControl w:val="0"/>
        <w:kinsoku/>
        <w:wordWrap/>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某项自主定价系数报价中，自主定价系数等于X值的为该分项商务（报价）分的满分值。其余</w:t>
      </w:r>
      <w:r>
        <w:rPr>
          <w:rFonts w:hint="eastAsia" w:ascii="宋体" w:hAnsi="宋体" w:eastAsia="宋体" w:cs="宋体"/>
          <w:sz w:val="22"/>
          <w:szCs w:val="22"/>
        </w:rPr>
        <w:t>各项商务报价评分结算公式为：A=B=C=D=E=(</w:t>
      </w:r>
      <w:r>
        <w:rPr>
          <w:rFonts w:hint="eastAsia" w:ascii="宋体" w:hAnsi="宋体" w:eastAsia="宋体" w:cs="宋体"/>
          <w:sz w:val="22"/>
          <w:szCs w:val="22"/>
          <w:lang w:val="en-US" w:eastAsia="zh-CN"/>
        </w:rPr>
        <w:t>分</w:t>
      </w:r>
      <w:r>
        <w:rPr>
          <w:rFonts w:hint="eastAsia" w:ascii="宋体" w:hAnsi="宋体" w:eastAsia="宋体" w:cs="宋体"/>
          <w:sz w:val="22"/>
          <w:szCs w:val="22"/>
        </w:rPr>
        <w:t>项评标基准价／</w:t>
      </w:r>
      <w:r>
        <w:rPr>
          <w:rFonts w:hint="eastAsia" w:ascii="宋体" w:hAnsi="宋体" w:eastAsia="宋体" w:cs="宋体"/>
          <w:sz w:val="22"/>
          <w:szCs w:val="22"/>
          <w:lang w:val="en-US" w:eastAsia="zh-CN"/>
        </w:rPr>
        <w:t>对应</w:t>
      </w:r>
      <w:r>
        <w:rPr>
          <w:rFonts w:hint="eastAsia" w:ascii="宋体" w:hAnsi="宋体" w:eastAsia="宋体" w:cs="宋体"/>
          <w:sz w:val="22"/>
          <w:szCs w:val="22"/>
        </w:rPr>
        <w:t>项投标报价)×3%×100；F=G=(</w:t>
      </w:r>
      <w:r>
        <w:rPr>
          <w:rFonts w:hint="eastAsia" w:ascii="宋体" w:hAnsi="宋体" w:eastAsia="宋体" w:cs="宋体"/>
          <w:sz w:val="22"/>
          <w:szCs w:val="22"/>
          <w:lang w:val="en-US" w:eastAsia="zh-CN"/>
        </w:rPr>
        <w:t>分</w:t>
      </w:r>
      <w:r>
        <w:rPr>
          <w:rFonts w:hint="eastAsia" w:ascii="宋体" w:hAnsi="宋体" w:eastAsia="宋体" w:cs="宋体"/>
          <w:sz w:val="22"/>
          <w:szCs w:val="22"/>
        </w:rPr>
        <w:t>项评标基准价／</w:t>
      </w:r>
      <w:r>
        <w:rPr>
          <w:rFonts w:hint="eastAsia" w:ascii="宋体" w:hAnsi="宋体" w:eastAsia="宋体" w:cs="宋体"/>
          <w:sz w:val="22"/>
          <w:szCs w:val="22"/>
          <w:lang w:val="en-US" w:eastAsia="zh-CN"/>
        </w:rPr>
        <w:t>对应</w:t>
      </w:r>
      <w:r>
        <w:rPr>
          <w:rFonts w:hint="eastAsia" w:ascii="宋体" w:hAnsi="宋体" w:eastAsia="宋体" w:cs="宋体"/>
          <w:sz w:val="22"/>
          <w:szCs w:val="22"/>
        </w:rPr>
        <w:t>项投标报价)×2%×100；H=(</w:t>
      </w:r>
      <w:r>
        <w:rPr>
          <w:rFonts w:hint="eastAsia" w:ascii="宋体" w:hAnsi="宋体" w:eastAsia="宋体" w:cs="宋体"/>
          <w:sz w:val="22"/>
          <w:szCs w:val="22"/>
          <w:lang w:val="en-US" w:eastAsia="zh-CN"/>
        </w:rPr>
        <w:t>分</w:t>
      </w:r>
      <w:r>
        <w:rPr>
          <w:rFonts w:hint="eastAsia" w:ascii="宋体" w:hAnsi="宋体" w:eastAsia="宋体" w:cs="宋体"/>
          <w:sz w:val="22"/>
          <w:szCs w:val="22"/>
        </w:rPr>
        <w:t>项评标基准价／</w:t>
      </w:r>
      <w:r>
        <w:rPr>
          <w:rFonts w:hint="eastAsia" w:ascii="宋体" w:hAnsi="宋体" w:eastAsia="宋体" w:cs="宋体"/>
          <w:sz w:val="22"/>
          <w:szCs w:val="22"/>
          <w:lang w:val="en-US" w:eastAsia="zh-CN"/>
        </w:rPr>
        <w:t>对应</w:t>
      </w:r>
      <w:r>
        <w:rPr>
          <w:rFonts w:hint="eastAsia" w:ascii="宋体" w:hAnsi="宋体" w:eastAsia="宋体" w:cs="宋体"/>
          <w:sz w:val="22"/>
          <w:szCs w:val="22"/>
        </w:rPr>
        <w:t>项投标报价)×1%×100；</w:t>
      </w:r>
    </w:p>
    <w:p>
      <w:pPr>
        <w:keepNext w:val="0"/>
        <w:keepLines w:val="0"/>
        <w:pageBreakBefore w:val="0"/>
        <w:widowControl w:val="0"/>
        <w:kinsoku/>
        <w:wordWrap/>
        <w:topLinePunct w:val="0"/>
        <w:autoSpaceDE/>
        <w:autoSpaceDN/>
        <w:bidi w:val="0"/>
        <w:adjustRightInd/>
        <w:snapToGrid/>
        <w:spacing w:line="240" w:lineRule="auto"/>
        <w:ind w:firstLine="442" w:firstLineChars="200"/>
        <w:textAlignment w:val="auto"/>
        <w:rPr>
          <w:rFonts w:hint="eastAsia" w:ascii="宋体" w:hAnsi="宋体" w:eastAsia="宋体" w:cs="宋体"/>
          <w:b/>
          <w:bCs/>
          <w:sz w:val="22"/>
          <w:highlight w:val="none"/>
          <w:u w:val="single"/>
          <w:lang w:eastAsia="zh-CN"/>
        </w:rPr>
      </w:pPr>
      <w:r>
        <w:rPr>
          <w:rFonts w:hint="eastAsia" w:ascii="宋体" w:hAnsi="宋体" w:eastAsia="宋体" w:cs="宋体"/>
          <w:b/>
          <w:bCs/>
          <w:sz w:val="22"/>
          <w:szCs w:val="22"/>
          <w:highlight w:val="none"/>
          <w:u w:val="single"/>
          <w:lang w:val="en-US" w:eastAsia="zh-CN"/>
        </w:rPr>
        <w:t>2.1.4</w:t>
      </w:r>
      <w:r>
        <w:rPr>
          <w:rFonts w:hint="eastAsia" w:ascii="宋体" w:hAnsi="宋体" w:eastAsia="宋体" w:cs="宋体"/>
          <w:b/>
          <w:bCs/>
          <w:sz w:val="22"/>
          <w:szCs w:val="22"/>
          <w:highlight w:val="none"/>
          <w:u w:val="single"/>
        </w:rPr>
        <w:t>▲</w:t>
      </w:r>
      <w:r>
        <w:rPr>
          <w:rFonts w:hint="eastAsia" w:ascii="宋体" w:hAnsi="宋体" w:eastAsia="宋体" w:cs="宋体"/>
          <w:b/>
          <w:bCs/>
          <w:sz w:val="22"/>
          <w:szCs w:val="22"/>
          <w:highlight w:val="none"/>
          <w:u w:val="single"/>
          <w:lang w:val="en-US" w:eastAsia="zh-CN"/>
        </w:rPr>
        <w:t>标段1、标段2投标人</w:t>
      </w:r>
      <w:r>
        <w:rPr>
          <w:rFonts w:hint="eastAsia" w:ascii="宋体" w:hAnsi="宋体" w:eastAsia="宋体" w:cs="宋体"/>
          <w:b/>
          <w:bCs/>
          <w:sz w:val="22"/>
          <w:szCs w:val="22"/>
          <w:highlight w:val="none"/>
          <w:u w:val="single"/>
        </w:rPr>
        <w:t>自主定价系数</w:t>
      </w:r>
      <w:r>
        <w:rPr>
          <w:rFonts w:hint="eastAsia" w:ascii="宋体" w:hAnsi="宋体" w:eastAsia="宋体" w:cs="宋体"/>
          <w:b/>
          <w:bCs/>
          <w:sz w:val="22"/>
          <w:szCs w:val="22"/>
          <w:highlight w:val="none"/>
          <w:u w:val="single"/>
          <w:lang w:val="en-US" w:eastAsia="zh-CN"/>
        </w:rPr>
        <w:t>报价</w:t>
      </w:r>
      <w:r>
        <w:rPr>
          <w:rFonts w:hint="eastAsia" w:ascii="宋体" w:hAnsi="宋体" w:eastAsia="宋体" w:cs="宋体"/>
          <w:b/>
          <w:bCs/>
          <w:sz w:val="22"/>
          <w:szCs w:val="22"/>
          <w:highlight w:val="none"/>
          <w:u w:val="single"/>
        </w:rPr>
        <w:t>范围：【</w:t>
      </w:r>
      <w:r>
        <w:rPr>
          <w:rFonts w:hint="eastAsia" w:ascii="宋体" w:hAnsi="宋体" w:eastAsia="宋体" w:cs="宋体"/>
          <w:b/>
          <w:bCs/>
          <w:sz w:val="22"/>
          <w:szCs w:val="22"/>
          <w:highlight w:val="none"/>
          <w:u w:val="single"/>
          <w:lang w:val="en-US" w:eastAsia="zh-CN"/>
        </w:rPr>
        <w:t>50</w:t>
      </w:r>
      <w:r>
        <w:rPr>
          <w:rFonts w:hint="eastAsia" w:ascii="宋体" w:hAnsi="宋体" w:eastAsia="宋体" w:cs="宋体"/>
          <w:b/>
          <w:bCs/>
          <w:sz w:val="22"/>
          <w:szCs w:val="22"/>
          <w:highlight w:val="none"/>
          <w:u w:val="single"/>
        </w:rPr>
        <w:t>.00%-1</w:t>
      </w:r>
      <w:r>
        <w:rPr>
          <w:rFonts w:hint="eastAsia" w:ascii="宋体" w:hAnsi="宋体" w:eastAsia="宋体" w:cs="宋体"/>
          <w:b/>
          <w:bCs/>
          <w:sz w:val="22"/>
          <w:szCs w:val="22"/>
          <w:highlight w:val="none"/>
          <w:u w:val="single"/>
          <w:lang w:val="en-US" w:eastAsia="zh-CN"/>
        </w:rPr>
        <w:t>50</w:t>
      </w:r>
      <w:r>
        <w:rPr>
          <w:rFonts w:hint="eastAsia" w:ascii="宋体" w:hAnsi="宋体" w:eastAsia="宋体" w:cs="宋体"/>
          <w:b/>
          <w:bCs/>
          <w:sz w:val="22"/>
          <w:szCs w:val="22"/>
          <w:highlight w:val="none"/>
          <w:u w:val="single"/>
        </w:rPr>
        <w:t>.00%】</w:t>
      </w:r>
      <w:r>
        <w:rPr>
          <w:rFonts w:hint="eastAsia" w:ascii="宋体" w:hAnsi="宋体" w:eastAsia="宋体" w:cs="宋体"/>
          <w:b/>
          <w:bCs/>
          <w:sz w:val="22"/>
          <w:szCs w:val="22"/>
          <w:highlight w:val="none"/>
          <w:u w:val="single"/>
          <w:lang w:eastAsia="zh-CN"/>
        </w:rPr>
        <w:t>，</w:t>
      </w:r>
      <w:r>
        <w:rPr>
          <w:rFonts w:hint="eastAsia" w:ascii="宋体" w:hAnsi="宋体" w:eastAsia="宋体" w:cs="宋体"/>
          <w:b/>
          <w:bCs/>
          <w:sz w:val="22"/>
          <w:szCs w:val="22"/>
          <w:highlight w:val="none"/>
          <w:u w:val="single"/>
          <w:lang w:val="en-US" w:eastAsia="zh-CN"/>
        </w:rPr>
        <w:t>投标人自主定价系数报价小于50%，或者大于150%的作无效标处理</w:t>
      </w:r>
      <w:r>
        <w:rPr>
          <w:rFonts w:hint="eastAsia" w:ascii="宋体" w:hAnsi="宋体" w:eastAsia="宋体" w:cs="宋体"/>
          <w:b/>
          <w:bCs/>
          <w:sz w:val="22"/>
          <w:highlight w:val="none"/>
          <w:u w:val="single"/>
          <w:lang w:val="en-US" w:eastAsia="zh-CN"/>
        </w:rPr>
        <w:t>。</w:t>
      </w:r>
    </w:p>
    <w:p>
      <w:pPr>
        <w:keepNext w:val="0"/>
        <w:keepLines w:val="0"/>
        <w:pageBreakBefore w:val="0"/>
        <w:widowControl w:val="0"/>
        <w:kinsoku/>
        <w:wordWrap/>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2.2汇总商务（报价）评分结算公式为：投标报价得分=A+B+C+D+E+F+G+H（保留小数2位，第3位四舍五入）</w:t>
      </w:r>
    </w:p>
    <w:p>
      <w:pPr>
        <w:keepNext w:val="0"/>
        <w:keepLines w:val="0"/>
        <w:pageBreakBefore w:val="0"/>
        <w:widowControl w:val="0"/>
        <w:kinsoku/>
        <w:wordWrap/>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2.3有效投标人的综合得</w:t>
      </w:r>
      <w:r>
        <w:rPr>
          <w:rFonts w:hint="eastAsia" w:ascii="宋体" w:hAnsi="宋体" w:eastAsia="宋体" w:cs="宋体"/>
          <w:sz w:val="22"/>
          <w:szCs w:val="22"/>
        </w:rPr>
        <w:t>分为技术资信分和其汇总商务（报价）分的总和。</w:t>
      </w:r>
    </w:p>
    <w:p>
      <w:pPr>
        <w:keepNext w:val="0"/>
        <w:keepLines w:val="0"/>
        <w:pageBreakBefore w:val="0"/>
        <w:widowControl w:val="0"/>
        <w:kinsoku/>
        <w:wordWrap/>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2.4评标委员会按</w:t>
      </w:r>
      <w:r>
        <w:rPr>
          <w:rFonts w:hint="eastAsia" w:ascii="宋体" w:hAnsi="宋体" w:eastAsia="宋体" w:cs="宋体"/>
          <w:sz w:val="22"/>
          <w:szCs w:val="22"/>
          <w:lang w:val="en-US" w:eastAsia="zh-CN"/>
        </w:rPr>
        <w:t>各标段投标人</w:t>
      </w:r>
      <w:r>
        <w:rPr>
          <w:rFonts w:hint="eastAsia" w:ascii="宋体" w:hAnsi="宋体" w:eastAsia="宋体" w:cs="宋体"/>
          <w:sz w:val="22"/>
          <w:szCs w:val="22"/>
        </w:rPr>
        <w:t>综合得分</w:t>
      </w:r>
      <w:r>
        <w:rPr>
          <w:rFonts w:hint="eastAsia" w:ascii="宋体" w:hAnsi="宋体" w:eastAsia="宋体" w:cs="宋体"/>
          <w:sz w:val="22"/>
          <w:szCs w:val="22"/>
          <w:lang w:val="en-US" w:eastAsia="zh-CN"/>
        </w:rPr>
        <w:t>由</w:t>
      </w:r>
      <w:r>
        <w:rPr>
          <w:rFonts w:hint="eastAsia" w:ascii="宋体" w:hAnsi="宋体" w:eastAsia="宋体" w:cs="宋体"/>
          <w:sz w:val="22"/>
          <w:szCs w:val="22"/>
        </w:rPr>
        <w:t>高</w:t>
      </w:r>
      <w:r>
        <w:rPr>
          <w:rFonts w:hint="eastAsia" w:ascii="宋体" w:hAnsi="宋体" w:eastAsia="宋体" w:cs="宋体"/>
          <w:sz w:val="22"/>
          <w:szCs w:val="22"/>
          <w:lang w:val="en-US" w:eastAsia="zh-CN"/>
        </w:rPr>
        <w:t>到</w:t>
      </w:r>
      <w:r>
        <w:rPr>
          <w:rFonts w:hint="eastAsia" w:ascii="宋体" w:hAnsi="宋体" w:eastAsia="宋体" w:cs="宋体"/>
          <w:sz w:val="22"/>
          <w:szCs w:val="22"/>
        </w:rPr>
        <w:t>低顺序排列</w:t>
      </w:r>
      <w:r>
        <w:rPr>
          <w:rFonts w:hint="eastAsia" w:ascii="宋体" w:hAnsi="宋体" w:eastAsia="宋体" w:cs="宋体"/>
          <w:sz w:val="22"/>
          <w:szCs w:val="22"/>
          <w:lang w:eastAsia="zh-CN"/>
        </w:rPr>
        <w:t>。</w:t>
      </w:r>
    </w:p>
    <w:p>
      <w:pPr>
        <w:keepNext w:val="0"/>
        <w:keepLines w:val="0"/>
        <w:pageBreakBefore w:val="0"/>
        <w:widowControl w:val="0"/>
        <w:kinsoku/>
        <w:wordWrap/>
        <w:topLinePunct w:val="0"/>
        <w:autoSpaceDE/>
        <w:autoSpaceDN/>
        <w:bidi w:val="0"/>
        <w:adjustRightInd/>
        <w:snapToGrid/>
        <w:spacing w:line="240" w:lineRule="auto"/>
        <w:ind w:firstLine="440" w:firstLineChars="200"/>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为了避免车辆保险业务过度集中，</w:t>
      </w:r>
      <w:r>
        <w:rPr>
          <w:rFonts w:hint="eastAsia" w:ascii="宋体" w:hAnsi="宋体" w:eastAsia="宋体" w:cs="宋体"/>
          <w:sz w:val="22"/>
          <w:szCs w:val="22"/>
        </w:rPr>
        <w:t>合理分配和有效利用</w:t>
      </w:r>
      <w:r>
        <w:rPr>
          <w:rFonts w:hint="eastAsia" w:ascii="宋体" w:hAnsi="宋体" w:eastAsia="宋体" w:cs="宋体"/>
          <w:sz w:val="22"/>
          <w:szCs w:val="22"/>
          <w:lang w:val="en-US" w:eastAsia="zh-CN"/>
        </w:rPr>
        <w:t>现有资源</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以期形成良性竞争机制</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根据同一</w:t>
      </w:r>
      <w:r>
        <w:rPr>
          <w:rFonts w:hint="eastAsia" w:ascii="宋体" w:hAnsi="宋体" w:eastAsia="宋体" w:cs="宋体"/>
          <w:sz w:val="22"/>
          <w:szCs w:val="22"/>
        </w:rPr>
        <w:t>投标人最多只允许中</w:t>
      </w:r>
      <w:r>
        <w:rPr>
          <w:rFonts w:hint="eastAsia" w:ascii="宋体" w:hAnsi="宋体" w:eastAsia="宋体" w:cs="宋体"/>
          <w:sz w:val="22"/>
          <w:szCs w:val="22"/>
          <w:lang w:val="en-US" w:eastAsia="zh-CN"/>
        </w:rPr>
        <w:t>标1</w:t>
      </w:r>
      <w:r>
        <w:rPr>
          <w:rFonts w:hint="eastAsia" w:ascii="宋体" w:hAnsi="宋体" w:eastAsia="宋体" w:cs="宋体"/>
          <w:sz w:val="22"/>
          <w:szCs w:val="22"/>
        </w:rPr>
        <w:t>个标段</w:t>
      </w:r>
      <w:r>
        <w:rPr>
          <w:rFonts w:hint="eastAsia" w:ascii="宋体" w:hAnsi="宋体" w:eastAsia="宋体" w:cs="宋体"/>
          <w:sz w:val="22"/>
          <w:szCs w:val="22"/>
          <w:lang w:val="en-US" w:eastAsia="zh-CN"/>
        </w:rPr>
        <w:t>的规定</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本项目推荐各标段中标候选人的原则如下：</w:t>
      </w:r>
    </w:p>
    <w:p>
      <w:pPr>
        <w:keepNext w:val="0"/>
        <w:keepLines w:val="0"/>
        <w:pageBreakBefore w:val="0"/>
        <w:widowControl w:val="0"/>
        <w:kinsoku/>
        <w:wordWrap/>
        <w:topLinePunct w:val="0"/>
        <w:autoSpaceDE/>
        <w:autoSpaceDN/>
        <w:bidi w:val="0"/>
        <w:adjustRightInd/>
        <w:snapToGrid/>
        <w:spacing w:line="240" w:lineRule="auto"/>
        <w:ind w:firstLine="442" w:firstLineChars="200"/>
        <w:textAlignment w:val="auto"/>
        <w:rPr>
          <w:rFonts w:hint="eastAsia" w:ascii="宋体" w:hAnsi="宋体" w:eastAsia="宋体" w:cs="宋体"/>
          <w:b/>
          <w:bCs/>
          <w:sz w:val="22"/>
          <w:szCs w:val="22"/>
          <w:u w:val="single"/>
        </w:rPr>
      </w:pPr>
      <w:r>
        <w:rPr>
          <w:rFonts w:hint="eastAsia" w:ascii="宋体" w:hAnsi="宋体" w:eastAsia="宋体" w:cs="宋体"/>
          <w:b/>
          <w:bCs/>
          <w:sz w:val="22"/>
          <w:szCs w:val="22"/>
          <w:u w:val="single"/>
          <w:lang w:val="en-US" w:eastAsia="zh-CN"/>
        </w:rPr>
        <w:t>（1）如标段1、标段2综合得分排名第一名的投标人为不同投标人的，则各标段</w:t>
      </w:r>
      <w:r>
        <w:rPr>
          <w:rFonts w:hint="eastAsia" w:ascii="宋体" w:hAnsi="宋体" w:eastAsia="宋体" w:cs="宋体"/>
          <w:b/>
          <w:bCs/>
          <w:sz w:val="22"/>
          <w:szCs w:val="22"/>
          <w:u w:val="single"/>
        </w:rPr>
        <w:t>综合得分</w:t>
      </w:r>
      <w:r>
        <w:rPr>
          <w:rFonts w:hint="eastAsia" w:ascii="宋体" w:hAnsi="宋体" w:eastAsia="宋体" w:cs="宋体"/>
          <w:b/>
          <w:bCs/>
          <w:sz w:val="22"/>
          <w:szCs w:val="22"/>
          <w:u w:val="single"/>
          <w:lang w:val="en-US" w:eastAsia="zh-CN"/>
        </w:rPr>
        <w:t>第一</w:t>
      </w:r>
      <w:r>
        <w:rPr>
          <w:rFonts w:hint="eastAsia" w:ascii="宋体" w:hAnsi="宋体" w:eastAsia="宋体" w:cs="宋体"/>
          <w:b/>
          <w:bCs/>
          <w:sz w:val="22"/>
          <w:szCs w:val="22"/>
          <w:u w:val="single"/>
        </w:rPr>
        <w:t>名</w:t>
      </w:r>
      <w:r>
        <w:rPr>
          <w:rFonts w:hint="eastAsia" w:ascii="宋体" w:hAnsi="宋体" w:eastAsia="宋体" w:cs="宋体"/>
          <w:b/>
          <w:bCs/>
          <w:sz w:val="22"/>
          <w:szCs w:val="22"/>
          <w:u w:val="single"/>
          <w:lang w:eastAsia="zh-CN"/>
        </w:rPr>
        <w:t>投标人</w:t>
      </w:r>
      <w:r>
        <w:rPr>
          <w:rFonts w:hint="eastAsia" w:ascii="宋体" w:hAnsi="宋体" w:eastAsia="宋体" w:cs="宋体"/>
          <w:b/>
          <w:bCs/>
          <w:sz w:val="22"/>
          <w:szCs w:val="22"/>
          <w:u w:val="single"/>
        </w:rPr>
        <w:t>作为</w:t>
      </w:r>
      <w:r>
        <w:rPr>
          <w:rFonts w:hint="eastAsia" w:ascii="宋体" w:hAnsi="宋体" w:eastAsia="宋体" w:cs="宋体"/>
          <w:b/>
          <w:bCs/>
          <w:sz w:val="22"/>
          <w:szCs w:val="22"/>
          <w:u w:val="single"/>
          <w:lang w:val="en-US" w:eastAsia="zh-CN"/>
        </w:rPr>
        <w:t>该标段</w:t>
      </w:r>
      <w:r>
        <w:rPr>
          <w:rFonts w:hint="eastAsia" w:ascii="宋体" w:hAnsi="宋体" w:eastAsia="宋体" w:cs="宋体"/>
          <w:b/>
          <w:bCs/>
          <w:sz w:val="22"/>
          <w:szCs w:val="22"/>
          <w:u w:val="single"/>
        </w:rPr>
        <w:t>第一中标候选人向采购人推荐，并提交评标报告。</w:t>
      </w:r>
    </w:p>
    <w:p>
      <w:pPr>
        <w:keepNext w:val="0"/>
        <w:keepLines w:val="0"/>
        <w:pageBreakBefore w:val="0"/>
        <w:widowControl w:val="0"/>
        <w:kinsoku/>
        <w:wordWrap/>
        <w:topLinePunct w:val="0"/>
        <w:autoSpaceDE/>
        <w:autoSpaceDN/>
        <w:bidi w:val="0"/>
        <w:adjustRightInd/>
        <w:snapToGrid/>
        <w:spacing w:line="240" w:lineRule="auto"/>
        <w:ind w:firstLine="442" w:firstLineChars="200"/>
        <w:textAlignment w:val="auto"/>
        <w:rPr>
          <w:rFonts w:hint="default" w:ascii="宋体" w:hAnsi="宋体" w:eastAsia="宋体" w:cs="宋体"/>
          <w:b/>
          <w:bCs/>
          <w:sz w:val="22"/>
          <w:szCs w:val="22"/>
          <w:u w:val="single"/>
          <w:lang w:val="en-US" w:eastAsia="zh-CN"/>
        </w:rPr>
      </w:pPr>
      <w:r>
        <w:rPr>
          <w:rFonts w:hint="eastAsia" w:ascii="宋体" w:hAnsi="宋体" w:eastAsia="宋体" w:cs="宋体"/>
          <w:b/>
          <w:bCs/>
          <w:sz w:val="22"/>
          <w:szCs w:val="22"/>
          <w:u w:val="single"/>
          <w:lang w:eastAsia="zh-CN"/>
        </w:rPr>
        <w:t>（</w:t>
      </w:r>
      <w:r>
        <w:rPr>
          <w:rFonts w:hint="eastAsia" w:ascii="宋体" w:hAnsi="宋体" w:eastAsia="宋体" w:cs="宋体"/>
          <w:b/>
          <w:bCs/>
          <w:sz w:val="22"/>
          <w:szCs w:val="22"/>
          <w:u w:val="single"/>
          <w:lang w:val="en-US" w:eastAsia="zh-CN"/>
        </w:rPr>
        <w:t>2</w:t>
      </w:r>
      <w:r>
        <w:rPr>
          <w:rFonts w:hint="eastAsia" w:ascii="宋体" w:hAnsi="宋体" w:eastAsia="宋体" w:cs="宋体"/>
          <w:b/>
          <w:bCs/>
          <w:sz w:val="22"/>
          <w:szCs w:val="22"/>
          <w:u w:val="single"/>
          <w:lang w:eastAsia="zh-CN"/>
        </w:rPr>
        <w:t>）</w:t>
      </w:r>
      <w:r>
        <w:rPr>
          <w:rFonts w:hint="eastAsia" w:ascii="宋体" w:hAnsi="宋体" w:eastAsia="宋体" w:cs="宋体"/>
          <w:b/>
          <w:bCs/>
          <w:sz w:val="22"/>
          <w:szCs w:val="22"/>
          <w:u w:val="single"/>
          <w:lang w:val="en-US" w:eastAsia="zh-CN"/>
        </w:rPr>
        <w:t>如标段1、标段2综合得分排名第一名的投标人为同一个投标人的，则该投标人只作为标段1的中标候选人，放弃标段2的中标候选人资格，同时标段2综合得分排名第二的投标人作为标段2的中标候选人。</w:t>
      </w:r>
    </w:p>
    <w:p>
      <w:pPr>
        <w:keepNext w:val="0"/>
        <w:keepLines w:val="0"/>
        <w:pageBreakBefore w:val="0"/>
        <w:widowControl w:val="0"/>
        <w:kinsoku/>
        <w:wordWrap/>
        <w:topLinePunct w:val="0"/>
        <w:autoSpaceDE/>
        <w:autoSpaceDN/>
        <w:bidi w:val="0"/>
        <w:adjustRightInd/>
        <w:snapToGrid/>
        <w:spacing w:line="240" w:lineRule="auto"/>
        <w:ind w:firstLine="442" w:firstLineChars="200"/>
        <w:textAlignment w:val="auto"/>
        <w:rPr>
          <w:rFonts w:hint="eastAsia" w:ascii="宋体" w:hAnsi="宋体" w:eastAsia="宋体" w:cs="宋体"/>
          <w:b/>
          <w:bCs/>
          <w:sz w:val="22"/>
          <w:szCs w:val="22"/>
          <w:u w:val="single"/>
        </w:rPr>
      </w:pPr>
      <w:r>
        <w:rPr>
          <w:rFonts w:hint="eastAsia" w:ascii="宋体" w:hAnsi="宋体" w:eastAsia="宋体" w:cs="宋体"/>
          <w:b/>
          <w:bCs/>
          <w:sz w:val="22"/>
          <w:szCs w:val="22"/>
          <w:u w:val="single"/>
          <w:lang w:eastAsia="zh-CN"/>
        </w:rPr>
        <w:t>（</w:t>
      </w:r>
      <w:r>
        <w:rPr>
          <w:rFonts w:hint="eastAsia" w:ascii="宋体" w:hAnsi="宋体" w:eastAsia="宋体" w:cs="宋体"/>
          <w:b/>
          <w:bCs/>
          <w:sz w:val="22"/>
          <w:szCs w:val="22"/>
          <w:u w:val="single"/>
          <w:lang w:val="en-US" w:eastAsia="zh-CN"/>
        </w:rPr>
        <w:t>3</w:t>
      </w:r>
      <w:r>
        <w:rPr>
          <w:rFonts w:hint="eastAsia" w:ascii="宋体" w:hAnsi="宋体" w:eastAsia="宋体" w:cs="宋体"/>
          <w:b/>
          <w:bCs/>
          <w:sz w:val="22"/>
          <w:szCs w:val="22"/>
          <w:u w:val="single"/>
          <w:lang w:eastAsia="zh-CN"/>
        </w:rPr>
        <w:t>）</w:t>
      </w:r>
      <w:r>
        <w:rPr>
          <w:rFonts w:hint="eastAsia" w:ascii="宋体" w:hAnsi="宋体" w:eastAsia="宋体" w:cs="宋体"/>
          <w:b/>
          <w:bCs/>
          <w:sz w:val="22"/>
          <w:szCs w:val="22"/>
          <w:u w:val="single"/>
        </w:rPr>
        <w:t>得分相同的，按汇总商务（报价）分由高到低的顺序排列，若汇总商务（报价）分相同的，则由评标委员</w:t>
      </w:r>
      <w:r>
        <w:rPr>
          <w:rFonts w:hint="eastAsia" w:ascii="宋体" w:hAnsi="宋体" w:eastAsia="宋体" w:cs="宋体"/>
          <w:b/>
          <w:bCs/>
          <w:sz w:val="22"/>
          <w:u w:val="single"/>
        </w:rPr>
        <w:t>会在所有得分均相同者中随机抽取其中一名为名次优先者</w:t>
      </w:r>
      <w:r>
        <w:rPr>
          <w:rFonts w:hint="eastAsia" w:ascii="宋体" w:hAnsi="宋体" w:eastAsia="宋体" w:cs="宋体"/>
          <w:b/>
          <w:bCs/>
          <w:sz w:val="22"/>
          <w:szCs w:val="22"/>
          <w:u w:val="single"/>
        </w:rPr>
        <w:t>。</w:t>
      </w:r>
    </w:p>
    <w:p>
      <w:pPr>
        <w:keepNext w:val="0"/>
        <w:keepLines w:val="0"/>
        <w:pageBreakBefore w:val="0"/>
        <w:widowControl w:val="0"/>
        <w:kinsoku/>
        <w:wordWrap/>
        <w:topLinePunct w:val="0"/>
        <w:autoSpaceDE/>
        <w:autoSpaceDN/>
        <w:bidi w:val="0"/>
        <w:adjustRightInd/>
        <w:snapToGrid/>
        <w:spacing w:line="240" w:lineRule="auto"/>
        <w:ind w:firstLine="442" w:firstLineChars="200"/>
        <w:textAlignment w:val="auto"/>
        <w:rPr>
          <w:rFonts w:hint="eastAsia" w:ascii="宋体" w:hAnsi="宋体" w:eastAsia="宋体" w:cs="宋体"/>
          <w:b/>
          <w:bCs/>
          <w:sz w:val="22"/>
          <w:szCs w:val="22"/>
          <w:u w:val="single"/>
          <w:lang w:eastAsia="zh-CN"/>
        </w:rPr>
      </w:pPr>
      <w:r>
        <w:rPr>
          <w:rFonts w:hint="eastAsia" w:ascii="宋体" w:hAnsi="宋体" w:eastAsia="宋体" w:cs="宋体"/>
          <w:b/>
          <w:bCs/>
          <w:sz w:val="22"/>
          <w:szCs w:val="22"/>
          <w:u w:val="single"/>
          <w:lang w:eastAsia="zh-CN"/>
        </w:rPr>
        <w:t>（</w:t>
      </w:r>
      <w:r>
        <w:rPr>
          <w:rFonts w:hint="eastAsia" w:ascii="宋体" w:hAnsi="宋体" w:eastAsia="宋体" w:cs="宋体"/>
          <w:b/>
          <w:bCs/>
          <w:sz w:val="22"/>
          <w:szCs w:val="22"/>
          <w:u w:val="single"/>
          <w:lang w:val="en-US" w:eastAsia="zh-CN"/>
        </w:rPr>
        <w:t>4</w:t>
      </w:r>
      <w:r>
        <w:rPr>
          <w:rFonts w:hint="eastAsia" w:ascii="宋体" w:hAnsi="宋体" w:eastAsia="宋体" w:cs="宋体"/>
          <w:b/>
          <w:bCs/>
          <w:sz w:val="22"/>
          <w:szCs w:val="22"/>
          <w:u w:val="single"/>
          <w:lang w:eastAsia="zh-CN"/>
        </w:rPr>
        <w:t>）</w:t>
      </w:r>
      <w:r>
        <w:rPr>
          <w:rFonts w:hint="eastAsia" w:ascii="宋体" w:hAnsi="宋体" w:eastAsia="宋体" w:cs="宋体"/>
          <w:b/>
          <w:bCs/>
          <w:sz w:val="22"/>
          <w:szCs w:val="22"/>
          <w:u w:val="single"/>
          <w:lang w:val="en-US" w:eastAsia="zh-CN"/>
        </w:rPr>
        <w:t>如某标段</w:t>
      </w:r>
      <w:r>
        <w:rPr>
          <w:rFonts w:hint="eastAsia" w:ascii="宋体" w:hAnsi="宋体" w:eastAsia="宋体" w:cs="宋体"/>
          <w:b/>
          <w:bCs/>
          <w:sz w:val="22"/>
          <w:szCs w:val="22"/>
          <w:u w:val="single"/>
          <w:lang w:eastAsia="zh-CN"/>
        </w:rPr>
        <w:t>如有效投标人</w:t>
      </w:r>
      <w:r>
        <w:rPr>
          <w:rFonts w:hint="eastAsia" w:ascii="宋体" w:hAnsi="宋体" w:eastAsia="宋体" w:cs="宋体"/>
          <w:b/>
          <w:bCs/>
          <w:sz w:val="22"/>
          <w:szCs w:val="22"/>
          <w:u w:val="single"/>
          <w:lang w:val="en-US" w:eastAsia="zh-CN"/>
        </w:rPr>
        <w:t>小于</w:t>
      </w:r>
      <w:r>
        <w:rPr>
          <w:rFonts w:hint="eastAsia" w:ascii="宋体" w:hAnsi="宋体" w:eastAsia="宋体" w:cs="宋体"/>
          <w:b/>
          <w:bCs/>
          <w:sz w:val="22"/>
          <w:szCs w:val="22"/>
          <w:u w:val="single"/>
          <w:lang w:eastAsia="zh-CN"/>
        </w:rPr>
        <w:t>3家时，</w:t>
      </w:r>
      <w:r>
        <w:rPr>
          <w:rFonts w:hint="eastAsia" w:ascii="宋体" w:hAnsi="宋体" w:eastAsia="宋体" w:cs="宋体"/>
          <w:b/>
          <w:bCs/>
          <w:sz w:val="22"/>
          <w:szCs w:val="22"/>
          <w:u w:val="single"/>
          <w:lang w:val="en-US" w:eastAsia="zh-CN"/>
        </w:rPr>
        <w:t>则该标段</w:t>
      </w:r>
      <w:r>
        <w:rPr>
          <w:rFonts w:hint="eastAsia" w:ascii="宋体" w:hAnsi="宋体" w:eastAsia="宋体" w:cs="宋体"/>
          <w:b/>
          <w:bCs/>
          <w:sz w:val="22"/>
          <w:szCs w:val="22"/>
          <w:u w:val="single"/>
          <w:lang w:eastAsia="zh-CN"/>
        </w:rPr>
        <w:t>作废标处理。</w:t>
      </w:r>
    </w:p>
    <w:p>
      <w:pPr>
        <w:keepNext w:val="0"/>
        <w:keepLines w:val="0"/>
        <w:pageBreakBefore w:val="0"/>
        <w:widowControl w:val="0"/>
        <w:kinsoku/>
        <w:wordWrap/>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p>
    <w:bookmarkEnd w:id="228"/>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六、定标办法</w:t>
      </w:r>
      <w:bookmarkStart w:id="229" w:name="_Toc221356904"/>
      <w:bookmarkStart w:id="230" w:name="_Toc221356967"/>
    </w:p>
    <w:p>
      <w:pPr>
        <w:ind w:firstLine="442" w:firstLineChars="200"/>
        <w:rPr>
          <w:rFonts w:hint="eastAsia" w:ascii="宋体" w:hAnsi="宋体" w:eastAsia="宋体" w:cs="宋体"/>
          <w:sz w:val="22"/>
          <w:highlight w:val="none"/>
        </w:rPr>
      </w:pPr>
      <w:r>
        <w:rPr>
          <w:rFonts w:hint="eastAsia" w:ascii="宋体" w:hAnsi="宋体" w:eastAsia="宋体" w:cs="宋体"/>
          <w:b/>
          <w:bCs/>
          <w:color w:val="auto"/>
          <w:sz w:val="22"/>
          <w:u w:val="single"/>
          <w:lang w:val="en-US" w:eastAsia="zh-CN"/>
        </w:rPr>
        <w:t>采购人直接按照评标委员会的推荐结果</w:t>
      </w:r>
      <w:r>
        <w:rPr>
          <w:rFonts w:hint="eastAsia" w:ascii="宋体" w:hAnsi="宋体" w:eastAsia="宋体" w:cs="宋体"/>
          <w:b/>
          <w:bCs/>
          <w:color w:val="auto"/>
          <w:sz w:val="22"/>
          <w:u w:val="single"/>
        </w:rPr>
        <w:t>确定中标人</w:t>
      </w:r>
      <w:r>
        <w:rPr>
          <w:rFonts w:hint="eastAsia" w:ascii="宋体" w:hAnsi="宋体" w:eastAsia="宋体" w:cs="宋体"/>
          <w:color w:val="auto"/>
          <w:sz w:val="22"/>
        </w:rPr>
        <w:t>。若</w:t>
      </w:r>
      <w:r>
        <w:rPr>
          <w:rFonts w:hint="eastAsia" w:ascii="宋体" w:hAnsi="宋体" w:eastAsia="宋体" w:cs="宋体"/>
          <w:color w:val="auto"/>
          <w:sz w:val="22"/>
          <w:lang w:val="en-US" w:eastAsia="zh-CN"/>
        </w:rPr>
        <w:t>某标段</w:t>
      </w:r>
      <w:r>
        <w:rPr>
          <w:rFonts w:hint="eastAsia" w:ascii="宋体" w:hAnsi="宋体" w:eastAsia="宋体" w:cs="宋体"/>
          <w:color w:val="auto"/>
          <w:sz w:val="22"/>
        </w:rPr>
        <w:t>有中标人放弃中标；或因不可抗力提出不能履行合同；或者采购文件规定应当提交履约担保而在规定的期限内未能提交的；或未能在规定时间内与采购人签订合同的；或者经质疑，经审查后，确因中标人在本次采购活动中存在违法违规行为或其他原因使质疑成立的，采购人有权取消其中标资格，宣布本</w:t>
      </w:r>
      <w:r>
        <w:rPr>
          <w:rFonts w:hint="eastAsia" w:ascii="宋体" w:hAnsi="宋体" w:eastAsia="宋体" w:cs="宋体"/>
          <w:color w:val="auto"/>
          <w:sz w:val="22"/>
          <w:lang w:val="en-US" w:eastAsia="zh-CN"/>
        </w:rPr>
        <w:t>标段</w:t>
      </w:r>
      <w:r>
        <w:rPr>
          <w:rFonts w:hint="eastAsia" w:ascii="宋体" w:hAnsi="宋体" w:eastAsia="宋体" w:cs="宋体"/>
          <w:color w:val="auto"/>
          <w:sz w:val="22"/>
        </w:rPr>
        <w:t>采购失败，重新组织采购。</w:t>
      </w:r>
    </w:p>
    <w:p>
      <w:pPr>
        <w:rPr>
          <w:rFonts w:hint="eastAsia" w:ascii="宋体" w:hAnsi="宋体" w:eastAsia="宋体" w:cs="宋体"/>
          <w:b/>
          <w:sz w:val="22"/>
          <w:szCs w:val="24"/>
          <w:highlight w:val="none"/>
        </w:rPr>
      </w:pP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29"/>
      <w:bookmarkEnd w:id="230"/>
    </w:p>
    <w:p>
      <w:pPr>
        <w:ind w:firstLine="440" w:firstLineChars="200"/>
        <w:rPr>
          <w:rFonts w:hint="eastAsia" w:ascii="宋体" w:hAnsi="宋体" w:eastAsia="宋体" w:cs="宋体"/>
          <w:color w:val="auto"/>
          <w:sz w:val="22"/>
        </w:rPr>
      </w:pPr>
      <w:r>
        <w:rPr>
          <w:rFonts w:hint="eastAsia" w:ascii="宋体" w:hAnsi="宋体" w:eastAsia="宋体" w:cs="宋体"/>
          <w:color w:val="auto"/>
          <w:sz w:val="22"/>
        </w:rPr>
        <w:t>评标结束后，采购人将在发布采购公告的网站上公示中标结果。中标公告期为3日，中标公告期限结束无异议的，采购人向中标人发出中标通知书。</w:t>
      </w:r>
    </w:p>
    <w:p>
      <w:pPr>
        <w:ind w:firstLine="440" w:firstLineChars="200"/>
        <w:rPr>
          <w:rFonts w:hint="eastAsia" w:ascii="宋体" w:hAnsi="宋体" w:eastAsia="宋体" w:cs="宋体"/>
          <w:sz w:val="22"/>
          <w:highlight w:val="none"/>
        </w:rPr>
      </w:pPr>
      <w:r>
        <w:rPr>
          <w:rFonts w:hint="eastAsia" w:ascii="宋体" w:hAnsi="宋体" w:eastAsia="宋体" w:cs="宋体"/>
          <w:color w:val="auto"/>
          <w:sz w:val="22"/>
        </w:rPr>
        <w:t>各投标人对评标结果如有异议，可在中标公告期内以书面形式向采购人进行署名投诉或提出质疑，但需对投诉或质疑内容的真实性承担法律责任</w:t>
      </w:r>
      <w:r>
        <w:rPr>
          <w:rFonts w:hint="eastAsia" w:ascii="宋体" w:hAnsi="宋体" w:eastAsia="宋体" w:cs="宋体"/>
          <w:sz w:val="22"/>
        </w:rPr>
        <w:t>。</w:t>
      </w:r>
    </w:p>
    <w:p>
      <w:pPr>
        <w:rPr>
          <w:rFonts w:hint="eastAsia" w:ascii="宋体" w:hAnsi="宋体" w:eastAsia="宋体" w:cs="宋体"/>
          <w:b/>
          <w:sz w:val="22"/>
          <w:szCs w:val="24"/>
          <w:highlight w:val="none"/>
        </w:rPr>
      </w:pP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pPr>
        <w:ind w:firstLine="440" w:firstLineChars="200"/>
        <w:rPr>
          <w:rFonts w:hint="eastAsia" w:ascii="宋体" w:hAnsi="宋体" w:eastAsia="宋体" w:cs="宋体"/>
          <w:szCs w:val="24"/>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headerReference r:id="rId3" w:type="default"/>
      <w:footerReference r:id="rId4" w:type="default"/>
      <w:pgSz w:w="11906" w:h="16838"/>
      <w:pgMar w:top="1474" w:right="1474" w:bottom="1417" w:left="1406"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Liberation Sans">
    <w:altName w:val="Arial"/>
    <w:panose1 w:val="020B0604020202020204"/>
    <w:charset w:val="00"/>
    <w:family w:val="swiss"/>
    <w:pitch w:val="default"/>
    <w:sig w:usb0="00000000" w:usb1="00000000" w:usb2="00000021" w:usb3="00000000" w:csb0="000001BF" w:csb1="0000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4291D3"/>
    <w:multiLevelType w:val="singleLevel"/>
    <w:tmpl w:val="9E4291D3"/>
    <w:lvl w:ilvl="0" w:tentative="0">
      <w:start w:val="2"/>
      <w:numFmt w:val="decimal"/>
      <w:suff w:val="space"/>
      <w:lvlText w:val="%1．"/>
      <w:lvlJc w:val="left"/>
    </w:lvl>
  </w:abstractNum>
  <w:abstractNum w:abstractNumId="2">
    <w:nsid w:val="9E8211EC"/>
    <w:multiLevelType w:val="singleLevel"/>
    <w:tmpl w:val="9E8211EC"/>
    <w:lvl w:ilvl="0" w:tentative="0">
      <w:start w:val="1"/>
      <w:numFmt w:val="decimal"/>
      <w:lvlText w:val="(%1)"/>
      <w:lvlJc w:val="left"/>
      <w:pPr>
        <w:ind w:left="425" w:hanging="425"/>
      </w:pPr>
      <w:rPr>
        <w:rFonts w:hint="default"/>
      </w:rPr>
    </w:lvl>
  </w:abstractNum>
  <w:abstractNum w:abstractNumId="3">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E0169EAB"/>
    <w:multiLevelType w:val="singleLevel"/>
    <w:tmpl w:val="E0169EAB"/>
    <w:lvl w:ilvl="0" w:tentative="0">
      <w:start w:val="1"/>
      <w:numFmt w:val="decimal"/>
      <w:lvlText w:val="%1."/>
      <w:lvlJc w:val="left"/>
      <w:pPr>
        <w:tabs>
          <w:tab w:val="left" w:pos="312"/>
        </w:tabs>
      </w:pPr>
    </w:lvl>
  </w:abstractNum>
  <w:abstractNum w:abstractNumId="5">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9">
    <w:nsid w:val="160923B7"/>
    <w:multiLevelType w:val="singleLevel"/>
    <w:tmpl w:val="160923B7"/>
    <w:lvl w:ilvl="0" w:tentative="0">
      <w:start w:val="1"/>
      <w:numFmt w:val="decimal"/>
      <w:lvlText w:val="%1."/>
      <w:lvlJc w:val="left"/>
      <w:pPr>
        <w:ind w:left="425" w:hanging="425"/>
      </w:pPr>
      <w:rPr>
        <w:rFonts w:hint="default"/>
      </w:rPr>
    </w:lvl>
  </w:abstractNum>
  <w:abstractNum w:abstractNumId="20">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1">
    <w:nsid w:val="61C91FB3"/>
    <w:multiLevelType w:val="multilevel"/>
    <w:tmpl w:val="61C91FB3"/>
    <w:lvl w:ilvl="0" w:tentative="0">
      <w:start w:val="1"/>
      <w:numFmt w:val="decimal"/>
      <w:pStyle w:val="61"/>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2">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3">
    <w:nsid w:val="72516D77"/>
    <w:multiLevelType w:val="multilevel"/>
    <w:tmpl w:val="72516D77"/>
    <w:lvl w:ilvl="0" w:tentative="0">
      <w:start w:val="1"/>
      <w:numFmt w:val="decimal"/>
      <w:lvlText w:val="%1"/>
      <w:lvlJc w:val="center"/>
      <w:pPr>
        <w:ind w:left="239"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1"/>
  </w:num>
  <w:num w:numId="2">
    <w:abstractNumId w:val="23"/>
  </w:num>
  <w:num w:numId="3">
    <w:abstractNumId w:val="7"/>
  </w:num>
  <w:num w:numId="4">
    <w:abstractNumId w:val="6"/>
  </w:num>
  <w:num w:numId="5">
    <w:abstractNumId w:val="9"/>
  </w:num>
  <w:num w:numId="6">
    <w:abstractNumId w:val="17"/>
  </w:num>
  <w:num w:numId="7">
    <w:abstractNumId w:val="14"/>
  </w:num>
  <w:num w:numId="8">
    <w:abstractNumId w:val="16"/>
  </w:num>
  <w:num w:numId="9">
    <w:abstractNumId w:val="24"/>
  </w:num>
  <w:num w:numId="10">
    <w:abstractNumId w:val="12"/>
  </w:num>
  <w:num w:numId="11">
    <w:abstractNumId w:val="13"/>
  </w:num>
  <w:num w:numId="12">
    <w:abstractNumId w:val="8"/>
  </w:num>
  <w:num w:numId="13">
    <w:abstractNumId w:val="2"/>
  </w:num>
  <w:num w:numId="14">
    <w:abstractNumId w:val="15"/>
  </w:num>
  <w:num w:numId="15">
    <w:abstractNumId w:val="10"/>
  </w:num>
  <w:num w:numId="16">
    <w:abstractNumId w:val="11"/>
  </w:num>
  <w:num w:numId="17">
    <w:abstractNumId w:val="18"/>
  </w:num>
  <w:num w:numId="18">
    <w:abstractNumId w:val="5"/>
  </w:num>
  <w:num w:numId="19">
    <w:abstractNumId w:val="0"/>
  </w:num>
  <w:num w:numId="20">
    <w:abstractNumId w:val="22"/>
  </w:num>
  <w:num w:numId="21">
    <w:abstractNumId w:val="3"/>
  </w:num>
  <w:num w:numId="22">
    <w:abstractNumId w:val="20"/>
  </w:num>
  <w:num w:numId="23">
    <w:abstractNumId w:val="1"/>
  </w:num>
  <w:num w:numId="24">
    <w:abstractNumId w:val="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CD6746"/>
    <w:rsid w:val="00002209"/>
    <w:rsid w:val="00010E87"/>
    <w:rsid w:val="00017920"/>
    <w:rsid w:val="00046C7A"/>
    <w:rsid w:val="000802B4"/>
    <w:rsid w:val="000B3BDE"/>
    <w:rsid w:val="000B78F9"/>
    <w:rsid w:val="000C1346"/>
    <w:rsid w:val="000D11D0"/>
    <w:rsid w:val="000E618F"/>
    <w:rsid w:val="001362B5"/>
    <w:rsid w:val="001722E2"/>
    <w:rsid w:val="001B5FCD"/>
    <w:rsid w:val="001C6521"/>
    <w:rsid w:val="001E6FC7"/>
    <w:rsid w:val="00224B63"/>
    <w:rsid w:val="00242376"/>
    <w:rsid w:val="0026550F"/>
    <w:rsid w:val="00293F84"/>
    <w:rsid w:val="002D3124"/>
    <w:rsid w:val="002F4EEF"/>
    <w:rsid w:val="003525B4"/>
    <w:rsid w:val="00367145"/>
    <w:rsid w:val="00371AB3"/>
    <w:rsid w:val="003A00F9"/>
    <w:rsid w:val="003B1312"/>
    <w:rsid w:val="00411F28"/>
    <w:rsid w:val="00421B87"/>
    <w:rsid w:val="00427082"/>
    <w:rsid w:val="0044502A"/>
    <w:rsid w:val="00450D7D"/>
    <w:rsid w:val="00451648"/>
    <w:rsid w:val="00451C63"/>
    <w:rsid w:val="004C0DAD"/>
    <w:rsid w:val="004C5425"/>
    <w:rsid w:val="004D7813"/>
    <w:rsid w:val="00553944"/>
    <w:rsid w:val="00561D6D"/>
    <w:rsid w:val="005B0A7C"/>
    <w:rsid w:val="005B7971"/>
    <w:rsid w:val="0060281D"/>
    <w:rsid w:val="00643E84"/>
    <w:rsid w:val="0064661C"/>
    <w:rsid w:val="006609C0"/>
    <w:rsid w:val="006947FE"/>
    <w:rsid w:val="006A31BD"/>
    <w:rsid w:val="006A6A05"/>
    <w:rsid w:val="006A7317"/>
    <w:rsid w:val="006C681A"/>
    <w:rsid w:val="006E7A33"/>
    <w:rsid w:val="006F47BA"/>
    <w:rsid w:val="00701640"/>
    <w:rsid w:val="00763F7B"/>
    <w:rsid w:val="007658FB"/>
    <w:rsid w:val="007A4CCF"/>
    <w:rsid w:val="007C268B"/>
    <w:rsid w:val="008029EA"/>
    <w:rsid w:val="00810666"/>
    <w:rsid w:val="00895C97"/>
    <w:rsid w:val="008B0C7F"/>
    <w:rsid w:val="008C23B2"/>
    <w:rsid w:val="009565A1"/>
    <w:rsid w:val="009603C0"/>
    <w:rsid w:val="00960815"/>
    <w:rsid w:val="00993496"/>
    <w:rsid w:val="00995E81"/>
    <w:rsid w:val="009B2DFA"/>
    <w:rsid w:val="009D2146"/>
    <w:rsid w:val="00AB610C"/>
    <w:rsid w:val="00AC4A5E"/>
    <w:rsid w:val="00AC4E1A"/>
    <w:rsid w:val="00B048F6"/>
    <w:rsid w:val="00B11B43"/>
    <w:rsid w:val="00B45D1F"/>
    <w:rsid w:val="00B5717E"/>
    <w:rsid w:val="00B626A3"/>
    <w:rsid w:val="00BB31F2"/>
    <w:rsid w:val="00BB3236"/>
    <w:rsid w:val="00BB5A01"/>
    <w:rsid w:val="00BF396E"/>
    <w:rsid w:val="00C13189"/>
    <w:rsid w:val="00C16302"/>
    <w:rsid w:val="00C175F6"/>
    <w:rsid w:val="00C33D7E"/>
    <w:rsid w:val="00C56301"/>
    <w:rsid w:val="00C946C8"/>
    <w:rsid w:val="00CA71C7"/>
    <w:rsid w:val="00CC659D"/>
    <w:rsid w:val="00CD6746"/>
    <w:rsid w:val="00CE34A0"/>
    <w:rsid w:val="00D32D61"/>
    <w:rsid w:val="00D4194F"/>
    <w:rsid w:val="00D90920"/>
    <w:rsid w:val="00DB322A"/>
    <w:rsid w:val="00DC5486"/>
    <w:rsid w:val="00DD5DF5"/>
    <w:rsid w:val="00DE3315"/>
    <w:rsid w:val="00E47644"/>
    <w:rsid w:val="00E6656A"/>
    <w:rsid w:val="00E931CA"/>
    <w:rsid w:val="00ED7B43"/>
    <w:rsid w:val="00EE64DB"/>
    <w:rsid w:val="00EF703B"/>
    <w:rsid w:val="00F03F37"/>
    <w:rsid w:val="00F213A8"/>
    <w:rsid w:val="00F56231"/>
    <w:rsid w:val="00F80823"/>
    <w:rsid w:val="00FC1656"/>
    <w:rsid w:val="01050DD1"/>
    <w:rsid w:val="011D0AED"/>
    <w:rsid w:val="01274FF8"/>
    <w:rsid w:val="014C4493"/>
    <w:rsid w:val="01543C57"/>
    <w:rsid w:val="02167E2E"/>
    <w:rsid w:val="02197961"/>
    <w:rsid w:val="021C1D55"/>
    <w:rsid w:val="02944914"/>
    <w:rsid w:val="02D24484"/>
    <w:rsid w:val="02DF57A3"/>
    <w:rsid w:val="03211158"/>
    <w:rsid w:val="03366DBC"/>
    <w:rsid w:val="03836586"/>
    <w:rsid w:val="03EF1052"/>
    <w:rsid w:val="040A2A2B"/>
    <w:rsid w:val="04624A83"/>
    <w:rsid w:val="04824617"/>
    <w:rsid w:val="04D83AD1"/>
    <w:rsid w:val="055022DD"/>
    <w:rsid w:val="057E621A"/>
    <w:rsid w:val="05BE4CB2"/>
    <w:rsid w:val="06AE5C02"/>
    <w:rsid w:val="06CE2EE3"/>
    <w:rsid w:val="078139DC"/>
    <w:rsid w:val="07B211EB"/>
    <w:rsid w:val="07E24FCA"/>
    <w:rsid w:val="07E27C7A"/>
    <w:rsid w:val="083557CE"/>
    <w:rsid w:val="091778FF"/>
    <w:rsid w:val="09177B1B"/>
    <w:rsid w:val="097C02F6"/>
    <w:rsid w:val="0990123E"/>
    <w:rsid w:val="09A75981"/>
    <w:rsid w:val="0A0C1598"/>
    <w:rsid w:val="0A0D1766"/>
    <w:rsid w:val="0A4D33DB"/>
    <w:rsid w:val="0A80447C"/>
    <w:rsid w:val="0AB15DFF"/>
    <w:rsid w:val="0B984BB0"/>
    <w:rsid w:val="0BD04BB3"/>
    <w:rsid w:val="0C222966"/>
    <w:rsid w:val="0C404D2E"/>
    <w:rsid w:val="0CAC58A9"/>
    <w:rsid w:val="0CFF7CDA"/>
    <w:rsid w:val="0D0A276B"/>
    <w:rsid w:val="0D166094"/>
    <w:rsid w:val="0D2D73E9"/>
    <w:rsid w:val="0D4F3E54"/>
    <w:rsid w:val="0D860F93"/>
    <w:rsid w:val="0E0E0A00"/>
    <w:rsid w:val="0E2528AD"/>
    <w:rsid w:val="0E365167"/>
    <w:rsid w:val="0E4C50C0"/>
    <w:rsid w:val="0F015427"/>
    <w:rsid w:val="0F181026"/>
    <w:rsid w:val="0F5F1B8F"/>
    <w:rsid w:val="0FA90764"/>
    <w:rsid w:val="0FBD70B2"/>
    <w:rsid w:val="0FEE2258"/>
    <w:rsid w:val="0FF178EE"/>
    <w:rsid w:val="1033462A"/>
    <w:rsid w:val="10553CBF"/>
    <w:rsid w:val="105B53C5"/>
    <w:rsid w:val="10AC216A"/>
    <w:rsid w:val="10DC4179"/>
    <w:rsid w:val="10E74FC8"/>
    <w:rsid w:val="11837AE7"/>
    <w:rsid w:val="11B5192B"/>
    <w:rsid w:val="11BE6E5C"/>
    <w:rsid w:val="12132094"/>
    <w:rsid w:val="1233379C"/>
    <w:rsid w:val="12612D42"/>
    <w:rsid w:val="12D60804"/>
    <w:rsid w:val="12FA5CC9"/>
    <w:rsid w:val="13193720"/>
    <w:rsid w:val="131F731B"/>
    <w:rsid w:val="13855179"/>
    <w:rsid w:val="14250C9D"/>
    <w:rsid w:val="14362C14"/>
    <w:rsid w:val="144607CD"/>
    <w:rsid w:val="14532C1A"/>
    <w:rsid w:val="147E4651"/>
    <w:rsid w:val="14E775D9"/>
    <w:rsid w:val="154D045C"/>
    <w:rsid w:val="159F3468"/>
    <w:rsid w:val="15B2638E"/>
    <w:rsid w:val="161636D3"/>
    <w:rsid w:val="16371AE2"/>
    <w:rsid w:val="16F0162C"/>
    <w:rsid w:val="17204078"/>
    <w:rsid w:val="175D20E7"/>
    <w:rsid w:val="1777230E"/>
    <w:rsid w:val="17951D53"/>
    <w:rsid w:val="17F42F7B"/>
    <w:rsid w:val="18032530"/>
    <w:rsid w:val="1833336E"/>
    <w:rsid w:val="18440CDE"/>
    <w:rsid w:val="194873ED"/>
    <w:rsid w:val="194A795A"/>
    <w:rsid w:val="195C04C4"/>
    <w:rsid w:val="196F67D9"/>
    <w:rsid w:val="197868BE"/>
    <w:rsid w:val="19BB06CF"/>
    <w:rsid w:val="19BF1F1C"/>
    <w:rsid w:val="1A19705E"/>
    <w:rsid w:val="1A4B1C44"/>
    <w:rsid w:val="1A831E6C"/>
    <w:rsid w:val="1A832753"/>
    <w:rsid w:val="1AA84175"/>
    <w:rsid w:val="1AB7139C"/>
    <w:rsid w:val="1B406140"/>
    <w:rsid w:val="1B55070F"/>
    <w:rsid w:val="1BAB4386"/>
    <w:rsid w:val="1BCC3D8C"/>
    <w:rsid w:val="1C1A3373"/>
    <w:rsid w:val="1C200774"/>
    <w:rsid w:val="1C63292E"/>
    <w:rsid w:val="1C74219B"/>
    <w:rsid w:val="1C8F3C79"/>
    <w:rsid w:val="1CA9457D"/>
    <w:rsid w:val="1CC47E3D"/>
    <w:rsid w:val="1CFE561E"/>
    <w:rsid w:val="1D505608"/>
    <w:rsid w:val="1E4E3734"/>
    <w:rsid w:val="1EED2144"/>
    <w:rsid w:val="1F6F32E2"/>
    <w:rsid w:val="1FD33B2E"/>
    <w:rsid w:val="201179B6"/>
    <w:rsid w:val="20400917"/>
    <w:rsid w:val="204E5122"/>
    <w:rsid w:val="20525F7C"/>
    <w:rsid w:val="20A255F0"/>
    <w:rsid w:val="20E12C42"/>
    <w:rsid w:val="211D2FFF"/>
    <w:rsid w:val="2187489E"/>
    <w:rsid w:val="221107BD"/>
    <w:rsid w:val="22AE0075"/>
    <w:rsid w:val="22D25589"/>
    <w:rsid w:val="22D83A93"/>
    <w:rsid w:val="2361779A"/>
    <w:rsid w:val="23701F89"/>
    <w:rsid w:val="23E20B30"/>
    <w:rsid w:val="242D4E69"/>
    <w:rsid w:val="24497D13"/>
    <w:rsid w:val="24855D52"/>
    <w:rsid w:val="24BE471B"/>
    <w:rsid w:val="25012D45"/>
    <w:rsid w:val="253B607A"/>
    <w:rsid w:val="25722EEF"/>
    <w:rsid w:val="25887673"/>
    <w:rsid w:val="2589495C"/>
    <w:rsid w:val="25A10903"/>
    <w:rsid w:val="25D1643E"/>
    <w:rsid w:val="2610216E"/>
    <w:rsid w:val="262113C9"/>
    <w:rsid w:val="26411586"/>
    <w:rsid w:val="267E7AA6"/>
    <w:rsid w:val="26CE7BDC"/>
    <w:rsid w:val="27025B40"/>
    <w:rsid w:val="270F29F5"/>
    <w:rsid w:val="2710044B"/>
    <w:rsid w:val="27322093"/>
    <w:rsid w:val="276055B0"/>
    <w:rsid w:val="276649E8"/>
    <w:rsid w:val="276C31C2"/>
    <w:rsid w:val="27761B43"/>
    <w:rsid w:val="278B56AB"/>
    <w:rsid w:val="279F44FE"/>
    <w:rsid w:val="27A0246B"/>
    <w:rsid w:val="27A25135"/>
    <w:rsid w:val="27A92032"/>
    <w:rsid w:val="27CB4942"/>
    <w:rsid w:val="28B3471A"/>
    <w:rsid w:val="292170A7"/>
    <w:rsid w:val="2939535D"/>
    <w:rsid w:val="297B7724"/>
    <w:rsid w:val="2A0F2878"/>
    <w:rsid w:val="2A4F3B9E"/>
    <w:rsid w:val="2A5735B5"/>
    <w:rsid w:val="2A5D30E7"/>
    <w:rsid w:val="2A822135"/>
    <w:rsid w:val="2AD2594C"/>
    <w:rsid w:val="2B291D79"/>
    <w:rsid w:val="2BAE17FF"/>
    <w:rsid w:val="2BE91F37"/>
    <w:rsid w:val="2BEC2B5B"/>
    <w:rsid w:val="2BEC74F3"/>
    <w:rsid w:val="2CF325E7"/>
    <w:rsid w:val="2CFC12F4"/>
    <w:rsid w:val="2D473ED9"/>
    <w:rsid w:val="2D773EA6"/>
    <w:rsid w:val="2D8C35AC"/>
    <w:rsid w:val="2D8D700C"/>
    <w:rsid w:val="2DE46FCA"/>
    <w:rsid w:val="2E562B2B"/>
    <w:rsid w:val="2E6433AC"/>
    <w:rsid w:val="2E785E0C"/>
    <w:rsid w:val="2EAE08C1"/>
    <w:rsid w:val="2F4D30AF"/>
    <w:rsid w:val="2F922452"/>
    <w:rsid w:val="2FD52688"/>
    <w:rsid w:val="2FD76B14"/>
    <w:rsid w:val="2FEF547F"/>
    <w:rsid w:val="303B76F3"/>
    <w:rsid w:val="30856178"/>
    <w:rsid w:val="30EA3383"/>
    <w:rsid w:val="31724B56"/>
    <w:rsid w:val="31A37AA5"/>
    <w:rsid w:val="31E8713E"/>
    <w:rsid w:val="31EF7474"/>
    <w:rsid w:val="31F26504"/>
    <w:rsid w:val="32330741"/>
    <w:rsid w:val="32AB107A"/>
    <w:rsid w:val="32B57645"/>
    <w:rsid w:val="3382177E"/>
    <w:rsid w:val="338E169D"/>
    <w:rsid w:val="3398092F"/>
    <w:rsid w:val="33B87E44"/>
    <w:rsid w:val="33DA34C6"/>
    <w:rsid w:val="341A30EC"/>
    <w:rsid w:val="342662C1"/>
    <w:rsid w:val="34325E16"/>
    <w:rsid w:val="34402E73"/>
    <w:rsid w:val="34870358"/>
    <w:rsid w:val="34CE4C2F"/>
    <w:rsid w:val="350C2877"/>
    <w:rsid w:val="351B2ACD"/>
    <w:rsid w:val="359F4FBF"/>
    <w:rsid w:val="360664CB"/>
    <w:rsid w:val="367A561E"/>
    <w:rsid w:val="36B227C1"/>
    <w:rsid w:val="36EE4DAA"/>
    <w:rsid w:val="36FD1B31"/>
    <w:rsid w:val="370E5AB9"/>
    <w:rsid w:val="37177D7E"/>
    <w:rsid w:val="37321422"/>
    <w:rsid w:val="373B5261"/>
    <w:rsid w:val="376744CD"/>
    <w:rsid w:val="37A07DF4"/>
    <w:rsid w:val="37CD6D9B"/>
    <w:rsid w:val="37E40B2B"/>
    <w:rsid w:val="381F005C"/>
    <w:rsid w:val="382B4F9A"/>
    <w:rsid w:val="38762798"/>
    <w:rsid w:val="3879381B"/>
    <w:rsid w:val="38A27523"/>
    <w:rsid w:val="38C559F5"/>
    <w:rsid w:val="394669D6"/>
    <w:rsid w:val="39644506"/>
    <w:rsid w:val="396E7463"/>
    <w:rsid w:val="397702BB"/>
    <w:rsid w:val="3A3B0A05"/>
    <w:rsid w:val="3A952B0A"/>
    <w:rsid w:val="3B274F84"/>
    <w:rsid w:val="3B665F58"/>
    <w:rsid w:val="3BAF5709"/>
    <w:rsid w:val="3BE0412D"/>
    <w:rsid w:val="3C294FC1"/>
    <w:rsid w:val="3C4E0CF1"/>
    <w:rsid w:val="3D4C5F1D"/>
    <w:rsid w:val="3D602EC0"/>
    <w:rsid w:val="3D690C41"/>
    <w:rsid w:val="3D6B3046"/>
    <w:rsid w:val="3D9F2DFF"/>
    <w:rsid w:val="3DAB00F5"/>
    <w:rsid w:val="3DE65542"/>
    <w:rsid w:val="3DFD46A1"/>
    <w:rsid w:val="3E0366D8"/>
    <w:rsid w:val="3E3060C3"/>
    <w:rsid w:val="3E651782"/>
    <w:rsid w:val="3E8E785C"/>
    <w:rsid w:val="3E98448F"/>
    <w:rsid w:val="3ECA4190"/>
    <w:rsid w:val="3F2A0CE7"/>
    <w:rsid w:val="3F534796"/>
    <w:rsid w:val="3F785467"/>
    <w:rsid w:val="400A66DC"/>
    <w:rsid w:val="40224F8B"/>
    <w:rsid w:val="407E4FC9"/>
    <w:rsid w:val="40BB7B8F"/>
    <w:rsid w:val="40C867A4"/>
    <w:rsid w:val="41261373"/>
    <w:rsid w:val="41E16035"/>
    <w:rsid w:val="41F67E38"/>
    <w:rsid w:val="425618E5"/>
    <w:rsid w:val="42B025C8"/>
    <w:rsid w:val="43025652"/>
    <w:rsid w:val="43255009"/>
    <w:rsid w:val="433E574E"/>
    <w:rsid w:val="43523E67"/>
    <w:rsid w:val="435C06CE"/>
    <w:rsid w:val="436822EB"/>
    <w:rsid w:val="437E3540"/>
    <w:rsid w:val="43E2309D"/>
    <w:rsid w:val="43FD01BA"/>
    <w:rsid w:val="44697B1C"/>
    <w:rsid w:val="449B38F5"/>
    <w:rsid w:val="44B62E90"/>
    <w:rsid w:val="4513485D"/>
    <w:rsid w:val="457703BB"/>
    <w:rsid w:val="45F33AA2"/>
    <w:rsid w:val="45F73C0A"/>
    <w:rsid w:val="4631487B"/>
    <w:rsid w:val="465B19C6"/>
    <w:rsid w:val="46782F5D"/>
    <w:rsid w:val="46D87095"/>
    <w:rsid w:val="46F359A1"/>
    <w:rsid w:val="473863AA"/>
    <w:rsid w:val="476A5291"/>
    <w:rsid w:val="47B26204"/>
    <w:rsid w:val="47CF2F88"/>
    <w:rsid w:val="486B260B"/>
    <w:rsid w:val="48C31447"/>
    <w:rsid w:val="494814D0"/>
    <w:rsid w:val="49637556"/>
    <w:rsid w:val="497579EF"/>
    <w:rsid w:val="499015D2"/>
    <w:rsid w:val="49B7682C"/>
    <w:rsid w:val="49EB34D3"/>
    <w:rsid w:val="49ED53A8"/>
    <w:rsid w:val="4A381CE6"/>
    <w:rsid w:val="4A613619"/>
    <w:rsid w:val="4A6142EA"/>
    <w:rsid w:val="4A7C50FD"/>
    <w:rsid w:val="4A803F91"/>
    <w:rsid w:val="4A9443A2"/>
    <w:rsid w:val="4AC13D8B"/>
    <w:rsid w:val="4AF56EDE"/>
    <w:rsid w:val="4B9C0783"/>
    <w:rsid w:val="4B9C5A94"/>
    <w:rsid w:val="4BC573A8"/>
    <w:rsid w:val="4BD106A4"/>
    <w:rsid w:val="4C1C3E43"/>
    <w:rsid w:val="4C6C4534"/>
    <w:rsid w:val="4CBD124A"/>
    <w:rsid w:val="4CF71B02"/>
    <w:rsid w:val="4D064303"/>
    <w:rsid w:val="4DCB5EF3"/>
    <w:rsid w:val="4DFB0F20"/>
    <w:rsid w:val="4E3626F1"/>
    <w:rsid w:val="4E400F51"/>
    <w:rsid w:val="4ECB70F3"/>
    <w:rsid w:val="4F5D3335"/>
    <w:rsid w:val="4F6164F5"/>
    <w:rsid w:val="4FA97952"/>
    <w:rsid w:val="4FC92F74"/>
    <w:rsid w:val="501979C6"/>
    <w:rsid w:val="506F4E1E"/>
    <w:rsid w:val="50A2598A"/>
    <w:rsid w:val="510324AE"/>
    <w:rsid w:val="51E92D35"/>
    <w:rsid w:val="51F35615"/>
    <w:rsid w:val="52670F00"/>
    <w:rsid w:val="529828E1"/>
    <w:rsid w:val="529C2E16"/>
    <w:rsid w:val="52A41E47"/>
    <w:rsid w:val="53212A24"/>
    <w:rsid w:val="532E13BE"/>
    <w:rsid w:val="53476745"/>
    <w:rsid w:val="53F44CB7"/>
    <w:rsid w:val="540E20B0"/>
    <w:rsid w:val="54187DF2"/>
    <w:rsid w:val="542670CE"/>
    <w:rsid w:val="54504666"/>
    <w:rsid w:val="54BA5D49"/>
    <w:rsid w:val="54FB77E7"/>
    <w:rsid w:val="55482FE4"/>
    <w:rsid w:val="55741F80"/>
    <w:rsid w:val="55D40B98"/>
    <w:rsid w:val="55E536AF"/>
    <w:rsid w:val="560243B3"/>
    <w:rsid w:val="561127FF"/>
    <w:rsid w:val="562D645A"/>
    <w:rsid w:val="56625644"/>
    <w:rsid w:val="56BC54AA"/>
    <w:rsid w:val="56F02839"/>
    <w:rsid w:val="574A0176"/>
    <w:rsid w:val="57784CE1"/>
    <w:rsid w:val="57845F12"/>
    <w:rsid w:val="57D44328"/>
    <w:rsid w:val="582725F1"/>
    <w:rsid w:val="585D5833"/>
    <w:rsid w:val="58A514A0"/>
    <w:rsid w:val="58D20B4F"/>
    <w:rsid w:val="58ED7447"/>
    <w:rsid w:val="59610CE5"/>
    <w:rsid w:val="59630C3E"/>
    <w:rsid w:val="59675039"/>
    <w:rsid w:val="599E3DD5"/>
    <w:rsid w:val="59AB1A66"/>
    <w:rsid w:val="59B33345"/>
    <w:rsid w:val="59F667CF"/>
    <w:rsid w:val="59FE0E88"/>
    <w:rsid w:val="5A10384E"/>
    <w:rsid w:val="5A431DCD"/>
    <w:rsid w:val="5A59012C"/>
    <w:rsid w:val="5A7C484C"/>
    <w:rsid w:val="5AD5503F"/>
    <w:rsid w:val="5AEC1F37"/>
    <w:rsid w:val="5B305168"/>
    <w:rsid w:val="5B653D13"/>
    <w:rsid w:val="5BB950AD"/>
    <w:rsid w:val="5BD330F7"/>
    <w:rsid w:val="5C4B3F59"/>
    <w:rsid w:val="5C510905"/>
    <w:rsid w:val="5C6250D5"/>
    <w:rsid w:val="5D01173C"/>
    <w:rsid w:val="5D1C7AB0"/>
    <w:rsid w:val="5D317F73"/>
    <w:rsid w:val="5D546DD4"/>
    <w:rsid w:val="5D5940AE"/>
    <w:rsid w:val="5D84417A"/>
    <w:rsid w:val="5DC153D7"/>
    <w:rsid w:val="5E3507C2"/>
    <w:rsid w:val="5E3B41ED"/>
    <w:rsid w:val="5E525F9E"/>
    <w:rsid w:val="5F99219D"/>
    <w:rsid w:val="5FE25EFA"/>
    <w:rsid w:val="6012282E"/>
    <w:rsid w:val="60192336"/>
    <w:rsid w:val="60912F83"/>
    <w:rsid w:val="6094575A"/>
    <w:rsid w:val="60AB6EDD"/>
    <w:rsid w:val="60B17F46"/>
    <w:rsid w:val="6110713E"/>
    <w:rsid w:val="61E66498"/>
    <w:rsid w:val="62477447"/>
    <w:rsid w:val="62686B36"/>
    <w:rsid w:val="62825746"/>
    <w:rsid w:val="63007260"/>
    <w:rsid w:val="63160A12"/>
    <w:rsid w:val="6387366D"/>
    <w:rsid w:val="638F5573"/>
    <w:rsid w:val="63E4074B"/>
    <w:rsid w:val="63F2448D"/>
    <w:rsid w:val="641D786A"/>
    <w:rsid w:val="65172004"/>
    <w:rsid w:val="65AE6E94"/>
    <w:rsid w:val="65D10845"/>
    <w:rsid w:val="65F9165C"/>
    <w:rsid w:val="66264901"/>
    <w:rsid w:val="665453E1"/>
    <w:rsid w:val="66951383"/>
    <w:rsid w:val="66C87228"/>
    <w:rsid w:val="66FA57C5"/>
    <w:rsid w:val="674A15DC"/>
    <w:rsid w:val="683424D2"/>
    <w:rsid w:val="684A741D"/>
    <w:rsid w:val="684A7DB3"/>
    <w:rsid w:val="68B41D2F"/>
    <w:rsid w:val="68BA687B"/>
    <w:rsid w:val="68BD0A98"/>
    <w:rsid w:val="68FE51D1"/>
    <w:rsid w:val="69085B72"/>
    <w:rsid w:val="69577E2F"/>
    <w:rsid w:val="69F04C89"/>
    <w:rsid w:val="6A4F3A57"/>
    <w:rsid w:val="6A6E2984"/>
    <w:rsid w:val="6B253BC7"/>
    <w:rsid w:val="6B776FCE"/>
    <w:rsid w:val="6B900048"/>
    <w:rsid w:val="6B924AC0"/>
    <w:rsid w:val="6BE14F0E"/>
    <w:rsid w:val="6C00528B"/>
    <w:rsid w:val="6C5D5B58"/>
    <w:rsid w:val="6C5F5B1E"/>
    <w:rsid w:val="6C6E222D"/>
    <w:rsid w:val="6C6E57C2"/>
    <w:rsid w:val="6CEE2778"/>
    <w:rsid w:val="6D0C1B1C"/>
    <w:rsid w:val="6D8049B5"/>
    <w:rsid w:val="6D8F4B19"/>
    <w:rsid w:val="6DA1559B"/>
    <w:rsid w:val="6DEC77D0"/>
    <w:rsid w:val="6E0747E4"/>
    <w:rsid w:val="6EAA7FCD"/>
    <w:rsid w:val="6F344E0E"/>
    <w:rsid w:val="6F411749"/>
    <w:rsid w:val="6F551753"/>
    <w:rsid w:val="6F8E604A"/>
    <w:rsid w:val="6F9371EB"/>
    <w:rsid w:val="6F9E68AE"/>
    <w:rsid w:val="6FB16D04"/>
    <w:rsid w:val="6FC97F5A"/>
    <w:rsid w:val="6FDB3E77"/>
    <w:rsid w:val="6FF7E813"/>
    <w:rsid w:val="70091876"/>
    <w:rsid w:val="70223C79"/>
    <w:rsid w:val="70BE3A2F"/>
    <w:rsid w:val="70E5412C"/>
    <w:rsid w:val="715218B4"/>
    <w:rsid w:val="71746CAB"/>
    <w:rsid w:val="717604C9"/>
    <w:rsid w:val="719C5A25"/>
    <w:rsid w:val="71A26702"/>
    <w:rsid w:val="71A77960"/>
    <w:rsid w:val="71C47077"/>
    <w:rsid w:val="71DA30A4"/>
    <w:rsid w:val="71FC2E92"/>
    <w:rsid w:val="71FC588F"/>
    <w:rsid w:val="72223A16"/>
    <w:rsid w:val="72245523"/>
    <w:rsid w:val="726E1CDF"/>
    <w:rsid w:val="72B91084"/>
    <w:rsid w:val="72BB0AD8"/>
    <w:rsid w:val="72D82EF8"/>
    <w:rsid w:val="73126DD8"/>
    <w:rsid w:val="739A71DD"/>
    <w:rsid w:val="74047F8F"/>
    <w:rsid w:val="741A2023"/>
    <w:rsid w:val="7465193A"/>
    <w:rsid w:val="747E68DD"/>
    <w:rsid w:val="74A62191"/>
    <w:rsid w:val="7524704B"/>
    <w:rsid w:val="75490ACD"/>
    <w:rsid w:val="756F76B9"/>
    <w:rsid w:val="759E0068"/>
    <w:rsid w:val="75BE5C74"/>
    <w:rsid w:val="75D463C2"/>
    <w:rsid w:val="75F334EC"/>
    <w:rsid w:val="76110A91"/>
    <w:rsid w:val="7649793B"/>
    <w:rsid w:val="76540075"/>
    <w:rsid w:val="76B7345E"/>
    <w:rsid w:val="77AD0A02"/>
    <w:rsid w:val="77DA00A3"/>
    <w:rsid w:val="77F01D4E"/>
    <w:rsid w:val="7835150D"/>
    <w:rsid w:val="78A35E38"/>
    <w:rsid w:val="78DC63A2"/>
    <w:rsid w:val="78E73A5B"/>
    <w:rsid w:val="78F1468E"/>
    <w:rsid w:val="792716D1"/>
    <w:rsid w:val="79F57DFF"/>
    <w:rsid w:val="7A1537CD"/>
    <w:rsid w:val="7A3D153B"/>
    <w:rsid w:val="7A97671A"/>
    <w:rsid w:val="7A9D283A"/>
    <w:rsid w:val="7AE201FB"/>
    <w:rsid w:val="7AEE600D"/>
    <w:rsid w:val="7AEE79C2"/>
    <w:rsid w:val="7B18470E"/>
    <w:rsid w:val="7B4C4049"/>
    <w:rsid w:val="7B6B68B0"/>
    <w:rsid w:val="7C3C6D3B"/>
    <w:rsid w:val="7C66113B"/>
    <w:rsid w:val="7D6D1629"/>
    <w:rsid w:val="7DE9162E"/>
    <w:rsid w:val="7DF43353"/>
    <w:rsid w:val="7E2B2601"/>
    <w:rsid w:val="7E6F0C8B"/>
    <w:rsid w:val="7EA44C35"/>
    <w:rsid w:val="7EB04C6F"/>
    <w:rsid w:val="7F055BF1"/>
    <w:rsid w:val="7F0A5FAD"/>
    <w:rsid w:val="7F3F6DE4"/>
    <w:rsid w:val="7F416A9F"/>
    <w:rsid w:val="7F8A3445"/>
    <w:rsid w:val="7F8F268D"/>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jc w:val="center"/>
      <w:outlineLvl w:val="0"/>
    </w:pPr>
    <w:rPr>
      <w:rFonts w:ascii="Tahoma" w:eastAsia="Tahoma"/>
      <w:b/>
      <w:bCs/>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312" w:lineRule="atLeast"/>
      <w:ind w:firstLine="420"/>
      <w:textAlignment w:val="baseline"/>
    </w:pPr>
    <w:rPr>
      <w:rFonts w:eastAsia="Wingdings" w:cs="Arial"/>
    </w:rPr>
  </w:style>
  <w:style w:type="paragraph" w:styleId="9">
    <w:name w:val="annotation text"/>
    <w:basedOn w:val="1"/>
    <w:link w:val="42"/>
    <w:qFormat/>
    <w:uiPriority w:val="0"/>
    <w:pPr>
      <w:jc w:val="left"/>
    </w:pPr>
  </w:style>
  <w:style w:type="paragraph" w:styleId="10">
    <w:name w:val="Body Text"/>
    <w:basedOn w:val="1"/>
    <w:next w:val="11"/>
    <w:qFormat/>
    <w:uiPriority w:val="0"/>
    <w:pPr>
      <w:spacing w:after="120"/>
    </w:pPr>
    <w:rPr>
      <w:rFonts w:eastAsia="宋体,Verdana,Arial"/>
    </w:rPr>
  </w:style>
  <w:style w:type="paragraph" w:styleId="11">
    <w:name w:val="Body Text First Indent"/>
    <w:basedOn w:val="10"/>
    <w:next w:val="1"/>
    <w:qFormat/>
    <w:uiPriority w:val="0"/>
    <w:pPr>
      <w:autoSpaceDE w:val="0"/>
      <w:autoSpaceDN w:val="0"/>
      <w:adjustRightInd w:val="0"/>
      <w:ind w:firstLine="420" w:firstLineChars="100"/>
      <w:jc w:val="left"/>
    </w:pPr>
  </w:style>
  <w:style w:type="paragraph" w:styleId="12">
    <w:name w:val="Body Text Indent"/>
    <w:basedOn w:val="1"/>
    <w:next w:val="1"/>
    <w:qFormat/>
    <w:uiPriority w:val="0"/>
    <w:pPr>
      <w:ind w:left="480" w:hanging="480" w:hangingChars="200"/>
    </w:pPr>
    <w:rPr>
      <w:sz w:val="24"/>
    </w:rPr>
  </w:style>
  <w:style w:type="paragraph" w:styleId="13">
    <w:name w:val="Block Text"/>
    <w:basedOn w:val="1"/>
    <w:qFormat/>
    <w:uiPriority w:val="0"/>
    <w:pPr>
      <w:spacing w:line="572" w:lineRule="exact"/>
      <w:ind w:left="1264" w:leftChars="100" w:right="316" w:hanging="948" w:hangingChars="300"/>
    </w:pPr>
    <w:rPr>
      <w:rFonts w:ascii="Times New Roman" w:hAnsi="Times New Roman" w:eastAsia="仿宋_GB2312"/>
      <w:snapToGrid w:val="0"/>
      <w:sz w:val="32"/>
      <w:szCs w:val="20"/>
    </w:rPr>
  </w:style>
  <w:style w:type="paragraph" w:styleId="14">
    <w:name w:val="Plain Text"/>
    <w:basedOn w:val="1"/>
    <w:next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5">
    <w:name w:val="Date"/>
    <w:basedOn w:val="1"/>
    <w:next w:val="1"/>
    <w:qFormat/>
    <w:uiPriority w:val="0"/>
    <w:pPr>
      <w:ind w:left="100" w:leftChars="2500"/>
    </w:pPr>
    <w:rPr>
      <w:rFonts w:ascii="Times New Roman" w:hAnsi="Times New Roman"/>
    </w:rPr>
  </w:style>
  <w:style w:type="paragraph" w:styleId="16">
    <w:name w:val="Body Text Indent 2"/>
    <w:basedOn w:val="1"/>
    <w:qFormat/>
    <w:uiPriority w:val="0"/>
    <w:pPr>
      <w:ind w:firstLine="568" w:firstLineChars="203"/>
    </w:pPr>
    <w:rPr>
      <w:rFonts w:ascii="宋体" w:hAnsi="宋体"/>
      <w:sz w:val="28"/>
    </w:rPr>
  </w:style>
  <w:style w:type="paragraph" w:styleId="17">
    <w:name w:val="Balloon Text"/>
    <w:basedOn w:val="1"/>
    <w:link w:val="68"/>
    <w:qFormat/>
    <w:uiPriority w:val="0"/>
    <w:rPr>
      <w:sz w:val="18"/>
      <w:szCs w:val="18"/>
    </w:rPr>
  </w:style>
  <w:style w:type="paragraph" w:styleId="18">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20">
    <w:name w:val="toc 1"/>
    <w:basedOn w:val="1"/>
    <w:next w:val="1"/>
    <w:qFormat/>
    <w:uiPriority w:val="39"/>
    <w:pPr>
      <w:tabs>
        <w:tab w:val="right" w:leader="dot" w:pos="9660"/>
      </w:tabs>
      <w:spacing w:line="480" w:lineRule="auto"/>
    </w:pPr>
  </w:style>
  <w:style w:type="paragraph" w:styleId="21">
    <w:name w:val="toc 4"/>
    <w:basedOn w:val="1"/>
    <w:next w:val="1"/>
    <w:qFormat/>
    <w:uiPriority w:val="0"/>
    <w:pPr>
      <w:wordWrap w:val="0"/>
      <w:ind w:left="850"/>
    </w:pPr>
  </w:style>
  <w:style w:type="paragraph" w:styleId="22">
    <w:name w:val="toc 6"/>
    <w:basedOn w:val="1"/>
    <w:next w:val="1"/>
    <w:semiHidden/>
    <w:qFormat/>
    <w:uiPriority w:val="0"/>
    <w:pPr>
      <w:ind w:left="1050"/>
      <w:jc w:val="left"/>
    </w:pPr>
    <w:rPr>
      <w:sz w:val="18"/>
      <w:szCs w:val="18"/>
    </w:r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qFormat/>
    <w:uiPriority w:val="39"/>
    <w:pPr>
      <w:ind w:left="420" w:leftChars="200"/>
    </w:pPr>
    <w:rPr>
      <w:rFonts w:ascii="Times New Roman" w:hAnsi="Times New Roman"/>
    </w:rPr>
  </w:style>
  <w:style w:type="paragraph" w:styleId="25">
    <w:name w:val="Normal (Web)"/>
    <w:basedOn w:val="1"/>
    <w:qFormat/>
    <w:uiPriority w:val="0"/>
    <w:pPr>
      <w:spacing w:after="210"/>
      <w:jc w:val="left"/>
    </w:pPr>
    <w:rPr>
      <w:kern w:val="0"/>
      <w:sz w:val="24"/>
    </w:rPr>
  </w:style>
  <w:style w:type="paragraph" w:styleId="26">
    <w:name w:val="Title"/>
    <w:basedOn w:val="1"/>
    <w:next w:val="10"/>
    <w:qFormat/>
    <w:uiPriority w:val="0"/>
    <w:pPr>
      <w:keepNext/>
      <w:spacing w:before="240" w:after="120"/>
    </w:pPr>
    <w:rPr>
      <w:rFonts w:ascii="Liberation Sans" w:hAnsi="Liberation Sans" w:eastAsia="微软雅黑" w:cs="Mangal"/>
      <w:sz w:val="28"/>
      <w:szCs w:val="28"/>
    </w:rPr>
  </w:style>
  <w:style w:type="paragraph" w:styleId="27">
    <w:name w:val="annotation subject"/>
    <w:basedOn w:val="9"/>
    <w:next w:val="9"/>
    <w:link w:val="43"/>
    <w:qFormat/>
    <w:uiPriority w:val="0"/>
    <w:rPr>
      <w:b/>
      <w:bCs/>
    </w:rPr>
  </w:style>
  <w:style w:type="paragraph" w:styleId="28">
    <w:name w:val="Body Text First Indent 2"/>
    <w:basedOn w:val="12"/>
    <w:qFormat/>
    <w:uiPriority w:val="99"/>
    <w:pPr>
      <w:ind w:firstLine="420" w:firstLineChars="200"/>
    </w:pPr>
  </w:style>
  <w:style w:type="table" w:styleId="30">
    <w:name w:val="Table Grid"/>
    <w:basedOn w:val="2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FollowedHyperlink"/>
    <w:basedOn w:val="31"/>
    <w:qFormat/>
    <w:uiPriority w:val="0"/>
    <w:rPr>
      <w:color w:val="1890FF"/>
      <w:u w:val="none"/>
    </w:rPr>
  </w:style>
  <w:style w:type="character" w:styleId="34">
    <w:name w:val="HTML Definition"/>
    <w:basedOn w:val="31"/>
    <w:qFormat/>
    <w:uiPriority w:val="0"/>
    <w:rPr>
      <w:i/>
      <w:iCs/>
    </w:rPr>
  </w:style>
  <w:style w:type="character" w:styleId="35">
    <w:name w:val="Hyperlink"/>
    <w:qFormat/>
    <w:uiPriority w:val="99"/>
    <w:rPr>
      <w:color w:val="0000FF"/>
      <w:u w:val="single"/>
    </w:rPr>
  </w:style>
  <w:style w:type="character" w:styleId="36">
    <w:name w:val="HTML Code"/>
    <w:basedOn w:val="31"/>
    <w:qFormat/>
    <w:uiPriority w:val="0"/>
    <w:rPr>
      <w:rFonts w:ascii="Consolas" w:hAnsi="Consolas" w:eastAsia="Consolas" w:cs="Consolas"/>
      <w:sz w:val="21"/>
      <w:szCs w:val="21"/>
    </w:rPr>
  </w:style>
  <w:style w:type="character" w:styleId="37">
    <w:name w:val="annotation reference"/>
    <w:basedOn w:val="31"/>
    <w:qFormat/>
    <w:uiPriority w:val="0"/>
    <w:rPr>
      <w:sz w:val="21"/>
      <w:szCs w:val="21"/>
    </w:rPr>
  </w:style>
  <w:style w:type="character" w:styleId="38">
    <w:name w:val="HTML Keyboard"/>
    <w:basedOn w:val="31"/>
    <w:qFormat/>
    <w:uiPriority w:val="0"/>
    <w:rPr>
      <w:rFonts w:hint="default" w:ascii="Consolas" w:hAnsi="Consolas" w:eastAsia="Consolas" w:cs="Consolas"/>
      <w:sz w:val="21"/>
      <w:szCs w:val="21"/>
    </w:rPr>
  </w:style>
  <w:style w:type="character" w:styleId="39">
    <w:name w:val="HTML Sample"/>
    <w:basedOn w:val="31"/>
    <w:qFormat/>
    <w:uiPriority w:val="0"/>
    <w:rPr>
      <w:rFonts w:hint="default" w:ascii="Consolas" w:hAnsi="Consolas" w:eastAsia="Consolas" w:cs="Consolas"/>
      <w:sz w:val="21"/>
      <w:szCs w:val="21"/>
    </w:rPr>
  </w:style>
  <w:style w:type="paragraph" w:customStyle="1" w:styleId="40">
    <w:name w:val="正文文本首行缩进1"/>
    <w:basedOn w:val="10"/>
    <w:qFormat/>
    <w:uiPriority w:val="0"/>
    <w:pPr>
      <w:ind w:firstLine="420" w:firstLineChars="100"/>
    </w:pPr>
    <w:rPr>
      <w:szCs w:val="21"/>
    </w:rPr>
  </w:style>
  <w:style w:type="paragraph" w:customStyle="1" w:styleId="41">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42">
    <w:name w:val="批注文字 字符"/>
    <w:basedOn w:val="31"/>
    <w:link w:val="9"/>
    <w:qFormat/>
    <w:uiPriority w:val="0"/>
    <w:rPr>
      <w:rFonts w:ascii="等线" w:hAnsi="等线" w:eastAsia="等线"/>
      <w:kern w:val="2"/>
      <w:sz w:val="21"/>
      <w:szCs w:val="22"/>
    </w:rPr>
  </w:style>
  <w:style w:type="character" w:customStyle="1" w:styleId="43">
    <w:name w:val="批注主题 字符"/>
    <w:basedOn w:val="42"/>
    <w:link w:val="27"/>
    <w:qFormat/>
    <w:uiPriority w:val="0"/>
    <w:rPr>
      <w:rFonts w:ascii="等线" w:hAnsi="等线" w:eastAsia="等线"/>
      <w:b/>
      <w:bCs/>
      <w:kern w:val="2"/>
      <w:sz w:val="21"/>
      <w:szCs w:val="22"/>
    </w:rPr>
  </w:style>
  <w:style w:type="character" w:customStyle="1" w:styleId="44">
    <w:name w:val="user-acct"/>
    <w:basedOn w:val="31"/>
    <w:qFormat/>
    <w:uiPriority w:val="0"/>
    <w:rPr>
      <w:color w:val="7C7070"/>
    </w:rPr>
  </w:style>
  <w:style w:type="character" w:customStyle="1" w:styleId="45">
    <w:name w:val="hover12"/>
    <w:basedOn w:val="31"/>
    <w:qFormat/>
    <w:uiPriority w:val="0"/>
  </w:style>
  <w:style w:type="character" w:customStyle="1" w:styleId="46">
    <w:name w:val="current"/>
    <w:basedOn w:val="31"/>
    <w:qFormat/>
    <w:uiPriority w:val="0"/>
    <w:rPr>
      <w:color w:val="00C1DE"/>
    </w:rPr>
  </w:style>
  <w:style w:type="character" w:customStyle="1" w:styleId="47">
    <w:name w:val="current1"/>
    <w:basedOn w:val="31"/>
    <w:qFormat/>
    <w:uiPriority w:val="0"/>
    <w:rPr>
      <w:color w:val="00C1DE"/>
    </w:rPr>
  </w:style>
  <w:style w:type="character" w:customStyle="1" w:styleId="48">
    <w:name w:val="selected"/>
    <w:basedOn w:val="31"/>
    <w:qFormat/>
    <w:uiPriority w:val="0"/>
    <w:rPr>
      <w:color w:val="1C81FE"/>
    </w:rPr>
  </w:style>
  <w:style w:type="character" w:customStyle="1" w:styleId="49">
    <w:name w:val="selected1"/>
    <w:basedOn w:val="31"/>
    <w:qFormat/>
    <w:uiPriority w:val="0"/>
    <w:rPr>
      <w:color w:val="1C81FE"/>
    </w:rPr>
  </w:style>
  <w:style w:type="character" w:customStyle="1" w:styleId="50">
    <w:name w:val="desc"/>
    <w:basedOn w:val="31"/>
    <w:qFormat/>
    <w:uiPriority w:val="0"/>
    <w:rPr>
      <w:b/>
      <w:bCs/>
      <w:color w:val="404040"/>
    </w:rPr>
  </w:style>
  <w:style w:type="character" w:customStyle="1" w:styleId="51">
    <w:name w:val="desc1"/>
    <w:basedOn w:val="31"/>
    <w:qFormat/>
    <w:uiPriority w:val="0"/>
    <w:rPr>
      <w:b/>
      <w:bCs/>
      <w:color w:val="404040"/>
    </w:rPr>
  </w:style>
  <w:style w:type="character" w:customStyle="1" w:styleId="52">
    <w:name w:val="helper"/>
    <w:basedOn w:val="31"/>
    <w:qFormat/>
    <w:uiPriority w:val="0"/>
    <w:rPr>
      <w:b/>
      <w:bCs/>
      <w:color w:val="404040"/>
      <w:sz w:val="38"/>
      <w:szCs w:val="38"/>
    </w:rPr>
  </w:style>
  <w:style w:type="character" w:customStyle="1" w:styleId="53">
    <w:name w:val="icon6"/>
    <w:basedOn w:val="31"/>
    <w:qFormat/>
    <w:uiPriority w:val="0"/>
  </w:style>
  <w:style w:type="character" w:customStyle="1" w:styleId="54">
    <w:name w:val="ant-typography-ellipsis"/>
    <w:basedOn w:val="31"/>
    <w:qFormat/>
    <w:uiPriority w:val="0"/>
  </w:style>
  <w:style w:type="character" w:customStyle="1" w:styleId="55">
    <w:name w:val="ant-radio+*"/>
    <w:basedOn w:val="31"/>
    <w:qFormat/>
    <w:uiPriority w:val="0"/>
  </w:style>
  <w:style w:type="character" w:customStyle="1" w:styleId="56">
    <w:name w:val="content72"/>
    <w:basedOn w:val="31"/>
    <w:qFormat/>
    <w:uiPriority w:val="0"/>
    <w:rPr>
      <w:color w:val="7C7070"/>
      <w:sz w:val="14"/>
      <w:szCs w:val="14"/>
    </w:rPr>
  </w:style>
  <w:style w:type="character" w:customStyle="1" w:styleId="57">
    <w:name w:val="info-label"/>
    <w:basedOn w:val="31"/>
    <w:qFormat/>
    <w:uiPriority w:val="0"/>
    <w:rPr>
      <w:b/>
      <w:bCs/>
    </w:rPr>
  </w:style>
  <w:style w:type="character" w:customStyle="1" w:styleId="58">
    <w:name w:val="info-content"/>
    <w:basedOn w:val="31"/>
    <w:qFormat/>
    <w:uiPriority w:val="0"/>
    <w:rPr>
      <w:color w:val="808080"/>
    </w:rPr>
  </w:style>
  <w:style w:type="character" w:customStyle="1" w:styleId="59">
    <w:name w:val="phone-number1"/>
    <w:basedOn w:val="31"/>
    <w:qFormat/>
    <w:uiPriority w:val="0"/>
    <w:rPr>
      <w:color w:val="0876FF"/>
    </w:rPr>
  </w:style>
  <w:style w:type="paragraph" w:styleId="60">
    <w:name w:val="List Paragraph"/>
    <w:basedOn w:val="1"/>
    <w:qFormat/>
    <w:uiPriority w:val="34"/>
    <w:pPr>
      <w:ind w:firstLine="420" w:firstLineChars="200"/>
    </w:pPr>
  </w:style>
  <w:style w:type="paragraph" w:customStyle="1" w:styleId="61">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62">
    <w:name w:val="正文_0_0"/>
    <w:basedOn w:val="1"/>
    <w:qFormat/>
    <w:uiPriority w:val="0"/>
    <w:rPr>
      <w:rFonts w:ascii="Calibri" w:hAnsi="Calibri" w:cs="Calibri"/>
      <w:szCs w:val="21"/>
    </w:rPr>
  </w:style>
  <w:style w:type="paragraph" w:customStyle="1" w:styleId="63">
    <w:name w:val="[Normal]"/>
    <w:qFormat/>
    <w:uiPriority w:val="0"/>
    <w:rPr>
      <w:rFonts w:ascii="宋体" w:hAnsi="宋体" w:eastAsia="宋体" w:cs="Times New Roman"/>
      <w:sz w:val="24"/>
      <w:szCs w:val="22"/>
      <w:lang w:val="zh-CN" w:eastAsia="zh-CN" w:bidi="ar-SA"/>
    </w:rPr>
  </w:style>
  <w:style w:type="paragraph" w:customStyle="1" w:styleId="6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65">
    <w:name w:val="p5"/>
    <w:basedOn w:val="31"/>
    <w:qFormat/>
    <w:uiPriority w:val="0"/>
  </w:style>
  <w:style w:type="paragraph" w:customStyle="1" w:styleId="66">
    <w:name w:val="正文首行缩进1"/>
    <w:basedOn w:val="10"/>
    <w:qFormat/>
    <w:uiPriority w:val="0"/>
    <w:pPr>
      <w:ind w:firstLine="420" w:firstLineChars="100"/>
    </w:pPr>
    <w:rPr>
      <w:rFonts w:ascii="Times New Roman" w:hAnsi="Times New Roman"/>
    </w:rPr>
  </w:style>
  <w:style w:type="paragraph" w:customStyle="1" w:styleId="67">
    <w:name w:val="列出段落1"/>
    <w:basedOn w:val="1"/>
    <w:qFormat/>
    <w:uiPriority w:val="0"/>
    <w:pPr>
      <w:ind w:firstLine="420" w:firstLineChars="200"/>
    </w:pPr>
    <w:rPr>
      <w:szCs w:val="20"/>
    </w:rPr>
  </w:style>
  <w:style w:type="character" w:customStyle="1" w:styleId="68">
    <w:name w:val="批注框文本 字符"/>
    <w:basedOn w:val="31"/>
    <w:link w:val="17"/>
    <w:qFormat/>
    <w:uiPriority w:val="0"/>
    <w:rPr>
      <w:rFonts w:ascii="等线" w:hAnsi="等线" w:eastAsia="等线"/>
      <w:kern w:val="2"/>
      <w:sz w:val="18"/>
      <w:szCs w:val="18"/>
    </w:rPr>
  </w:style>
  <w:style w:type="paragraph" w:customStyle="1" w:styleId="69">
    <w:name w:val="hb.1"/>
    <w:basedOn w:val="1"/>
    <w:qFormat/>
    <w:uiPriority w:val="0"/>
    <w:pPr>
      <w:tabs>
        <w:tab w:val="left" w:pos="992"/>
      </w:tabs>
      <w:spacing w:after="156"/>
      <w:ind w:left="992" w:hanging="567"/>
    </w:pPr>
    <w:rPr>
      <w:rFonts w:ascii="Times New Roman" w:hAnsi="Times New Roman"/>
      <w:szCs w:val="20"/>
    </w:rPr>
  </w:style>
  <w:style w:type="paragraph" w:customStyle="1" w:styleId="70">
    <w:name w:val="htbh"/>
    <w:basedOn w:val="4"/>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71">
    <w:name w:val="Body Text First Indent 21"/>
    <w:basedOn w:val="72"/>
    <w:qFormat/>
    <w:uiPriority w:val="0"/>
    <w:pPr>
      <w:ind w:firstLine="420"/>
    </w:pPr>
    <w:rPr>
      <w:rFonts w:cs="宋体"/>
    </w:rPr>
  </w:style>
  <w:style w:type="paragraph" w:customStyle="1" w:styleId="72">
    <w:name w:val="Body Text Indent1"/>
    <w:basedOn w:val="1"/>
    <w:next w:val="1"/>
    <w:qFormat/>
    <w:uiPriority w:val="0"/>
    <w:pPr>
      <w:spacing w:after="120"/>
      <w:ind w:left="420" w:leftChars="200"/>
    </w:pPr>
  </w:style>
  <w:style w:type="paragraph" w:customStyle="1" w:styleId="73">
    <w:name w:val="ne-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74">
    <w:name w:val="ne-text"/>
    <w:basedOn w:val="31"/>
    <w:qFormat/>
    <w:uiPriority w:val="0"/>
  </w:style>
  <w:style w:type="character" w:customStyle="1" w:styleId="75">
    <w:name w:val="font11"/>
    <w:qFormat/>
    <w:uiPriority w:val="0"/>
    <w:rPr>
      <w:rFonts w:hint="eastAsia" w:ascii="宋体" w:hAnsi="宋体" w:eastAsia="宋体" w:cs="宋体"/>
      <w:color w:val="000000"/>
      <w:sz w:val="22"/>
      <w:szCs w:val="22"/>
      <w:u w:val="none"/>
    </w:rPr>
  </w:style>
  <w:style w:type="character" w:customStyle="1" w:styleId="76">
    <w:name w:val="font51"/>
    <w:basedOn w:val="31"/>
    <w:qFormat/>
    <w:uiPriority w:val="0"/>
    <w:rPr>
      <w:rFonts w:hint="eastAsia" w:ascii="宋体" w:hAnsi="宋体" w:eastAsia="宋体" w:cs="宋体"/>
      <w:b/>
      <w:bCs/>
      <w:color w:val="000000"/>
      <w:sz w:val="21"/>
      <w:szCs w:val="21"/>
      <w:u w:val="none"/>
    </w:rPr>
  </w:style>
  <w:style w:type="character" w:customStyle="1" w:styleId="77">
    <w:name w:val="font61"/>
    <w:basedOn w:val="31"/>
    <w:qFormat/>
    <w:uiPriority w:val="0"/>
    <w:rPr>
      <w:rFonts w:hint="eastAsia" w:ascii="宋体" w:hAnsi="宋体" w:eastAsia="宋体" w:cs="宋体"/>
      <w:color w:val="000000"/>
      <w:sz w:val="21"/>
      <w:szCs w:val="21"/>
      <w:u w:val="none"/>
    </w:rPr>
  </w:style>
  <w:style w:type="character" w:customStyle="1" w:styleId="78">
    <w:name w:val="font31"/>
    <w:basedOn w:val="31"/>
    <w:qFormat/>
    <w:uiPriority w:val="0"/>
    <w:rPr>
      <w:rFonts w:hint="default" w:ascii="Times New Roman" w:hAnsi="Times New Roman" w:cs="Times New Roman"/>
      <w:color w:val="000000"/>
      <w:sz w:val="21"/>
      <w:szCs w:val="21"/>
      <w:u w:val="none"/>
    </w:rPr>
  </w:style>
  <w:style w:type="character" w:customStyle="1" w:styleId="79">
    <w:name w:val="NormalCharacter"/>
    <w:qFormat/>
    <w:uiPriority w:val="0"/>
    <w:rPr>
      <w:rFonts w:eastAsia="宋体"/>
      <w:kern w:val="2"/>
      <w:sz w:val="21"/>
      <w:szCs w:val="24"/>
      <w:lang w:val="en-US" w:eastAsia="zh-CN" w:bidi="ar-SA"/>
    </w:rPr>
  </w:style>
  <w:style w:type="paragraph" w:customStyle="1" w:styleId="80">
    <w:name w:val="Revision"/>
    <w:hidden/>
    <w:unhideWhenUsed/>
    <w:qFormat/>
    <w:uiPriority w:val="99"/>
    <w:rPr>
      <w:rFonts w:ascii="等线" w:hAnsi="等线" w:eastAsia="等线" w:cs="Times New Roman"/>
      <w:kern w:val="2"/>
      <w:sz w:val="21"/>
      <w:szCs w:val="22"/>
      <w:lang w:val="en-US" w:eastAsia="zh-CN" w:bidi="ar-SA"/>
    </w:rPr>
  </w:style>
  <w:style w:type="character" w:customStyle="1" w:styleId="81">
    <w:name w:val="contetn"/>
    <w:qFormat/>
    <w:uiPriority w:val="0"/>
    <w:rPr>
      <w:rFonts w:cs="Times New Roman"/>
    </w:rPr>
  </w:style>
  <w:style w:type="character" w:customStyle="1" w:styleId="82">
    <w:name w:val="font41"/>
    <w:basedOn w:val="31"/>
    <w:qFormat/>
    <w:uiPriority w:val="0"/>
    <w:rPr>
      <w:rFonts w:hint="eastAsia" w:ascii="宋体" w:hAnsi="宋体" w:eastAsia="宋体" w:cs="宋体"/>
      <w:color w:val="000000"/>
      <w:sz w:val="22"/>
      <w:szCs w:val="22"/>
      <w:u w:val="none"/>
    </w:rPr>
  </w:style>
  <w:style w:type="character" w:customStyle="1" w:styleId="83">
    <w:name w:val="font21"/>
    <w:basedOn w:val="31"/>
    <w:qFormat/>
    <w:uiPriority w:val="0"/>
    <w:rPr>
      <w:rFonts w:hint="eastAsia" w:ascii="微软雅黑" w:hAnsi="微软雅黑" w:eastAsia="微软雅黑" w:cs="微软雅黑"/>
      <w:b/>
      <w:bCs/>
      <w:color w:val="000000"/>
      <w:sz w:val="18"/>
      <w:szCs w:val="18"/>
      <w:u w:val="none"/>
    </w:rPr>
  </w:style>
  <w:style w:type="paragraph" w:customStyle="1" w:styleId="84">
    <w:name w:val="样式3"/>
    <w:next w:val="1"/>
    <w:qFormat/>
    <w:uiPriority w:val="0"/>
    <w:pPr>
      <w:widowControl w:val="0"/>
      <w:spacing w:line="360" w:lineRule="auto"/>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F8E6A-71FB-42E0-AC06-8C2F63B6CCC5}">
  <ds:schemaRefs/>
</ds:datastoreItem>
</file>

<file path=docProps/app.xml><?xml version="1.0" encoding="utf-8"?>
<Properties xmlns="http://schemas.openxmlformats.org/officeDocument/2006/extended-properties" xmlns:vt="http://schemas.openxmlformats.org/officeDocument/2006/docPropsVTypes">
  <Template>Normal</Template>
  <Company>中国移动</Company>
  <Pages>52</Pages>
  <Words>17842</Words>
  <Characters>19004</Characters>
  <Lines>265</Lines>
  <Paragraphs>74</Paragraphs>
  <TotalTime>3</TotalTime>
  <ScaleCrop>false</ScaleCrop>
  <LinksUpToDate>false</LinksUpToDate>
  <CharactersWithSpaces>19111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2023-09-25T02:24:00Z</dcterms:created>
  <dc:creator>rr</dc:creator>
  <cp:lastModifiedBy>admin</cp:lastModifiedBy>
  <cp:lastPrinted>2023-11-07T00:43:00Z</cp:lastPrinted>
  <dcterms:modified xsi:type="dcterms:W3CDTF">2025-11-24T01:03:37Z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6238840E57F642EB8847BA9482C95A20_13</vt:lpwstr>
  </property>
  <property fmtid="{D5CDD505-2E9C-101B-9397-08002B2CF9AE}" pid="4" name="commondata">
    <vt:lpwstr>eyJoZGlkIjoiZDU0NmQxZWQ4YzcyMjkzOWM5ZjAwZGZkMDI5NzQxOGYifQ==</vt:lpwstr>
  </property>
  <property fmtid="{D5CDD505-2E9C-101B-9397-08002B2CF9AE}" pid="5" name="KSOTemplateDocerSaveRecord">
    <vt:lpwstr>eyJoZGlkIjoiYjljOTBkMTM2NTFiZTgyZThjMmVjYWFlOGJjYTJlNGMiLCJ1c2VySWQiOiI0Mjg0Nzg5MDgifQ==</vt:lpwstr>
  </property>
</Properties>
</file>