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813EE">
      <w:pPr>
        <w:autoSpaceDE w:val="0"/>
        <w:autoSpaceDN w:val="0"/>
        <w:spacing w:line="360" w:lineRule="auto"/>
        <w:jc w:val="center"/>
        <w:textAlignment w:val="bottom"/>
        <w:rPr>
          <w:rFonts w:hint="eastAsia" w:ascii="宋体" w:hAnsi="宋体" w:eastAsia="宋体" w:cs="宋体"/>
          <w:b/>
          <w:bCs/>
          <w:spacing w:val="120"/>
          <w:sz w:val="72"/>
          <w:szCs w:val="72"/>
          <w:highlight w:val="none"/>
        </w:rPr>
      </w:pPr>
    </w:p>
    <w:p w14:paraId="395ACF6E">
      <w:pPr>
        <w:autoSpaceDE w:val="0"/>
        <w:autoSpaceDN w:val="0"/>
        <w:spacing w:line="500" w:lineRule="atLeast"/>
        <w:jc w:val="center"/>
        <w:textAlignment w:val="bottom"/>
        <w:rPr>
          <w:rFonts w:hint="eastAsia" w:ascii="宋体" w:hAnsi="宋体" w:eastAsia="宋体" w:cs="宋体"/>
          <w:bCs/>
          <w:spacing w:val="227"/>
          <w:sz w:val="72"/>
          <w:szCs w:val="72"/>
          <w:highlight w:val="none"/>
        </w:rPr>
      </w:pPr>
      <w:r>
        <w:rPr>
          <w:rFonts w:hint="eastAsia" w:ascii="宋体" w:hAnsi="宋体" w:eastAsia="宋体" w:cs="宋体"/>
          <w:bCs/>
          <w:spacing w:val="227"/>
          <w:sz w:val="72"/>
          <w:szCs w:val="72"/>
          <w:highlight w:val="none"/>
        </w:rPr>
        <w:t>温州市国有企业</w:t>
      </w:r>
    </w:p>
    <w:p w14:paraId="302F77D8">
      <w:pPr>
        <w:spacing w:line="400" w:lineRule="atLeast"/>
        <w:jc w:val="center"/>
        <w:rPr>
          <w:rFonts w:hint="eastAsia" w:ascii="宋体" w:hAnsi="宋体" w:eastAsia="宋体" w:cs="宋体"/>
          <w:b/>
          <w:sz w:val="52"/>
          <w:szCs w:val="24"/>
          <w:highlight w:val="none"/>
        </w:rPr>
      </w:pPr>
    </w:p>
    <w:p w14:paraId="560B6AB7">
      <w:pPr>
        <w:spacing w:line="400" w:lineRule="atLeast"/>
        <w:jc w:val="center"/>
        <w:rPr>
          <w:rFonts w:hint="eastAsia" w:ascii="宋体" w:hAnsi="宋体" w:eastAsia="宋体" w:cs="宋体"/>
          <w:b/>
          <w:sz w:val="52"/>
          <w:szCs w:val="24"/>
          <w:highlight w:val="none"/>
        </w:rPr>
      </w:pPr>
    </w:p>
    <w:p w14:paraId="1B10CA33">
      <w:pPr>
        <w:autoSpaceDE w:val="0"/>
        <w:autoSpaceDN w:val="0"/>
        <w:spacing w:line="500" w:lineRule="atLeast"/>
        <w:jc w:val="center"/>
        <w:textAlignment w:val="bottom"/>
        <w:rPr>
          <w:rFonts w:hint="eastAsia" w:ascii="宋体" w:hAnsi="宋体" w:eastAsia="宋体" w:cs="宋体"/>
          <w:b/>
          <w:sz w:val="72"/>
          <w:szCs w:val="72"/>
          <w:highlight w:val="none"/>
        </w:rPr>
      </w:pPr>
      <w:r>
        <w:rPr>
          <w:rFonts w:hint="eastAsia" w:ascii="宋体" w:hAnsi="宋体" w:eastAsia="宋体" w:cs="宋体"/>
          <w:b/>
          <w:sz w:val="72"/>
          <w:szCs w:val="72"/>
          <w:highlight w:val="none"/>
        </w:rPr>
        <w:t>采  购  文  件</w:t>
      </w:r>
    </w:p>
    <w:p w14:paraId="7D9B8C0C">
      <w:pPr>
        <w:spacing w:line="400" w:lineRule="exact"/>
        <w:jc w:val="center"/>
        <w:rPr>
          <w:rFonts w:hint="eastAsia" w:ascii="宋体" w:hAnsi="宋体" w:eastAsia="宋体" w:cs="宋体"/>
          <w:b/>
          <w:sz w:val="32"/>
          <w:szCs w:val="24"/>
          <w:highlight w:val="none"/>
        </w:rPr>
      </w:pPr>
    </w:p>
    <w:p w14:paraId="36C35918">
      <w:pPr>
        <w:spacing w:line="400" w:lineRule="exact"/>
        <w:jc w:val="center"/>
        <w:rPr>
          <w:rFonts w:hint="eastAsia" w:ascii="宋体" w:hAnsi="宋体" w:eastAsia="宋体" w:cs="宋体"/>
          <w:b/>
          <w:sz w:val="32"/>
          <w:szCs w:val="24"/>
          <w:highlight w:val="none"/>
        </w:rPr>
      </w:pPr>
    </w:p>
    <w:tbl>
      <w:tblPr>
        <w:tblStyle w:val="25"/>
        <w:tblW w:w="5853" w:type="dxa"/>
        <w:jc w:val="center"/>
        <w:tblLayout w:type="fixed"/>
        <w:tblCellMar>
          <w:top w:w="0" w:type="dxa"/>
          <w:left w:w="108" w:type="dxa"/>
          <w:bottom w:w="0" w:type="dxa"/>
          <w:right w:w="108" w:type="dxa"/>
        </w:tblCellMar>
      </w:tblPr>
      <w:tblGrid>
        <w:gridCol w:w="2014"/>
        <w:gridCol w:w="360"/>
        <w:gridCol w:w="3479"/>
      </w:tblGrid>
      <w:tr w14:paraId="5E6EC01A">
        <w:tblPrEx>
          <w:tblCellMar>
            <w:top w:w="0" w:type="dxa"/>
            <w:left w:w="108" w:type="dxa"/>
            <w:bottom w:w="0" w:type="dxa"/>
            <w:right w:w="108" w:type="dxa"/>
          </w:tblCellMar>
        </w:tblPrEx>
        <w:trPr>
          <w:trHeight w:val="659" w:hRule="atLeast"/>
          <w:jc w:val="center"/>
        </w:trPr>
        <w:tc>
          <w:tcPr>
            <w:tcW w:w="2014" w:type="dxa"/>
            <w:vAlign w:val="center"/>
          </w:tcPr>
          <w:p w14:paraId="3BB03B34">
            <w:pPr>
              <w:adjustRightInd w:val="0"/>
              <w:snapToGrid w:val="0"/>
              <w:spacing w:line="440" w:lineRule="exact"/>
              <w:jc w:val="distribute"/>
              <w:rPr>
                <w:rFonts w:hint="eastAsia" w:ascii="宋体" w:hAnsi="宋体" w:eastAsia="宋体" w:cs="宋体"/>
                <w:b/>
                <w:bCs/>
                <w:sz w:val="30"/>
                <w:szCs w:val="30"/>
                <w:highlight w:val="none"/>
                <w:lang w:eastAsia="zh-CN"/>
              </w:rPr>
            </w:pPr>
            <w:r>
              <w:rPr>
                <w:rFonts w:hint="eastAsia" w:ascii="宋体" w:hAnsi="宋体" w:eastAsia="宋体" w:cs="宋体"/>
                <w:b/>
                <w:bCs/>
                <w:spacing w:val="40"/>
                <w:sz w:val="30"/>
                <w:szCs w:val="30"/>
                <w:highlight w:val="none"/>
                <w:lang w:eastAsia="zh-CN"/>
              </w:rPr>
              <w:t>项目编号</w:t>
            </w:r>
          </w:p>
        </w:tc>
        <w:tc>
          <w:tcPr>
            <w:tcW w:w="360" w:type="dxa"/>
            <w:vAlign w:val="center"/>
          </w:tcPr>
          <w:p w14:paraId="354A0ACC">
            <w:pPr>
              <w:adjustRightInd w:val="0"/>
              <w:snapToGrid w:val="0"/>
              <w:spacing w:line="440" w:lineRule="exact"/>
              <w:jc w:val="distribute"/>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w:t>
            </w:r>
          </w:p>
        </w:tc>
        <w:tc>
          <w:tcPr>
            <w:tcW w:w="3479" w:type="dxa"/>
            <w:vAlign w:val="center"/>
          </w:tcPr>
          <w:p w14:paraId="081EA69D">
            <w:pPr>
              <w:adjustRightInd w:val="0"/>
              <w:snapToGrid w:val="0"/>
              <w:spacing w:line="440" w:lineRule="exact"/>
              <w:rPr>
                <w:rFonts w:hint="eastAsia" w:ascii="宋体" w:hAnsi="宋体" w:eastAsia="宋体" w:cs="宋体"/>
                <w:b/>
                <w:bCs/>
                <w:spacing w:val="-20"/>
                <w:sz w:val="30"/>
                <w:szCs w:val="30"/>
                <w:highlight w:val="none"/>
                <w:lang w:eastAsia="zh-CN"/>
              </w:rPr>
            </w:pPr>
            <w:r>
              <w:rPr>
                <w:rFonts w:hint="eastAsia" w:ascii="宋体" w:hAnsi="宋体" w:eastAsia="宋体" w:cs="宋体"/>
                <w:b/>
                <w:bCs/>
                <w:sz w:val="30"/>
                <w:szCs w:val="30"/>
                <w:highlight w:val="none"/>
                <w:lang w:eastAsia="zh-CN"/>
              </w:rPr>
              <w:t>WGSS-JFJT-X-2024005</w:t>
            </w:r>
          </w:p>
        </w:tc>
      </w:tr>
      <w:tr w14:paraId="68179F36">
        <w:tblPrEx>
          <w:tblCellMar>
            <w:top w:w="0" w:type="dxa"/>
            <w:left w:w="108" w:type="dxa"/>
            <w:bottom w:w="0" w:type="dxa"/>
            <w:right w:w="108" w:type="dxa"/>
          </w:tblCellMar>
        </w:tblPrEx>
        <w:trPr>
          <w:trHeight w:val="614" w:hRule="atLeast"/>
          <w:jc w:val="center"/>
        </w:trPr>
        <w:tc>
          <w:tcPr>
            <w:tcW w:w="2014" w:type="dxa"/>
            <w:vAlign w:val="center"/>
          </w:tcPr>
          <w:p w14:paraId="1822FE3A">
            <w:pPr>
              <w:adjustRightInd w:val="0"/>
              <w:snapToGrid w:val="0"/>
              <w:spacing w:line="440" w:lineRule="exact"/>
              <w:jc w:val="distribute"/>
              <w:rPr>
                <w:rFonts w:hint="eastAsia" w:ascii="宋体" w:hAnsi="宋体" w:eastAsia="宋体" w:cs="宋体"/>
                <w:b/>
                <w:bCs/>
                <w:sz w:val="30"/>
                <w:szCs w:val="30"/>
                <w:highlight w:val="none"/>
              </w:rPr>
            </w:pPr>
            <w:r>
              <w:rPr>
                <w:rFonts w:hint="eastAsia" w:ascii="宋体" w:hAnsi="宋体" w:eastAsia="宋体" w:cs="宋体"/>
                <w:b/>
                <w:bCs/>
                <w:spacing w:val="40"/>
                <w:sz w:val="30"/>
                <w:szCs w:val="30"/>
                <w:highlight w:val="none"/>
              </w:rPr>
              <w:t>项目名称</w:t>
            </w:r>
          </w:p>
        </w:tc>
        <w:tc>
          <w:tcPr>
            <w:tcW w:w="360" w:type="dxa"/>
            <w:vAlign w:val="center"/>
          </w:tcPr>
          <w:p w14:paraId="02928980">
            <w:pPr>
              <w:adjustRightInd w:val="0"/>
              <w:snapToGrid w:val="0"/>
              <w:spacing w:line="440" w:lineRule="exact"/>
              <w:jc w:val="distribute"/>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w:t>
            </w:r>
          </w:p>
        </w:tc>
        <w:tc>
          <w:tcPr>
            <w:tcW w:w="3479" w:type="dxa"/>
            <w:vAlign w:val="center"/>
          </w:tcPr>
          <w:p w14:paraId="0E0AD7EB">
            <w:pPr>
              <w:adjustRightInd w:val="0"/>
              <w:snapToGrid w:val="0"/>
              <w:spacing w:line="440" w:lineRule="exact"/>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lang w:eastAsia="zh-CN"/>
              </w:rPr>
              <w:t>2025-2027年职工疗休养</w:t>
            </w:r>
          </w:p>
        </w:tc>
      </w:tr>
      <w:tr w14:paraId="245330A3">
        <w:tblPrEx>
          <w:tblCellMar>
            <w:top w:w="0" w:type="dxa"/>
            <w:left w:w="108" w:type="dxa"/>
            <w:bottom w:w="0" w:type="dxa"/>
            <w:right w:w="108" w:type="dxa"/>
          </w:tblCellMar>
        </w:tblPrEx>
        <w:trPr>
          <w:trHeight w:val="614" w:hRule="atLeast"/>
          <w:jc w:val="center"/>
        </w:trPr>
        <w:tc>
          <w:tcPr>
            <w:tcW w:w="2014" w:type="dxa"/>
            <w:vAlign w:val="center"/>
          </w:tcPr>
          <w:p w14:paraId="6495ED11">
            <w:pPr>
              <w:adjustRightInd w:val="0"/>
              <w:snapToGrid w:val="0"/>
              <w:spacing w:line="440" w:lineRule="exact"/>
              <w:jc w:val="distribute"/>
              <w:rPr>
                <w:rFonts w:hint="eastAsia" w:ascii="宋体" w:hAnsi="宋体" w:eastAsia="宋体" w:cs="宋体"/>
                <w:b/>
                <w:bCs/>
                <w:sz w:val="30"/>
                <w:szCs w:val="30"/>
                <w:highlight w:val="none"/>
              </w:rPr>
            </w:pPr>
            <w:r>
              <w:rPr>
                <w:rFonts w:hint="eastAsia" w:ascii="宋体" w:hAnsi="宋体" w:eastAsia="宋体" w:cs="宋体"/>
                <w:b/>
                <w:bCs/>
                <w:spacing w:val="40"/>
                <w:sz w:val="30"/>
                <w:szCs w:val="30"/>
                <w:highlight w:val="none"/>
              </w:rPr>
              <w:t>采购方式</w:t>
            </w:r>
          </w:p>
        </w:tc>
        <w:tc>
          <w:tcPr>
            <w:tcW w:w="360" w:type="dxa"/>
            <w:vAlign w:val="center"/>
          </w:tcPr>
          <w:p w14:paraId="2FD594B8">
            <w:pPr>
              <w:adjustRightInd w:val="0"/>
              <w:snapToGrid w:val="0"/>
              <w:spacing w:line="440" w:lineRule="exact"/>
              <w:jc w:val="distribute"/>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w:t>
            </w:r>
          </w:p>
        </w:tc>
        <w:tc>
          <w:tcPr>
            <w:tcW w:w="3479" w:type="dxa"/>
            <w:vAlign w:val="center"/>
          </w:tcPr>
          <w:p w14:paraId="176CE9B0">
            <w:pPr>
              <w:adjustRightInd w:val="0"/>
              <w:snapToGrid w:val="0"/>
              <w:spacing w:line="440" w:lineRule="exact"/>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公开招标</w:t>
            </w:r>
          </w:p>
        </w:tc>
      </w:tr>
    </w:tbl>
    <w:p w14:paraId="7ACBAF22">
      <w:pPr>
        <w:jc w:val="center"/>
        <w:rPr>
          <w:rFonts w:hint="eastAsia" w:ascii="宋体" w:hAnsi="宋体" w:eastAsia="宋体" w:cs="宋体"/>
          <w:b/>
          <w:sz w:val="24"/>
          <w:szCs w:val="24"/>
          <w:highlight w:val="none"/>
        </w:rPr>
      </w:pPr>
    </w:p>
    <w:p w14:paraId="3FB77C5B">
      <w:pPr>
        <w:jc w:val="center"/>
        <w:rPr>
          <w:rFonts w:hint="eastAsia" w:ascii="宋体" w:hAnsi="宋体" w:eastAsia="宋体" w:cs="宋体"/>
          <w:b/>
          <w:sz w:val="24"/>
          <w:szCs w:val="24"/>
          <w:highlight w:val="none"/>
        </w:rPr>
      </w:pPr>
    </w:p>
    <w:p w14:paraId="258B753C">
      <w:pPr>
        <w:jc w:val="center"/>
        <w:rPr>
          <w:rFonts w:hint="eastAsia" w:ascii="宋体" w:hAnsi="宋体" w:eastAsia="宋体" w:cs="宋体"/>
          <w:b/>
          <w:sz w:val="24"/>
          <w:szCs w:val="24"/>
          <w:highlight w:val="none"/>
        </w:rPr>
      </w:pPr>
    </w:p>
    <w:p w14:paraId="1A096298">
      <w:pPr>
        <w:jc w:val="center"/>
        <w:rPr>
          <w:rFonts w:hint="eastAsia" w:ascii="宋体" w:hAnsi="宋体" w:eastAsia="宋体" w:cs="宋体"/>
          <w:b/>
          <w:sz w:val="24"/>
          <w:szCs w:val="24"/>
          <w:highlight w:val="none"/>
        </w:rPr>
      </w:pPr>
    </w:p>
    <w:p w14:paraId="11086AE7">
      <w:pPr>
        <w:jc w:val="center"/>
        <w:rPr>
          <w:rFonts w:hint="eastAsia" w:ascii="宋体" w:hAnsi="宋体" w:eastAsia="宋体" w:cs="宋体"/>
          <w:b/>
          <w:sz w:val="24"/>
          <w:szCs w:val="24"/>
          <w:highlight w:val="none"/>
        </w:rPr>
      </w:pPr>
    </w:p>
    <w:p w14:paraId="05D842A8">
      <w:pPr>
        <w:jc w:val="center"/>
        <w:rPr>
          <w:rFonts w:hint="eastAsia" w:ascii="宋体" w:hAnsi="宋体" w:eastAsia="宋体" w:cs="宋体"/>
          <w:b/>
          <w:sz w:val="24"/>
          <w:szCs w:val="24"/>
          <w:highlight w:val="none"/>
        </w:rPr>
      </w:pPr>
    </w:p>
    <w:p w14:paraId="1485983F">
      <w:pPr>
        <w:jc w:val="center"/>
        <w:rPr>
          <w:rFonts w:hint="eastAsia" w:ascii="宋体" w:hAnsi="宋体" w:eastAsia="宋体" w:cs="宋体"/>
          <w:b/>
          <w:sz w:val="24"/>
          <w:szCs w:val="24"/>
          <w:highlight w:val="none"/>
        </w:rPr>
      </w:pPr>
    </w:p>
    <w:p w14:paraId="001FB108">
      <w:pPr>
        <w:jc w:val="center"/>
        <w:rPr>
          <w:rFonts w:hint="eastAsia" w:ascii="宋体" w:hAnsi="宋体" w:eastAsia="宋体" w:cs="宋体"/>
          <w:b/>
          <w:sz w:val="24"/>
          <w:szCs w:val="24"/>
          <w:highlight w:val="none"/>
        </w:rPr>
      </w:pPr>
    </w:p>
    <w:p w14:paraId="681C6B3A">
      <w:pPr>
        <w:jc w:val="center"/>
        <w:rPr>
          <w:rFonts w:hint="eastAsia" w:ascii="宋体" w:hAnsi="宋体" w:eastAsia="宋体" w:cs="宋体"/>
          <w:b/>
          <w:sz w:val="24"/>
          <w:szCs w:val="24"/>
          <w:highlight w:val="none"/>
        </w:rPr>
      </w:pPr>
    </w:p>
    <w:p w14:paraId="5D6B3352">
      <w:pPr>
        <w:jc w:val="center"/>
        <w:rPr>
          <w:rFonts w:hint="eastAsia" w:ascii="宋体" w:hAnsi="宋体" w:eastAsia="宋体" w:cs="宋体"/>
          <w:b/>
          <w:sz w:val="24"/>
          <w:szCs w:val="24"/>
          <w:highlight w:val="none"/>
        </w:rPr>
      </w:pPr>
    </w:p>
    <w:p w14:paraId="4E72CF3B">
      <w:pPr>
        <w:jc w:val="center"/>
        <w:rPr>
          <w:rFonts w:hint="eastAsia" w:ascii="宋体" w:hAnsi="宋体" w:eastAsia="宋体" w:cs="宋体"/>
          <w:b/>
          <w:sz w:val="24"/>
          <w:szCs w:val="24"/>
          <w:highlight w:val="none"/>
        </w:rPr>
      </w:pPr>
    </w:p>
    <w:tbl>
      <w:tblPr>
        <w:tblStyle w:val="25"/>
        <w:tblW w:w="7348" w:type="dxa"/>
        <w:jc w:val="center"/>
        <w:tblLayout w:type="fixed"/>
        <w:tblCellMar>
          <w:top w:w="0" w:type="dxa"/>
          <w:left w:w="108" w:type="dxa"/>
          <w:bottom w:w="0" w:type="dxa"/>
          <w:right w:w="108" w:type="dxa"/>
        </w:tblCellMar>
      </w:tblPr>
      <w:tblGrid>
        <w:gridCol w:w="2199"/>
        <w:gridCol w:w="360"/>
        <w:gridCol w:w="4789"/>
      </w:tblGrid>
      <w:tr w14:paraId="1FF996AC">
        <w:tblPrEx>
          <w:tblCellMar>
            <w:top w:w="0" w:type="dxa"/>
            <w:left w:w="108" w:type="dxa"/>
            <w:bottom w:w="0" w:type="dxa"/>
            <w:right w:w="108" w:type="dxa"/>
          </w:tblCellMar>
        </w:tblPrEx>
        <w:trPr>
          <w:trHeight w:val="614" w:hRule="atLeast"/>
          <w:jc w:val="center"/>
        </w:trPr>
        <w:tc>
          <w:tcPr>
            <w:tcW w:w="2199" w:type="dxa"/>
            <w:vAlign w:val="center"/>
          </w:tcPr>
          <w:p w14:paraId="4C087068">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采购人</w:t>
            </w:r>
          </w:p>
        </w:tc>
        <w:tc>
          <w:tcPr>
            <w:tcW w:w="360" w:type="dxa"/>
            <w:tcBorders>
              <w:left w:val="nil"/>
            </w:tcBorders>
            <w:vAlign w:val="center"/>
          </w:tcPr>
          <w:p w14:paraId="7F029E8C">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14:paraId="0F6C7DDA">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温州市高速公路运营管理有限公司</w:t>
            </w:r>
          </w:p>
        </w:tc>
      </w:tr>
      <w:tr w14:paraId="4379373C">
        <w:tblPrEx>
          <w:tblCellMar>
            <w:top w:w="0" w:type="dxa"/>
            <w:left w:w="108" w:type="dxa"/>
            <w:bottom w:w="0" w:type="dxa"/>
            <w:right w:w="108" w:type="dxa"/>
          </w:tblCellMar>
        </w:tblPrEx>
        <w:trPr>
          <w:trHeight w:val="614" w:hRule="atLeast"/>
          <w:jc w:val="center"/>
        </w:trPr>
        <w:tc>
          <w:tcPr>
            <w:tcW w:w="2199" w:type="dxa"/>
            <w:vAlign w:val="center"/>
          </w:tcPr>
          <w:p w14:paraId="57AC909F">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采购代理机构</w:t>
            </w:r>
          </w:p>
        </w:tc>
        <w:tc>
          <w:tcPr>
            <w:tcW w:w="360" w:type="dxa"/>
            <w:tcBorders>
              <w:left w:val="nil"/>
            </w:tcBorders>
            <w:vAlign w:val="center"/>
          </w:tcPr>
          <w:p w14:paraId="4FCCAFE2">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14:paraId="648997B2">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浙江国际招投标有限公司</w:t>
            </w:r>
          </w:p>
        </w:tc>
      </w:tr>
    </w:tbl>
    <w:p w14:paraId="587EF8DF">
      <w:pPr>
        <w:spacing w:before="156" w:beforeLines="50" w:line="360" w:lineRule="auto"/>
        <w:jc w:val="center"/>
        <w:rPr>
          <w:rFonts w:hint="eastAsia" w:ascii="宋体" w:hAnsi="宋体" w:eastAsia="宋体" w:cs="宋体"/>
          <w:spacing w:val="40"/>
          <w:sz w:val="30"/>
          <w:szCs w:val="30"/>
          <w:highlight w:val="none"/>
          <w:lang w:val="en-US" w:eastAsia="zh-CN"/>
        </w:rPr>
      </w:pPr>
      <w:r>
        <w:rPr>
          <w:rFonts w:hint="eastAsia" w:ascii="宋体" w:hAnsi="宋体" w:eastAsia="宋体" w:cs="宋体"/>
          <w:spacing w:val="40"/>
          <w:sz w:val="30"/>
          <w:szCs w:val="30"/>
          <w:highlight w:val="none"/>
        </w:rPr>
        <w:t>二〇二</w:t>
      </w:r>
      <w:r>
        <w:rPr>
          <w:rFonts w:hint="eastAsia" w:ascii="宋体" w:hAnsi="宋体" w:eastAsia="宋体" w:cs="宋体"/>
          <w:spacing w:val="40"/>
          <w:sz w:val="30"/>
          <w:szCs w:val="30"/>
          <w:highlight w:val="none"/>
          <w:lang w:val="en-US" w:eastAsia="zh-CN"/>
        </w:rPr>
        <w:t>四</w:t>
      </w:r>
      <w:r>
        <w:rPr>
          <w:rFonts w:hint="eastAsia" w:ascii="宋体" w:hAnsi="宋体" w:eastAsia="宋体" w:cs="宋体"/>
          <w:spacing w:val="40"/>
          <w:sz w:val="30"/>
          <w:szCs w:val="30"/>
          <w:highlight w:val="none"/>
        </w:rPr>
        <w:t>年</w:t>
      </w:r>
      <w:r>
        <w:rPr>
          <w:rFonts w:hint="eastAsia" w:ascii="宋体" w:hAnsi="宋体" w:eastAsia="宋体" w:cs="宋体"/>
          <w:spacing w:val="40"/>
          <w:sz w:val="30"/>
          <w:szCs w:val="30"/>
          <w:highlight w:val="none"/>
          <w:lang w:val="en-US" w:eastAsia="zh-CN"/>
        </w:rPr>
        <w:t>十一月</w:t>
      </w:r>
    </w:p>
    <w:p w14:paraId="28722AB8">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A226A7F">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    录</w:t>
      </w:r>
    </w:p>
    <w:p w14:paraId="10A74D9E">
      <w:pPr>
        <w:tabs>
          <w:tab w:val="right" w:leader="dot" w:pos="9660"/>
        </w:tabs>
        <w:spacing w:line="480" w:lineRule="auto"/>
        <w:rPr>
          <w:rFonts w:hint="eastAsia" w:ascii="宋体" w:hAnsi="宋体" w:eastAsia="宋体" w:cs="宋体"/>
          <w:szCs w:val="21"/>
          <w:highlight w:val="none"/>
        </w:rPr>
      </w:pPr>
      <w:r>
        <w:rPr>
          <w:rFonts w:hint="eastAsia" w:ascii="宋体" w:hAnsi="宋体" w:eastAsia="宋体" w:cs="宋体"/>
          <w:sz w:val="33"/>
          <w:szCs w:val="24"/>
          <w:highlight w:val="none"/>
        </w:rPr>
        <w:fldChar w:fldCharType="begin"/>
      </w:r>
      <w:r>
        <w:rPr>
          <w:rFonts w:hint="eastAsia" w:ascii="宋体" w:hAnsi="宋体" w:eastAsia="宋体" w:cs="宋体"/>
          <w:sz w:val="33"/>
          <w:szCs w:val="24"/>
          <w:highlight w:val="none"/>
          <w:u w:val="single"/>
        </w:rPr>
        <w:instrText xml:space="preserve"> TOC \o "1-3" \h \z \u </w:instrText>
      </w:r>
      <w:r>
        <w:rPr>
          <w:rFonts w:hint="eastAsia" w:ascii="宋体" w:hAnsi="宋体" w:eastAsia="宋体" w:cs="宋体"/>
          <w:sz w:val="33"/>
          <w:szCs w:val="24"/>
          <w:highlight w:val="none"/>
        </w:rPr>
        <w:fldChar w:fldCharType="separate"/>
      </w:r>
    </w:p>
    <w:p w14:paraId="6D3FD916">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napToGrid w:val="0"/>
          <w:spacing w:val="-20"/>
          <w:kern w:val="0"/>
          <w:szCs w:val="24"/>
          <w:highlight w:val="none"/>
          <w:u w:val="single"/>
          <w:lang w:eastAsia="zh-CN"/>
        </w:rPr>
        <w:t>温州市交发集团所属温州市高速公路运营管理有限公司关于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"_Toc491780521" </w:instrText>
      </w:r>
      <w:r>
        <w:rPr>
          <w:rFonts w:hint="eastAsia" w:ascii="宋体" w:hAnsi="宋体" w:eastAsia="宋体" w:cs="宋体"/>
          <w:highlight w:val="none"/>
        </w:rPr>
        <w:fldChar w:fldCharType="separate"/>
      </w:r>
      <w:r>
        <w:rPr>
          <w:rFonts w:hint="eastAsia" w:ascii="宋体" w:hAnsi="宋体" w:eastAsia="宋体" w:cs="宋体"/>
          <w:snapToGrid w:val="0"/>
          <w:spacing w:val="-20"/>
          <w:kern w:val="0"/>
          <w:szCs w:val="24"/>
          <w:highlight w:val="none"/>
          <w:u w:val="single"/>
          <w:lang w:eastAsia="zh-CN"/>
        </w:rPr>
        <w:t>2025-2027年职工疗休养</w:t>
      </w:r>
      <w:r>
        <w:rPr>
          <w:rFonts w:hint="eastAsia" w:ascii="宋体" w:hAnsi="宋体" w:eastAsia="宋体" w:cs="宋体"/>
          <w:snapToGrid w:val="0"/>
          <w:spacing w:val="-20"/>
          <w:kern w:val="0"/>
          <w:szCs w:val="24"/>
          <w:highlight w:val="none"/>
          <w:u w:val="single"/>
          <w:lang w:val="en-US" w:eastAsia="zh-CN"/>
        </w:rPr>
        <w:t>项目</w:t>
      </w:r>
      <w:r>
        <w:rPr>
          <w:rFonts w:hint="eastAsia" w:ascii="宋体" w:hAnsi="宋体" w:eastAsia="宋体" w:cs="宋体"/>
          <w:snapToGrid w:val="0"/>
          <w:spacing w:val="-20"/>
          <w:kern w:val="0"/>
          <w:szCs w:val="24"/>
          <w:highlight w:val="none"/>
          <w:u w:val="single"/>
        </w:rPr>
        <w:t>的采购公告</w:t>
      </w:r>
      <w:r>
        <w:rPr>
          <w:rFonts w:hint="eastAsia" w:ascii="宋体" w:hAnsi="宋体" w:eastAsia="宋体" w:cs="宋体"/>
          <w:snapToGrid w:val="0"/>
          <w:spacing w:val="-20"/>
          <w:kern w:val="0"/>
          <w:szCs w:val="24"/>
          <w:highlight w:val="none"/>
          <w:u w:val="single"/>
        </w:rPr>
        <w:tab/>
      </w:r>
      <w:r>
        <w:rPr>
          <w:rFonts w:hint="eastAsia" w:ascii="宋体" w:hAnsi="宋体" w:eastAsia="宋体" w:cs="宋体"/>
          <w:snapToGrid w:val="0"/>
          <w:spacing w:val="-20"/>
          <w:kern w:val="0"/>
          <w:szCs w:val="24"/>
          <w:highlight w:val="none"/>
          <w:u w:val="single"/>
        </w:rPr>
        <w:t>3</w:t>
      </w:r>
      <w:r>
        <w:rPr>
          <w:rFonts w:hint="eastAsia" w:ascii="宋体" w:hAnsi="宋体" w:eastAsia="宋体" w:cs="宋体"/>
          <w:snapToGrid w:val="0"/>
          <w:spacing w:val="-20"/>
          <w:kern w:val="0"/>
          <w:szCs w:val="24"/>
          <w:highlight w:val="none"/>
          <w:u w:val="single"/>
        </w:rPr>
        <w:fldChar w:fldCharType="end"/>
      </w:r>
    </w:p>
    <w:p w14:paraId="24E68A22">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pacing w:val="-20"/>
          <w:szCs w:val="24"/>
          <w:highlight w:val="none"/>
          <w:u w:val="single"/>
          <w:lang w:eastAsia="zh-CN"/>
        </w:rPr>
        <w:t>温州市交发集团所属温州市高速公路运营管理有限公司关于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"_Toc491780522" </w:instrText>
      </w:r>
      <w:r>
        <w:rPr>
          <w:rFonts w:hint="eastAsia" w:ascii="宋体" w:hAnsi="宋体" w:eastAsia="宋体" w:cs="宋体"/>
          <w:highlight w:val="none"/>
        </w:rPr>
        <w:fldChar w:fldCharType="separate"/>
      </w:r>
      <w:r>
        <w:rPr>
          <w:rFonts w:hint="eastAsia" w:ascii="宋体" w:hAnsi="宋体" w:eastAsia="宋体" w:cs="宋体"/>
          <w:spacing w:val="-20"/>
          <w:szCs w:val="24"/>
          <w:highlight w:val="none"/>
          <w:u w:val="single"/>
          <w:lang w:eastAsia="zh-CN"/>
        </w:rPr>
        <w:t>2025-2027年职工疗休养</w:t>
      </w:r>
      <w:r>
        <w:rPr>
          <w:rFonts w:hint="eastAsia" w:ascii="宋体" w:hAnsi="宋体" w:eastAsia="宋体" w:cs="宋体"/>
          <w:spacing w:val="-20"/>
          <w:szCs w:val="24"/>
          <w:highlight w:val="none"/>
          <w:u w:val="single"/>
          <w:lang w:val="en-US" w:eastAsia="zh-CN"/>
        </w:rPr>
        <w:t>项目</w:t>
      </w:r>
      <w:r>
        <w:rPr>
          <w:rFonts w:hint="eastAsia" w:ascii="宋体" w:hAnsi="宋体" w:eastAsia="宋体" w:cs="宋体"/>
          <w:spacing w:val="-20"/>
          <w:szCs w:val="24"/>
          <w:highlight w:val="none"/>
          <w:u w:val="single"/>
        </w:rPr>
        <w:t>征求意见公示</w:t>
      </w:r>
      <w:r>
        <w:rPr>
          <w:rFonts w:hint="eastAsia" w:ascii="宋体" w:hAnsi="宋体" w:eastAsia="宋体" w:cs="宋体"/>
          <w:spacing w:val="-20"/>
          <w:szCs w:val="24"/>
          <w:highlight w:val="none"/>
          <w:u w:val="single"/>
        </w:rPr>
        <w:tab/>
      </w:r>
      <w:r>
        <w:rPr>
          <w:rFonts w:hint="eastAsia" w:ascii="宋体" w:hAnsi="宋体" w:eastAsia="宋体" w:cs="宋体"/>
          <w:spacing w:val="-20"/>
          <w:szCs w:val="24"/>
          <w:highlight w:val="none"/>
          <w:u w:val="single"/>
          <w:lang w:val="en-US" w:eastAsia="zh-CN"/>
        </w:rPr>
        <w:t>4</w:t>
      </w:r>
      <w:r>
        <w:rPr>
          <w:rFonts w:hint="eastAsia" w:ascii="宋体" w:hAnsi="宋体" w:eastAsia="宋体" w:cs="宋体"/>
          <w:spacing w:val="-20"/>
          <w:szCs w:val="24"/>
          <w:highlight w:val="none"/>
          <w:u w:val="single"/>
        </w:rPr>
        <w:fldChar w:fldCharType="end"/>
      </w:r>
    </w:p>
    <w:p w14:paraId="2114D605">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"_Toc491780523"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第一部分 投标人须知及投标人须知前附表</w:t>
      </w:r>
      <w:r>
        <w:rPr>
          <w:rFonts w:hint="eastAsia" w:ascii="宋体" w:hAnsi="宋体" w:eastAsia="宋体" w:cs="宋体"/>
          <w:szCs w:val="24"/>
          <w:highlight w:val="none"/>
        </w:rPr>
        <w:tab/>
      </w:r>
      <w:r>
        <w:rPr>
          <w:rFonts w:hint="eastAsia" w:ascii="宋体" w:hAnsi="宋体" w:eastAsia="宋体" w:cs="宋体"/>
          <w:szCs w:val="24"/>
          <w:highlight w:val="none"/>
        </w:rPr>
        <w:t>6</w:t>
      </w:r>
      <w:r>
        <w:rPr>
          <w:rFonts w:hint="eastAsia" w:ascii="宋体" w:hAnsi="宋体" w:eastAsia="宋体" w:cs="宋体"/>
          <w:szCs w:val="24"/>
          <w:highlight w:val="none"/>
        </w:rPr>
        <w:fldChar w:fldCharType="end"/>
      </w:r>
    </w:p>
    <w:p w14:paraId="7388803E">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"_Toc491780524"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第二部分 合同条款</w:t>
      </w:r>
      <w:r>
        <w:rPr>
          <w:rFonts w:hint="eastAsia" w:ascii="宋体" w:hAnsi="宋体" w:eastAsia="宋体" w:cs="宋体"/>
          <w:szCs w:val="24"/>
          <w:highlight w:val="none"/>
        </w:rPr>
        <w:tab/>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PAGEREF _Toc491780524 \h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17</w:t>
      </w:r>
      <w:r>
        <w:rPr>
          <w:rFonts w:hint="eastAsia" w:ascii="宋体" w:hAnsi="宋体" w:eastAsia="宋体" w:cs="宋体"/>
          <w:szCs w:val="24"/>
          <w:highlight w:val="none"/>
        </w:rPr>
        <w:fldChar w:fldCharType="end"/>
      </w:r>
      <w:r>
        <w:rPr>
          <w:rFonts w:hint="eastAsia" w:ascii="宋体" w:hAnsi="宋体" w:eastAsia="宋体" w:cs="宋体"/>
          <w:szCs w:val="24"/>
          <w:highlight w:val="none"/>
        </w:rPr>
        <w:fldChar w:fldCharType="end"/>
      </w:r>
    </w:p>
    <w:p w14:paraId="5A9D7F12">
      <w:pPr>
        <w:tabs>
          <w:tab w:val="right" w:leader="dot" w:pos="9660"/>
        </w:tabs>
        <w:spacing w:line="480" w:lineRule="auto"/>
        <w:rPr>
          <w:rFonts w:hint="eastAsia"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"_Toc491780525"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第三部分 投标文件的编制格式</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27</w:t>
      </w:r>
    </w:p>
    <w:p w14:paraId="166BE169">
      <w:pPr>
        <w:tabs>
          <w:tab w:val="right" w:leader="dot" w:pos="9660"/>
        </w:tabs>
        <w:spacing w:line="480" w:lineRule="auto"/>
        <w:rPr>
          <w:rFonts w:hint="eastAsia"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"_Toc491780526"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第四部分 采购内</w:t>
      </w:r>
      <w:bookmarkStart w:id="0" w:name="_Hlt491780538"/>
      <w:r>
        <w:rPr>
          <w:rFonts w:hint="eastAsia" w:ascii="宋体" w:hAnsi="宋体" w:eastAsia="宋体" w:cs="宋体"/>
          <w:szCs w:val="24"/>
          <w:highlight w:val="none"/>
          <w:u w:val="single"/>
        </w:rPr>
        <w:t>容</w:t>
      </w:r>
      <w:bookmarkEnd w:id="0"/>
      <w:r>
        <w:rPr>
          <w:rFonts w:hint="eastAsia" w:ascii="宋体" w:hAnsi="宋体" w:eastAsia="宋体" w:cs="宋体"/>
          <w:szCs w:val="24"/>
          <w:highlight w:val="none"/>
          <w:u w:val="single"/>
        </w:rPr>
        <w:t>及要求</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43</w:t>
      </w:r>
    </w:p>
    <w:p w14:paraId="2DC80528">
      <w:pPr>
        <w:tabs>
          <w:tab w:val="right" w:leader="dot" w:pos="9660"/>
        </w:tabs>
        <w:spacing w:line="480" w:lineRule="auto"/>
        <w:rPr>
          <w:rFonts w:hint="eastAsia"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"_Toc491780527" </w:instrText>
      </w:r>
      <w:r>
        <w:rPr>
          <w:rFonts w:hint="eastAsia" w:ascii="宋体" w:hAnsi="宋体" w:eastAsia="宋体" w:cs="宋体"/>
          <w:highlight w:val="none"/>
        </w:rPr>
        <w:fldChar w:fldCharType="separate"/>
      </w:r>
      <w:r>
        <w:rPr>
          <w:rFonts w:hint="eastAsia" w:ascii="宋体" w:hAnsi="宋体" w:eastAsia="宋体" w:cs="宋体"/>
          <w:szCs w:val="24"/>
          <w:highlight w:val="none"/>
        </w:rPr>
        <w:t>第五部分 评标原则及方法</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46</w:t>
      </w:r>
    </w:p>
    <w:p w14:paraId="40F3AF76">
      <w:pPr>
        <w:tabs>
          <w:tab w:val="right" w:leader="dot" w:pos="9660"/>
        </w:tabs>
        <w:spacing w:line="360" w:lineRule="auto"/>
        <w:rPr>
          <w:rFonts w:hint="eastAsia" w:ascii="宋体" w:hAnsi="宋体" w:eastAsia="宋体" w:cs="宋体"/>
          <w:b/>
          <w:bCs/>
          <w:sz w:val="28"/>
          <w:szCs w:val="30"/>
          <w:highlight w:val="none"/>
        </w:rPr>
      </w:pPr>
      <w:r>
        <w:rPr>
          <w:rFonts w:hint="eastAsia" w:ascii="宋体" w:hAnsi="宋体" w:eastAsia="宋体" w:cs="宋体"/>
          <w:sz w:val="33"/>
          <w:szCs w:val="24"/>
          <w:highlight w:val="none"/>
        </w:rPr>
        <w:fldChar w:fldCharType="end"/>
      </w:r>
      <w:r>
        <w:rPr>
          <w:rFonts w:hint="eastAsia" w:ascii="宋体" w:hAnsi="宋体" w:eastAsia="宋体" w:cs="宋体"/>
          <w:b/>
          <w:bCs/>
          <w:sz w:val="28"/>
          <w:szCs w:val="30"/>
          <w:highlight w:val="none"/>
        </w:rPr>
        <w:t>注：本采购文件中加“▲”</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的条款，为采购文件的实质性要求和条件，着重提醒各投标人注意（不响应</w:t>
      </w:r>
      <w:r>
        <w:rPr>
          <w:rFonts w:hint="eastAsia" w:ascii="宋体" w:hAnsi="宋体" w:eastAsia="宋体" w:cs="宋体"/>
          <w:b/>
          <w:bCs/>
          <w:sz w:val="28"/>
          <w:szCs w:val="30"/>
          <w:highlight w:val="none"/>
          <w:lang w:val="en-US" w:eastAsia="zh-CN"/>
        </w:rPr>
        <w:t>加</w:t>
      </w:r>
      <w:r>
        <w:rPr>
          <w:rFonts w:hint="eastAsia" w:ascii="宋体" w:hAnsi="宋体" w:eastAsia="宋体" w:cs="宋体"/>
          <w:b/>
          <w:bCs/>
          <w:sz w:val="28"/>
          <w:szCs w:val="30"/>
          <w:highlight w:val="none"/>
        </w:rPr>
        <w:t>“▲”</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条款的作无效标处理），并认真查看采购文件中的每一个条款及要求，因误读采购文件而造成的后果，采购人概不负责。</w:t>
      </w:r>
    </w:p>
    <w:p w14:paraId="62F66592">
      <w:pPr>
        <w:jc w:val="center"/>
        <w:rPr>
          <w:rFonts w:hint="eastAsia" w:ascii="宋体" w:hAnsi="宋体" w:eastAsia="宋体" w:cs="宋体"/>
          <w:highlight w:val="none"/>
        </w:rPr>
      </w:pPr>
      <w:bookmarkStart w:id="1" w:name="_Hlk10719563"/>
      <w:bookmarkStart w:id="2" w:name="_Hlk10921265"/>
      <w:r>
        <w:rPr>
          <w:rFonts w:hint="eastAsia" w:ascii="宋体" w:hAnsi="宋体" w:eastAsia="宋体" w:cs="宋体"/>
          <w:sz w:val="24"/>
          <w:szCs w:val="24"/>
          <w:highlight w:val="none"/>
        </w:rPr>
        <w:br w:type="page"/>
      </w:r>
      <w:bookmarkEnd w:id="1"/>
      <w:r>
        <w:rPr>
          <w:rFonts w:hint="eastAsia" w:ascii="宋体" w:hAnsi="宋体" w:eastAsia="宋体" w:cs="宋体"/>
          <w:sz w:val="24"/>
          <w:highlight w:val="none"/>
          <w:lang w:eastAsia="zh-CN"/>
        </w:rPr>
        <w:t>温州市交发集团</w:t>
      </w:r>
      <w:r>
        <w:rPr>
          <w:rFonts w:hint="eastAsia" w:ascii="宋体" w:hAnsi="宋体" w:eastAsia="宋体" w:cs="宋体"/>
          <w:sz w:val="24"/>
          <w:highlight w:val="none"/>
          <w:lang w:val="en-US" w:eastAsia="zh-CN"/>
        </w:rPr>
        <w:t>所属</w:t>
      </w:r>
      <w:r>
        <w:rPr>
          <w:rFonts w:hint="eastAsia" w:ascii="宋体" w:hAnsi="宋体" w:eastAsia="宋体" w:cs="宋体"/>
          <w:sz w:val="24"/>
          <w:highlight w:val="none"/>
          <w:lang w:eastAsia="zh-CN"/>
        </w:rPr>
        <w:t>温州市高速公路运营管理有限公司关于2025-2027年职工疗休养</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的采购公告</w:t>
      </w:r>
    </w:p>
    <w:p w14:paraId="359F87AA">
      <w:pPr>
        <w:widowControl/>
        <w:spacing w:before="60" w:after="60"/>
        <w:ind w:right="60" w:firstLine="420" w:firstLineChars="200"/>
        <w:jc w:val="left"/>
        <w:rPr>
          <w:rFonts w:hint="eastAsia" w:ascii="宋体" w:hAnsi="宋体" w:eastAsia="宋体" w:cs="宋体"/>
          <w:highlight w:val="none"/>
        </w:rPr>
      </w:pPr>
      <w:r>
        <w:rPr>
          <w:rFonts w:hint="eastAsia" w:ascii="宋体" w:hAnsi="宋体" w:eastAsia="宋体" w:cs="宋体"/>
          <w:highlight w:val="none"/>
        </w:rPr>
        <w:t>根据《温州市市属国有企业采购管理办法》等有关规定，</w:t>
      </w:r>
      <w:r>
        <w:rPr>
          <w:rFonts w:hint="eastAsia" w:ascii="宋体" w:hAnsi="宋体" w:eastAsia="宋体" w:cs="宋体"/>
          <w:highlight w:val="none"/>
          <w:lang w:eastAsia="zh-CN"/>
        </w:rPr>
        <w:t>浙江国际招投标有限公司</w:t>
      </w:r>
      <w:r>
        <w:rPr>
          <w:rFonts w:hint="eastAsia" w:ascii="宋体" w:hAnsi="宋体" w:eastAsia="宋体" w:cs="宋体"/>
          <w:highlight w:val="none"/>
        </w:rPr>
        <w:t>受</w:t>
      </w:r>
      <w:r>
        <w:rPr>
          <w:rFonts w:hint="eastAsia" w:ascii="宋体" w:hAnsi="宋体" w:eastAsia="宋体" w:cs="宋体"/>
          <w:highlight w:val="none"/>
          <w:lang w:eastAsia="zh-CN"/>
        </w:rPr>
        <w:t>温州市高速公路运营管理有限公司</w:t>
      </w:r>
      <w:r>
        <w:rPr>
          <w:rFonts w:hint="eastAsia" w:ascii="宋体" w:hAnsi="宋体" w:eastAsia="宋体" w:cs="宋体"/>
          <w:highlight w:val="none"/>
        </w:rPr>
        <w:t>的委托，就</w:t>
      </w:r>
      <w:r>
        <w:rPr>
          <w:rFonts w:hint="eastAsia" w:ascii="宋体" w:hAnsi="宋体" w:eastAsia="宋体" w:cs="宋体"/>
          <w:highlight w:val="none"/>
          <w:lang w:eastAsia="zh-CN"/>
        </w:rPr>
        <w:t>2025-2027年职工疗休养</w:t>
      </w:r>
      <w:r>
        <w:rPr>
          <w:rFonts w:hint="eastAsia" w:ascii="宋体" w:hAnsi="宋体" w:eastAsia="宋体" w:cs="宋体"/>
          <w:highlight w:val="none"/>
          <w:lang w:val="en-US" w:eastAsia="zh-CN"/>
        </w:rPr>
        <w:t>项目</w:t>
      </w:r>
      <w:r>
        <w:rPr>
          <w:rFonts w:hint="eastAsia" w:ascii="宋体" w:hAnsi="宋体" w:eastAsia="宋体" w:cs="宋体"/>
          <w:highlight w:val="none"/>
        </w:rPr>
        <w:t>以公开招标方式进行国企采购，欢迎国内合格的</w:t>
      </w:r>
      <w:r>
        <w:rPr>
          <w:rFonts w:hint="eastAsia" w:ascii="宋体" w:hAnsi="宋体" w:eastAsia="宋体" w:cs="宋体"/>
          <w:highlight w:val="none"/>
          <w:lang w:eastAsia="zh-CN"/>
        </w:rPr>
        <w:t>投标人</w:t>
      </w:r>
      <w:r>
        <w:rPr>
          <w:rFonts w:hint="eastAsia" w:ascii="宋体" w:hAnsi="宋体" w:eastAsia="宋体" w:cs="宋体"/>
          <w:highlight w:val="none"/>
        </w:rPr>
        <w:t>前来投标。</w:t>
      </w:r>
    </w:p>
    <w:p w14:paraId="3468AF15">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
          <w:bCs w:val="0"/>
          <w:kern w:val="0"/>
          <w:szCs w:val="21"/>
          <w:highlight w:val="none"/>
          <w:lang w:val="en-US" w:eastAsia="zh-CN"/>
        </w:rPr>
        <w:t>一</w:t>
      </w:r>
      <w:r>
        <w:rPr>
          <w:rFonts w:hint="eastAsia" w:ascii="宋体" w:hAnsi="宋体" w:eastAsia="宋体" w:cs="宋体"/>
          <w:b/>
          <w:bCs w:val="0"/>
          <w:kern w:val="0"/>
          <w:szCs w:val="21"/>
          <w:highlight w:val="none"/>
        </w:rPr>
        <w:t>、项目编号：</w:t>
      </w:r>
      <w:r>
        <w:rPr>
          <w:rFonts w:hint="eastAsia" w:ascii="宋体" w:hAnsi="宋体" w:eastAsia="宋体" w:cs="宋体"/>
          <w:bCs/>
          <w:kern w:val="0"/>
          <w:szCs w:val="21"/>
          <w:highlight w:val="none"/>
          <w:lang w:eastAsia="zh-CN"/>
        </w:rPr>
        <w:t>WGSS-JFJT-X-2024005</w:t>
      </w:r>
    </w:p>
    <w:p w14:paraId="2BC6F349">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
          <w:bCs w:val="0"/>
          <w:kern w:val="0"/>
          <w:szCs w:val="21"/>
          <w:highlight w:val="none"/>
          <w:lang w:val="en-US" w:eastAsia="zh-CN"/>
        </w:rPr>
        <w:t>二</w:t>
      </w:r>
      <w:r>
        <w:rPr>
          <w:rFonts w:hint="eastAsia" w:ascii="宋体" w:hAnsi="宋体" w:eastAsia="宋体" w:cs="宋体"/>
          <w:b/>
          <w:bCs w:val="0"/>
          <w:kern w:val="0"/>
          <w:szCs w:val="21"/>
          <w:highlight w:val="none"/>
        </w:rPr>
        <w:t>、项目名称：</w:t>
      </w:r>
      <w:r>
        <w:rPr>
          <w:rFonts w:hint="eastAsia" w:ascii="宋体" w:hAnsi="宋体" w:eastAsia="宋体" w:cs="宋体"/>
          <w:bCs/>
          <w:kern w:val="0"/>
          <w:szCs w:val="21"/>
          <w:highlight w:val="none"/>
          <w:lang w:eastAsia="zh-CN"/>
        </w:rPr>
        <w:t>2025-2027年职工疗休养</w:t>
      </w:r>
    </w:p>
    <w:p w14:paraId="651098C0">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
          <w:bCs w:val="0"/>
          <w:kern w:val="0"/>
          <w:szCs w:val="21"/>
          <w:highlight w:val="none"/>
          <w:lang w:val="en-US" w:eastAsia="zh-CN"/>
        </w:rPr>
        <w:t>三</w:t>
      </w:r>
      <w:r>
        <w:rPr>
          <w:rFonts w:hint="eastAsia" w:ascii="宋体" w:hAnsi="宋体" w:eastAsia="宋体" w:cs="宋体"/>
          <w:b/>
          <w:bCs w:val="0"/>
          <w:kern w:val="0"/>
          <w:szCs w:val="21"/>
          <w:highlight w:val="none"/>
        </w:rPr>
        <w:t>、</w:t>
      </w:r>
      <w:r>
        <w:rPr>
          <w:rFonts w:hint="eastAsia" w:ascii="宋体" w:hAnsi="宋体" w:eastAsia="宋体" w:cs="宋体"/>
          <w:b/>
          <w:bCs w:val="0"/>
          <w:kern w:val="0"/>
          <w:szCs w:val="21"/>
          <w:highlight w:val="none"/>
          <w:lang w:val="en-US" w:eastAsia="zh-CN"/>
        </w:rPr>
        <w:t>项目</w:t>
      </w:r>
      <w:r>
        <w:rPr>
          <w:rFonts w:hint="eastAsia" w:ascii="宋体" w:hAnsi="宋体" w:eastAsia="宋体" w:cs="宋体"/>
          <w:b/>
          <w:bCs w:val="0"/>
          <w:kern w:val="0"/>
          <w:szCs w:val="21"/>
          <w:highlight w:val="none"/>
        </w:rPr>
        <w:t>性质：</w:t>
      </w:r>
      <w:r>
        <w:rPr>
          <w:rFonts w:hint="eastAsia" w:ascii="宋体" w:hAnsi="宋体" w:eastAsia="宋体" w:cs="宋体"/>
          <w:bCs/>
          <w:kern w:val="0"/>
          <w:szCs w:val="21"/>
          <w:highlight w:val="none"/>
        </w:rPr>
        <w:t>国企采购（非政府采购）</w:t>
      </w:r>
    </w:p>
    <w:p w14:paraId="7BD23A9D">
      <w:pPr>
        <w:widowControl/>
        <w:spacing w:before="60" w:after="60"/>
        <w:ind w:right="60"/>
        <w:jc w:val="left"/>
        <w:rPr>
          <w:rFonts w:hint="eastAsia" w:ascii="宋体" w:hAnsi="宋体" w:eastAsia="宋体" w:cs="宋体"/>
          <w:bCs/>
          <w:kern w:val="0"/>
          <w:szCs w:val="21"/>
          <w:highlight w:val="none"/>
          <w:lang w:val="en-US"/>
        </w:rPr>
      </w:pPr>
      <w:r>
        <w:rPr>
          <w:rFonts w:hint="eastAsia" w:ascii="宋体" w:hAnsi="宋体" w:eastAsia="宋体" w:cs="宋体"/>
          <w:b/>
          <w:bCs w:val="0"/>
          <w:kern w:val="0"/>
          <w:szCs w:val="21"/>
          <w:highlight w:val="none"/>
          <w:lang w:val="en-US" w:eastAsia="zh-CN"/>
        </w:rPr>
        <w:t>四</w:t>
      </w:r>
      <w:r>
        <w:rPr>
          <w:rFonts w:hint="eastAsia" w:ascii="宋体" w:hAnsi="宋体" w:eastAsia="宋体" w:cs="宋体"/>
          <w:b/>
          <w:bCs w:val="0"/>
          <w:kern w:val="0"/>
          <w:szCs w:val="21"/>
          <w:highlight w:val="none"/>
        </w:rPr>
        <w:t>、预算金额：</w:t>
      </w:r>
      <w:r>
        <w:rPr>
          <w:rFonts w:hint="eastAsia" w:ascii="宋体" w:hAnsi="宋体" w:eastAsia="宋体" w:cs="宋体"/>
          <w:bCs/>
          <w:kern w:val="0"/>
          <w:szCs w:val="21"/>
          <w:highlight w:val="none"/>
        </w:rPr>
        <w:t>人民币</w:t>
      </w:r>
      <w:r>
        <w:rPr>
          <w:rFonts w:hint="eastAsia" w:ascii="宋体" w:hAnsi="宋体" w:eastAsia="宋体" w:cs="宋体"/>
          <w:bCs/>
          <w:kern w:val="0"/>
          <w:szCs w:val="21"/>
          <w:highlight w:val="none"/>
          <w:lang w:val="en-US" w:eastAsia="zh-CN"/>
        </w:rPr>
        <w:t>269.7万元/年</w:t>
      </w:r>
    </w:p>
    <w:p w14:paraId="188A9332">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
          <w:bCs w:val="0"/>
          <w:kern w:val="0"/>
          <w:szCs w:val="21"/>
          <w:highlight w:val="none"/>
          <w:lang w:val="en-US" w:eastAsia="zh-CN"/>
        </w:rPr>
        <w:t>五</w:t>
      </w:r>
      <w:r>
        <w:rPr>
          <w:rFonts w:hint="eastAsia" w:ascii="宋体" w:hAnsi="宋体" w:eastAsia="宋体" w:cs="宋体"/>
          <w:b/>
          <w:bCs w:val="0"/>
          <w:kern w:val="0"/>
          <w:szCs w:val="21"/>
          <w:highlight w:val="none"/>
        </w:rPr>
        <w:t>、采购内容</w:t>
      </w:r>
      <w:r>
        <w:rPr>
          <w:rFonts w:hint="eastAsia" w:ascii="宋体" w:hAnsi="宋体" w:eastAsia="宋体" w:cs="宋体"/>
          <w:bCs/>
          <w:kern w:val="0"/>
          <w:szCs w:val="21"/>
          <w:highlight w:val="none"/>
        </w:rPr>
        <w:t>（具体采购内容及详细技术要求见采购文件相关部分）：</w:t>
      </w:r>
    </w:p>
    <w:tbl>
      <w:tblPr>
        <w:tblStyle w:val="25"/>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248"/>
        <w:gridCol w:w="1164"/>
        <w:gridCol w:w="5979"/>
      </w:tblGrid>
      <w:tr w14:paraId="11CA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608" w:type="dxa"/>
            <w:vAlign w:val="center"/>
          </w:tcPr>
          <w:p w14:paraId="5F10A087">
            <w:pPr>
              <w:widowControl/>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序号</w:t>
            </w:r>
          </w:p>
        </w:tc>
        <w:tc>
          <w:tcPr>
            <w:tcW w:w="1248" w:type="dxa"/>
            <w:vAlign w:val="center"/>
          </w:tcPr>
          <w:p w14:paraId="39C8A4EE">
            <w:pPr>
              <w:widowControl/>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标项内容</w:t>
            </w:r>
          </w:p>
        </w:tc>
        <w:tc>
          <w:tcPr>
            <w:tcW w:w="1164" w:type="dxa"/>
            <w:vAlign w:val="center"/>
          </w:tcPr>
          <w:p w14:paraId="4E4CCE8F">
            <w:pPr>
              <w:widowControl/>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预算金额（万元</w:t>
            </w:r>
            <w:r>
              <w:rPr>
                <w:rFonts w:hint="eastAsia" w:ascii="宋体" w:hAnsi="宋体" w:eastAsia="宋体" w:cs="宋体"/>
                <w:bCs/>
                <w:sz w:val="18"/>
                <w:szCs w:val="18"/>
                <w:lang w:val="en-US" w:eastAsia="zh-CN"/>
              </w:rPr>
              <w:t>/年</w:t>
            </w:r>
            <w:r>
              <w:rPr>
                <w:rFonts w:hint="eastAsia" w:ascii="宋体" w:hAnsi="宋体" w:eastAsia="宋体" w:cs="宋体"/>
                <w:bCs/>
                <w:sz w:val="18"/>
                <w:szCs w:val="18"/>
              </w:rPr>
              <w:t>）</w:t>
            </w:r>
          </w:p>
        </w:tc>
        <w:tc>
          <w:tcPr>
            <w:tcW w:w="5979" w:type="dxa"/>
            <w:vAlign w:val="center"/>
          </w:tcPr>
          <w:p w14:paraId="734889F2">
            <w:pPr>
              <w:widowControl/>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简要技术要求、用途</w:t>
            </w:r>
          </w:p>
        </w:tc>
      </w:tr>
      <w:tr w14:paraId="6182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08" w:type="dxa"/>
            <w:vAlign w:val="center"/>
          </w:tcPr>
          <w:p w14:paraId="35BCE28E">
            <w:pPr>
              <w:widowControl/>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1</w:t>
            </w:r>
          </w:p>
        </w:tc>
        <w:tc>
          <w:tcPr>
            <w:tcW w:w="1248" w:type="dxa"/>
            <w:vAlign w:val="center"/>
          </w:tcPr>
          <w:p w14:paraId="7E93588B">
            <w:pPr>
              <w:widowControl/>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2025-2027年职工疗休养</w:t>
            </w:r>
          </w:p>
        </w:tc>
        <w:tc>
          <w:tcPr>
            <w:tcW w:w="1164" w:type="dxa"/>
            <w:vAlign w:val="center"/>
          </w:tcPr>
          <w:p w14:paraId="70A2103C">
            <w:pPr>
              <w:widowControl/>
              <w:spacing w:line="240" w:lineRule="auto"/>
              <w:jc w:val="center"/>
              <w:rPr>
                <w:rFonts w:hint="eastAsia" w:ascii="宋体" w:hAnsi="宋体" w:eastAsia="宋体" w:cs="宋体"/>
                <w:bCs/>
                <w:sz w:val="18"/>
                <w:szCs w:val="18"/>
                <w:lang w:val="en-US" w:eastAsia="zh-CN"/>
              </w:rPr>
            </w:pPr>
            <w:r>
              <w:rPr>
                <w:rFonts w:hint="eastAsia" w:ascii="宋体" w:hAnsi="宋体" w:eastAsia="宋体" w:cs="宋体"/>
                <w:sz w:val="18"/>
                <w:szCs w:val="18"/>
                <w:lang w:val="en-US" w:eastAsia="zh-CN"/>
              </w:rPr>
              <w:t>269.7</w:t>
            </w:r>
          </w:p>
        </w:tc>
        <w:tc>
          <w:tcPr>
            <w:tcW w:w="5979" w:type="dxa"/>
            <w:vAlign w:val="center"/>
          </w:tcPr>
          <w:p w14:paraId="39D9F080">
            <w:pPr>
              <w:widowControl/>
              <w:spacing w:line="240" w:lineRule="auto"/>
              <w:jc w:val="left"/>
              <w:rPr>
                <w:rFonts w:hint="eastAsia" w:ascii="宋体" w:hAnsi="宋体" w:eastAsia="宋体" w:cs="宋体"/>
                <w:sz w:val="18"/>
                <w:szCs w:val="18"/>
              </w:rPr>
            </w:pPr>
            <w:r>
              <w:rPr>
                <w:rFonts w:hint="eastAsia" w:ascii="宋体" w:hAnsi="宋体" w:eastAsia="宋体" w:cs="宋体"/>
                <w:sz w:val="18"/>
                <w:szCs w:val="18"/>
              </w:rPr>
              <w:t>温州市高速公路运营管理有限公司2025-2027年职工疗休养服务</w:t>
            </w:r>
            <w:r>
              <w:rPr>
                <w:rFonts w:hint="eastAsia" w:ascii="宋体" w:hAnsi="宋体" w:eastAsia="宋体" w:cs="宋体"/>
                <w:sz w:val="18"/>
                <w:szCs w:val="18"/>
                <w:lang w:val="en-US" w:eastAsia="zh-CN"/>
              </w:rPr>
              <w:t>采购</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疗休养</w:t>
            </w:r>
            <w:r>
              <w:rPr>
                <w:rFonts w:hint="eastAsia" w:ascii="宋体" w:hAnsi="宋体" w:eastAsia="宋体" w:cs="宋体"/>
                <w:sz w:val="18"/>
                <w:szCs w:val="18"/>
                <w:lang w:eastAsia="zh-CN"/>
              </w:rPr>
              <w:t>人数预计</w:t>
            </w:r>
            <w:r>
              <w:rPr>
                <w:rFonts w:hint="eastAsia" w:ascii="宋体" w:hAnsi="宋体" w:eastAsia="宋体" w:cs="宋体"/>
                <w:sz w:val="18"/>
                <w:szCs w:val="18"/>
                <w:lang w:val="en-US" w:eastAsia="zh-CN"/>
              </w:rPr>
              <w:t>899</w:t>
            </w:r>
            <w:r>
              <w:rPr>
                <w:rFonts w:hint="eastAsia" w:ascii="宋体" w:hAnsi="宋体" w:eastAsia="宋体" w:cs="宋体"/>
                <w:sz w:val="18"/>
                <w:szCs w:val="18"/>
                <w:lang w:eastAsia="zh-CN"/>
              </w:rPr>
              <w:t>人（具体人数以实际发生为准）</w:t>
            </w:r>
            <w:r>
              <w:rPr>
                <w:rFonts w:hint="eastAsia" w:ascii="宋体" w:hAnsi="宋体" w:eastAsia="宋体" w:cs="宋体"/>
                <w:sz w:val="18"/>
                <w:szCs w:val="18"/>
              </w:rPr>
              <w:t>。本项目服务期限为</w:t>
            </w:r>
            <w:r>
              <w:rPr>
                <w:rFonts w:hint="eastAsia" w:ascii="宋体" w:hAnsi="宋体" w:eastAsia="宋体" w:cs="宋体"/>
                <w:sz w:val="18"/>
                <w:szCs w:val="18"/>
                <w:lang w:val="en-US" w:eastAsia="zh-CN"/>
              </w:rPr>
              <w:t>3</w:t>
            </w:r>
            <w:r>
              <w:rPr>
                <w:rFonts w:hint="eastAsia" w:ascii="宋体" w:hAnsi="宋体" w:eastAsia="宋体" w:cs="宋体"/>
                <w:sz w:val="18"/>
                <w:szCs w:val="18"/>
              </w:rPr>
              <w:t>年</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合同一年一签</w:t>
            </w:r>
            <w:r>
              <w:rPr>
                <w:rFonts w:hint="eastAsia" w:ascii="宋体" w:hAnsi="宋体" w:eastAsia="宋体" w:cs="宋体"/>
                <w:sz w:val="18"/>
                <w:szCs w:val="18"/>
                <w:lang w:eastAsia="zh-CN"/>
              </w:rPr>
              <w:t>，</w:t>
            </w:r>
            <w:r>
              <w:rPr>
                <w:rFonts w:hint="eastAsia" w:ascii="宋体" w:hAnsi="宋体" w:eastAsia="宋体" w:cs="宋体"/>
                <w:sz w:val="18"/>
                <w:szCs w:val="18"/>
              </w:rPr>
              <w:t>采用1+1</w:t>
            </w:r>
            <w:r>
              <w:rPr>
                <w:rFonts w:hint="eastAsia" w:ascii="宋体" w:hAnsi="宋体" w:eastAsia="宋体" w:cs="宋体"/>
                <w:sz w:val="18"/>
                <w:szCs w:val="18"/>
                <w:lang w:val="en-US" w:eastAsia="zh-CN"/>
              </w:rPr>
              <w:t>+1</w:t>
            </w:r>
            <w:r>
              <w:rPr>
                <w:rFonts w:hint="eastAsia" w:ascii="宋体" w:hAnsi="宋体" w:eastAsia="宋体" w:cs="宋体"/>
                <w:sz w:val="18"/>
                <w:szCs w:val="18"/>
              </w:rPr>
              <w:t>模式</w:t>
            </w:r>
            <w:r>
              <w:rPr>
                <w:rFonts w:hint="eastAsia" w:ascii="宋体" w:hAnsi="宋体" w:eastAsia="宋体" w:cs="宋体"/>
                <w:sz w:val="18"/>
                <w:szCs w:val="18"/>
                <w:lang w:eastAsia="zh-CN"/>
              </w:rPr>
              <w:t>，</w:t>
            </w:r>
            <w:r>
              <w:rPr>
                <w:rFonts w:hint="eastAsia" w:ascii="宋体" w:hAnsi="宋体" w:eastAsia="宋体" w:cs="宋体"/>
                <w:sz w:val="18"/>
                <w:szCs w:val="18"/>
              </w:rPr>
              <w:t>具体采购内容及技术要求详见采购文件第四部分。</w:t>
            </w:r>
          </w:p>
        </w:tc>
      </w:tr>
    </w:tbl>
    <w:p w14:paraId="37E3433E">
      <w:pPr>
        <w:widowControl/>
        <w:spacing w:before="60" w:after="60"/>
        <w:ind w:right="60"/>
        <w:jc w:val="left"/>
        <w:rPr>
          <w:rFonts w:hint="eastAsia" w:ascii="宋体" w:hAnsi="宋体" w:eastAsia="宋体" w:cs="宋体"/>
          <w:b/>
          <w:bCs w:val="0"/>
          <w:kern w:val="0"/>
          <w:szCs w:val="21"/>
          <w:highlight w:val="none"/>
        </w:rPr>
      </w:pPr>
      <w:r>
        <w:rPr>
          <w:rFonts w:hint="eastAsia" w:ascii="宋体" w:hAnsi="宋体" w:eastAsia="宋体" w:cs="宋体"/>
          <w:b/>
          <w:bCs w:val="0"/>
          <w:kern w:val="0"/>
          <w:szCs w:val="21"/>
          <w:highlight w:val="none"/>
          <w:lang w:val="en-US" w:eastAsia="zh-CN"/>
        </w:rPr>
        <w:t>六</w:t>
      </w:r>
      <w:r>
        <w:rPr>
          <w:rFonts w:hint="eastAsia" w:ascii="宋体" w:hAnsi="宋体" w:eastAsia="宋体" w:cs="宋体"/>
          <w:b/>
          <w:bCs w:val="0"/>
          <w:kern w:val="0"/>
          <w:szCs w:val="21"/>
          <w:highlight w:val="none"/>
        </w:rPr>
        <w:t>、</w:t>
      </w:r>
      <w:r>
        <w:rPr>
          <w:rFonts w:hint="eastAsia" w:ascii="宋体" w:hAnsi="宋体" w:eastAsia="宋体" w:cs="宋体"/>
          <w:b/>
          <w:bCs w:val="0"/>
          <w:kern w:val="0"/>
          <w:szCs w:val="21"/>
          <w:highlight w:val="none"/>
          <w:lang w:eastAsia="zh-CN"/>
        </w:rPr>
        <w:t>投标人</w:t>
      </w:r>
      <w:r>
        <w:rPr>
          <w:rFonts w:hint="eastAsia" w:ascii="宋体" w:hAnsi="宋体" w:eastAsia="宋体" w:cs="宋体"/>
          <w:b/>
          <w:bCs w:val="0"/>
          <w:kern w:val="0"/>
          <w:szCs w:val="21"/>
          <w:highlight w:val="none"/>
        </w:rPr>
        <w:t>资格要求：</w:t>
      </w:r>
    </w:p>
    <w:p w14:paraId="6DF1DFED">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1、符合《温州市市属国有企业采购管理办法》（温国资委〔2024〕第51号）第十八条对</w:t>
      </w:r>
      <w:r>
        <w:rPr>
          <w:rFonts w:hint="eastAsia" w:ascii="宋体" w:hAnsi="宋体" w:eastAsia="宋体" w:cs="宋体"/>
          <w:kern w:val="0"/>
          <w:szCs w:val="21"/>
          <w:highlight w:val="none"/>
          <w:lang w:eastAsia="zh-CN"/>
        </w:rPr>
        <w:t>投标人</w:t>
      </w:r>
      <w:r>
        <w:rPr>
          <w:rFonts w:hint="eastAsia" w:ascii="宋体" w:hAnsi="宋体" w:eastAsia="宋体" w:cs="宋体"/>
          <w:kern w:val="0"/>
          <w:szCs w:val="21"/>
          <w:highlight w:val="none"/>
        </w:rPr>
        <w:t>参加温州市国有企业采购活动应当具备的基本资格条件；</w:t>
      </w:r>
    </w:p>
    <w:p w14:paraId="15A637C6">
      <w:pPr>
        <w:widowControl/>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2、具有有效的《旅行社业务经营许可证》；</w:t>
      </w:r>
    </w:p>
    <w:p w14:paraId="4294F07A">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color w:val="auto"/>
          <w:kern w:val="0"/>
          <w:szCs w:val="21"/>
          <w:highlight w:val="none"/>
          <w:lang w:val="en-US" w:eastAsia="zh-CN"/>
        </w:rPr>
        <w:t>至本项目投标截止时间前未被列入“信用中国”网站(www.creditchina.gov.cn)“记录失信被执行人或重大税收违法案件当事人名单”记录名单</w:t>
      </w:r>
      <w:r>
        <w:rPr>
          <w:rFonts w:hint="eastAsia" w:ascii="宋体" w:hAnsi="宋体" w:eastAsia="宋体" w:cs="宋体"/>
          <w:szCs w:val="21"/>
          <w:highlight w:val="none"/>
        </w:rPr>
        <w:t>；</w:t>
      </w:r>
    </w:p>
    <w:p w14:paraId="4C291947">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、单位负责人为同一人或者存在直接控股、管理关系的不同</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，不得同时参加本项目投标活动</w:t>
      </w:r>
      <w:r>
        <w:rPr>
          <w:rFonts w:hint="eastAsia" w:ascii="宋体" w:hAnsi="宋体" w:eastAsia="宋体" w:cs="宋体"/>
          <w:szCs w:val="21"/>
          <w:highlight w:val="none"/>
          <w:lang w:eastAsia="zh-CN"/>
        </w:rPr>
        <w:t>，违反该款规定的，相关投标均无效；</w:t>
      </w:r>
    </w:p>
    <w:p w14:paraId="5B9D06D2">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kern w:val="0"/>
          <w:szCs w:val="21"/>
          <w:highlight w:val="none"/>
        </w:rPr>
        <w:t>本项目不接受联合体投标。</w:t>
      </w:r>
      <w:r>
        <w:rPr>
          <w:rFonts w:hint="eastAsia" w:ascii="宋体" w:hAnsi="宋体" w:eastAsia="宋体" w:cs="宋体"/>
          <w:kern w:val="0"/>
          <w:szCs w:val="21"/>
          <w:highlight w:val="none"/>
        </w:rPr>
        <w:tab/>
      </w:r>
    </w:p>
    <w:p w14:paraId="69CF6B9F">
      <w:pPr>
        <w:widowControl/>
        <w:spacing w:before="60" w:after="60"/>
        <w:ind w:right="60"/>
        <w:jc w:val="left"/>
        <w:rPr>
          <w:rFonts w:hint="eastAsia" w:ascii="宋体" w:hAnsi="宋体" w:eastAsia="宋体" w:cs="宋体"/>
          <w:b/>
          <w:kern w:val="0"/>
          <w:szCs w:val="21"/>
          <w:highlight w:val="none"/>
        </w:rPr>
      </w:pPr>
      <w:r>
        <w:rPr>
          <w:rFonts w:hint="eastAsia" w:ascii="宋体" w:hAnsi="宋体" w:eastAsia="宋体" w:cs="宋体"/>
          <w:b/>
          <w:bCs w:val="0"/>
          <w:kern w:val="0"/>
          <w:szCs w:val="21"/>
          <w:highlight w:val="none"/>
          <w:lang w:val="en-US" w:eastAsia="zh-CN"/>
        </w:rPr>
        <w:t>七</w:t>
      </w:r>
      <w:r>
        <w:rPr>
          <w:rFonts w:hint="eastAsia" w:ascii="宋体" w:hAnsi="宋体" w:eastAsia="宋体" w:cs="宋体"/>
          <w:b/>
          <w:bCs w:val="0"/>
          <w:kern w:val="0"/>
          <w:szCs w:val="21"/>
          <w:highlight w:val="none"/>
        </w:rPr>
        <w:t>、发售</w:t>
      </w:r>
      <w:r>
        <w:rPr>
          <w:rFonts w:hint="eastAsia" w:ascii="宋体" w:hAnsi="宋体" w:eastAsia="宋体" w:cs="宋体"/>
          <w:b/>
          <w:kern w:val="0"/>
          <w:szCs w:val="21"/>
          <w:highlight w:val="none"/>
        </w:rPr>
        <w:t>采购文件时间及地点：</w:t>
      </w:r>
    </w:p>
    <w:p w14:paraId="405BD479">
      <w:pPr>
        <w:widowControl/>
        <w:spacing w:before="60" w:after="60"/>
        <w:ind w:left="60" w:right="60" w:firstLine="420" w:firstLineChars="200"/>
        <w:jc w:val="left"/>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1、报名时间及采购文件发售时间：公告发布之日起至投标截止时间止（上午08：30-11：30，下午14：30-17：00，节假日除外，未购买采购文件的潜在投标供应商拒绝参加投标）。</w:t>
      </w:r>
    </w:p>
    <w:p w14:paraId="43F82820">
      <w:pPr>
        <w:widowControl/>
        <w:spacing w:before="60" w:after="60"/>
        <w:ind w:left="60" w:right="60" w:firstLine="420" w:firstLineChars="200"/>
        <w:jc w:val="left"/>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2、购领采购文件地点：乐采云平台</w:t>
      </w:r>
    </w:p>
    <w:p w14:paraId="0E98637C">
      <w:pPr>
        <w:widowControl/>
        <w:spacing w:before="60" w:after="60"/>
        <w:ind w:left="60" w:right="60" w:firstLine="420" w:firstLineChars="200"/>
        <w:jc w:val="left"/>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3、采购文件售价：人民币500元整（售后不退）</w:t>
      </w:r>
    </w:p>
    <w:p w14:paraId="5BFED728">
      <w:pPr>
        <w:widowControl/>
        <w:spacing w:before="60" w:after="60"/>
        <w:ind w:left="60" w:right="60" w:firstLine="420" w:firstLineChars="200"/>
        <w:jc w:val="left"/>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4、报名方式、购买标书及注意事项：</w:t>
      </w:r>
    </w:p>
    <w:p w14:paraId="4D1AC357">
      <w:pPr>
        <w:widowControl/>
        <w:spacing w:before="60" w:after="60"/>
        <w:ind w:left="60" w:right="60" w:firstLine="420" w:firstLineChars="200"/>
        <w:jc w:val="left"/>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1）网上报名（乐采云报名）：请供应商登录乐采云平台（https://www.lecaiyun.com），进入“乐采云”平台进行注册并报名（未注册的供应商请尽早注册，客服电话：95763）。操作路径：乐采云平台-登录-项目采购-获取采购文件-申请获取采购文件。网上报名后，请将标书购买费汇入代理公司账户（缴纳报名费后将缴费截图、可以拷贝的开票信息等资料发代理机构电子邮箱1826066763@qq.com，并马上联系采购代理公司审核），标书款汇入账户信息：</w:t>
      </w:r>
    </w:p>
    <w:p w14:paraId="5439FC1E">
      <w:pPr>
        <w:widowControl/>
        <w:spacing w:before="60" w:after="60"/>
        <w:ind w:left="60" w:right="60" w:firstLine="420" w:firstLineChars="200"/>
        <w:jc w:val="left"/>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单位名称：浙江国际招投标有限公司</w:t>
      </w:r>
    </w:p>
    <w:p w14:paraId="31C4A512">
      <w:pPr>
        <w:widowControl/>
        <w:spacing w:before="60" w:after="60"/>
        <w:ind w:left="60" w:right="60" w:firstLine="420" w:firstLineChars="200"/>
        <w:jc w:val="left"/>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开户银行：工商银行杭州市武林支行</w:t>
      </w:r>
    </w:p>
    <w:p w14:paraId="4EB6D800">
      <w:pPr>
        <w:widowControl/>
        <w:spacing w:before="60" w:after="60"/>
        <w:ind w:left="60" w:right="60" w:firstLine="420" w:firstLineChars="200"/>
        <w:jc w:val="left"/>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账    号：1202021209906782015</w:t>
      </w:r>
    </w:p>
    <w:p w14:paraId="0FCC128F">
      <w:pPr>
        <w:widowControl/>
        <w:spacing w:before="60" w:after="60"/>
        <w:ind w:left="60" w:right="60" w:firstLine="420" w:firstLineChars="200"/>
        <w:jc w:val="left"/>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2）提示：仅需浏览采购文件的供应商可点击“游客，浏览采购文件”直接下载采购文件浏览，供应商只有在“乐采云平台”完成获取采购文件申请并下载了采购文件后才视作依法获取采购文件（法律法规所指的供应商获取采购文件时间以供应商完成获取采购文件申请后下载采购文件的时间为准）。</w:t>
      </w:r>
    </w:p>
    <w:p w14:paraId="7184D1EA">
      <w:pPr>
        <w:widowControl/>
        <w:spacing w:before="60" w:after="60"/>
        <w:ind w:left="60" w:right="60" w:firstLine="420" w:firstLineChars="200"/>
        <w:jc w:val="left"/>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注：请供应商按上述要求获取采购文件，如未在“乐采云”系统内完成相关流程，引起的投标无效责任自负。</w:t>
      </w:r>
    </w:p>
    <w:p w14:paraId="4EEEB087">
      <w:pPr>
        <w:widowControl/>
        <w:spacing w:before="60" w:after="60"/>
        <w:ind w:left="60" w:right="60" w:firstLine="420" w:firstLineChars="200"/>
        <w:jc w:val="left"/>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5、标供应商获取采购文件时须提交的文件资料：无。</w:t>
      </w:r>
    </w:p>
    <w:p w14:paraId="1DFE097D">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
          <w:bCs w:val="0"/>
          <w:kern w:val="0"/>
          <w:szCs w:val="21"/>
          <w:highlight w:val="none"/>
          <w:lang w:val="en-US" w:eastAsia="zh-CN"/>
        </w:rPr>
        <w:t>八</w:t>
      </w:r>
      <w:r>
        <w:rPr>
          <w:rFonts w:hint="eastAsia" w:ascii="宋体" w:hAnsi="宋体" w:eastAsia="宋体" w:cs="宋体"/>
          <w:b/>
          <w:bCs w:val="0"/>
          <w:kern w:val="0"/>
          <w:szCs w:val="21"/>
          <w:highlight w:val="none"/>
        </w:rPr>
        <w:t>、投标截止时间：</w:t>
      </w:r>
      <w:bookmarkStart w:id="3" w:name="B23_谈判响应文件提交截止日期"/>
      <w:bookmarkEnd w:id="3"/>
      <w:r>
        <w:rPr>
          <w:rFonts w:hint="eastAsia" w:ascii="宋体" w:hAnsi="宋体" w:eastAsia="宋体" w:cs="宋体"/>
          <w:b/>
          <w:bCs w:val="0"/>
          <w:color w:val="0000FF"/>
          <w:kern w:val="0"/>
          <w:szCs w:val="21"/>
          <w:highlight w:val="none"/>
        </w:rPr>
        <w:t>202</w:t>
      </w:r>
      <w:r>
        <w:rPr>
          <w:rFonts w:hint="eastAsia" w:ascii="宋体" w:hAnsi="宋体" w:eastAsia="宋体" w:cs="宋体"/>
          <w:b/>
          <w:bCs w:val="0"/>
          <w:color w:val="0000FF"/>
          <w:kern w:val="0"/>
          <w:szCs w:val="21"/>
          <w:highlight w:val="none"/>
          <w:lang w:val="en-US" w:eastAsia="zh-CN"/>
        </w:rPr>
        <w:t>4</w:t>
      </w:r>
      <w:r>
        <w:rPr>
          <w:rFonts w:hint="eastAsia" w:ascii="宋体" w:hAnsi="宋体" w:eastAsia="宋体" w:cs="宋体"/>
          <w:b/>
          <w:bCs w:val="0"/>
          <w:color w:val="0000FF"/>
          <w:kern w:val="0"/>
          <w:szCs w:val="21"/>
          <w:highlight w:val="none"/>
        </w:rPr>
        <w:t>年</w:t>
      </w:r>
      <w:r>
        <w:rPr>
          <w:rFonts w:hint="eastAsia" w:ascii="宋体" w:hAnsi="宋体" w:eastAsia="宋体" w:cs="宋体"/>
          <w:b/>
          <w:bCs w:val="0"/>
          <w:color w:val="0000FF"/>
          <w:kern w:val="0"/>
          <w:szCs w:val="21"/>
          <w:highlight w:val="none"/>
          <w:lang w:val="en-US" w:eastAsia="zh-CN"/>
        </w:rPr>
        <w:t>11</w:t>
      </w:r>
      <w:r>
        <w:rPr>
          <w:rFonts w:hint="eastAsia" w:ascii="宋体" w:hAnsi="宋体" w:eastAsia="宋体" w:cs="宋体"/>
          <w:b/>
          <w:bCs w:val="0"/>
          <w:color w:val="0000FF"/>
          <w:kern w:val="0"/>
          <w:szCs w:val="21"/>
          <w:highlight w:val="none"/>
        </w:rPr>
        <w:t>月</w:t>
      </w:r>
      <w:r>
        <w:rPr>
          <w:rFonts w:hint="eastAsia" w:ascii="宋体" w:hAnsi="宋体" w:eastAsia="宋体" w:cs="宋体"/>
          <w:b/>
          <w:bCs w:val="0"/>
          <w:color w:val="0000FF"/>
          <w:kern w:val="0"/>
          <w:szCs w:val="21"/>
          <w:highlight w:val="none"/>
          <w:lang w:val="en-US" w:eastAsia="zh-CN"/>
        </w:rPr>
        <w:t>25</w:t>
      </w:r>
      <w:r>
        <w:rPr>
          <w:rFonts w:hint="eastAsia" w:ascii="宋体" w:hAnsi="宋体" w:eastAsia="宋体" w:cs="宋体"/>
          <w:b/>
          <w:bCs w:val="0"/>
          <w:color w:val="0000FF"/>
          <w:kern w:val="0"/>
          <w:szCs w:val="21"/>
          <w:highlight w:val="none"/>
        </w:rPr>
        <w:t>日</w:t>
      </w:r>
      <w:r>
        <w:rPr>
          <w:rFonts w:hint="eastAsia" w:ascii="宋体" w:hAnsi="宋体" w:eastAsia="宋体" w:cs="宋体"/>
          <w:b/>
          <w:bCs w:val="0"/>
          <w:color w:val="0000FF"/>
          <w:kern w:val="0"/>
          <w:szCs w:val="21"/>
          <w:highlight w:val="none"/>
          <w:lang w:val="en-US" w:eastAsia="zh-CN"/>
        </w:rPr>
        <w:t>09</w:t>
      </w:r>
      <w:r>
        <w:rPr>
          <w:rFonts w:hint="eastAsia" w:ascii="宋体" w:hAnsi="宋体" w:eastAsia="宋体" w:cs="宋体"/>
          <w:b/>
          <w:bCs w:val="0"/>
          <w:color w:val="0000FF"/>
          <w:kern w:val="0"/>
          <w:szCs w:val="21"/>
          <w:highlight w:val="none"/>
        </w:rPr>
        <w:t>时30分</w:t>
      </w:r>
      <w:r>
        <w:rPr>
          <w:rFonts w:hint="eastAsia" w:ascii="宋体" w:hAnsi="宋体" w:eastAsia="宋体" w:cs="宋体"/>
          <w:bCs/>
          <w:color w:val="auto"/>
          <w:kern w:val="0"/>
          <w:szCs w:val="21"/>
          <w:highlight w:val="none"/>
        </w:rPr>
        <w:t>(北京时间，下同)。</w:t>
      </w:r>
    </w:p>
    <w:p w14:paraId="024B0DAB">
      <w:pPr>
        <w:widowControl/>
        <w:spacing w:before="60" w:after="60"/>
        <w:ind w:left="578" w:leftChars="29" w:right="60" w:hanging="517" w:hangingChars="245"/>
        <w:jc w:val="left"/>
        <w:rPr>
          <w:rFonts w:hint="eastAsia" w:ascii="宋体" w:hAnsi="宋体" w:eastAsia="宋体" w:cs="宋体"/>
          <w:bCs/>
          <w:kern w:val="0"/>
          <w:szCs w:val="21"/>
          <w:highlight w:val="none"/>
        </w:rPr>
      </w:pPr>
      <w:r>
        <w:rPr>
          <w:rFonts w:hint="eastAsia" w:ascii="宋体" w:hAnsi="宋体" w:eastAsia="宋体" w:cs="宋体"/>
          <w:b/>
          <w:bCs w:val="0"/>
          <w:kern w:val="0"/>
          <w:szCs w:val="21"/>
          <w:highlight w:val="none"/>
          <w:lang w:val="en-US" w:eastAsia="zh-CN"/>
        </w:rPr>
        <w:t>九</w:t>
      </w:r>
      <w:r>
        <w:rPr>
          <w:rFonts w:hint="eastAsia" w:ascii="宋体" w:hAnsi="宋体" w:eastAsia="宋体" w:cs="宋体"/>
          <w:b/>
          <w:bCs w:val="0"/>
          <w:kern w:val="0"/>
          <w:szCs w:val="21"/>
          <w:highlight w:val="none"/>
        </w:rPr>
        <w:t>、投标文件提交地点：</w:t>
      </w:r>
      <w:r>
        <w:rPr>
          <w:rFonts w:hint="eastAsia" w:ascii="宋体" w:hAnsi="宋体" w:eastAsia="宋体" w:cs="宋体"/>
          <w:bCs/>
          <w:kern w:val="0"/>
          <w:szCs w:val="21"/>
          <w:highlight w:val="none"/>
        </w:rPr>
        <w:t>温州市政务服务管理中心收标区 (温州市鹿城区会展路1268号温州市民中心A座3楼公共资源交易专区)（详见当天大厅大屏幕）。</w:t>
      </w:r>
    </w:p>
    <w:p w14:paraId="2C0AB849">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
          <w:bCs w:val="0"/>
          <w:kern w:val="0"/>
          <w:szCs w:val="21"/>
          <w:highlight w:val="none"/>
        </w:rPr>
        <w:t>十、开标时间：</w:t>
      </w:r>
      <w:bookmarkStart w:id="4" w:name="B26_谈判时间日期"/>
      <w:bookmarkEnd w:id="4"/>
      <w:r>
        <w:rPr>
          <w:rFonts w:hint="eastAsia" w:ascii="宋体" w:hAnsi="宋体" w:eastAsia="宋体" w:cs="宋体"/>
          <w:bCs/>
          <w:kern w:val="0"/>
          <w:szCs w:val="21"/>
          <w:highlight w:val="none"/>
        </w:rPr>
        <w:t>同投标截止时间。</w:t>
      </w:r>
    </w:p>
    <w:p w14:paraId="49C6D412">
      <w:pPr>
        <w:widowControl/>
        <w:spacing w:before="60" w:after="60"/>
        <w:ind w:left="578" w:leftChars="29" w:right="60" w:hanging="517" w:hangingChars="245"/>
        <w:jc w:val="left"/>
        <w:rPr>
          <w:rFonts w:hint="eastAsia" w:ascii="宋体" w:hAnsi="宋体" w:eastAsia="宋体" w:cs="宋体"/>
          <w:szCs w:val="21"/>
          <w:highlight w:val="none"/>
          <w:shd w:val="clear" w:color="auto" w:fill="FFFFFF"/>
        </w:rPr>
      </w:pPr>
      <w:r>
        <w:rPr>
          <w:rFonts w:hint="eastAsia" w:ascii="宋体" w:hAnsi="宋体" w:eastAsia="宋体" w:cs="宋体"/>
          <w:b/>
          <w:bCs w:val="0"/>
          <w:kern w:val="0"/>
          <w:szCs w:val="21"/>
          <w:highlight w:val="none"/>
        </w:rPr>
        <w:t>十</w:t>
      </w:r>
      <w:r>
        <w:rPr>
          <w:rFonts w:hint="eastAsia" w:ascii="宋体" w:hAnsi="宋体" w:eastAsia="宋体" w:cs="宋体"/>
          <w:b/>
          <w:bCs w:val="0"/>
          <w:kern w:val="0"/>
          <w:szCs w:val="21"/>
          <w:highlight w:val="none"/>
          <w:lang w:val="en-US" w:eastAsia="zh-CN"/>
        </w:rPr>
        <w:t>一</w:t>
      </w:r>
      <w:r>
        <w:rPr>
          <w:rFonts w:hint="eastAsia" w:ascii="宋体" w:hAnsi="宋体" w:eastAsia="宋体" w:cs="宋体"/>
          <w:b/>
          <w:bCs w:val="0"/>
          <w:kern w:val="0"/>
          <w:szCs w:val="21"/>
          <w:highlight w:val="none"/>
        </w:rPr>
        <w:t>、开标地点：</w:t>
      </w:r>
      <w:r>
        <w:rPr>
          <w:rFonts w:hint="eastAsia" w:ascii="宋体" w:hAnsi="宋体" w:eastAsia="宋体" w:cs="宋体"/>
          <w:kern w:val="0"/>
          <w:szCs w:val="21"/>
          <w:highlight w:val="none"/>
        </w:rPr>
        <w:t>温州市政务服务管理中心</w:t>
      </w:r>
      <w:r>
        <w:rPr>
          <w:rFonts w:hint="eastAsia" w:ascii="宋体" w:hAnsi="宋体" w:eastAsia="宋体" w:cs="宋体"/>
          <w:bCs/>
          <w:kern w:val="0"/>
          <w:szCs w:val="21"/>
          <w:highlight w:val="none"/>
        </w:rPr>
        <w:t>开标区</w:t>
      </w:r>
      <w:r>
        <w:rPr>
          <w:rFonts w:hint="eastAsia" w:ascii="宋体" w:hAnsi="宋体" w:eastAsia="宋体" w:cs="宋体"/>
          <w:szCs w:val="21"/>
          <w:highlight w:val="none"/>
          <w:shd w:val="clear" w:color="auto" w:fill="FFFFFF"/>
        </w:rPr>
        <w:t>。</w:t>
      </w:r>
    </w:p>
    <w:p w14:paraId="66A19221">
      <w:pPr>
        <w:widowControl/>
        <w:spacing w:before="60" w:after="60"/>
        <w:ind w:left="60" w:right="60"/>
        <w:jc w:val="left"/>
        <w:rPr>
          <w:rFonts w:hint="eastAsia" w:ascii="宋体" w:hAnsi="宋体" w:eastAsia="宋体" w:cs="宋体"/>
          <w:b/>
          <w:bCs w:val="0"/>
          <w:kern w:val="0"/>
          <w:szCs w:val="21"/>
          <w:highlight w:val="none"/>
        </w:rPr>
      </w:pPr>
      <w:r>
        <w:rPr>
          <w:rFonts w:hint="eastAsia" w:ascii="宋体" w:hAnsi="宋体" w:eastAsia="宋体" w:cs="宋体"/>
          <w:b/>
          <w:bCs w:val="0"/>
          <w:kern w:val="0"/>
          <w:szCs w:val="21"/>
          <w:highlight w:val="none"/>
        </w:rPr>
        <w:t>十</w:t>
      </w:r>
      <w:r>
        <w:rPr>
          <w:rFonts w:hint="eastAsia" w:ascii="宋体" w:hAnsi="宋体" w:eastAsia="宋体" w:cs="宋体"/>
          <w:b/>
          <w:bCs w:val="0"/>
          <w:kern w:val="0"/>
          <w:szCs w:val="21"/>
          <w:highlight w:val="none"/>
          <w:lang w:val="en-US" w:eastAsia="zh-CN"/>
        </w:rPr>
        <w:t>二</w:t>
      </w:r>
      <w:r>
        <w:rPr>
          <w:rFonts w:hint="eastAsia" w:ascii="宋体" w:hAnsi="宋体" w:eastAsia="宋体" w:cs="宋体"/>
          <w:b/>
          <w:bCs w:val="0"/>
          <w:kern w:val="0"/>
          <w:szCs w:val="21"/>
          <w:highlight w:val="none"/>
        </w:rPr>
        <w:t>、投标保证金及交付方式：</w:t>
      </w:r>
    </w:p>
    <w:p w14:paraId="65750DB0">
      <w:pPr>
        <w:widowControl/>
        <w:spacing w:before="60" w:after="60" w:line="280" w:lineRule="exact"/>
        <w:ind w:right="62" w:firstLine="420" w:firstLineChars="200"/>
        <w:jc w:val="left"/>
        <w:rPr>
          <w:rFonts w:hint="eastAsia" w:ascii="宋体" w:hAnsi="宋体" w:eastAsia="宋体" w:cs="宋体"/>
          <w:highlight w:val="none"/>
          <w:lang w:val="en-US" w:eastAsia="zh-CN"/>
        </w:rPr>
      </w:pPr>
      <w:bookmarkStart w:id="5" w:name="B29_谈判保证金"/>
      <w:bookmarkEnd w:id="5"/>
      <w:bookmarkStart w:id="6" w:name="_Hlk3381632"/>
      <w:bookmarkStart w:id="7" w:name="_Hlk516555339"/>
      <w:r>
        <w:rPr>
          <w:rFonts w:hint="eastAsia" w:ascii="宋体" w:hAnsi="宋体" w:eastAsia="宋体" w:cs="宋体"/>
          <w:kern w:val="0"/>
          <w:szCs w:val="21"/>
          <w:highlight w:val="none"/>
        </w:rPr>
        <w:t>投标保证金：</w:t>
      </w:r>
      <w:r>
        <w:rPr>
          <w:rFonts w:hint="eastAsia" w:ascii="宋体" w:hAnsi="宋体" w:eastAsia="宋体" w:cs="宋体"/>
          <w:kern w:val="0"/>
          <w:szCs w:val="21"/>
          <w:highlight w:val="none"/>
          <w:lang w:val="en-US" w:eastAsia="zh-CN"/>
        </w:rPr>
        <w:t>人民币20000元整，</w:t>
      </w:r>
      <w:r>
        <w:rPr>
          <w:rFonts w:hint="eastAsia" w:ascii="宋体" w:hAnsi="宋体" w:eastAsia="宋体" w:cs="宋体"/>
          <w:highlight w:val="none"/>
        </w:rPr>
        <w:t>投标保证金要求从投标供应商的银行账号汇出</w:t>
      </w:r>
      <w:r>
        <w:rPr>
          <w:rFonts w:hint="eastAsia" w:ascii="宋体" w:hAnsi="宋体" w:eastAsia="宋体" w:cs="宋体"/>
          <w:highlight w:val="none"/>
          <w:lang w:eastAsia="zh-CN"/>
        </w:rPr>
        <w:t>，</w:t>
      </w:r>
      <w:r>
        <w:rPr>
          <w:rFonts w:hint="eastAsia" w:ascii="宋体" w:hAnsi="宋体" w:eastAsia="宋体" w:cs="宋体"/>
          <w:kern w:val="0"/>
          <w:szCs w:val="21"/>
          <w:highlight w:val="none"/>
        </w:rPr>
        <w:t>保证金缴纳截止时间：与投标截止时间相同。</w:t>
      </w:r>
      <w:bookmarkEnd w:id="6"/>
      <w:bookmarkEnd w:id="7"/>
      <w:r>
        <w:rPr>
          <w:rFonts w:hint="eastAsia" w:ascii="宋体" w:hAnsi="宋体" w:eastAsia="宋体" w:cs="宋体"/>
          <w:kern w:val="0"/>
          <w:szCs w:val="21"/>
          <w:lang w:val="en-US" w:eastAsia="zh-CN"/>
        </w:rPr>
        <w:t>保证金缴纳账户信息：同标书款汇入账户信息。</w:t>
      </w:r>
    </w:p>
    <w:p w14:paraId="54E309C0">
      <w:pPr>
        <w:widowControl/>
        <w:spacing w:before="60" w:after="60"/>
        <w:ind w:left="60" w:right="60"/>
        <w:jc w:val="left"/>
        <w:rPr>
          <w:rFonts w:hint="eastAsia" w:ascii="宋体" w:hAnsi="宋体" w:eastAsia="宋体" w:cs="宋体"/>
          <w:b/>
          <w:bCs w:val="0"/>
          <w:kern w:val="0"/>
          <w:szCs w:val="21"/>
          <w:highlight w:val="none"/>
        </w:rPr>
      </w:pPr>
      <w:r>
        <w:rPr>
          <w:rFonts w:hint="eastAsia" w:ascii="宋体" w:hAnsi="宋体" w:eastAsia="宋体" w:cs="宋体"/>
          <w:b/>
          <w:bCs w:val="0"/>
          <w:kern w:val="0"/>
          <w:szCs w:val="21"/>
          <w:highlight w:val="none"/>
        </w:rPr>
        <w:t>十</w:t>
      </w:r>
      <w:r>
        <w:rPr>
          <w:rFonts w:hint="eastAsia" w:ascii="宋体" w:hAnsi="宋体" w:eastAsia="宋体" w:cs="宋体"/>
          <w:b/>
          <w:bCs w:val="0"/>
          <w:kern w:val="0"/>
          <w:szCs w:val="21"/>
          <w:highlight w:val="none"/>
          <w:lang w:val="en-US" w:eastAsia="zh-CN"/>
        </w:rPr>
        <w:t>三</w:t>
      </w:r>
      <w:r>
        <w:rPr>
          <w:rFonts w:hint="eastAsia" w:ascii="宋体" w:hAnsi="宋体" w:eastAsia="宋体" w:cs="宋体"/>
          <w:b/>
          <w:bCs w:val="0"/>
          <w:kern w:val="0"/>
          <w:szCs w:val="21"/>
          <w:highlight w:val="none"/>
        </w:rPr>
        <w:t>、其他事项：</w:t>
      </w:r>
    </w:p>
    <w:p w14:paraId="51523A93">
      <w:pPr>
        <w:widowControl/>
        <w:spacing w:before="60" w:after="60" w:line="280" w:lineRule="exact"/>
        <w:ind w:right="62" w:firstLine="420" w:firstLineChars="200"/>
        <w:jc w:val="left"/>
        <w:rPr>
          <w:rFonts w:hint="eastAsia" w:ascii="宋体" w:hAnsi="宋体" w:eastAsia="宋体" w:cs="宋体"/>
          <w:bCs/>
          <w:kern w:val="0"/>
          <w:szCs w:val="21"/>
          <w:u w:val="single"/>
        </w:rPr>
      </w:pPr>
      <w:r>
        <w:rPr>
          <w:rFonts w:hint="eastAsia" w:ascii="宋体" w:hAnsi="宋体" w:eastAsia="宋体" w:cs="宋体"/>
          <w:bCs/>
          <w:kern w:val="0"/>
          <w:szCs w:val="21"/>
        </w:rPr>
        <w:t>1、</w:t>
      </w:r>
      <w:r>
        <w:rPr>
          <w:rFonts w:hint="eastAsia" w:ascii="宋体" w:hAnsi="宋体" w:eastAsia="宋体" w:cs="宋体"/>
          <w:bCs/>
          <w:color w:val="auto"/>
          <w:kern w:val="0"/>
          <w:szCs w:val="21"/>
          <w:highlight w:val="none"/>
          <w:u w:val="single"/>
        </w:rPr>
        <w:t>供应商认为采购文件使自己的权益受到损害的，可以自采购公告发出之日（</w:t>
      </w:r>
      <w:r>
        <w:rPr>
          <w:rFonts w:hint="eastAsia" w:ascii="宋体" w:hAnsi="宋体" w:eastAsia="宋体" w:cs="宋体"/>
          <w:bCs/>
          <w:color w:val="auto"/>
          <w:kern w:val="0"/>
          <w:szCs w:val="21"/>
          <w:highlight w:val="none"/>
          <w:u w:val="single"/>
          <w:lang w:val="en-US" w:eastAsia="zh-CN"/>
        </w:rPr>
        <w:t>采购公告发布</w:t>
      </w:r>
      <w:r>
        <w:rPr>
          <w:rFonts w:hint="eastAsia" w:ascii="宋体" w:hAnsi="宋体" w:eastAsia="宋体" w:cs="宋体"/>
          <w:bCs/>
          <w:color w:val="auto"/>
          <w:kern w:val="0"/>
          <w:szCs w:val="21"/>
          <w:highlight w:val="none"/>
          <w:u w:val="single"/>
        </w:rPr>
        <w:t>当天不算）起6日内，以书面形式向采购人和采购代理机构提出质疑。</w:t>
      </w:r>
    </w:p>
    <w:p w14:paraId="1FDCDBCB">
      <w:pPr>
        <w:widowControl/>
        <w:spacing w:before="60" w:after="60" w:line="280" w:lineRule="exact"/>
        <w:ind w:right="62" w:firstLine="420" w:firstLineChars="200"/>
        <w:jc w:val="left"/>
        <w:rPr>
          <w:rFonts w:hint="eastAsia" w:ascii="宋体" w:hAnsi="宋体" w:eastAsia="宋体" w:cs="宋体"/>
          <w:bCs/>
          <w:kern w:val="0"/>
          <w:szCs w:val="21"/>
          <w:u w:val="single"/>
        </w:rPr>
      </w:pPr>
      <w:r>
        <w:rPr>
          <w:rFonts w:hint="eastAsia" w:ascii="宋体" w:hAnsi="宋体" w:eastAsia="宋体" w:cs="宋体"/>
          <w:bCs/>
          <w:kern w:val="0"/>
          <w:szCs w:val="21"/>
          <w:u w:val="single"/>
          <w:lang w:val="en-US" w:eastAsia="zh-CN"/>
        </w:rPr>
        <w:t>2</w:t>
      </w:r>
      <w:r>
        <w:rPr>
          <w:rFonts w:hint="eastAsia" w:ascii="宋体" w:hAnsi="宋体" w:eastAsia="宋体" w:cs="宋体"/>
          <w:bCs/>
          <w:kern w:val="0"/>
          <w:szCs w:val="21"/>
          <w:u w:val="single"/>
        </w:rPr>
        <w:t>、质疑供应商对采购人、采购代理机构的答复不满意或者采购人、采购代理机构未在规定的时间内作出答复的，可以在答复期满后15个工作日内向向采购人（集团）的内设监管职能部门投诉。</w:t>
      </w:r>
    </w:p>
    <w:p w14:paraId="0F899EFB">
      <w:pPr>
        <w:widowControl/>
        <w:spacing w:before="60" w:after="60" w:line="280" w:lineRule="exact"/>
        <w:ind w:right="62" w:firstLine="420" w:firstLineChars="200"/>
        <w:jc w:val="left"/>
        <w:rPr>
          <w:rFonts w:hint="eastAsia" w:ascii="宋体" w:hAnsi="宋体" w:eastAsia="宋体" w:cs="宋体"/>
          <w:bCs/>
          <w:kern w:val="0"/>
          <w:szCs w:val="21"/>
          <w:u w:val="single"/>
        </w:rPr>
      </w:pPr>
      <w:r>
        <w:rPr>
          <w:rFonts w:hint="eastAsia" w:ascii="宋体" w:hAnsi="宋体" w:eastAsia="宋体" w:cs="宋体"/>
          <w:bCs/>
          <w:kern w:val="0"/>
          <w:szCs w:val="21"/>
          <w:u w:val="single"/>
          <w:lang w:val="en-US" w:eastAsia="zh-CN"/>
        </w:rPr>
        <w:t>3</w:t>
      </w:r>
      <w:r>
        <w:rPr>
          <w:rFonts w:hint="eastAsia" w:ascii="宋体" w:hAnsi="宋体" w:eastAsia="宋体" w:cs="宋体"/>
          <w:bCs/>
          <w:kern w:val="0"/>
          <w:szCs w:val="21"/>
          <w:u w:val="single"/>
        </w:rPr>
        <w:t>、</w:t>
      </w:r>
      <w:r>
        <w:rPr>
          <w:rFonts w:hint="eastAsia" w:ascii="宋体" w:hAnsi="宋体" w:eastAsia="宋体" w:cs="宋体"/>
          <w:bCs/>
          <w:kern w:val="0"/>
          <w:szCs w:val="21"/>
          <w:u w:val="single"/>
          <w:lang w:eastAsia="zh-CN"/>
        </w:rPr>
        <w:t>温州市交通发展集团有限公司</w:t>
      </w:r>
      <w:r>
        <w:rPr>
          <w:rFonts w:hint="eastAsia" w:ascii="宋体" w:hAnsi="宋体" w:eastAsia="宋体" w:cs="宋体"/>
          <w:bCs/>
          <w:kern w:val="0"/>
          <w:szCs w:val="21"/>
          <w:u w:val="single"/>
        </w:rPr>
        <w:t>负责对投标人反映的企业本部及所属企业在采购活动中出现的违法违规问题进行答疑回复。投标人认为</w:t>
      </w:r>
      <w:r>
        <w:rPr>
          <w:rFonts w:hint="eastAsia" w:ascii="宋体" w:hAnsi="宋体" w:eastAsia="宋体" w:cs="宋体"/>
          <w:bCs/>
          <w:kern w:val="0"/>
          <w:szCs w:val="21"/>
          <w:u w:val="single"/>
          <w:lang w:eastAsia="zh-CN"/>
        </w:rPr>
        <w:t>温州市交通发展集团有限公司</w:t>
      </w:r>
      <w:r>
        <w:rPr>
          <w:rFonts w:hint="eastAsia" w:ascii="宋体" w:hAnsi="宋体" w:eastAsia="宋体" w:cs="宋体"/>
          <w:bCs/>
          <w:kern w:val="0"/>
          <w:szCs w:val="21"/>
          <w:u w:val="single"/>
        </w:rPr>
        <w:t>答疑回复处理结果不合法的，可以采购人或采购代理机构为对象依法向人民法院提起诉讼。</w:t>
      </w:r>
    </w:p>
    <w:p w14:paraId="433B7AE8">
      <w:pPr>
        <w:widowControl/>
        <w:spacing w:before="60" w:after="60" w:line="280" w:lineRule="exact"/>
        <w:ind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lang w:val="en-US" w:eastAsia="zh-CN"/>
        </w:rPr>
        <w:t>4</w:t>
      </w:r>
      <w:r>
        <w:rPr>
          <w:rFonts w:hint="eastAsia" w:ascii="宋体" w:hAnsi="宋体" w:eastAsia="宋体" w:cs="宋体"/>
          <w:bCs/>
          <w:kern w:val="0"/>
          <w:szCs w:val="21"/>
        </w:rPr>
        <w:t>、采购公告附件的采购文件仅供阅览使用，未按照本公告规定的方式获取采购文件的潜在供应商提起的质疑，采购人及采购组织机构将不予受理、答复。</w:t>
      </w:r>
    </w:p>
    <w:p w14:paraId="56B86B37">
      <w:pPr>
        <w:widowControl/>
        <w:spacing w:before="60" w:after="60" w:line="280" w:lineRule="exact"/>
        <w:ind w:right="62" w:firstLine="420" w:firstLineChars="200"/>
        <w:jc w:val="left"/>
        <w:rPr>
          <w:rFonts w:hint="eastAsia" w:ascii="宋体" w:hAnsi="宋体" w:eastAsia="宋体" w:cs="宋体"/>
          <w:bCs/>
          <w:color w:val="auto"/>
          <w:kern w:val="0"/>
          <w:szCs w:val="21"/>
        </w:rPr>
      </w:pPr>
      <w:bookmarkStart w:id="8" w:name="B38_其他事项"/>
      <w:r>
        <w:rPr>
          <w:rFonts w:hint="eastAsia" w:ascii="宋体" w:hAnsi="宋体" w:eastAsia="宋体" w:cs="宋体"/>
          <w:bCs/>
          <w:kern w:val="0"/>
          <w:szCs w:val="21"/>
          <w:lang w:val="en-US" w:eastAsia="zh-CN"/>
        </w:rPr>
        <w:t>5</w:t>
      </w:r>
      <w:r>
        <w:rPr>
          <w:rFonts w:hint="eastAsia" w:ascii="宋体" w:hAnsi="宋体" w:eastAsia="宋体" w:cs="宋体"/>
          <w:bCs/>
          <w:kern w:val="0"/>
          <w:szCs w:val="21"/>
        </w:rPr>
        <w:t>、</w:t>
      </w:r>
      <w:bookmarkEnd w:id="8"/>
      <w:r>
        <w:rPr>
          <w:rFonts w:hint="eastAsia" w:ascii="宋体" w:hAnsi="宋体" w:eastAsia="宋体" w:cs="宋体"/>
          <w:bCs/>
          <w:kern w:val="0"/>
          <w:szCs w:val="21"/>
        </w:rPr>
        <w:t>供应商如对采购文</w:t>
      </w:r>
      <w:r>
        <w:rPr>
          <w:rFonts w:hint="eastAsia" w:ascii="宋体" w:hAnsi="宋体" w:eastAsia="宋体" w:cs="宋体"/>
          <w:bCs/>
          <w:color w:val="auto"/>
          <w:kern w:val="0"/>
          <w:szCs w:val="21"/>
        </w:rPr>
        <w:t>件有疑问应按采购文件规定的询疑截止时间前提出，逾期提出的，采购组织机构可以不予受理、答复。</w:t>
      </w:r>
    </w:p>
    <w:p w14:paraId="2A491AF4">
      <w:pPr>
        <w:widowControl/>
        <w:spacing w:before="60" w:after="60"/>
        <w:ind w:left="60" w:right="60"/>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十</w:t>
      </w:r>
      <w:r>
        <w:rPr>
          <w:rFonts w:hint="eastAsia" w:ascii="宋体" w:hAnsi="宋体" w:eastAsia="宋体" w:cs="宋体"/>
          <w:b/>
          <w:bCs w:val="0"/>
          <w:color w:val="auto"/>
          <w:kern w:val="0"/>
          <w:szCs w:val="21"/>
          <w:highlight w:val="none"/>
          <w:lang w:val="en-US" w:eastAsia="zh-CN"/>
        </w:rPr>
        <w:t>四</w:t>
      </w:r>
      <w:r>
        <w:rPr>
          <w:rFonts w:hint="eastAsia" w:ascii="宋体" w:hAnsi="宋体" w:eastAsia="宋体" w:cs="宋体"/>
          <w:b/>
          <w:bCs w:val="0"/>
          <w:color w:val="auto"/>
          <w:kern w:val="0"/>
          <w:szCs w:val="21"/>
          <w:highlight w:val="none"/>
        </w:rPr>
        <w:t>、联系方式</w:t>
      </w:r>
    </w:p>
    <w:p w14:paraId="6B857A16">
      <w:pPr>
        <w:widowControl/>
        <w:spacing w:before="60" w:after="60"/>
        <w:ind w:left="62" w:right="62"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采购人名称：</w:t>
      </w:r>
      <w:r>
        <w:rPr>
          <w:rFonts w:hint="eastAsia" w:ascii="宋体" w:hAnsi="宋体" w:eastAsia="宋体" w:cs="宋体"/>
          <w:color w:val="auto"/>
          <w:highlight w:val="none"/>
          <w:lang w:eastAsia="zh-CN"/>
        </w:rPr>
        <w:t>温州市高速公路运营管理有限公司</w:t>
      </w:r>
    </w:p>
    <w:p w14:paraId="04753453">
      <w:pPr>
        <w:widowControl/>
        <w:spacing w:before="60" w:after="60"/>
        <w:ind w:left="62" w:right="62"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地  址：</w:t>
      </w:r>
      <w:r>
        <w:rPr>
          <w:rFonts w:hint="eastAsia" w:ascii="宋体" w:hAnsi="宋体" w:eastAsia="宋体" w:cs="宋体"/>
          <w:color w:val="auto"/>
          <w:highlight w:val="none"/>
          <w:lang w:eastAsia="zh-CN"/>
        </w:rPr>
        <w:t>温州</w:t>
      </w:r>
      <w:r>
        <w:rPr>
          <w:rFonts w:hint="eastAsia" w:ascii="宋体" w:hAnsi="宋体" w:eastAsia="宋体" w:cs="宋体"/>
          <w:color w:val="auto"/>
          <w:highlight w:val="none"/>
          <w:lang w:val="en-US" w:eastAsia="zh-CN"/>
        </w:rPr>
        <w:t>经济技术开发区</w:t>
      </w:r>
      <w:r>
        <w:rPr>
          <w:rFonts w:hint="eastAsia" w:ascii="宋体" w:hAnsi="宋体" w:eastAsia="宋体" w:cs="宋体"/>
          <w:color w:val="auto"/>
          <w:highlight w:val="none"/>
          <w:lang w:eastAsia="zh-CN"/>
        </w:rPr>
        <w:t>甬江路100号</w:t>
      </w:r>
    </w:p>
    <w:p w14:paraId="2C0E72C3">
      <w:pPr>
        <w:widowControl/>
        <w:spacing w:before="60" w:after="60"/>
        <w:ind w:left="62" w:right="62"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陈先生</w:t>
      </w:r>
      <w:r>
        <w:rPr>
          <w:rFonts w:hint="eastAsia" w:ascii="宋体" w:hAnsi="宋体" w:eastAsia="宋体" w:cs="宋体"/>
          <w:color w:val="auto"/>
          <w:highlight w:val="none"/>
        </w:rPr>
        <w:t>，联系电话：</w:t>
      </w:r>
      <w:r>
        <w:rPr>
          <w:rFonts w:hint="eastAsia" w:ascii="宋体" w:hAnsi="宋体" w:eastAsia="宋体" w:cs="宋体"/>
          <w:color w:val="auto"/>
          <w:highlight w:val="none"/>
          <w:lang w:val="en-US" w:eastAsia="zh-CN"/>
        </w:rPr>
        <w:t>0577-86552016</w:t>
      </w:r>
    </w:p>
    <w:p w14:paraId="40F50271">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采购代理机构：浙江国际招投标有限公司</w:t>
      </w:r>
    </w:p>
    <w:p w14:paraId="5DDC0042">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联系人：冯先生</w:t>
      </w:r>
    </w:p>
    <w:p w14:paraId="1CCC66FC">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联系方式：13857723185 邮箱：1826066763@qq.com</w:t>
      </w:r>
    </w:p>
    <w:p w14:paraId="3EF08899">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质疑联系人：易先生，联系电话：15305718087</w:t>
      </w:r>
    </w:p>
    <w:p w14:paraId="58DA8F1A">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书面质疑受理地点：温州市黎明西路342号人保财险鹿城支公司办公大楼401室</w:t>
      </w:r>
    </w:p>
    <w:p w14:paraId="2C9089C4">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w:t>
      </w:r>
      <w:r>
        <w:rPr>
          <w:rFonts w:hint="eastAsia" w:ascii="宋体" w:hAnsi="宋体" w:eastAsia="宋体" w:cs="宋体"/>
          <w:highlight w:val="none"/>
          <w:lang w:val="en-US" w:eastAsia="zh-CN"/>
        </w:rPr>
        <w:t>监督管理</w:t>
      </w:r>
      <w:r>
        <w:rPr>
          <w:rFonts w:hint="eastAsia" w:ascii="宋体" w:hAnsi="宋体" w:eastAsia="宋体" w:cs="宋体"/>
          <w:highlight w:val="none"/>
        </w:rPr>
        <w:t>部门：</w:t>
      </w:r>
      <w:r>
        <w:rPr>
          <w:rFonts w:hint="eastAsia" w:ascii="宋体" w:hAnsi="宋体" w:eastAsia="宋体" w:cs="宋体"/>
          <w:highlight w:val="none"/>
          <w:lang w:eastAsia="zh-CN"/>
        </w:rPr>
        <w:t>温州市交通发展集团有限公司</w:t>
      </w:r>
      <w:r>
        <w:rPr>
          <w:rFonts w:hint="eastAsia" w:ascii="宋体" w:hAnsi="宋体" w:eastAsia="宋体" w:cs="宋体"/>
          <w:highlight w:val="none"/>
        </w:rPr>
        <w:t>纪检监察室    </w:t>
      </w:r>
    </w:p>
    <w:p w14:paraId="3445F26A">
      <w:pPr>
        <w:widowControl/>
        <w:spacing w:before="60" w:after="60"/>
        <w:ind w:left="62" w:right="62" w:firstLine="420" w:firstLineChars="200"/>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联系人：曾女士</w:t>
      </w:r>
    </w:p>
    <w:p w14:paraId="56A2799E">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联系电话：0577-85559092</w:t>
      </w:r>
    </w:p>
    <w:p w14:paraId="6503E5AE">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kern w:val="0"/>
          <w:szCs w:val="21"/>
          <w:highlight w:val="none"/>
          <w:lang w:eastAsia="zh-CN"/>
        </w:rPr>
        <w:t>温州市高速公路运营管理有限公司</w:t>
      </w:r>
      <w:r>
        <w:rPr>
          <w:rFonts w:hint="eastAsia" w:ascii="宋体" w:hAnsi="宋体" w:eastAsia="宋体" w:cs="宋体"/>
          <w:bCs/>
          <w:kern w:val="0"/>
          <w:szCs w:val="21"/>
          <w:highlight w:val="none"/>
        </w:rPr>
        <w:t xml:space="preserve"> </w:t>
      </w:r>
    </w:p>
    <w:p w14:paraId="21540510">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14:paraId="7BC86FE4">
      <w:pPr>
        <w:widowControl/>
        <w:spacing w:before="60" w:after="60"/>
        <w:ind w:left="62" w:right="62" w:firstLine="420" w:firstLineChars="200"/>
        <w:jc w:val="right"/>
        <w:rPr>
          <w:rFonts w:hint="eastAsia" w:ascii="宋体" w:hAnsi="宋体" w:eastAsia="宋体" w:cs="宋体"/>
          <w:color w:val="0000FF"/>
          <w:kern w:val="0"/>
          <w:szCs w:val="21"/>
          <w:highlight w:val="none"/>
        </w:rPr>
      </w:pPr>
      <w:r>
        <w:rPr>
          <w:rFonts w:hint="eastAsia" w:ascii="宋体" w:hAnsi="宋体" w:eastAsia="宋体" w:cs="宋体"/>
          <w:color w:val="0000FF"/>
          <w:kern w:val="0"/>
          <w:szCs w:val="21"/>
          <w:highlight w:val="none"/>
        </w:rPr>
        <w:t>202</w:t>
      </w:r>
      <w:r>
        <w:rPr>
          <w:rFonts w:hint="eastAsia" w:ascii="宋体" w:hAnsi="宋体" w:eastAsia="宋体" w:cs="宋体"/>
          <w:color w:val="0000FF"/>
          <w:kern w:val="0"/>
          <w:szCs w:val="21"/>
          <w:highlight w:val="none"/>
          <w:lang w:val="en-US" w:eastAsia="zh-CN"/>
        </w:rPr>
        <w:t>4</w:t>
      </w:r>
      <w:r>
        <w:rPr>
          <w:rFonts w:hint="eastAsia" w:ascii="宋体" w:hAnsi="宋体" w:eastAsia="宋体" w:cs="宋体"/>
          <w:color w:val="0000FF"/>
          <w:kern w:val="0"/>
          <w:szCs w:val="21"/>
          <w:highlight w:val="none"/>
        </w:rPr>
        <w:t>年</w:t>
      </w:r>
      <w:r>
        <w:rPr>
          <w:rFonts w:hint="eastAsia" w:ascii="宋体" w:hAnsi="宋体" w:eastAsia="宋体" w:cs="宋体"/>
          <w:color w:val="0000FF"/>
          <w:kern w:val="0"/>
          <w:szCs w:val="21"/>
          <w:highlight w:val="none"/>
          <w:lang w:val="en-US" w:eastAsia="zh-CN"/>
        </w:rPr>
        <w:t>11</w:t>
      </w:r>
      <w:r>
        <w:rPr>
          <w:rFonts w:hint="eastAsia" w:ascii="宋体" w:hAnsi="宋体" w:eastAsia="宋体" w:cs="宋体"/>
          <w:color w:val="0000FF"/>
          <w:kern w:val="0"/>
          <w:szCs w:val="21"/>
          <w:highlight w:val="none"/>
        </w:rPr>
        <w:t>月</w:t>
      </w:r>
      <w:r>
        <w:rPr>
          <w:rFonts w:hint="eastAsia" w:ascii="宋体" w:hAnsi="宋体" w:eastAsia="宋体" w:cs="宋体"/>
          <w:color w:val="0000FF"/>
          <w:kern w:val="0"/>
          <w:szCs w:val="21"/>
          <w:highlight w:val="none"/>
          <w:lang w:val="en-US" w:eastAsia="zh-CN"/>
        </w:rPr>
        <w:t>4</w:t>
      </w:r>
      <w:r>
        <w:rPr>
          <w:rFonts w:hint="eastAsia" w:ascii="宋体" w:hAnsi="宋体" w:eastAsia="宋体" w:cs="宋体"/>
          <w:color w:val="0000FF"/>
          <w:kern w:val="0"/>
          <w:szCs w:val="21"/>
          <w:highlight w:val="none"/>
        </w:rPr>
        <w:t>日</w:t>
      </w:r>
    </w:p>
    <w:p w14:paraId="2703F19D">
      <w:pPr>
        <w:jc w:val="center"/>
        <w:rPr>
          <w:rFonts w:hint="eastAsia" w:ascii="宋体" w:hAnsi="宋体" w:eastAsia="宋体" w:cs="宋体"/>
          <w:sz w:val="24"/>
          <w:highlight w:val="none"/>
        </w:rPr>
      </w:pPr>
      <w:bookmarkStart w:id="9" w:name="_Toc491780522"/>
    </w:p>
    <w:p w14:paraId="50A301D4">
      <w:pPr>
        <w:jc w:val="center"/>
        <w:rPr>
          <w:rFonts w:hint="eastAsia" w:ascii="宋体" w:hAnsi="宋体" w:eastAsia="宋体" w:cs="宋体"/>
          <w:highlight w:val="none"/>
        </w:rPr>
      </w:pPr>
      <w:r>
        <w:rPr>
          <w:rFonts w:hint="eastAsia" w:ascii="宋体" w:hAnsi="宋体" w:eastAsia="宋体" w:cs="宋体"/>
          <w:sz w:val="24"/>
          <w:highlight w:val="none"/>
          <w:lang w:eastAsia="zh-CN"/>
        </w:rPr>
        <w:t>温州市交发集团</w:t>
      </w:r>
      <w:r>
        <w:rPr>
          <w:rFonts w:hint="eastAsia" w:ascii="宋体" w:hAnsi="宋体" w:eastAsia="宋体" w:cs="宋体"/>
          <w:sz w:val="24"/>
          <w:highlight w:val="none"/>
          <w:lang w:val="en-US" w:eastAsia="zh-CN"/>
        </w:rPr>
        <w:t>所属</w:t>
      </w:r>
      <w:r>
        <w:rPr>
          <w:rFonts w:hint="eastAsia" w:ascii="宋体" w:hAnsi="宋体" w:eastAsia="宋体" w:cs="宋体"/>
          <w:sz w:val="24"/>
          <w:highlight w:val="none"/>
          <w:lang w:eastAsia="zh-CN"/>
        </w:rPr>
        <w:t>温州市高速公路运营管理有限公司关于2025-2027年职工疗休养</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的征求意见公示</w:t>
      </w:r>
      <w:bookmarkEnd w:id="9"/>
    </w:p>
    <w:p w14:paraId="4EA39139">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受</w:t>
      </w:r>
      <w:r>
        <w:rPr>
          <w:rFonts w:hint="eastAsia" w:ascii="宋体" w:hAnsi="宋体" w:eastAsia="宋体" w:cs="宋体"/>
          <w:bCs/>
          <w:kern w:val="0"/>
          <w:szCs w:val="21"/>
          <w:highlight w:val="none"/>
          <w:lang w:eastAsia="zh-CN"/>
        </w:rPr>
        <w:t>温州市高速公路运营管理有限公司</w:t>
      </w:r>
      <w:r>
        <w:rPr>
          <w:rFonts w:hint="eastAsia" w:ascii="宋体" w:hAnsi="宋体" w:eastAsia="宋体" w:cs="宋体"/>
          <w:bCs/>
          <w:kern w:val="0"/>
          <w:szCs w:val="21"/>
          <w:highlight w:val="none"/>
        </w:rPr>
        <w:t>的委托，就</w:t>
      </w:r>
      <w:r>
        <w:rPr>
          <w:rFonts w:hint="eastAsia" w:ascii="宋体" w:hAnsi="宋体" w:eastAsia="宋体" w:cs="宋体"/>
          <w:bCs/>
          <w:kern w:val="0"/>
          <w:szCs w:val="21"/>
          <w:highlight w:val="none"/>
          <w:lang w:eastAsia="zh-CN"/>
        </w:rPr>
        <w:t>2025-2027年职工疗休养</w:t>
      </w:r>
      <w:r>
        <w:rPr>
          <w:rFonts w:hint="eastAsia" w:ascii="宋体" w:hAnsi="宋体" w:eastAsia="宋体" w:cs="宋体"/>
          <w:bCs/>
          <w:kern w:val="0"/>
          <w:szCs w:val="21"/>
          <w:highlight w:val="none"/>
        </w:rPr>
        <w:t>以公开招标方式进行采购。现将本项目采购文件公布如下（详见附件），并公开征求</w:t>
      </w:r>
      <w:r>
        <w:rPr>
          <w:rFonts w:hint="eastAsia" w:ascii="宋体" w:hAnsi="宋体" w:eastAsia="宋体" w:cs="宋体"/>
          <w:bCs/>
          <w:kern w:val="0"/>
          <w:szCs w:val="21"/>
          <w:highlight w:val="none"/>
          <w:lang w:eastAsia="zh-CN"/>
        </w:rPr>
        <w:t>投标人</w:t>
      </w:r>
      <w:r>
        <w:rPr>
          <w:rFonts w:hint="eastAsia" w:ascii="宋体" w:hAnsi="宋体" w:eastAsia="宋体" w:cs="宋体"/>
          <w:bCs/>
          <w:kern w:val="0"/>
          <w:szCs w:val="21"/>
          <w:highlight w:val="none"/>
        </w:rPr>
        <w:t>及专家意见。</w:t>
      </w:r>
    </w:p>
    <w:p w14:paraId="5A8D8CA6">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一、征求意见范围：</w:t>
      </w:r>
    </w:p>
    <w:p w14:paraId="61E7B090">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1、是否出现明显的倾向性意见和特定的性能指标；</w:t>
      </w:r>
    </w:p>
    <w:p w14:paraId="5FCA45AD">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w:t>
      </w:r>
      <w:r>
        <w:rPr>
          <w:rFonts w:hint="eastAsia" w:ascii="宋体" w:hAnsi="宋体" w:eastAsia="宋体" w:cs="宋体"/>
          <w:bCs/>
          <w:kern w:val="0"/>
          <w:szCs w:val="21"/>
          <w:highlight w:val="none"/>
          <w:lang w:eastAsia="zh-CN"/>
        </w:rPr>
        <w:t>投标人</w:t>
      </w:r>
      <w:r>
        <w:rPr>
          <w:rFonts w:hint="eastAsia" w:ascii="宋体" w:hAnsi="宋体" w:eastAsia="宋体" w:cs="宋体"/>
          <w:bCs/>
          <w:kern w:val="0"/>
          <w:szCs w:val="21"/>
          <w:highlight w:val="none"/>
        </w:rPr>
        <w:t>资格条件是否具有明显倾向性和歧视性；</w:t>
      </w:r>
    </w:p>
    <w:p w14:paraId="09C174DF">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3、影响温州市国有企业采购“公开、公平、公正”原则的其他情况。 </w:t>
      </w:r>
    </w:p>
    <w:p w14:paraId="5CFC21C5">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二、征求意见的回复：</w:t>
      </w:r>
    </w:p>
    <w:p w14:paraId="255664A5">
      <w:pPr>
        <w:widowControl/>
        <w:spacing w:before="60" w:after="60"/>
        <w:ind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各</w:t>
      </w:r>
      <w:r>
        <w:rPr>
          <w:rFonts w:hint="eastAsia" w:ascii="宋体" w:hAnsi="宋体" w:eastAsia="宋体" w:cs="宋体"/>
          <w:bCs/>
          <w:kern w:val="0"/>
          <w:szCs w:val="21"/>
          <w:highlight w:val="none"/>
          <w:lang w:eastAsia="zh-CN"/>
        </w:rPr>
        <w:t>投标人</w:t>
      </w:r>
      <w:r>
        <w:rPr>
          <w:rFonts w:hint="eastAsia" w:ascii="宋体" w:hAnsi="宋体" w:eastAsia="宋体" w:cs="宋体"/>
          <w:bCs/>
          <w:kern w:val="0"/>
          <w:szCs w:val="21"/>
          <w:highlight w:val="none"/>
        </w:rPr>
        <w:t>及专家提出修改理由和建议的，请于</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4</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11</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9</w:t>
      </w:r>
      <w:r>
        <w:rPr>
          <w:rFonts w:hint="eastAsia" w:ascii="宋体" w:hAnsi="宋体" w:eastAsia="宋体" w:cs="宋体"/>
          <w:bCs/>
          <w:color w:val="0000FF"/>
          <w:kern w:val="0"/>
          <w:szCs w:val="21"/>
          <w:highlight w:val="none"/>
        </w:rPr>
        <w:t>日1</w:t>
      </w:r>
      <w:r>
        <w:rPr>
          <w:rFonts w:hint="eastAsia" w:ascii="宋体" w:hAnsi="宋体" w:eastAsia="宋体" w:cs="宋体"/>
          <w:bCs/>
          <w:color w:val="0000FF"/>
          <w:kern w:val="0"/>
          <w:szCs w:val="21"/>
          <w:highlight w:val="none"/>
          <w:lang w:val="en-US" w:eastAsia="zh-CN"/>
        </w:rPr>
        <w:t>7</w:t>
      </w:r>
      <w:r>
        <w:rPr>
          <w:rFonts w:hint="eastAsia" w:ascii="宋体" w:hAnsi="宋体" w:eastAsia="宋体" w:cs="宋体"/>
          <w:bCs/>
          <w:color w:val="0000FF"/>
          <w:kern w:val="0"/>
          <w:szCs w:val="21"/>
          <w:highlight w:val="none"/>
        </w:rPr>
        <w:t>时00分</w:t>
      </w:r>
      <w:r>
        <w:rPr>
          <w:rFonts w:hint="eastAsia" w:ascii="宋体" w:hAnsi="宋体" w:eastAsia="宋体" w:cs="宋体"/>
          <w:bCs/>
          <w:kern w:val="0"/>
          <w:szCs w:val="21"/>
          <w:highlight w:val="none"/>
        </w:rPr>
        <w:t>前将书面材料签字（盖公章）并密封后送至</w:t>
      </w:r>
      <w:r>
        <w:rPr>
          <w:rFonts w:hint="eastAsia" w:ascii="宋体" w:hAnsi="宋体" w:eastAsia="宋体" w:cs="宋体"/>
          <w:bCs/>
          <w:kern w:val="0"/>
          <w:szCs w:val="21"/>
          <w:highlight w:val="none"/>
          <w:lang w:eastAsia="zh-CN"/>
        </w:rPr>
        <w:t>温州市黎明西路342号人保财险鹿城支公司办公大楼401室</w:t>
      </w:r>
      <w:r>
        <w:rPr>
          <w:rFonts w:hint="eastAsia" w:ascii="宋体" w:hAnsi="宋体" w:eastAsia="宋体" w:cs="宋体"/>
          <w:bCs/>
          <w:kern w:val="0"/>
          <w:szCs w:val="21"/>
          <w:highlight w:val="none"/>
        </w:rPr>
        <w:t>采购代</w:t>
      </w:r>
      <w:bookmarkStart w:id="238" w:name="_GoBack"/>
      <w:bookmarkEnd w:id="238"/>
      <w:r>
        <w:rPr>
          <w:rFonts w:hint="eastAsia" w:ascii="宋体" w:hAnsi="宋体" w:eastAsia="宋体" w:cs="宋体"/>
          <w:bCs/>
          <w:kern w:val="0"/>
          <w:szCs w:val="21"/>
          <w:highlight w:val="none"/>
        </w:rPr>
        <w:t>理公司，或先将扫描件及电子版发送至邮箱</w:t>
      </w:r>
      <w:r>
        <w:rPr>
          <w:rFonts w:hint="eastAsia" w:ascii="宋体" w:hAnsi="宋体" w:eastAsia="宋体" w:cs="宋体"/>
          <w:bCs/>
          <w:kern w:val="0"/>
          <w:szCs w:val="21"/>
          <w:highlight w:val="none"/>
          <w:lang w:eastAsia="zh-CN"/>
        </w:rPr>
        <w:t>1826066763</w:t>
      </w:r>
      <w:r>
        <w:rPr>
          <w:rFonts w:hint="eastAsia" w:ascii="宋体" w:hAnsi="宋体" w:eastAsia="宋体" w:cs="宋体"/>
          <w:bCs/>
          <w:kern w:val="0"/>
          <w:szCs w:val="21"/>
          <w:highlight w:val="none"/>
        </w:rPr>
        <w:t>3@qq.com，并同时将该原件书面寄至</w:t>
      </w: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w:t>
      </w:r>
    </w:p>
    <w:p w14:paraId="6AD69E24">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联系人：易先生，联系电话：</w:t>
      </w:r>
      <w:r>
        <w:rPr>
          <w:rFonts w:hint="eastAsia" w:ascii="宋体" w:hAnsi="宋体" w:eastAsia="宋体" w:cs="宋体"/>
          <w:highlight w:val="none"/>
        </w:rPr>
        <w:t>15305718087</w:t>
      </w:r>
      <w:r>
        <w:rPr>
          <w:rFonts w:hint="eastAsia" w:ascii="宋体" w:hAnsi="宋体" w:eastAsia="宋体" w:cs="宋体"/>
          <w:bCs/>
          <w:kern w:val="0"/>
          <w:szCs w:val="21"/>
          <w:highlight w:val="none"/>
        </w:rPr>
        <w:t>。</w:t>
      </w:r>
    </w:p>
    <w:p w14:paraId="69D92CF9">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对逾期送达的意见、建议书恕不接受。</w:t>
      </w:r>
    </w:p>
    <w:p w14:paraId="70A0713E">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三、附本项目采购文件</w:t>
      </w:r>
    </w:p>
    <w:p w14:paraId="52A965AA">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温州市高速公路运营管理有限公司</w:t>
      </w:r>
    </w:p>
    <w:p w14:paraId="7CAB29CC">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14:paraId="0F64B741">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4</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11</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4</w:t>
      </w:r>
      <w:r>
        <w:rPr>
          <w:rFonts w:hint="eastAsia" w:ascii="宋体" w:hAnsi="宋体" w:eastAsia="宋体" w:cs="宋体"/>
          <w:bCs/>
          <w:color w:val="0000FF"/>
          <w:kern w:val="0"/>
          <w:szCs w:val="21"/>
          <w:highlight w:val="none"/>
        </w:rPr>
        <w:t>日</w:t>
      </w:r>
      <w:bookmarkEnd w:id="2"/>
    </w:p>
    <w:p w14:paraId="17559F9A">
      <w:pPr>
        <w:widowControl/>
        <w:spacing w:before="60" w:after="60"/>
        <w:ind w:left="62" w:right="62" w:firstLine="420" w:firstLineChars="200"/>
        <w:jc w:val="center"/>
        <w:rPr>
          <w:rFonts w:hint="eastAsia" w:ascii="宋体" w:hAnsi="宋体" w:eastAsia="宋体" w:cs="宋体"/>
          <w:sz w:val="36"/>
          <w:szCs w:val="36"/>
          <w:highlight w:val="none"/>
        </w:rPr>
      </w:pPr>
      <w:r>
        <w:rPr>
          <w:rFonts w:hint="eastAsia" w:ascii="宋体" w:hAnsi="宋体" w:eastAsia="宋体" w:cs="宋体"/>
          <w:bCs/>
          <w:kern w:val="0"/>
          <w:szCs w:val="21"/>
          <w:highlight w:val="none"/>
        </w:rPr>
        <w:br w:type="page"/>
      </w:r>
      <w:bookmarkStart w:id="10" w:name="_Toc218041725"/>
      <w:bookmarkStart w:id="11" w:name="_Toc223933220"/>
      <w:bookmarkStart w:id="12" w:name="_Toc227057032"/>
      <w:bookmarkStart w:id="13" w:name="_Toc219538612"/>
      <w:bookmarkStart w:id="14" w:name="_Toc227489886"/>
      <w:bookmarkStart w:id="15" w:name="_Toc223717603"/>
      <w:bookmarkStart w:id="16" w:name="_Toc216667819"/>
      <w:bookmarkStart w:id="17" w:name="_Toc227056845"/>
      <w:bookmarkStart w:id="18" w:name="_Toc215415529"/>
      <w:bookmarkStart w:id="19" w:name="_Toc217460684"/>
      <w:bookmarkStart w:id="20" w:name="_Toc491780523"/>
      <w:r>
        <w:rPr>
          <w:rFonts w:hint="eastAsia" w:ascii="宋体" w:hAnsi="宋体" w:eastAsia="宋体" w:cs="宋体"/>
          <w:sz w:val="36"/>
          <w:szCs w:val="36"/>
          <w:highlight w:val="none"/>
        </w:rPr>
        <w:t>第一部分 投标人须知</w:t>
      </w:r>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sz w:val="36"/>
          <w:szCs w:val="36"/>
          <w:highlight w:val="none"/>
        </w:rPr>
        <w:t>及投标人须知前附表</w:t>
      </w:r>
    </w:p>
    <w:p w14:paraId="3FA869E9">
      <w:pPr>
        <w:spacing w:before="156" w:beforeLines="50" w:after="156" w:afterLines="50"/>
        <w:jc w:val="center"/>
        <w:rPr>
          <w:rFonts w:hint="eastAsia" w:ascii="宋体" w:hAnsi="宋体" w:eastAsia="宋体" w:cs="宋体"/>
          <w:b/>
          <w:sz w:val="28"/>
          <w:szCs w:val="28"/>
          <w:highlight w:val="none"/>
        </w:rPr>
      </w:pPr>
      <w:bookmarkStart w:id="21" w:name="_Toc433729304"/>
      <w:bookmarkStart w:id="22" w:name="_Toc401243876"/>
      <w:bookmarkStart w:id="23" w:name="_Toc215415530"/>
      <w:bookmarkStart w:id="24" w:name="_Toc218041726"/>
      <w:bookmarkStart w:id="25" w:name="_Toc219538613"/>
      <w:bookmarkStart w:id="26" w:name="_Toc223717604"/>
      <w:bookmarkStart w:id="27" w:name="_Toc216667820"/>
      <w:bookmarkStart w:id="28" w:name="_Toc223933221"/>
      <w:bookmarkStart w:id="29" w:name="_Toc227057033"/>
      <w:bookmarkStart w:id="30" w:name="_Toc217460685"/>
      <w:bookmarkStart w:id="31" w:name="_Toc227489887"/>
      <w:bookmarkStart w:id="32" w:name="_Toc227056846"/>
      <w:r>
        <w:rPr>
          <w:rFonts w:hint="eastAsia" w:ascii="宋体" w:hAnsi="宋体" w:eastAsia="宋体" w:cs="宋体"/>
          <w:b/>
          <w:sz w:val="28"/>
          <w:szCs w:val="28"/>
          <w:highlight w:val="none"/>
        </w:rPr>
        <w:t>投标人须知前附表</w:t>
      </w:r>
      <w:bookmarkEnd w:id="21"/>
      <w:bookmarkEnd w:id="22"/>
    </w:p>
    <w:tbl>
      <w:tblPr>
        <w:tblStyle w:val="25"/>
        <w:tblW w:w="8988" w:type="dxa"/>
        <w:jc w:val="center"/>
        <w:tblLayout w:type="fixed"/>
        <w:tblCellMar>
          <w:top w:w="0" w:type="dxa"/>
          <w:left w:w="108" w:type="dxa"/>
          <w:bottom w:w="0" w:type="dxa"/>
          <w:right w:w="108" w:type="dxa"/>
        </w:tblCellMar>
      </w:tblPr>
      <w:tblGrid>
        <w:gridCol w:w="836"/>
        <w:gridCol w:w="1624"/>
        <w:gridCol w:w="6528"/>
      </w:tblGrid>
      <w:tr w14:paraId="3099D3F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6A080BB">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14:paraId="2979802B">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14:paraId="3F70C94F">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编列内容</w:t>
            </w:r>
          </w:p>
        </w:tc>
      </w:tr>
      <w:tr w14:paraId="0C5F129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AF2C9DB">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24F0CF7">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14:paraId="68A65805">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2025-2027年职工疗休养</w:t>
            </w:r>
          </w:p>
        </w:tc>
      </w:tr>
      <w:tr w14:paraId="4E4613A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03D2488">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50AE193">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项目编号</w:t>
            </w:r>
          </w:p>
        </w:tc>
        <w:tc>
          <w:tcPr>
            <w:tcW w:w="6528" w:type="dxa"/>
            <w:tcBorders>
              <w:top w:val="single" w:color="auto" w:sz="4" w:space="0"/>
              <w:left w:val="single" w:color="auto" w:sz="4" w:space="0"/>
              <w:bottom w:val="single" w:color="auto" w:sz="4" w:space="0"/>
              <w:right w:val="single" w:color="auto" w:sz="4" w:space="0"/>
            </w:tcBorders>
            <w:vAlign w:val="center"/>
          </w:tcPr>
          <w:p w14:paraId="09FB03B3">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WGSS-JFJT-X-2024005</w:t>
            </w:r>
          </w:p>
        </w:tc>
      </w:tr>
      <w:tr w14:paraId="615F0A5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58012DA">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5CB5B74">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14:paraId="3409A850">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采购人名称：</w:t>
            </w:r>
            <w:r>
              <w:rPr>
                <w:rFonts w:hint="eastAsia" w:ascii="宋体" w:hAnsi="宋体" w:eastAsia="宋体" w:cs="宋体"/>
                <w:color w:val="auto"/>
                <w:kern w:val="0"/>
                <w:sz w:val="18"/>
                <w:szCs w:val="18"/>
                <w:highlight w:val="none"/>
                <w:lang w:eastAsia="zh-CN"/>
              </w:rPr>
              <w:t>温州市高速公路运营管理有限公司</w:t>
            </w:r>
          </w:p>
          <w:p w14:paraId="3F44B630">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地  址：</w:t>
            </w:r>
            <w:r>
              <w:rPr>
                <w:rFonts w:hint="eastAsia" w:ascii="宋体" w:hAnsi="宋体" w:eastAsia="宋体" w:cs="宋体"/>
                <w:color w:val="auto"/>
                <w:kern w:val="0"/>
                <w:sz w:val="18"/>
                <w:szCs w:val="18"/>
                <w:highlight w:val="none"/>
                <w:lang w:eastAsia="zh-CN"/>
              </w:rPr>
              <w:t>温州</w:t>
            </w:r>
            <w:r>
              <w:rPr>
                <w:rFonts w:hint="eastAsia" w:ascii="宋体" w:hAnsi="宋体" w:eastAsia="宋体" w:cs="宋体"/>
                <w:color w:val="auto"/>
                <w:kern w:val="0"/>
                <w:sz w:val="18"/>
                <w:szCs w:val="18"/>
                <w:highlight w:val="none"/>
                <w:lang w:val="en-US" w:eastAsia="zh-CN"/>
              </w:rPr>
              <w:t>经济技术开发区</w:t>
            </w:r>
            <w:r>
              <w:rPr>
                <w:rFonts w:hint="eastAsia" w:ascii="宋体" w:hAnsi="宋体" w:eastAsia="宋体" w:cs="宋体"/>
                <w:color w:val="auto"/>
                <w:kern w:val="0"/>
                <w:sz w:val="18"/>
                <w:szCs w:val="18"/>
                <w:highlight w:val="none"/>
                <w:lang w:eastAsia="zh-CN"/>
              </w:rPr>
              <w:t>甬江路100号</w:t>
            </w:r>
          </w:p>
          <w:p w14:paraId="388D94EE">
            <w:pPr>
              <w:spacing w:line="240" w:lineRule="exac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联系人：</w:t>
            </w:r>
            <w:r>
              <w:rPr>
                <w:rFonts w:hint="eastAsia" w:ascii="宋体" w:hAnsi="宋体" w:eastAsia="宋体" w:cs="宋体"/>
                <w:color w:val="auto"/>
                <w:kern w:val="0"/>
                <w:sz w:val="18"/>
                <w:szCs w:val="18"/>
                <w:highlight w:val="none"/>
                <w:lang w:val="en-US" w:eastAsia="zh-CN"/>
              </w:rPr>
              <w:t>陈先生</w:t>
            </w:r>
            <w:r>
              <w:rPr>
                <w:rFonts w:hint="eastAsia" w:ascii="宋体" w:hAnsi="宋体" w:eastAsia="宋体" w:cs="宋体"/>
                <w:color w:val="auto"/>
                <w:kern w:val="0"/>
                <w:sz w:val="18"/>
                <w:szCs w:val="18"/>
                <w:highlight w:val="none"/>
              </w:rPr>
              <w:t>，联系电话：</w:t>
            </w:r>
            <w:r>
              <w:rPr>
                <w:rFonts w:hint="eastAsia" w:ascii="宋体" w:hAnsi="宋体" w:eastAsia="宋体" w:cs="宋体"/>
                <w:color w:val="auto"/>
                <w:kern w:val="0"/>
                <w:sz w:val="18"/>
                <w:szCs w:val="18"/>
                <w:highlight w:val="none"/>
                <w:lang w:val="en-US" w:eastAsia="zh-CN"/>
              </w:rPr>
              <w:t>0577-86552016</w:t>
            </w:r>
          </w:p>
        </w:tc>
      </w:tr>
      <w:tr w14:paraId="4A5C147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5EB61F1">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30BE920">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14:paraId="2D4A42B1">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代理机构名称：</w:t>
            </w:r>
            <w:r>
              <w:rPr>
                <w:rFonts w:hint="eastAsia" w:ascii="宋体" w:hAnsi="宋体" w:eastAsia="宋体" w:cs="宋体"/>
                <w:color w:val="auto"/>
                <w:kern w:val="0"/>
                <w:sz w:val="18"/>
                <w:szCs w:val="18"/>
                <w:highlight w:val="none"/>
                <w:lang w:eastAsia="zh-CN"/>
              </w:rPr>
              <w:t>浙江国际招投标有限公司</w:t>
            </w:r>
          </w:p>
          <w:p w14:paraId="570CCC1A">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代理机构地址：温州市黎明西路342号人保财险鹿城支公司办公大楼401室</w:t>
            </w:r>
          </w:p>
          <w:p w14:paraId="3EFB7A2D">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联系人：冯先生</w:t>
            </w:r>
          </w:p>
          <w:p w14:paraId="1CFCD35F">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联系方式：13857723185 邮箱：1826066763@qq.com</w:t>
            </w:r>
          </w:p>
        </w:tc>
      </w:tr>
      <w:tr w14:paraId="0B11578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7232CC0">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55DCFB8">
            <w:pPr>
              <w:spacing w:line="240" w:lineRule="exact"/>
              <w:rPr>
                <w:rFonts w:hint="eastAsia" w:ascii="宋体" w:hAnsi="宋体" w:eastAsia="宋体" w:cs="宋体"/>
                <w:strike w:val="0"/>
                <w:dstrike w:val="0"/>
                <w:kern w:val="0"/>
                <w:sz w:val="18"/>
                <w:szCs w:val="18"/>
                <w:highlight w:val="none"/>
              </w:rPr>
            </w:pPr>
            <w:r>
              <w:rPr>
                <w:rFonts w:hint="eastAsia" w:ascii="宋体" w:hAnsi="宋体" w:eastAsia="宋体" w:cs="宋体"/>
                <w:strike w:val="0"/>
                <w:dstrike w:val="0"/>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14:paraId="6B549618">
            <w:pPr>
              <w:spacing w:line="240" w:lineRule="exac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温州市高速公路运营管理有限公司2025-2027年职工疗休养服务采购，疗休养人数预计899人（具体人数以实际发生为准），具体采购内容及技术要求详见采购文件第四部分。</w:t>
            </w:r>
          </w:p>
        </w:tc>
      </w:tr>
      <w:tr w14:paraId="23074ED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2398063">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F2C9919">
            <w:pPr>
              <w:widowControl/>
              <w:snapToGrid w:val="0"/>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采购预算</w:t>
            </w:r>
          </w:p>
        </w:tc>
        <w:tc>
          <w:tcPr>
            <w:tcW w:w="6528" w:type="dxa"/>
            <w:tcBorders>
              <w:top w:val="single" w:color="auto" w:sz="4" w:space="0"/>
              <w:left w:val="single" w:color="auto" w:sz="4" w:space="0"/>
              <w:bottom w:val="single" w:color="auto" w:sz="4" w:space="0"/>
              <w:right w:val="single" w:color="auto" w:sz="4" w:space="0"/>
            </w:tcBorders>
            <w:vAlign w:val="center"/>
          </w:tcPr>
          <w:p w14:paraId="4354A5C3">
            <w:pPr>
              <w:spacing w:line="240" w:lineRule="exact"/>
              <w:rPr>
                <w:rFonts w:hint="eastAsia" w:ascii="宋体" w:hAnsi="宋体" w:eastAsia="宋体" w:cs="宋体"/>
                <w:b/>
                <w:strike w:val="0"/>
                <w:dstrike w:val="0"/>
                <w:kern w:val="0"/>
                <w:sz w:val="18"/>
                <w:szCs w:val="18"/>
                <w:highlight w:val="none"/>
              </w:rPr>
            </w:pPr>
            <w:r>
              <w:rPr>
                <w:rFonts w:hint="eastAsia" w:ascii="宋体" w:hAnsi="宋体" w:eastAsia="宋体" w:cs="宋体"/>
                <w:b/>
                <w:strike w:val="0"/>
                <w:dstrike w:val="0"/>
                <w:kern w:val="0"/>
                <w:sz w:val="18"/>
                <w:szCs w:val="18"/>
                <w:highlight w:val="none"/>
                <w:u w:val="single"/>
              </w:rPr>
              <w:t>▲本项目采购预算</w:t>
            </w:r>
            <w:r>
              <w:rPr>
                <w:rFonts w:hint="eastAsia" w:ascii="宋体" w:hAnsi="宋体" w:eastAsia="宋体" w:cs="宋体"/>
                <w:b/>
                <w:strike w:val="0"/>
                <w:dstrike w:val="0"/>
                <w:kern w:val="0"/>
                <w:sz w:val="18"/>
                <w:szCs w:val="18"/>
                <w:highlight w:val="none"/>
                <w:u w:val="single"/>
                <w:lang w:val="en-US" w:eastAsia="zh-CN"/>
              </w:rPr>
              <w:t>为</w:t>
            </w:r>
            <w:r>
              <w:rPr>
                <w:rFonts w:hint="eastAsia" w:ascii="宋体" w:hAnsi="宋体" w:eastAsia="宋体" w:cs="宋体"/>
                <w:b/>
                <w:strike w:val="0"/>
                <w:dstrike w:val="0"/>
                <w:kern w:val="0"/>
                <w:sz w:val="18"/>
                <w:szCs w:val="18"/>
                <w:highlight w:val="none"/>
                <w:u w:val="single"/>
              </w:rPr>
              <w:t>人民币269.7万元</w:t>
            </w:r>
            <w:r>
              <w:rPr>
                <w:rFonts w:hint="eastAsia" w:ascii="宋体" w:hAnsi="宋体" w:eastAsia="宋体" w:cs="宋体"/>
                <w:b/>
                <w:strike w:val="0"/>
                <w:dstrike w:val="0"/>
                <w:kern w:val="0"/>
                <w:sz w:val="18"/>
                <w:szCs w:val="18"/>
                <w:highlight w:val="none"/>
                <w:u w:val="single"/>
                <w:lang w:val="en-US" w:eastAsia="zh-CN"/>
              </w:rPr>
              <w:t>/年，单人综合单价最高限价为3000元/人</w:t>
            </w:r>
            <w:r>
              <w:rPr>
                <w:rFonts w:hint="eastAsia" w:ascii="宋体" w:hAnsi="宋体" w:eastAsia="宋体" w:cs="宋体"/>
                <w:b/>
                <w:strike w:val="0"/>
                <w:dstrike w:val="0"/>
                <w:kern w:val="0"/>
                <w:sz w:val="18"/>
                <w:szCs w:val="18"/>
                <w:highlight w:val="none"/>
                <w:u w:val="single"/>
              </w:rPr>
              <w:t>，投标</w:t>
            </w:r>
            <w:r>
              <w:rPr>
                <w:rFonts w:hint="eastAsia" w:ascii="宋体" w:hAnsi="宋体" w:eastAsia="宋体" w:cs="宋体"/>
                <w:b/>
                <w:strike w:val="0"/>
                <w:dstrike w:val="0"/>
                <w:kern w:val="0"/>
                <w:sz w:val="18"/>
                <w:szCs w:val="18"/>
                <w:highlight w:val="none"/>
                <w:u w:val="single"/>
                <w:lang w:val="en-US" w:eastAsia="zh-CN"/>
              </w:rPr>
              <w:t>人</w:t>
            </w:r>
            <w:r>
              <w:rPr>
                <w:rFonts w:hint="eastAsia" w:ascii="宋体" w:hAnsi="宋体" w:eastAsia="宋体" w:cs="宋体"/>
                <w:b/>
                <w:strike w:val="0"/>
                <w:dstrike w:val="0"/>
                <w:kern w:val="0"/>
                <w:sz w:val="18"/>
                <w:szCs w:val="18"/>
                <w:highlight w:val="none"/>
                <w:u w:val="single"/>
              </w:rPr>
              <w:t>投标报价超出</w:t>
            </w:r>
            <w:r>
              <w:rPr>
                <w:rFonts w:hint="eastAsia" w:ascii="宋体" w:hAnsi="宋体" w:eastAsia="宋体" w:cs="宋体"/>
                <w:b/>
                <w:strike w:val="0"/>
                <w:dstrike w:val="0"/>
                <w:kern w:val="0"/>
                <w:sz w:val="18"/>
                <w:szCs w:val="18"/>
                <w:highlight w:val="none"/>
                <w:u w:val="single"/>
                <w:lang w:val="en-US" w:eastAsia="zh-CN"/>
              </w:rPr>
              <w:t>采购预算或超过单人综合单价的</w:t>
            </w:r>
            <w:r>
              <w:rPr>
                <w:rFonts w:hint="eastAsia" w:ascii="宋体" w:hAnsi="宋体" w:eastAsia="宋体" w:cs="宋体"/>
                <w:b/>
                <w:strike w:val="0"/>
                <w:dstrike w:val="0"/>
                <w:kern w:val="0"/>
                <w:sz w:val="18"/>
                <w:szCs w:val="18"/>
                <w:highlight w:val="none"/>
                <w:u w:val="single"/>
              </w:rPr>
              <w:t>的作无效标处理</w:t>
            </w:r>
            <w:r>
              <w:rPr>
                <w:rFonts w:hint="eastAsia" w:ascii="宋体" w:hAnsi="宋体" w:eastAsia="宋体" w:cs="宋体"/>
                <w:b/>
                <w:strike w:val="0"/>
                <w:dstrike w:val="0"/>
                <w:kern w:val="0"/>
                <w:sz w:val="18"/>
                <w:szCs w:val="18"/>
                <w:highlight w:val="none"/>
              </w:rPr>
              <w:t>。</w:t>
            </w:r>
          </w:p>
        </w:tc>
      </w:tr>
      <w:tr w14:paraId="06ED814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A52A5C7">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8709F20">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服务</w:t>
            </w:r>
            <w:r>
              <w:rPr>
                <w:rFonts w:hint="eastAsia" w:ascii="宋体" w:hAnsi="宋体" w:eastAsia="宋体" w:cs="宋体"/>
                <w:kern w:val="0"/>
                <w:sz w:val="18"/>
                <w:szCs w:val="18"/>
                <w:highlight w:val="none"/>
              </w:rPr>
              <w:t>期限</w:t>
            </w:r>
          </w:p>
        </w:tc>
        <w:tc>
          <w:tcPr>
            <w:tcW w:w="6528" w:type="dxa"/>
            <w:tcBorders>
              <w:top w:val="single" w:color="auto" w:sz="4" w:space="0"/>
              <w:left w:val="single" w:color="auto" w:sz="4" w:space="0"/>
              <w:bottom w:val="single" w:color="auto" w:sz="4" w:space="0"/>
              <w:right w:val="single" w:color="auto" w:sz="4" w:space="0"/>
            </w:tcBorders>
            <w:vAlign w:val="center"/>
          </w:tcPr>
          <w:p w14:paraId="2E887458">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合同签订之日起</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rPr>
              <w:t>年，合同一年一签，采用“1+1</w:t>
            </w:r>
            <w:r>
              <w:rPr>
                <w:rFonts w:hint="eastAsia" w:ascii="宋体" w:hAnsi="宋体" w:eastAsia="宋体" w:cs="宋体"/>
                <w:kern w:val="0"/>
                <w:sz w:val="18"/>
                <w:szCs w:val="18"/>
                <w:highlight w:val="none"/>
                <w:lang w:val="en-US" w:eastAsia="zh-CN"/>
              </w:rPr>
              <w:t>+1年</w:t>
            </w:r>
            <w:r>
              <w:rPr>
                <w:rFonts w:hint="eastAsia" w:ascii="宋体" w:hAnsi="宋体" w:eastAsia="宋体" w:cs="宋体"/>
                <w:kern w:val="0"/>
                <w:sz w:val="18"/>
                <w:szCs w:val="18"/>
                <w:highlight w:val="none"/>
              </w:rPr>
              <w:t>”模式，</w:t>
            </w:r>
            <w:r>
              <w:rPr>
                <w:rFonts w:hint="eastAsia" w:ascii="宋体" w:hAnsi="宋体" w:eastAsia="宋体" w:cs="宋体"/>
                <w:kern w:val="0"/>
                <w:sz w:val="18"/>
                <w:szCs w:val="18"/>
                <w:highlight w:val="none"/>
                <w:lang w:val="en-US" w:eastAsia="zh-CN"/>
              </w:rPr>
              <w:t>第一年</w:t>
            </w:r>
            <w:r>
              <w:rPr>
                <w:rFonts w:hint="eastAsia" w:ascii="宋体" w:hAnsi="宋体" w:eastAsia="宋体" w:cs="宋体"/>
                <w:kern w:val="0"/>
                <w:sz w:val="18"/>
                <w:szCs w:val="18"/>
                <w:highlight w:val="none"/>
              </w:rPr>
              <w:t>合同期满后，经</w:t>
            </w:r>
            <w:r>
              <w:rPr>
                <w:rFonts w:hint="eastAsia" w:ascii="宋体" w:hAnsi="宋体" w:eastAsia="宋体" w:cs="宋体"/>
                <w:kern w:val="0"/>
                <w:sz w:val="18"/>
                <w:szCs w:val="18"/>
                <w:highlight w:val="none"/>
                <w:lang w:val="en-US" w:eastAsia="zh-CN"/>
              </w:rPr>
              <w:t>采购人</w:t>
            </w:r>
            <w:r>
              <w:rPr>
                <w:rFonts w:hint="eastAsia" w:ascii="宋体" w:hAnsi="宋体" w:eastAsia="宋体" w:cs="宋体"/>
                <w:kern w:val="0"/>
                <w:sz w:val="18"/>
                <w:szCs w:val="18"/>
                <w:highlight w:val="none"/>
              </w:rPr>
              <w:t>考核合格后，</w:t>
            </w:r>
            <w:r>
              <w:rPr>
                <w:rFonts w:hint="eastAsia" w:ascii="宋体" w:hAnsi="宋体" w:eastAsia="宋体" w:cs="宋体"/>
                <w:kern w:val="0"/>
                <w:sz w:val="18"/>
                <w:szCs w:val="18"/>
                <w:highlight w:val="none"/>
                <w:lang w:val="en-US" w:eastAsia="zh-CN"/>
              </w:rPr>
              <w:t>经双方协商一致，可以以相同的价格续签合同</w:t>
            </w:r>
            <w:r>
              <w:rPr>
                <w:rFonts w:hint="eastAsia" w:ascii="宋体" w:hAnsi="宋体" w:eastAsia="宋体" w:cs="宋体"/>
                <w:kern w:val="0"/>
                <w:sz w:val="18"/>
                <w:szCs w:val="18"/>
                <w:highlight w:val="none"/>
              </w:rPr>
              <w:t>1年</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最多续签2年</w:t>
            </w:r>
            <w:r>
              <w:rPr>
                <w:rFonts w:hint="eastAsia" w:ascii="宋体" w:hAnsi="宋体" w:eastAsia="宋体" w:cs="宋体"/>
                <w:kern w:val="0"/>
                <w:sz w:val="18"/>
                <w:szCs w:val="18"/>
                <w:highlight w:val="none"/>
              </w:rPr>
              <w:t>。</w:t>
            </w:r>
          </w:p>
        </w:tc>
      </w:tr>
      <w:tr w14:paraId="49F888C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16E6F6D">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845280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投标人</w:t>
            </w:r>
            <w:r>
              <w:rPr>
                <w:rFonts w:hint="eastAsia" w:ascii="宋体" w:hAnsi="宋体" w:eastAsia="宋体" w:cs="宋体"/>
                <w:kern w:val="0"/>
                <w:sz w:val="18"/>
                <w:szCs w:val="18"/>
                <w:highlight w:val="none"/>
              </w:rPr>
              <w:t>资格要求</w:t>
            </w:r>
          </w:p>
        </w:tc>
        <w:tc>
          <w:tcPr>
            <w:tcW w:w="6528" w:type="dxa"/>
            <w:tcBorders>
              <w:top w:val="single" w:color="auto" w:sz="4" w:space="0"/>
              <w:left w:val="single" w:color="auto" w:sz="4" w:space="0"/>
              <w:bottom w:val="single" w:color="auto" w:sz="4" w:space="0"/>
              <w:right w:val="single" w:color="auto" w:sz="4" w:space="0"/>
            </w:tcBorders>
            <w:vAlign w:val="center"/>
          </w:tcPr>
          <w:p w14:paraId="0F01F827">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b/>
                <w:bCs/>
                <w:kern w:val="0"/>
                <w:sz w:val="18"/>
                <w:szCs w:val="18"/>
                <w:highlight w:val="none"/>
              </w:rPr>
              <w:t>见采购公告中的要求</w:t>
            </w:r>
            <w:r>
              <w:rPr>
                <w:rFonts w:hint="eastAsia" w:ascii="宋体" w:hAnsi="宋体" w:eastAsia="宋体" w:cs="宋体"/>
                <w:b/>
                <w:bCs/>
                <w:kern w:val="0"/>
                <w:sz w:val="18"/>
                <w:szCs w:val="18"/>
                <w:highlight w:val="none"/>
                <w:lang w:eastAsia="zh-CN"/>
              </w:rPr>
              <w:t>。</w:t>
            </w:r>
          </w:p>
        </w:tc>
      </w:tr>
      <w:tr w14:paraId="7790AC1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4715DF9">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742D888">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14:paraId="6BD932B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不接受</w:t>
            </w:r>
          </w:p>
        </w:tc>
      </w:tr>
      <w:tr w14:paraId="4C4815C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249519A">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53EF2CD">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14:paraId="6439BC3F">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不组织</w:t>
            </w:r>
            <w:r>
              <w:rPr>
                <w:rFonts w:hint="eastAsia" w:ascii="宋体" w:hAnsi="宋体" w:eastAsia="宋体" w:cs="宋体"/>
                <w:kern w:val="0"/>
                <w:sz w:val="18"/>
                <w:szCs w:val="18"/>
                <w:highlight w:val="none"/>
                <w:lang w:eastAsia="zh-CN"/>
              </w:rPr>
              <w:t>，投标人若需踏勘现场，请联系</w:t>
            </w:r>
            <w:r>
              <w:rPr>
                <w:rFonts w:hint="eastAsia" w:ascii="宋体" w:hAnsi="宋体" w:eastAsia="宋体" w:cs="宋体"/>
                <w:kern w:val="0"/>
                <w:sz w:val="18"/>
                <w:szCs w:val="18"/>
                <w:highlight w:val="none"/>
                <w:lang w:val="en-US" w:eastAsia="zh-CN"/>
              </w:rPr>
              <w:t>采购</w:t>
            </w:r>
            <w:r>
              <w:rPr>
                <w:rFonts w:hint="eastAsia" w:ascii="宋体" w:hAnsi="宋体" w:eastAsia="宋体" w:cs="宋体"/>
                <w:kern w:val="0"/>
                <w:sz w:val="18"/>
                <w:szCs w:val="18"/>
                <w:highlight w:val="none"/>
                <w:lang w:eastAsia="zh-CN"/>
              </w:rPr>
              <w:t>人</w:t>
            </w:r>
          </w:p>
        </w:tc>
      </w:tr>
      <w:tr w14:paraId="41112FC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585C7D1">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BB34795">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14:paraId="7A3144E8">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不召开</w:t>
            </w:r>
          </w:p>
        </w:tc>
      </w:tr>
      <w:tr w14:paraId="333D3CC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B358D35">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CA0F7F2">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投标人</w:t>
            </w:r>
            <w:r>
              <w:rPr>
                <w:rFonts w:hint="eastAsia" w:ascii="宋体" w:hAnsi="宋体" w:eastAsia="宋体" w:cs="宋体"/>
                <w:kern w:val="0"/>
                <w:sz w:val="18"/>
                <w:szCs w:val="18"/>
                <w:highlight w:val="none"/>
              </w:rPr>
              <w:t>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14:paraId="31146595">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询疑</w:t>
            </w:r>
            <w:r>
              <w:rPr>
                <w:rFonts w:hint="eastAsia" w:ascii="宋体" w:hAnsi="宋体" w:eastAsia="宋体" w:cs="宋体"/>
                <w:kern w:val="0"/>
                <w:sz w:val="18"/>
                <w:szCs w:val="18"/>
                <w:highlight w:val="none"/>
              </w:rPr>
              <w:t>截止时间：</w:t>
            </w:r>
            <w:r>
              <w:rPr>
                <w:rFonts w:hint="eastAsia" w:ascii="宋体" w:hAnsi="宋体" w:eastAsia="宋体" w:cs="宋体"/>
                <w:color w:val="0000FF"/>
                <w:kern w:val="0"/>
                <w:sz w:val="18"/>
                <w:szCs w:val="18"/>
                <w:highlight w:val="none"/>
              </w:rPr>
              <w:t>202</w:t>
            </w:r>
            <w:r>
              <w:rPr>
                <w:rFonts w:hint="eastAsia" w:ascii="宋体" w:hAnsi="宋体" w:eastAsia="宋体" w:cs="宋体"/>
                <w:color w:val="0000FF"/>
                <w:kern w:val="0"/>
                <w:sz w:val="18"/>
                <w:szCs w:val="18"/>
                <w:highlight w:val="none"/>
                <w:lang w:val="en-US" w:eastAsia="zh-CN"/>
              </w:rPr>
              <w:t>4</w:t>
            </w:r>
            <w:r>
              <w:rPr>
                <w:rFonts w:hint="eastAsia" w:ascii="宋体" w:hAnsi="宋体" w:eastAsia="宋体" w:cs="宋体"/>
                <w:color w:val="0000FF"/>
                <w:kern w:val="0"/>
                <w:sz w:val="18"/>
                <w:szCs w:val="18"/>
                <w:highlight w:val="none"/>
              </w:rPr>
              <w:t>年</w:t>
            </w:r>
            <w:r>
              <w:rPr>
                <w:rFonts w:hint="eastAsia" w:ascii="宋体" w:hAnsi="宋体" w:eastAsia="宋体" w:cs="宋体"/>
                <w:color w:val="0000FF"/>
                <w:kern w:val="0"/>
                <w:sz w:val="18"/>
                <w:szCs w:val="18"/>
                <w:highlight w:val="none"/>
                <w:lang w:val="en-US" w:eastAsia="zh-CN"/>
              </w:rPr>
              <w:t>11</w:t>
            </w:r>
            <w:r>
              <w:rPr>
                <w:rFonts w:hint="eastAsia" w:ascii="宋体" w:hAnsi="宋体" w:eastAsia="宋体" w:cs="宋体"/>
                <w:color w:val="0000FF"/>
                <w:kern w:val="0"/>
                <w:sz w:val="18"/>
                <w:szCs w:val="18"/>
                <w:highlight w:val="none"/>
              </w:rPr>
              <w:t>月</w:t>
            </w:r>
            <w:r>
              <w:rPr>
                <w:rFonts w:hint="eastAsia" w:ascii="宋体" w:hAnsi="宋体" w:eastAsia="宋体" w:cs="宋体"/>
                <w:color w:val="0000FF"/>
                <w:kern w:val="0"/>
                <w:sz w:val="18"/>
                <w:szCs w:val="18"/>
                <w:highlight w:val="none"/>
                <w:lang w:val="en-US" w:eastAsia="zh-CN"/>
              </w:rPr>
              <w:t>9</w:t>
            </w:r>
            <w:r>
              <w:rPr>
                <w:rFonts w:hint="eastAsia" w:ascii="宋体" w:hAnsi="宋体" w:eastAsia="宋体" w:cs="宋体"/>
                <w:color w:val="0000FF"/>
                <w:kern w:val="0"/>
                <w:sz w:val="18"/>
                <w:szCs w:val="18"/>
                <w:highlight w:val="none"/>
              </w:rPr>
              <w:t>日1</w:t>
            </w:r>
            <w:r>
              <w:rPr>
                <w:rFonts w:hint="eastAsia" w:ascii="宋体" w:hAnsi="宋体" w:eastAsia="宋体" w:cs="宋体"/>
                <w:color w:val="0000FF"/>
                <w:kern w:val="0"/>
                <w:sz w:val="18"/>
                <w:szCs w:val="18"/>
                <w:highlight w:val="none"/>
                <w:lang w:val="en-US" w:eastAsia="zh-CN"/>
              </w:rPr>
              <w:t>7</w:t>
            </w:r>
            <w:r>
              <w:rPr>
                <w:rFonts w:hint="eastAsia" w:ascii="宋体" w:hAnsi="宋体" w:eastAsia="宋体" w:cs="宋体"/>
                <w:color w:val="0000FF"/>
                <w:kern w:val="0"/>
                <w:sz w:val="18"/>
                <w:szCs w:val="18"/>
                <w:highlight w:val="none"/>
              </w:rPr>
              <w:t>时00分前</w:t>
            </w:r>
            <w:r>
              <w:rPr>
                <w:rFonts w:hint="eastAsia" w:ascii="宋体" w:hAnsi="宋体" w:eastAsia="宋体" w:cs="宋体"/>
                <w:kern w:val="0"/>
                <w:sz w:val="18"/>
                <w:szCs w:val="18"/>
                <w:highlight w:val="none"/>
              </w:rPr>
              <w:t>（以公告为准）</w:t>
            </w:r>
          </w:p>
          <w:p w14:paraId="61BAC276">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澄清文件提交：</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"mailto:质疑文件加盖公章后以照片或扫描件发送至邮箱517411407@qq.com" </w:instrText>
            </w:r>
            <w:r>
              <w:rPr>
                <w:rFonts w:hint="eastAsia" w:ascii="宋体" w:hAnsi="宋体" w:eastAsia="宋体" w:cs="宋体"/>
                <w:highlight w:val="none"/>
              </w:rPr>
              <w:fldChar w:fldCharType="separate"/>
            </w:r>
            <w:r>
              <w:rPr>
                <w:rStyle w:val="31"/>
                <w:rFonts w:hint="eastAsia" w:ascii="宋体" w:hAnsi="宋体" w:eastAsia="宋体" w:cs="宋体"/>
                <w:color w:val="auto"/>
                <w:kern w:val="0"/>
                <w:sz w:val="18"/>
                <w:szCs w:val="18"/>
                <w:highlight w:val="none"/>
              </w:rPr>
              <w:t>澄清文件加盖公章后以扫描件发送至邮箱</w:t>
            </w:r>
            <w:r>
              <w:rPr>
                <w:rStyle w:val="31"/>
                <w:rFonts w:hint="eastAsia" w:ascii="宋体" w:hAnsi="宋体" w:eastAsia="宋体" w:cs="宋体"/>
                <w:color w:val="auto"/>
                <w:kern w:val="0"/>
                <w:sz w:val="18"/>
                <w:szCs w:val="18"/>
                <w:highlight w:val="none"/>
                <w:lang w:eastAsia="zh-CN"/>
              </w:rPr>
              <w:t>1826066763</w:t>
            </w:r>
            <w:r>
              <w:rPr>
                <w:rStyle w:val="31"/>
                <w:rFonts w:hint="eastAsia" w:ascii="宋体" w:hAnsi="宋体" w:eastAsia="宋体" w:cs="宋体"/>
                <w:color w:val="auto"/>
                <w:kern w:val="0"/>
                <w:sz w:val="18"/>
                <w:szCs w:val="18"/>
                <w:highlight w:val="none"/>
              </w:rPr>
              <w:t>@qq.com</w:t>
            </w:r>
            <w:r>
              <w:rPr>
                <w:rStyle w:val="31"/>
                <w:rFonts w:hint="eastAsia" w:ascii="宋体" w:hAnsi="宋体" w:eastAsia="宋体" w:cs="宋体"/>
                <w:color w:val="auto"/>
                <w:kern w:val="0"/>
                <w:sz w:val="18"/>
                <w:szCs w:val="18"/>
                <w:highlight w:val="none"/>
              </w:rPr>
              <w:fldChar w:fldCharType="end"/>
            </w:r>
            <w:r>
              <w:rPr>
                <w:rFonts w:hint="eastAsia" w:ascii="宋体" w:hAnsi="宋体" w:eastAsia="宋体" w:cs="宋体"/>
                <w:kern w:val="0"/>
                <w:sz w:val="18"/>
                <w:szCs w:val="18"/>
                <w:highlight w:val="none"/>
              </w:rPr>
              <w:t>，并将原件同时寄出。</w:t>
            </w:r>
          </w:p>
        </w:tc>
      </w:tr>
      <w:tr w14:paraId="5F9CB1C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386BCA0">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B715BB4">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14:paraId="6AF142B3">
            <w:pPr>
              <w:adjustRightInd w:val="0"/>
              <w:spacing w:line="240" w:lineRule="exact"/>
              <w:textAlignment w:val="baseline"/>
              <w:rPr>
                <w:rFonts w:hint="eastAsia" w:ascii="宋体" w:hAnsi="宋体" w:eastAsia="宋体" w:cs="宋体"/>
                <w:sz w:val="18"/>
                <w:szCs w:val="18"/>
                <w:highlight w:val="none"/>
              </w:rPr>
            </w:pPr>
            <w:r>
              <w:rPr>
                <w:rFonts w:hint="eastAsia" w:ascii="宋体" w:hAnsi="宋体" w:eastAsia="宋体" w:cs="宋体"/>
                <w:kern w:val="0"/>
                <w:sz w:val="18"/>
                <w:szCs w:val="18"/>
                <w:highlight w:val="none"/>
              </w:rPr>
              <w:t>不允许</w:t>
            </w:r>
          </w:p>
        </w:tc>
      </w:tr>
      <w:tr w14:paraId="3594B5F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381487C">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37289D5">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14:paraId="792D77C5">
            <w:pPr>
              <w:widowControl/>
              <w:adjustRightInd w:val="0"/>
              <w:spacing w:line="240" w:lineRule="exact"/>
              <w:jc w:val="left"/>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否，证照、证件和证明文件的原件除外</w:t>
            </w:r>
          </w:p>
        </w:tc>
      </w:tr>
      <w:tr w14:paraId="5F8CA7B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3FCB998">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F5CC36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14:paraId="324C8609">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偏差允许幅度及其处理方法：允许细微偏差，不允许重大偏差。由评标委员会判断，细微偏差要求</w:t>
            </w:r>
            <w:r>
              <w:rPr>
                <w:rFonts w:hint="eastAsia" w:ascii="宋体" w:hAnsi="宋体" w:eastAsia="宋体" w:cs="宋体"/>
                <w:kern w:val="0"/>
                <w:sz w:val="18"/>
                <w:szCs w:val="18"/>
                <w:highlight w:val="none"/>
                <w:lang w:eastAsia="zh-CN"/>
              </w:rPr>
              <w:t>投标人</w:t>
            </w:r>
            <w:r>
              <w:rPr>
                <w:rFonts w:hint="eastAsia" w:ascii="宋体" w:hAnsi="宋体" w:eastAsia="宋体" w:cs="宋体"/>
                <w:kern w:val="0"/>
                <w:sz w:val="18"/>
                <w:szCs w:val="18"/>
                <w:highlight w:val="none"/>
              </w:rPr>
              <w:t>在评标结束前予以澄清、说明或补正，不接受要求进行的，评标委员会有权做无效标处理，详见第一部分</w:t>
            </w:r>
            <w:r>
              <w:rPr>
                <w:rFonts w:hint="eastAsia" w:ascii="宋体" w:hAnsi="宋体" w:eastAsia="宋体" w:cs="宋体"/>
                <w:kern w:val="0"/>
                <w:sz w:val="18"/>
                <w:szCs w:val="18"/>
                <w:highlight w:val="none"/>
                <w:lang w:eastAsia="zh-CN"/>
              </w:rPr>
              <w:t>投标人</w:t>
            </w:r>
            <w:r>
              <w:rPr>
                <w:rFonts w:hint="eastAsia" w:ascii="宋体" w:hAnsi="宋体" w:eastAsia="宋体" w:cs="宋体"/>
                <w:kern w:val="0"/>
                <w:sz w:val="18"/>
                <w:szCs w:val="18"/>
                <w:highlight w:val="none"/>
              </w:rPr>
              <w:t>须知条款“23.</w:t>
            </w:r>
            <w:r>
              <w:rPr>
                <w:rFonts w:hint="eastAsia" w:ascii="宋体" w:hAnsi="宋体" w:eastAsia="宋体" w:cs="宋体"/>
                <w:sz w:val="18"/>
                <w:szCs w:val="18"/>
                <w:highlight w:val="none"/>
              </w:rPr>
              <w:t>投标文件的澄清</w:t>
            </w:r>
            <w:r>
              <w:rPr>
                <w:rFonts w:hint="eastAsia" w:ascii="宋体" w:hAnsi="宋体" w:eastAsia="宋体" w:cs="宋体"/>
                <w:kern w:val="0"/>
                <w:sz w:val="18"/>
                <w:szCs w:val="18"/>
                <w:highlight w:val="none"/>
              </w:rPr>
              <w:t>”</w:t>
            </w:r>
          </w:p>
        </w:tc>
      </w:tr>
      <w:tr w14:paraId="77E4698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C21202D">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8E55FFF">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14:paraId="108A3E70">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投标文件自投标文件递交截止时间起生效，有效期90天。</w:t>
            </w:r>
          </w:p>
        </w:tc>
      </w:tr>
      <w:tr w14:paraId="4D3CC8C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28CAD60">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CB2160A">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14:paraId="27336303">
            <w:pPr>
              <w:spacing w:line="240" w:lineRule="exact"/>
              <w:rPr>
                <w:rFonts w:hint="eastAsia" w:ascii="宋体" w:hAnsi="宋体" w:eastAsia="宋体" w:cs="宋体"/>
                <w:b/>
                <w:kern w:val="0"/>
                <w:sz w:val="18"/>
                <w:szCs w:val="18"/>
                <w:highlight w:val="none"/>
              </w:rPr>
            </w:pPr>
            <w:r>
              <w:rPr>
                <w:rFonts w:hint="eastAsia" w:ascii="宋体" w:hAnsi="宋体" w:eastAsia="宋体" w:cs="宋体"/>
                <w:kern w:val="0"/>
                <w:sz w:val="18"/>
                <w:szCs w:val="18"/>
                <w:highlight w:val="none"/>
              </w:rPr>
              <w:t>见采购公告内容</w:t>
            </w:r>
          </w:p>
        </w:tc>
      </w:tr>
      <w:tr w14:paraId="04138E4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19CC37A">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FF7EAF0">
            <w:pPr>
              <w:spacing w:line="240" w:lineRule="exact"/>
              <w:rPr>
                <w:rFonts w:hint="eastAsia" w:ascii="宋体" w:hAnsi="宋体" w:eastAsia="宋体" w:cs="宋体"/>
                <w:b/>
                <w:sz w:val="18"/>
                <w:szCs w:val="18"/>
                <w:highlight w:val="none"/>
              </w:rPr>
            </w:pPr>
            <w:r>
              <w:rPr>
                <w:rFonts w:hint="eastAsia" w:ascii="宋体" w:hAnsi="宋体" w:eastAsia="宋体" w:cs="宋体"/>
                <w:b/>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14:paraId="6E74E994">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提供技术资信标一式</w:t>
            </w:r>
            <w:r>
              <w:rPr>
                <w:rFonts w:hint="eastAsia" w:ascii="宋体" w:hAnsi="宋体" w:eastAsia="宋体" w:cs="宋体"/>
                <w:sz w:val="18"/>
                <w:szCs w:val="18"/>
                <w:highlight w:val="none"/>
                <w:lang w:val="en-US" w:eastAsia="zh-CN"/>
              </w:rPr>
              <w:t>七</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六</w:t>
            </w:r>
            <w:r>
              <w:rPr>
                <w:rFonts w:hint="eastAsia" w:ascii="宋体" w:hAnsi="宋体" w:eastAsia="宋体" w:cs="宋体"/>
                <w:sz w:val="18"/>
                <w:szCs w:val="18"/>
                <w:highlight w:val="none"/>
              </w:rPr>
              <w:t>份；</w:t>
            </w:r>
          </w:p>
          <w:p w14:paraId="6EF079FB">
            <w:pPr>
              <w:spacing w:line="240" w:lineRule="exact"/>
              <w:rPr>
                <w:rFonts w:hint="eastAsia" w:ascii="宋体" w:hAnsi="宋体" w:eastAsia="宋体" w:cs="宋体"/>
                <w:b/>
                <w:sz w:val="18"/>
                <w:szCs w:val="18"/>
                <w:highlight w:val="none"/>
              </w:rPr>
            </w:pPr>
            <w:r>
              <w:rPr>
                <w:rFonts w:hint="eastAsia" w:ascii="宋体" w:hAnsi="宋体" w:eastAsia="宋体" w:cs="宋体"/>
                <w:sz w:val="18"/>
                <w:szCs w:val="18"/>
                <w:highlight w:val="none"/>
              </w:rPr>
              <w:t>提供商务（报价）标一式</w:t>
            </w:r>
            <w:r>
              <w:rPr>
                <w:rFonts w:hint="eastAsia" w:ascii="宋体" w:hAnsi="宋体" w:eastAsia="宋体" w:cs="宋体"/>
                <w:sz w:val="18"/>
                <w:szCs w:val="18"/>
                <w:highlight w:val="none"/>
                <w:lang w:val="en-US" w:eastAsia="zh-CN"/>
              </w:rPr>
              <w:t>七</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六</w:t>
            </w:r>
            <w:r>
              <w:rPr>
                <w:rFonts w:hint="eastAsia" w:ascii="宋体" w:hAnsi="宋体" w:eastAsia="宋体" w:cs="宋体"/>
                <w:sz w:val="18"/>
                <w:szCs w:val="18"/>
                <w:highlight w:val="none"/>
              </w:rPr>
              <w:t>份；</w:t>
            </w:r>
          </w:p>
        </w:tc>
      </w:tr>
      <w:tr w14:paraId="081055A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28FAAF9">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D6293A4">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14:paraId="1F53B4D1">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w:t>
            </w:r>
            <w:r>
              <w:rPr>
                <w:rFonts w:hint="eastAsia" w:ascii="宋体" w:hAnsi="宋体" w:eastAsia="宋体" w:cs="宋体"/>
                <w:b/>
                <w:bCs/>
                <w:color w:val="0000FF"/>
                <w:kern w:val="0"/>
                <w:sz w:val="18"/>
                <w:szCs w:val="18"/>
                <w:highlight w:val="none"/>
              </w:rPr>
              <w:t>202</w:t>
            </w:r>
            <w:r>
              <w:rPr>
                <w:rFonts w:hint="eastAsia" w:ascii="宋体" w:hAnsi="宋体" w:eastAsia="宋体" w:cs="宋体"/>
                <w:b/>
                <w:bCs/>
                <w:color w:val="0000FF"/>
                <w:kern w:val="0"/>
                <w:sz w:val="18"/>
                <w:szCs w:val="18"/>
                <w:highlight w:val="none"/>
                <w:lang w:val="en-US" w:eastAsia="zh-CN"/>
              </w:rPr>
              <w:t>4</w:t>
            </w:r>
            <w:r>
              <w:rPr>
                <w:rFonts w:hint="eastAsia" w:ascii="宋体" w:hAnsi="宋体" w:eastAsia="宋体" w:cs="宋体"/>
                <w:b/>
                <w:bCs/>
                <w:color w:val="0000FF"/>
                <w:kern w:val="0"/>
                <w:sz w:val="18"/>
                <w:szCs w:val="18"/>
                <w:highlight w:val="none"/>
              </w:rPr>
              <w:t>年</w:t>
            </w:r>
            <w:r>
              <w:rPr>
                <w:rFonts w:hint="eastAsia" w:ascii="宋体" w:hAnsi="宋体" w:eastAsia="宋体" w:cs="宋体"/>
                <w:b/>
                <w:bCs/>
                <w:color w:val="0000FF"/>
                <w:kern w:val="0"/>
                <w:sz w:val="18"/>
                <w:szCs w:val="18"/>
                <w:highlight w:val="none"/>
                <w:lang w:val="en-US" w:eastAsia="zh-CN"/>
              </w:rPr>
              <w:t>11</w:t>
            </w:r>
            <w:r>
              <w:rPr>
                <w:rFonts w:hint="eastAsia" w:ascii="宋体" w:hAnsi="宋体" w:eastAsia="宋体" w:cs="宋体"/>
                <w:b/>
                <w:bCs/>
                <w:color w:val="0000FF"/>
                <w:kern w:val="0"/>
                <w:sz w:val="18"/>
                <w:szCs w:val="18"/>
                <w:highlight w:val="none"/>
              </w:rPr>
              <w:t>月</w:t>
            </w:r>
            <w:r>
              <w:rPr>
                <w:rFonts w:hint="eastAsia" w:ascii="宋体" w:hAnsi="宋体" w:eastAsia="宋体" w:cs="宋体"/>
                <w:b/>
                <w:bCs/>
                <w:color w:val="0000FF"/>
                <w:kern w:val="0"/>
                <w:sz w:val="18"/>
                <w:szCs w:val="18"/>
                <w:highlight w:val="none"/>
                <w:lang w:val="en-US" w:eastAsia="zh-CN"/>
              </w:rPr>
              <w:t>25</w:t>
            </w:r>
            <w:r>
              <w:rPr>
                <w:rFonts w:hint="eastAsia" w:ascii="宋体" w:hAnsi="宋体" w:eastAsia="宋体" w:cs="宋体"/>
                <w:b/>
                <w:bCs/>
                <w:color w:val="0000FF"/>
                <w:kern w:val="0"/>
                <w:sz w:val="18"/>
                <w:szCs w:val="18"/>
                <w:highlight w:val="none"/>
              </w:rPr>
              <w:t>日</w:t>
            </w:r>
            <w:r>
              <w:rPr>
                <w:rFonts w:hint="eastAsia" w:ascii="宋体" w:hAnsi="宋体" w:eastAsia="宋体" w:cs="宋体"/>
                <w:b/>
                <w:bCs/>
                <w:color w:val="0000FF"/>
                <w:kern w:val="0"/>
                <w:sz w:val="18"/>
                <w:szCs w:val="18"/>
                <w:highlight w:val="none"/>
                <w:lang w:val="en-US" w:eastAsia="zh-CN"/>
              </w:rPr>
              <w:t>上午9</w:t>
            </w:r>
            <w:r>
              <w:rPr>
                <w:rFonts w:hint="eastAsia" w:ascii="宋体" w:hAnsi="宋体" w:eastAsia="宋体" w:cs="宋体"/>
                <w:b/>
                <w:bCs/>
                <w:color w:val="0000FF"/>
                <w:kern w:val="0"/>
                <w:sz w:val="18"/>
                <w:szCs w:val="18"/>
                <w:highlight w:val="none"/>
              </w:rPr>
              <w:t>时30分</w:t>
            </w:r>
          </w:p>
          <w:p w14:paraId="14A4AF2F">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递交地点：</w:t>
            </w:r>
            <w:r>
              <w:rPr>
                <w:rFonts w:hint="eastAsia" w:ascii="宋体" w:hAnsi="宋体" w:eastAsia="宋体" w:cs="宋体"/>
                <w:bCs/>
                <w:kern w:val="0"/>
                <w:sz w:val="18"/>
                <w:szCs w:val="18"/>
                <w:highlight w:val="none"/>
              </w:rPr>
              <w:t>温州市政务服务管理中心收标区 (温州市鹿城区会展路1268号温州市民中心A座3楼公共资源交易专区)（详见当天大厅大屏幕）</w:t>
            </w:r>
          </w:p>
        </w:tc>
      </w:tr>
      <w:tr w14:paraId="60BA59A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BB0EA28">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42B1C95">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w:t>
            </w:r>
          </w:p>
          <w:p w14:paraId="0E72D40D">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14:paraId="68B958C0">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开标时间：同投标文件递交截止时间</w:t>
            </w:r>
          </w:p>
          <w:p w14:paraId="332A94C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开标地点：</w:t>
            </w:r>
            <w:r>
              <w:rPr>
                <w:rFonts w:hint="eastAsia" w:ascii="宋体" w:hAnsi="宋体" w:eastAsia="宋体" w:cs="宋体"/>
                <w:bCs/>
                <w:kern w:val="0"/>
                <w:sz w:val="18"/>
                <w:szCs w:val="18"/>
                <w:highlight w:val="none"/>
              </w:rPr>
              <w:t>温州市政务服务管理中心开标区</w:t>
            </w:r>
          </w:p>
        </w:tc>
      </w:tr>
      <w:tr w14:paraId="04A1399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F19FBC5">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3F536D0">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14:paraId="14A8855F">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1.宣布开标纪律；</w:t>
            </w:r>
          </w:p>
          <w:p w14:paraId="354411DE">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2.公布在投标截止时间前递交投标文件的</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名称，并点名确认</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是否派授权代表到场；</w:t>
            </w:r>
          </w:p>
          <w:p w14:paraId="773751F6">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3.宣布唱标人、记录人、监督人员等有关人员姓名；</w:t>
            </w:r>
          </w:p>
          <w:p w14:paraId="675903F7">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4.密封情况检查：由</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或其推选的代表检查投标文件密封情况；</w:t>
            </w:r>
          </w:p>
          <w:p w14:paraId="29C7462D">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5.开标顺序：</w:t>
            </w:r>
            <w:r>
              <w:rPr>
                <w:rFonts w:hint="eastAsia" w:ascii="宋体" w:hAnsi="宋体" w:eastAsia="宋体" w:cs="宋体"/>
                <w:sz w:val="18"/>
                <w:szCs w:val="18"/>
                <w:highlight w:val="none"/>
                <w:lang w:val="en-US" w:eastAsia="zh-CN"/>
              </w:rPr>
              <w:t>同时</w:t>
            </w:r>
            <w:r>
              <w:rPr>
                <w:rFonts w:hint="eastAsia" w:ascii="宋体" w:hAnsi="宋体" w:eastAsia="宋体" w:cs="宋体"/>
                <w:sz w:val="18"/>
                <w:szCs w:val="18"/>
                <w:highlight w:val="none"/>
              </w:rPr>
              <w:t>开启技术资信部分投标文件、开启商务（报价）文件；</w:t>
            </w:r>
            <w:r>
              <w:rPr>
                <w:rFonts w:hint="eastAsia" w:ascii="宋体" w:hAnsi="宋体" w:eastAsia="宋体" w:cs="宋体"/>
                <w:bCs/>
                <w:sz w:val="18"/>
                <w:szCs w:val="18"/>
                <w:highlight w:val="none"/>
              </w:rPr>
              <w:t>宣读“开标一览表”投标报价等内容。</w:t>
            </w:r>
          </w:p>
          <w:p w14:paraId="61E62E03">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6.确认开标结果：</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授权代表对开标记录进行当场校核及勘误，并签字确认；并同时由记录人、核对人当场签字确认。</w:t>
            </w:r>
          </w:p>
          <w:p w14:paraId="0879CC0E">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7.宣布开标结束。</w:t>
            </w:r>
          </w:p>
          <w:p w14:paraId="21914C5C">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授权代表未参加开标会议；未到场签字确认的，不影响开标，评标过程，视同认可开标结果；事后不得对采购相关人员、开标过程和开标结果提出异议。</w:t>
            </w:r>
          </w:p>
        </w:tc>
      </w:tr>
      <w:tr w14:paraId="322E2F3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D0AC4F3">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1676CD0">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评标委员会</w:t>
            </w:r>
          </w:p>
          <w:p w14:paraId="4E1C54C5">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14:paraId="5172F517">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评标委员会成员依法由采购人代表和有关技术、经济等方面的专家组成，人数为5人及以上单数，除采购人代表外的专家将在浙江省政府采购云平台的评标专家库中按规定抽取产生。</w:t>
            </w:r>
          </w:p>
        </w:tc>
      </w:tr>
      <w:tr w14:paraId="38902834">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BE9B1A3">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8B91A1F">
            <w:pPr>
              <w:spacing w:line="240" w:lineRule="exact"/>
              <w:rPr>
                <w:rFonts w:hint="eastAsia" w:ascii="宋体" w:hAnsi="宋体" w:eastAsia="宋体" w:cs="宋体"/>
                <w:bCs/>
                <w:kern w:val="0"/>
                <w:sz w:val="18"/>
                <w:szCs w:val="18"/>
                <w:highlight w:val="none"/>
              </w:rPr>
            </w:pPr>
            <w:r>
              <w:rPr>
                <w:rFonts w:hint="eastAsia" w:ascii="宋体" w:hAnsi="宋体" w:eastAsia="宋体" w:cs="宋体"/>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14:paraId="3A0440DC">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履约担保的形式：履约保证金（转账形式）</w:t>
            </w:r>
          </w:p>
          <w:p w14:paraId="3570EAC5">
            <w:pPr>
              <w:spacing w:line="240" w:lineRule="exac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履约担保的金额：</w:t>
            </w:r>
            <w:r>
              <w:rPr>
                <w:rFonts w:hint="eastAsia" w:ascii="宋体" w:hAnsi="宋体" w:eastAsia="宋体" w:cs="宋体"/>
                <w:sz w:val="18"/>
                <w:szCs w:val="18"/>
                <w:highlight w:val="none"/>
                <w:lang w:val="en-US" w:eastAsia="zh-CN"/>
              </w:rPr>
              <w:t>人民币60000元整</w:t>
            </w:r>
          </w:p>
          <w:p w14:paraId="0FAF6102">
            <w:pPr>
              <w:spacing w:line="240" w:lineRule="exact"/>
              <w:rPr>
                <w:rFonts w:hint="eastAsia" w:ascii="宋体" w:hAnsi="宋体" w:eastAsia="宋体" w:cs="宋体"/>
                <w:bCs/>
                <w:kern w:val="0"/>
                <w:sz w:val="18"/>
                <w:szCs w:val="18"/>
                <w:highlight w:val="none"/>
              </w:rPr>
            </w:pPr>
            <w:r>
              <w:rPr>
                <w:rFonts w:hint="eastAsia" w:ascii="宋体" w:hAnsi="宋体" w:eastAsia="宋体" w:cs="宋体"/>
                <w:sz w:val="18"/>
                <w:szCs w:val="18"/>
                <w:highlight w:val="none"/>
              </w:rPr>
              <w:t>中标人在</w:t>
            </w:r>
            <w:r>
              <w:rPr>
                <w:rFonts w:hint="eastAsia" w:ascii="宋体" w:hAnsi="宋体" w:eastAsia="宋体" w:cs="宋体"/>
                <w:sz w:val="18"/>
                <w:szCs w:val="18"/>
                <w:highlight w:val="none"/>
                <w:lang w:val="en-US" w:eastAsia="zh-CN"/>
              </w:rPr>
              <w:t>收</w:t>
            </w:r>
            <w:r>
              <w:rPr>
                <w:rFonts w:hint="eastAsia" w:ascii="宋体" w:hAnsi="宋体" w:eastAsia="宋体" w:cs="宋体"/>
                <w:sz w:val="18"/>
                <w:szCs w:val="18"/>
                <w:highlight w:val="none"/>
              </w:rPr>
              <w:t>到中标（成交）通知书后</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签订合同前</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须向采购人提交履约担保，并且要保证履约担保在合同履行期间的有效性，在服务期满后无息退还。</w:t>
            </w:r>
          </w:p>
        </w:tc>
      </w:tr>
      <w:tr w14:paraId="77CC60D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37B6EBE">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91C4441">
            <w:pPr>
              <w:spacing w:line="240" w:lineRule="exact"/>
              <w:rPr>
                <w:rFonts w:hint="eastAsia" w:ascii="宋体" w:hAnsi="宋体" w:eastAsia="宋体" w:cs="宋体"/>
                <w:b/>
                <w:sz w:val="18"/>
                <w:szCs w:val="18"/>
                <w:highlight w:val="none"/>
              </w:rPr>
            </w:pPr>
            <w:r>
              <w:rPr>
                <w:rFonts w:hint="eastAsia" w:ascii="宋体" w:hAnsi="宋体" w:eastAsia="宋体" w:cs="宋体"/>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14:paraId="7E60C644">
            <w:pPr>
              <w:autoSpaceDE w:val="0"/>
              <w:autoSpaceDN w:val="0"/>
              <w:spacing w:line="240" w:lineRule="exact"/>
              <w:rPr>
                <w:rFonts w:hint="eastAsia" w:ascii="宋体" w:hAnsi="宋体" w:eastAsia="宋体" w:cs="宋体"/>
                <w:bCs/>
                <w:snapToGrid w:val="0"/>
                <w:sz w:val="18"/>
                <w:szCs w:val="18"/>
                <w:highlight w:val="none"/>
              </w:rPr>
            </w:pPr>
            <w:r>
              <w:rPr>
                <w:rFonts w:hint="eastAsia" w:ascii="宋体" w:hAnsi="宋体" w:eastAsia="宋体" w:cs="宋体"/>
                <w:bCs/>
                <w:snapToGrid w:val="0"/>
                <w:sz w:val="18"/>
                <w:szCs w:val="18"/>
                <w:highlight w:val="none"/>
              </w:rPr>
              <w:t>（1）中标人须在收到中标通知书之日起30天内与采购人签订合同。</w:t>
            </w:r>
          </w:p>
          <w:p w14:paraId="1A340597">
            <w:pPr>
              <w:spacing w:line="240" w:lineRule="exact"/>
              <w:rPr>
                <w:rFonts w:hint="eastAsia" w:ascii="宋体" w:hAnsi="宋体" w:eastAsia="宋体" w:cs="宋体"/>
                <w:b/>
                <w:sz w:val="18"/>
                <w:szCs w:val="18"/>
                <w:highlight w:val="none"/>
              </w:rPr>
            </w:pPr>
            <w:r>
              <w:rPr>
                <w:rFonts w:hint="eastAsia" w:ascii="宋体" w:hAnsi="宋体" w:eastAsia="宋体" w:cs="宋体"/>
                <w:bCs/>
                <w:snapToGrid w:val="0"/>
                <w:sz w:val="18"/>
                <w:szCs w:val="18"/>
                <w:highlight w:val="none"/>
              </w:rPr>
              <w:t>（2）合同签订后，中标人应在2个工作日内将合同扫描件电子版发给采购代理机构，由采购代理机构负责备案。邮箱：</w:t>
            </w:r>
            <w:r>
              <w:rPr>
                <w:rFonts w:hint="eastAsia" w:ascii="宋体" w:hAnsi="宋体" w:eastAsia="宋体" w:cs="宋体"/>
                <w:bCs/>
                <w:snapToGrid w:val="0"/>
                <w:sz w:val="18"/>
                <w:szCs w:val="18"/>
                <w:highlight w:val="none"/>
                <w:lang w:eastAsia="zh-CN"/>
              </w:rPr>
              <w:t>1826066763</w:t>
            </w:r>
            <w:r>
              <w:rPr>
                <w:rFonts w:hint="eastAsia" w:ascii="宋体" w:hAnsi="宋体" w:eastAsia="宋体" w:cs="宋体"/>
                <w:bCs/>
                <w:snapToGrid w:val="0"/>
                <w:sz w:val="18"/>
                <w:szCs w:val="18"/>
                <w:highlight w:val="none"/>
              </w:rPr>
              <w:t>@qq.com。</w:t>
            </w:r>
          </w:p>
        </w:tc>
      </w:tr>
      <w:tr w14:paraId="44F3EE9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BE22CF9">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65EB431E">
            <w:pPr>
              <w:spacing w:line="240" w:lineRule="exact"/>
              <w:rPr>
                <w:rFonts w:hint="eastAsia" w:ascii="宋体" w:hAnsi="宋体" w:eastAsia="宋体" w:cs="宋体"/>
                <w:b/>
                <w:bCs/>
                <w:kern w:val="0"/>
                <w:sz w:val="18"/>
                <w:szCs w:val="18"/>
                <w:highlight w:val="none"/>
                <w:lang w:val="en-US" w:eastAsia="zh-CN"/>
              </w:rPr>
            </w:pPr>
            <w:r>
              <w:rPr>
                <w:rFonts w:hint="eastAsia" w:ascii="宋体" w:hAnsi="宋体" w:eastAsia="宋体" w:cs="宋体"/>
                <w:b/>
                <w:bCs/>
                <w:kern w:val="0"/>
                <w:sz w:val="18"/>
                <w:szCs w:val="18"/>
                <w:highlight w:val="none"/>
              </w:rPr>
              <w:t>后续职工</w:t>
            </w:r>
            <w:r>
              <w:rPr>
                <w:rFonts w:hint="eastAsia" w:ascii="宋体" w:hAnsi="宋体" w:eastAsia="宋体" w:cs="宋体"/>
                <w:b/>
                <w:bCs/>
                <w:kern w:val="0"/>
                <w:sz w:val="18"/>
                <w:szCs w:val="18"/>
                <w:highlight w:val="none"/>
                <w:lang w:val="en-US" w:eastAsia="zh-CN"/>
              </w:rPr>
              <w:t>疗休养</w:t>
            </w:r>
            <w:r>
              <w:rPr>
                <w:rFonts w:hint="eastAsia" w:ascii="宋体" w:hAnsi="宋体" w:eastAsia="宋体" w:cs="宋体"/>
                <w:b/>
                <w:bCs/>
                <w:kern w:val="0"/>
                <w:sz w:val="18"/>
                <w:szCs w:val="18"/>
                <w:highlight w:val="none"/>
              </w:rPr>
              <w:t>服务采购</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44736937">
            <w:pPr>
              <w:spacing w:line="240" w:lineRule="exac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本项目中标人须与采购人</w:t>
            </w:r>
            <w:r>
              <w:rPr>
                <w:rFonts w:hint="eastAsia" w:ascii="宋体" w:hAnsi="宋体" w:eastAsia="宋体" w:cs="宋体"/>
                <w:b/>
                <w:bCs/>
                <w:color w:val="auto"/>
                <w:kern w:val="0"/>
                <w:sz w:val="18"/>
                <w:szCs w:val="18"/>
                <w:highlight w:val="none"/>
                <w:lang w:val="en-US" w:eastAsia="zh-CN"/>
              </w:rPr>
              <w:t>规定的合同甲方</w:t>
            </w:r>
            <w:r>
              <w:rPr>
                <w:rFonts w:hint="eastAsia" w:ascii="宋体" w:hAnsi="宋体" w:eastAsia="宋体" w:cs="宋体"/>
                <w:b/>
                <w:bCs/>
                <w:color w:val="auto"/>
                <w:kern w:val="0"/>
                <w:sz w:val="18"/>
                <w:szCs w:val="18"/>
                <w:highlight w:val="none"/>
              </w:rPr>
              <w:t>签订服务合同，作为各</w:t>
            </w:r>
            <w:r>
              <w:rPr>
                <w:rFonts w:hint="eastAsia" w:ascii="宋体" w:hAnsi="宋体" w:eastAsia="宋体" w:cs="宋体"/>
                <w:b/>
                <w:bCs/>
                <w:color w:val="auto"/>
                <w:kern w:val="0"/>
                <w:sz w:val="18"/>
                <w:szCs w:val="18"/>
                <w:highlight w:val="none"/>
                <w:lang w:val="en-US" w:eastAsia="zh-CN"/>
              </w:rPr>
              <w:t>甲方</w:t>
            </w:r>
            <w:r>
              <w:rPr>
                <w:rFonts w:hint="eastAsia" w:ascii="宋体" w:hAnsi="宋体" w:eastAsia="宋体" w:cs="宋体"/>
                <w:b/>
                <w:bCs/>
                <w:color w:val="auto"/>
                <w:kern w:val="0"/>
                <w:sz w:val="18"/>
                <w:szCs w:val="18"/>
                <w:highlight w:val="none"/>
              </w:rPr>
              <w:t>付款依据之一；</w:t>
            </w:r>
          </w:p>
          <w:p w14:paraId="4B4FA2E1">
            <w:pPr>
              <w:spacing w:line="240" w:lineRule="exac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中标人必须</w:t>
            </w:r>
            <w:r>
              <w:rPr>
                <w:rFonts w:hint="eastAsia" w:ascii="宋体" w:hAnsi="宋体" w:eastAsia="宋体" w:cs="宋体"/>
                <w:b/>
                <w:bCs/>
                <w:color w:val="auto"/>
                <w:kern w:val="0"/>
                <w:sz w:val="18"/>
                <w:szCs w:val="18"/>
                <w:highlight w:val="none"/>
                <w:lang w:val="en-US" w:eastAsia="zh-CN"/>
              </w:rPr>
              <w:t>将全年旅游线路以及时间规划、相应服务内容及价格等详细事项对采购人及其员工公开，由员工根据需要在规划线路中自由选择旅游线路，该线路出行人数达到合同规定的规模的，必须组团出行</w:t>
            </w:r>
            <w:r>
              <w:rPr>
                <w:rFonts w:hint="eastAsia" w:ascii="宋体" w:hAnsi="宋体" w:eastAsia="宋体" w:cs="宋体"/>
                <w:b/>
                <w:bCs/>
                <w:color w:val="auto"/>
                <w:kern w:val="0"/>
                <w:sz w:val="18"/>
                <w:szCs w:val="18"/>
                <w:highlight w:val="none"/>
              </w:rPr>
              <w:t>；</w:t>
            </w:r>
          </w:p>
          <w:p w14:paraId="771C77A3">
            <w:pPr>
              <w:spacing w:line="240" w:lineRule="exact"/>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为了保障</w:t>
            </w:r>
            <w:r>
              <w:rPr>
                <w:rFonts w:hint="eastAsia" w:ascii="宋体" w:hAnsi="宋体" w:eastAsia="宋体" w:cs="宋体"/>
                <w:b/>
                <w:bCs/>
                <w:color w:val="auto"/>
                <w:kern w:val="0"/>
                <w:sz w:val="18"/>
                <w:szCs w:val="18"/>
                <w:highlight w:val="none"/>
                <w:lang w:val="en-US" w:eastAsia="zh-CN"/>
              </w:rPr>
              <w:t>疗休养</w:t>
            </w:r>
            <w:r>
              <w:rPr>
                <w:rFonts w:hint="eastAsia" w:ascii="宋体" w:hAnsi="宋体" w:eastAsia="宋体" w:cs="宋体"/>
                <w:b/>
                <w:bCs/>
                <w:color w:val="auto"/>
                <w:kern w:val="0"/>
                <w:sz w:val="18"/>
                <w:szCs w:val="18"/>
                <w:highlight w:val="none"/>
              </w:rPr>
              <w:t>服务质量、保障</w:t>
            </w:r>
            <w:r>
              <w:rPr>
                <w:rFonts w:hint="eastAsia" w:ascii="宋体" w:hAnsi="宋体" w:eastAsia="宋体" w:cs="宋体"/>
                <w:b/>
                <w:bCs/>
                <w:color w:val="auto"/>
                <w:kern w:val="0"/>
                <w:sz w:val="18"/>
                <w:szCs w:val="18"/>
                <w:highlight w:val="none"/>
                <w:lang w:val="en-US" w:eastAsia="zh-CN"/>
              </w:rPr>
              <w:t>采购人疗休养</w:t>
            </w:r>
            <w:r>
              <w:rPr>
                <w:rFonts w:hint="eastAsia" w:ascii="宋体" w:hAnsi="宋体" w:eastAsia="宋体" w:cs="宋体"/>
                <w:b/>
                <w:bCs/>
                <w:color w:val="auto"/>
                <w:kern w:val="0"/>
                <w:sz w:val="18"/>
                <w:szCs w:val="18"/>
                <w:highlight w:val="none"/>
              </w:rPr>
              <w:t>服务员工的合法利益，</w:t>
            </w:r>
            <w:r>
              <w:rPr>
                <w:rFonts w:hint="eastAsia" w:ascii="宋体" w:hAnsi="宋体" w:eastAsia="宋体" w:cs="宋体"/>
                <w:b/>
                <w:bCs/>
                <w:color w:val="auto"/>
                <w:kern w:val="0"/>
                <w:sz w:val="18"/>
                <w:szCs w:val="18"/>
                <w:highlight w:val="none"/>
                <w:lang w:val="en-US" w:eastAsia="zh-CN"/>
              </w:rPr>
              <w:t>采购人将组织所属</w:t>
            </w:r>
            <w:r>
              <w:rPr>
                <w:rFonts w:hint="eastAsia" w:ascii="宋体" w:hAnsi="宋体" w:eastAsia="宋体" w:cs="宋体"/>
                <w:b/>
                <w:bCs/>
                <w:color w:val="auto"/>
                <w:kern w:val="0"/>
                <w:sz w:val="18"/>
                <w:szCs w:val="18"/>
                <w:highlight w:val="none"/>
              </w:rPr>
              <w:t>单位对各中标人</w:t>
            </w:r>
            <w:r>
              <w:rPr>
                <w:rFonts w:hint="eastAsia" w:ascii="宋体" w:hAnsi="宋体" w:eastAsia="宋体" w:cs="宋体"/>
                <w:b/>
                <w:bCs/>
                <w:color w:val="auto"/>
                <w:kern w:val="0"/>
                <w:sz w:val="18"/>
                <w:szCs w:val="18"/>
                <w:highlight w:val="none"/>
                <w:lang w:val="en-US" w:eastAsia="zh-CN"/>
              </w:rPr>
              <w:t>的</w:t>
            </w:r>
            <w:r>
              <w:rPr>
                <w:rFonts w:hint="eastAsia" w:ascii="宋体" w:hAnsi="宋体" w:eastAsia="宋体" w:cs="宋体"/>
                <w:b/>
                <w:bCs/>
                <w:color w:val="auto"/>
                <w:kern w:val="0"/>
                <w:sz w:val="18"/>
                <w:szCs w:val="18"/>
                <w:highlight w:val="none"/>
              </w:rPr>
              <w:t>服务质量的考核，中标人必须无条件配合与响应。如考核不合格，</w:t>
            </w:r>
            <w:r>
              <w:rPr>
                <w:rFonts w:hint="eastAsia" w:ascii="宋体" w:hAnsi="宋体" w:eastAsia="宋体" w:cs="宋体"/>
                <w:b/>
                <w:bCs/>
                <w:color w:val="auto"/>
                <w:kern w:val="0"/>
                <w:sz w:val="18"/>
                <w:szCs w:val="18"/>
                <w:highlight w:val="none"/>
                <w:lang w:val="en-US" w:eastAsia="zh-CN"/>
              </w:rPr>
              <w:t>采购人</w:t>
            </w:r>
            <w:r>
              <w:rPr>
                <w:rFonts w:hint="eastAsia" w:ascii="宋体" w:hAnsi="宋体" w:eastAsia="宋体" w:cs="宋体"/>
                <w:b/>
                <w:bCs/>
                <w:color w:val="auto"/>
                <w:kern w:val="0"/>
                <w:sz w:val="18"/>
                <w:szCs w:val="18"/>
                <w:highlight w:val="none"/>
              </w:rPr>
              <w:t>有权</w:t>
            </w:r>
            <w:r>
              <w:rPr>
                <w:rFonts w:hint="eastAsia" w:ascii="宋体" w:hAnsi="宋体" w:eastAsia="宋体" w:cs="宋体"/>
                <w:b/>
                <w:bCs/>
                <w:color w:val="auto"/>
                <w:kern w:val="0"/>
                <w:sz w:val="18"/>
                <w:szCs w:val="18"/>
                <w:highlight w:val="none"/>
                <w:lang w:val="en-US" w:eastAsia="zh-CN"/>
              </w:rPr>
              <w:t>对</w:t>
            </w:r>
            <w:r>
              <w:rPr>
                <w:rFonts w:hint="eastAsia" w:ascii="宋体" w:hAnsi="宋体" w:eastAsia="宋体" w:cs="宋体"/>
                <w:b/>
                <w:bCs/>
                <w:color w:val="auto"/>
                <w:kern w:val="0"/>
                <w:sz w:val="18"/>
                <w:szCs w:val="18"/>
                <w:highlight w:val="none"/>
              </w:rPr>
              <w:t>中标人</w:t>
            </w:r>
            <w:r>
              <w:rPr>
                <w:rFonts w:hint="eastAsia" w:ascii="宋体" w:hAnsi="宋体" w:eastAsia="宋体" w:cs="宋体"/>
                <w:b/>
                <w:bCs/>
                <w:color w:val="auto"/>
                <w:kern w:val="0"/>
                <w:sz w:val="18"/>
                <w:szCs w:val="18"/>
                <w:highlight w:val="none"/>
                <w:lang w:val="en-US" w:eastAsia="zh-CN"/>
              </w:rPr>
              <w:t>进行处罚</w:t>
            </w:r>
            <w:r>
              <w:rPr>
                <w:rFonts w:hint="eastAsia" w:ascii="宋体" w:hAnsi="宋体" w:eastAsia="宋体" w:cs="宋体"/>
                <w:b/>
                <w:bCs/>
                <w:color w:val="auto"/>
                <w:kern w:val="0"/>
                <w:sz w:val="18"/>
                <w:szCs w:val="18"/>
                <w:highlight w:val="none"/>
              </w:rPr>
              <w:t>，直至取消合同</w:t>
            </w:r>
            <w:r>
              <w:rPr>
                <w:rFonts w:hint="eastAsia" w:ascii="宋体" w:hAnsi="宋体" w:eastAsia="宋体" w:cs="宋体"/>
                <w:b/>
                <w:bCs/>
                <w:color w:val="auto"/>
                <w:kern w:val="0"/>
                <w:sz w:val="18"/>
                <w:szCs w:val="18"/>
                <w:highlight w:val="none"/>
                <w:lang w:eastAsia="zh-CN"/>
              </w:rPr>
              <w:t>。</w:t>
            </w:r>
          </w:p>
        </w:tc>
      </w:tr>
      <w:tr w14:paraId="76DF1EB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845B372">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79D3187">
            <w:pPr>
              <w:snapToGrid w:val="0"/>
              <w:spacing w:line="240" w:lineRule="auto"/>
              <w:jc w:val="center"/>
              <w:rPr>
                <w:rFonts w:hint="eastAsia" w:ascii="宋体" w:hAnsi="宋体" w:eastAsia="宋体" w:cs="宋体"/>
                <w:b/>
                <w:color w:val="auto"/>
                <w:kern w:val="0"/>
                <w:sz w:val="18"/>
                <w:szCs w:val="18"/>
                <w:highlight w:val="none"/>
                <w:lang w:val="en-US" w:eastAsia="zh-CN" w:bidi="ar-SA"/>
              </w:rPr>
            </w:pPr>
            <w:r>
              <w:rPr>
                <w:rFonts w:hint="eastAsia" w:ascii="宋体" w:hAnsi="宋体" w:eastAsia="宋体" w:cs="宋体"/>
                <w:b/>
                <w:color w:val="auto"/>
                <w:sz w:val="18"/>
                <w:szCs w:val="18"/>
                <w:highlight w:val="none"/>
              </w:rPr>
              <w:t>采购代理服务费</w:t>
            </w:r>
          </w:p>
        </w:tc>
        <w:tc>
          <w:tcPr>
            <w:tcW w:w="6528" w:type="dxa"/>
            <w:tcBorders>
              <w:top w:val="single" w:color="auto" w:sz="4" w:space="0"/>
              <w:left w:val="single" w:color="auto" w:sz="4" w:space="0"/>
              <w:bottom w:val="single" w:color="auto" w:sz="4" w:space="0"/>
              <w:right w:val="single" w:color="auto" w:sz="4" w:space="0"/>
            </w:tcBorders>
            <w:vAlign w:val="center"/>
          </w:tcPr>
          <w:p w14:paraId="6F0A8B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采购服务费：</w:t>
            </w:r>
          </w:p>
          <w:p w14:paraId="4CD28D20">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代理服务费</w:t>
            </w:r>
            <w:r>
              <w:rPr>
                <w:rFonts w:hint="eastAsia" w:ascii="宋体" w:hAnsi="宋体" w:eastAsia="宋体" w:cs="宋体"/>
                <w:b/>
                <w:bCs/>
                <w:color w:val="auto"/>
                <w:sz w:val="18"/>
                <w:szCs w:val="18"/>
                <w:highlight w:val="none"/>
                <w:lang w:eastAsia="zh-CN"/>
              </w:rPr>
              <w:t>合计</w:t>
            </w:r>
            <w:r>
              <w:rPr>
                <w:rFonts w:hint="eastAsia" w:ascii="宋体" w:hAnsi="宋体" w:eastAsia="宋体" w:cs="宋体"/>
                <w:b/>
                <w:bCs/>
                <w:color w:val="auto"/>
                <w:sz w:val="18"/>
                <w:szCs w:val="18"/>
                <w:highlight w:val="none"/>
              </w:rPr>
              <w:t>人民币¥</w:t>
            </w:r>
            <w:r>
              <w:rPr>
                <w:rFonts w:hint="eastAsia" w:ascii="宋体" w:hAnsi="宋体" w:eastAsia="宋体" w:cs="宋体"/>
                <w:b/>
                <w:bCs/>
                <w:color w:val="auto"/>
                <w:sz w:val="18"/>
                <w:szCs w:val="18"/>
                <w:highlight w:val="none"/>
                <w:lang w:val="en-US" w:eastAsia="zh-CN"/>
              </w:rPr>
              <w:t>15000</w:t>
            </w:r>
            <w:r>
              <w:rPr>
                <w:rFonts w:hint="eastAsia" w:ascii="宋体" w:hAnsi="宋体" w:eastAsia="宋体" w:cs="宋体"/>
                <w:b/>
                <w:bCs/>
                <w:color w:val="auto"/>
                <w:sz w:val="18"/>
                <w:szCs w:val="18"/>
                <w:highlight w:val="none"/>
              </w:rPr>
              <w:t>元整</w:t>
            </w:r>
            <w:r>
              <w:rPr>
                <w:rFonts w:hint="eastAsia" w:ascii="宋体" w:hAnsi="宋体" w:eastAsia="宋体" w:cs="宋体"/>
                <w:b/>
                <w:bCs/>
                <w:color w:val="auto"/>
                <w:sz w:val="18"/>
                <w:szCs w:val="18"/>
                <w:highlight w:val="none"/>
                <w:lang w:val="en-US" w:eastAsia="zh-CN"/>
              </w:rPr>
              <w:t>，</w:t>
            </w:r>
            <w:r>
              <w:rPr>
                <w:rFonts w:hint="eastAsia" w:ascii="宋体" w:hAnsi="宋体" w:eastAsia="宋体" w:cs="宋体"/>
                <w:b/>
                <w:bCs/>
                <w:color w:val="auto"/>
                <w:sz w:val="18"/>
                <w:szCs w:val="18"/>
                <w:highlight w:val="none"/>
              </w:rPr>
              <w:t>由中标人在领取中标通知书时支付。代理服务费汇入以下账号：</w:t>
            </w:r>
          </w:p>
          <w:p w14:paraId="2F02565E">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开户银行：工商银行杭州市武林支行</w:t>
            </w:r>
          </w:p>
          <w:p w14:paraId="1E751318">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开户名称：浙江国际招投标有限公司</w:t>
            </w:r>
          </w:p>
          <w:p w14:paraId="6B8F16A0">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开户账号：1202021209906782015</w:t>
            </w:r>
          </w:p>
          <w:p w14:paraId="500C03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sz w:val="18"/>
                <w:szCs w:val="18"/>
                <w:highlight w:val="none"/>
              </w:rPr>
              <w:t>采购代理服务费可以是现金、支票或汇票</w:t>
            </w:r>
          </w:p>
        </w:tc>
      </w:tr>
      <w:tr w14:paraId="2A1EDAE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60A9F8B">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455B018">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2F059AA8">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1、采购文件、采购公告中如有前后不一致的，一律以本“</w:t>
            </w:r>
            <w:r>
              <w:rPr>
                <w:rFonts w:hint="eastAsia" w:ascii="宋体" w:hAnsi="宋体" w:eastAsia="宋体" w:cs="宋体"/>
                <w:kern w:val="0"/>
                <w:sz w:val="18"/>
                <w:szCs w:val="18"/>
                <w:highlight w:val="none"/>
                <w:lang w:eastAsia="zh-CN"/>
              </w:rPr>
              <w:t>投标人</w:t>
            </w:r>
            <w:r>
              <w:rPr>
                <w:rFonts w:hint="eastAsia" w:ascii="宋体" w:hAnsi="宋体" w:eastAsia="宋体" w:cs="宋体"/>
                <w:kern w:val="0"/>
                <w:sz w:val="18"/>
                <w:szCs w:val="18"/>
                <w:highlight w:val="none"/>
              </w:rPr>
              <w:t>须知前附表”为准；</w:t>
            </w:r>
          </w:p>
          <w:p w14:paraId="3BD3FAA3">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2、本采购文件涉及的时间为“北京时间”；</w:t>
            </w:r>
          </w:p>
          <w:p w14:paraId="35FBE5AF">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3、本采购文件涉及的货币为“人民币”；</w:t>
            </w:r>
          </w:p>
          <w:p w14:paraId="428F4747">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4、采购监督管理部门：</w:t>
            </w:r>
            <w:r>
              <w:rPr>
                <w:rFonts w:hint="eastAsia" w:ascii="宋体" w:hAnsi="宋体" w:eastAsia="宋体" w:cs="宋体"/>
                <w:highlight w:val="none"/>
                <w:lang w:eastAsia="zh-CN"/>
              </w:rPr>
              <w:t>温州市交通发展集团有</w:t>
            </w:r>
            <w:r>
              <w:rPr>
                <w:rFonts w:hint="eastAsia" w:ascii="宋体" w:hAnsi="宋体" w:eastAsia="宋体" w:cs="宋体"/>
                <w:szCs w:val="21"/>
                <w:highlight w:val="none"/>
                <w:lang w:eastAsia="zh-CN"/>
              </w:rPr>
              <w:t>限公司</w:t>
            </w:r>
            <w:r>
              <w:rPr>
                <w:rFonts w:hint="eastAsia" w:ascii="宋体" w:hAnsi="宋体" w:eastAsia="宋体" w:cs="宋体"/>
                <w:kern w:val="0"/>
                <w:sz w:val="21"/>
                <w:szCs w:val="21"/>
                <w:highlight w:val="none"/>
              </w:rPr>
              <w:t>纪检监察室</w:t>
            </w:r>
          </w:p>
          <w:p w14:paraId="17EC29A5">
            <w:pPr>
              <w:spacing w:line="240" w:lineRule="exact"/>
              <w:ind w:firstLine="360" w:firstLineChars="200"/>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联系人：曾女士</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联系电话：0577-85559092</w:t>
            </w:r>
          </w:p>
        </w:tc>
      </w:tr>
      <w:tr w14:paraId="1981FBF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BDDFC93">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767437A">
            <w:pPr>
              <w:spacing w:line="24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4C0339C1">
            <w:pPr>
              <w:spacing w:line="240" w:lineRule="exact"/>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u w:val="single"/>
              </w:rPr>
              <w:t>如发现采购文件中存在含糊不清的，请在规定的</w:t>
            </w:r>
            <w:r>
              <w:rPr>
                <w:rFonts w:hint="eastAsia" w:ascii="宋体" w:hAnsi="宋体" w:eastAsia="宋体" w:cs="宋体"/>
                <w:b/>
                <w:bCs/>
                <w:kern w:val="0"/>
                <w:sz w:val="18"/>
                <w:szCs w:val="18"/>
                <w:highlight w:val="none"/>
                <w:u w:val="single"/>
                <w:lang w:eastAsia="zh-CN"/>
              </w:rPr>
              <w:t>询疑</w:t>
            </w:r>
            <w:r>
              <w:rPr>
                <w:rFonts w:hint="eastAsia" w:ascii="宋体" w:hAnsi="宋体" w:eastAsia="宋体" w:cs="宋体"/>
                <w:b/>
                <w:bCs/>
                <w:kern w:val="0"/>
                <w:sz w:val="18"/>
                <w:szCs w:val="18"/>
                <w:highlight w:val="none"/>
                <w:u w:val="single"/>
              </w:rPr>
              <w:t>截止时间前向采购人、采购代理书面提出，逾期不得再对采购文件的条款提出疑问。</w:t>
            </w:r>
          </w:p>
        </w:tc>
      </w:tr>
      <w:tr w14:paraId="3A68971A">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14:paraId="5AB3B860">
            <w:pPr>
              <w:spacing w:line="240" w:lineRule="exact"/>
              <w:rPr>
                <w:rFonts w:hint="eastAsia" w:ascii="宋体" w:hAnsi="宋体" w:eastAsia="宋体" w:cs="宋体"/>
                <w:b/>
                <w:bCs/>
                <w:kern w:val="0"/>
                <w:sz w:val="18"/>
                <w:szCs w:val="18"/>
                <w:highlight w:val="none"/>
                <w:u w:val="single"/>
              </w:rPr>
            </w:pPr>
            <w:r>
              <w:rPr>
                <w:rFonts w:hint="eastAsia" w:ascii="宋体" w:hAnsi="宋体" w:eastAsia="宋体" w:cs="宋体"/>
                <w:bCs/>
                <w:sz w:val="18"/>
                <w:szCs w:val="18"/>
                <w:highlight w:val="none"/>
              </w:rPr>
              <w:t>“投标人须知前附表”中的内容是对“投标人须知”正文的补充和说明，“投标人须知”正文与“投标人须知前附表”的内容不一致时，以“投标人须知前附表”为准。</w:t>
            </w:r>
          </w:p>
        </w:tc>
      </w:tr>
    </w:tbl>
    <w:p w14:paraId="6AD1C99E">
      <w:pPr>
        <w:rPr>
          <w:rFonts w:hint="eastAsia" w:ascii="宋体" w:hAnsi="宋体" w:eastAsia="宋体" w:cs="宋体"/>
          <w:szCs w:val="24"/>
          <w:highlight w:val="none"/>
        </w:rPr>
      </w:pPr>
    </w:p>
    <w:p w14:paraId="756BEAE7">
      <w:pPr>
        <w:spacing w:before="156" w:beforeLines="50" w:after="156" w:afterLines="50"/>
        <w:jc w:val="center"/>
        <w:rPr>
          <w:rFonts w:hint="eastAsia" w:ascii="宋体" w:hAnsi="宋体" w:eastAsia="宋体" w:cs="宋体"/>
          <w:sz w:val="36"/>
          <w:szCs w:val="36"/>
          <w:highlight w:val="none"/>
        </w:rPr>
      </w:pPr>
      <w:r>
        <w:rPr>
          <w:rFonts w:hint="eastAsia" w:ascii="宋体" w:hAnsi="宋体" w:eastAsia="宋体" w:cs="宋体"/>
          <w:szCs w:val="24"/>
          <w:highlight w:val="none"/>
        </w:rPr>
        <w:br w:type="page"/>
      </w:r>
      <w:r>
        <w:rPr>
          <w:rFonts w:hint="eastAsia" w:ascii="宋体" w:hAnsi="宋体" w:eastAsia="宋体" w:cs="宋体"/>
          <w:b/>
          <w:sz w:val="36"/>
          <w:szCs w:val="36"/>
          <w:highlight w:val="none"/>
        </w:rPr>
        <w:t>投标人须知</w:t>
      </w:r>
    </w:p>
    <w:p w14:paraId="020C7318">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一、 说明</w:t>
      </w:r>
      <w:bookmarkEnd w:id="23"/>
      <w:bookmarkEnd w:id="24"/>
      <w:bookmarkEnd w:id="25"/>
      <w:bookmarkEnd w:id="26"/>
      <w:bookmarkEnd w:id="27"/>
      <w:bookmarkEnd w:id="28"/>
      <w:bookmarkEnd w:id="29"/>
      <w:bookmarkEnd w:id="30"/>
      <w:bookmarkEnd w:id="31"/>
      <w:bookmarkEnd w:id="32"/>
    </w:p>
    <w:p w14:paraId="51E34CD4">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本次采购工作是按照《温州市市属国有企业采购管理办法》等有关法律、法规组织和实施的。</w:t>
      </w:r>
    </w:p>
    <w:p w14:paraId="6648A9D7">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采购人和采购代理机构：见投标人须知前附表。</w:t>
      </w:r>
    </w:p>
    <w:p w14:paraId="4FB65386">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b/>
          <w:bCs/>
          <w:sz w:val="22"/>
          <w:highlight w:val="none"/>
          <w:u w:val="single"/>
        </w:rPr>
        <w:t>合格的投标人：以本项目采购公告及投标人须知前附表表述为准</w:t>
      </w:r>
      <w:r>
        <w:rPr>
          <w:rFonts w:hint="eastAsia" w:ascii="宋体" w:hAnsi="宋体" w:eastAsia="宋体" w:cs="宋体"/>
          <w:sz w:val="22"/>
          <w:highlight w:val="none"/>
        </w:rPr>
        <w:t>。</w:t>
      </w:r>
    </w:p>
    <w:p w14:paraId="17BBE737">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投标人代表</w:t>
      </w:r>
    </w:p>
    <w:p w14:paraId="04F1A4DF">
      <w:pPr>
        <w:ind w:left="538" w:leftChars="256"/>
        <w:rPr>
          <w:rFonts w:hint="eastAsia" w:ascii="宋体" w:hAnsi="宋体" w:eastAsia="宋体" w:cs="宋体"/>
          <w:sz w:val="22"/>
          <w:highlight w:val="none"/>
        </w:rPr>
      </w:pPr>
      <w:r>
        <w:rPr>
          <w:rFonts w:hint="eastAsia" w:ascii="宋体" w:hAnsi="宋体" w:eastAsia="宋体" w:cs="宋体"/>
          <w:sz w:val="22"/>
          <w:highlight w:val="none"/>
        </w:rPr>
        <w:t>指全权代表投标人参加投标活动并签署投标文件的人。如果投标人代表不是</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，须持有《</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授权书》。</w:t>
      </w:r>
    </w:p>
    <w:p w14:paraId="591BBBC9">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现场勘察及投标费用</w:t>
      </w:r>
    </w:p>
    <w:p w14:paraId="27214320">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5.1  投标人须知前附表规定组织踏勘现场、召开标前会的，采购人按投标人须知前附表规定的时间、地点组织投标人踏勘项目现场、召开标前会。</w:t>
      </w:r>
    </w:p>
    <w:p w14:paraId="539817ED">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5.2  为了便于编制投标文件，投标人自行对现场和周围环境进行现场察勘，察勘现场的费用由投标人自行承担。</w:t>
      </w:r>
    </w:p>
    <w:p w14:paraId="3E37F3E5">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5.3  在现场察勘中所发生的人员伤亡和财产损失应由投标人自行负责。</w:t>
      </w:r>
    </w:p>
    <w:p w14:paraId="0B45102B">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5.4  投标人应承担所有与准备和参加投标有关费用，不论投标的结果如何，采购人和采购代理机构（以下统称“采购单位”）均无义务和责任承担这些费用。</w:t>
      </w:r>
    </w:p>
    <w:p w14:paraId="7227848D">
      <w:pPr>
        <w:spacing w:before="156" w:beforeLines="50" w:after="156" w:afterLines="50"/>
        <w:jc w:val="center"/>
        <w:rPr>
          <w:rFonts w:hint="eastAsia" w:ascii="宋体" w:hAnsi="宋体" w:eastAsia="宋体" w:cs="宋体"/>
          <w:b/>
          <w:sz w:val="28"/>
          <w:szCs w:val="28"/>
          <w:highlight w:val="none"/>
        </w:rPr>
      </w:pPr>
      <w:bookmarkStart w:id="33" w:name="_Toc205004969"/>
      <w:bookmarkStart w:id="34" w:name="_Toc215415531"/>
      <w:bookmarkStart w:id="35" w:name="_Toc204578576"/>
      <w:bookmarkStart w:id="36" w:name="_Toc216667821"/>
      <w:bookmarkStart w:id="37" w:name="_Toc205005287"/>
      <w:bookmarkStart w:id="38" w:name="_Toc209332634"/>
      <w:bookmarkStart w:id="39" w:name="_Toc218041727"/>
      <w:bookmarkStart w:id="40" w:name="_Toc227057034"/>
      <w:bookmarkStart w:id="41" w:name="_Toc227489888"/>
      <w:bookmarkStart w:id="42" w:name="_Toc217460686"/>
      <w:bookmarkStart w:id="43" w:name="_Toc210879709"/>
      <w:bookmarkStart w:id="44" w:name="_Toc209261433"/>
      <w:bookmarkStart w:id="45" w:name="_Toc219538614"/>
      <w:bookmarkStart w:id="46" w:name="_Toc223717605"/>
      <w:bookmarkStart w:id="47" w:name="_Toc207609182"/>
      <w:bookmarkStart w:id="48" w:name="_Toc209250720"/>
      <w:bookmarkStart w:id="49" w:name="_Toc205703103"/>
      <w:bookmarkStart w:id="50" w:name="_Toc227056847"/>
      <w:bookmarkStart w:id="51" w:name="_Toc214365791"/>
      <w:bookmarkStart w:id="52" w:name="_Toc223933222"/>
      <w:bookmarkStart w:id="53" w:name="_Toc205877558"/>
      <w:bookmarkStart w:id="54" w:name="_Toc209261366"/>
      <w:bookmarkStart w:id="55" w:name="_Toc209251128"/>
      <w:bookmarkStart w:id="56" w:name="_Toc204491318"/>
      <w:bookmarkStart w:id="57" w:name="_Toc205877453"/>
      <w:r>
        <w:rPr>
          <w:rFonts w:hint="eastAsia" w:ascii="宋体" w:hAnsi="宋体" w:eastAsia="宋体" w:cs="宋体"/>
          <w:b/>
          <w:sz w:val="28"/>
          <w:szCs w:val="28"/>
          <w:highlight w:val="none"/>
        </w:rPr>
        <w:t>二、 采购文件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473E039">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采购文件由采购文件目录所列内容及相关资料等组成。</w:t>
      </w:r>
    </w:p>
    <w:p w14:paraId="10306D45">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采购文件的澄清</w:t>
      </w:r>
    </w:p>
    <w:p w14:paraId="32BB40E7">
      <w:pPr>
        <w:tabs>
          <w:tab w:val="left" w:pos="625"/>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7.1 </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t>投标人对采购文件如有疑点或未尽事宜要求澄清，或认为有必要与采购人或采购代理机构进行说明或交流，应于“投标人须知前附表”中规定的</w:t>
      </w:r>
      <w:r>
        <w:rPr>
          <w:rFonts w:hint="eastAsia" w:ascii="宋体" w:hAnsi="宋体" w:eastAsia="宋体" w:cs="宋体"/>
          <w:sz w:val="22"/>
          <w:highlight w:val="none"/>
          <w:lang w:val="en-US" w:eastAsia="zh-CN"/>
        </w:rPr>
        <w:t>询疑</w:t>
      </w:r>
      <w:r>
        <w:rPr>
          <w:rFonts w:hint="eastAsia" w:ascii="宋体" w:hAnsi="宋体" w:eastAsia="宋体" w:cs="宋体"/>
          <w:sz w:val="22"/>
          <w:highlight w:val="none"/>
        </w:rPr>
        <w:t>截止时间之前，将书面材料（盖公章）递交或邮寄给采购人或采购代理机构，截止期后的疑问将不予受理、答复。如果采购文件</w:t>
      </w:r>
      <w:r>
        <w:rPr>
          <w:rFonts w:hint="eastAsia" w:ascii="宋体" w:hAnsi="宋体" w:eastAsia="宋体" w:cs="宋体"/>
          <w:sz w:val="22"/>
          <w:highlight w:val="none"/>
          <w:lang w:eastAsia="zh-CN"/>
        </w:rPr>
        <w:t>询疑</w:t>
      </w:r>
      <w:r>
        <w:rPr>
          <w:rFonts w:hint="eastAsia" w:ascii="宋体" w:hAnsi="宋体" w:eastAsia="宋体" w:cs="宋体"/>
          <w:sz w:val="22"/>
          <w:highlight w:val="none"/>
        </w:rPr>
        <w:t>期内未收到有关疑问，视为投标人完全同意采购文件所有条款，且对于采购文件相关表述以及未尽事宜如有争议，以采购人解释为准。</w:t>
      </w:r>
    </w:p>
    <w:p w14:paraId="34F0D208">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采购文件的修改</w:t>
      </w:r>
    </w:p>
    <w:p w14:paraId="7D3FD2CD">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8.1 </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t>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5日前发布更正公告，不足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14:paraId="1FD7EB3C">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8.2  采购文件的澄清修改将以更正公告形式在原采购公告发布平台上予以公示，以通知所有获取采购文件的潜在投标人。</w:t>
      </w:r>
    </w:p>
    <w:p w14:paraId="45A545C1">
      <w:pPr>
        <w:tabs>
          <w:tab w:val="left" w:pos="1080"/>
        </w:tabs>
        <w:ind w:left="524" w:hanging="523" w:hangingChars="238"/>
        <w:rPr>
          <w:rFonts w:hint="eastAsia" w:ascii="宋体" w:hAnsi="宋体" w:eastAsia="宋体" w:cs="宋体"/>
          <w:szCs w:val="24"/>
          <w:highlight w:val="none"/>
        </w:rPr>
      </w:pPr>
      <w:r>
        <w:rPr>
          <w:rFonts w:hint="eastAsia" w:ascii="宋体" w:hAnsi="宋体" w:eastAsia="宋体" w:cs="宋体"/>
          <w:sz w:val="22"/>
          <w:highlight w:val="none"/>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14:paraId="52459862">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8.4</w:t>
      </w:r>
      <w:r>
        <w:rPr>
          <w:rFonts w:hint="eastAsia" w:ascii="宋体" w:hAnsi="宋体" w:eastAsia="宋体" w:cs="宋体"/>
          <w:sz w:val="22"/>
          <w:highlight w:val="none"/>
        </w:rPr>
        <w:tab/>
      </w:r>
      <w:r>
        <w:rPr>
          <w:rFonts w:hint="eastAsia" w:ascii="宋体" w:hAnsi="宋体" w:eastAsia="宋体" w:cs="宋体"/>
          <w:sz w:val="22"/>
          <w:highlight w:val="none"/>
        </w:rPr>
        <w:t>本项目投标人均可在本项目采购公告附件下载采购文件，并按采购文件规定的时间、地点递交投标文件。投标人须在开标前自行查看是否有补充更正文件，并按补充更正文件要求投标，否则责任自负。</w:t>
      </w:r>
    </w:p>
    <w:p w14:paraId="4DB94438">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8.5  在采购文件规定的</w:t>
      </w:r>
      <w:r>
        <w:rPr>
          <w:rFonts w:hint="eastAsia" w:ascii="宋体" w:hAnsi="宋体" w:eastAsia="宋体" w:cs="宋体"/>
          <w:sz w:val="22"/>
          <w:highlight w:val="none"/>
          <w:lang w:eastAsia="zh-CN"/>
        </w:rPr>
        <w:t>询疑</w:t>
      </w:r>
      <w:r>
        <w:rPr>
          <w:rFonts w:hint="eastAsia" w:ascii="宋体" w:hAnsi="宋体" w:eastAsia="宋体" w:cs="宋体"/>
          <w:sz w:val="22"/>
          <w:highlight w:val="none"/>
        </w:rPr>
        <w:t>截止时间后，经采购人及采购机构同意购买采购文件的投标人不得对采购文件及其补充文件提出澄清</w:t>
      </w:r>
      <w:r>
        <w:rPr>
          <w:rFonts w:hint="eastAsia" w:ascii="宋体" w:hAnsi="宋体" w:eastAsia="宋体" w:cs="宋体"/>
          <w:sz w:val="22"/>
          <w:highlight w:val="none"/>
          <w:lang w:eastAsia="zh-CN"/>
        </w:rPr>
        <w:t>询疑</w:t>
      </w:r>
      <w:r>
        <w:rPr>
          <w:rFonts w:hint="eastAsia" w:ascii="宋体" w:hAnsi="宋体" w:eastAsia="宋体" w:cs="宋体"/>
          <w:sz w:val="22"/>
          <w:highlight w:val="none"/>
        </w:rPr>
        <w:t>要求。</w:t>
      </w:r>
    </w:p>
    <w:p w14:paraId="60D668FB">
      <w:pPr>
        <w:spacing w:before="156" w:beforeLines="50" w:after="156" w:afterLines="50"/>
        <w:jc w:val="center"/>
        <w:rPr>
          <w:rFonts w:hint="eastAsia" w:ascii="宋体" w:hAnsi="宋体" w:eastAsia="宋体" w:cs="宋体"/>
          <w:b/>
          <w:sz w:val="28"/>
          <w:szCs w:val="28"/>
          <w:highlight w:val="none"/>
        </w:rPr>
      </w:pPr>
      <w:bookmarkStart w:id="58" w:name="_Toc216667822"/>
      <w:bookmarkStart w:id="59" w:name="_Toc210879710"/>
      <w:bookmarkStart w:id="60" w:name="_Toc215415532"/>
      <w:bookmarkStart w:id="61" w:name="_Toc207609183"/>
      <w:bookmarkStart w:id="62" w:name="_Toc204491319"/>
      <w:bookmarkStart w:id="63" w:name="_Toc227057035"/>
      <w:bookmarkStart w:id="64" w:name="_Toc205004970"/>
      <w:bookmarkStart w:id="65" w:name="_Toc209251129"/>
      <w:bookmarkStart w:id="66" w:name="_Toc223717606"/>
      <w:bookmarkStart w:id="67" w:name="_Toc223933223"/>
      <w:bookmarkStart w:id="68" w:name="_Toc227489889"/>
      <w:bookmarkStart w:id="69" w:name="_Toc204578577"/>
      <w:bookmarkStart w:id="70" w:name="_Toc205877559"/>
      <w:bookmarkStart w:id="71" w:name="_Toc218041728"/>
      <w:bookmarkStart w:id="72" w:name="_Toc209261367"/>
      <w:bookmarkStart w:id="73" w:name="_Toc219538615"/>
      <w:bookmarkStart w:id="74" w:name="_Toc217460687"/>
      <w:bookmarkStart w:id="75" w:name="_Toc214365792"/>
      <w:bookmarkStart w:id="76" w:name="_Toc209261434"/>
      <w:bookmarkStart w:id="77" w:name="_Toc205703104"/>
      <w:bookmarkStart w:id="78" w:name="_Toc209250721"/>
      <w:bookmarkStart w:id="79" w:name="_Toc205005288"/>
      <w:bookmarkStart w:id="80" w:name="_Toc205877454"/>
      <w:bookmarkStart w:id="81" w:name="_Toc227056848"/>
      <w:bookmarkStart w:id="82" w:name="_Toc209332635"/>
      <w:r>
        <w:rPr>
          <w:rFonts w:hint="eastAsia" w:ascii="宋体" w:hAnsi="宋体" w:eastAsia="宋体" w:cs="宋体"/>
          <w:b/>
          <w:sz w:val="28"/>
          <w:szCs w:val="28"/>
          <w:highlight w:val="none"/>
        </w:rPr>
        <w:t>三、 投标文件的编制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7329F45">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投标人应认真阅读采购文件中所有事项格式、条款和技术规范等。投标人没有按照采购文件要求提交全部资料，或者没有对采购文件各个方面做出实质性响应，导致投标被拒绝的风险由投标人自行承担。</w:t>
      </w:r>
    </w:p>
    <w:p w14:paraId="71914285">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投标人应保证所提供文件资料的真实性，所有文件资料必须是针对本次采购的。如发现投标人提供了虚假文件资料，其投标将被拒绝，并自行承担相应的法律责任。</w:t>
      </w:r>
    </w:p>
    <w:p w14:paraId="3A3448FB">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投标文件的构成：</w:t>
      </w:r>
    </w:p>
    <w:p w14:paraId="588AE2B1">
      <w:pPr>
        <w:rPr>
          <w:rFonts w:hint="eastAsia" w:ascii="宋体" w:hAnsi="宋体" w:eastAsia="宋体" w:cs="宋体"/>
          <w:sz w:val="22"/>
          <w:highlight w:val="none"/>
        </w:rPr>
      </w:pPr>
      <w:r>
        <w:rPr>
          <w:rFonts w:hint="eastAsia" w:ascii="宋体" w:hAnsi="宋体" w:eastAsia="宋体" w:cs="宋体"/>
          <w:sz w:val="22"/>
          <w:highlight w:val="none"/>
        </w:rPr>
        <w:t>11.1 投标文件由技术资信标、商务（报价）标二部分构成：</w:t>
      </w:r>
    </w:p>
    <w:p w14:paraId="5E29226D">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（1）技术资信标</w:t>
      </w:r>
    </w:p>
    <w:tbl>
      <w:tblPr>
        <w:tblStyle w:val="2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14:paraId="629A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45C5B7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14:paraId="136204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14:paraId="503B5D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14:paraId="1942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43C079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highlight w:val="none"/>
              </w:rPr>
            </w:pPr>
          </w:p>
        </w:tc>
        <w:tc>
          <w:tcPr>
            <w:tcW w:w="7122" w:type="dxa"/>
            <w:vAlign w:val="center"/>
          </w:tcPr>
          <w:p w14:paraId="1D983D2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rPr>
              <w:t>评分索引表</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针对评分细则，编制目录索引，注明评标细则项目所在投标文件页码，格式自拟</w:t>
            </w:r>
            <w:r>
              <w:rPr>
                <w:rFonts w:hint="eastAsia" w:ascii="宋体" w:hAnsi="宋体" w:eastAsia="宋体" w:cs="宋体"/>
                <w:sz w:val="18"/>
                <w:szCs w:val="18"/>
                <w:highlight w:val="none"/>
                <w:lang w:eastAsia="zh-CN"/>
              </w:rPr>
              <w:t>）</w:t>
            </w:r>
          </w:p>
        </w:tc>
        <w:tc>
          <w:tcPr>
            <w:tcW w:w="1105" w:type="dxa"/>
            <w:vAlign w:val="center"/>
          </w:tcPr>
          <w:p w14:paraId="0F9FAB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highlight w:val="none"/>
              </w:rPr>
            </w:pPr>
          </w:p>
        </w:tc>
      </w:tr>
      <w:tr w14:paraId="4FA0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6CFD38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42FDD56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14:paraId="351F63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14:paraId="6CC7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4B29E3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4A92FFF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14:paraId="1C9F37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14:paraId="47F9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33D4AA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1C63F76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14:paraId="55427F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14:paraId="1BD8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4414FD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06FEA89F">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14:paraId="031C99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p>
        </w:tc>
      </w:tr>
      <w:tr w14:paraId="7D33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0B95D5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p>
        </w:tc>
        <w:tc>
          <w:tcPr>
            <w:tcW w:w="7122" w:type="dxa"/>
            <w:vAlign w:val="center"/>
          </w:tcPr>
          <w:p w14:paraId="641C7DD7">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14:paraId="3ECCF7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p>
        </w:tc>
      </w:tr>
      <w:tr w14:paraId="1DCE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37C053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671A3107">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14:paraId="1F8C85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p>
        </w:tc>
      </w:tr>
      <w:tr w14:paraId="653F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552FCA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lang w:eastAsia="zh-CN"/>
              </w:rPr>
              <w:t>）</w:t>
            </w:r>
          </w:p>
        </w:tc>
        <w:tc>
          <w:tcPr>
            <w:tcW w:w="7122" w:type="dxa"/>
            <w:vAlign w:val="center"/>
          </w:tcPr>
          <w:p w14:paraId="7B1573E9">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投标人具有的有效的《旅行社业务经营许可证》</w:t>
            </w:r>
            <w:r>
              <w:rPr>
                <w:rFonts w:hint="eastAsia" w:ascii="宋体" w:hAnsi="宋体" w:eastAsia="宋体" w:cs="宋体"/>
                <w:sz w:val="18"/>
                <w:szCs w:val="18"/>
                <w:highlight w:val="none"/>
                <w:u w:val="single"/>
                <w:lang w:eastAsia="zh-CN"/>
              </w:rPr>
              <w:t>（</w:t>
            </w:r>
            <w:r>
              <w:rPr>
                <w:rFonts w:hint="eastAsia" w:ascii="宋体" w:hAnsi="宋体" w:eastAsia="宋体" w:cs="宋体"/>
                <w:sz w:val="18"/>
                <w:szCs w:val="18"/>
                <w:highlight w:val="none"/>
                <w:u w:val="single"/>
                <w:lang w:val="en-US" w:eastAsia="zh-CN"/>
              </w:rPr>
              <w:t>复印件加盖单位公章</w:t>
            </w:r>
            <w:r>
              <w:rPr>
                <w:rFonts w:hint="eastAsia" w:ascii="宋体" w:hAnsi="宋体" w:eastAsia="宋体" w:cs="宋体"/>
                <w:sz w:val="18"/>
                <w:szCs w:val="18"/>
                <w:highlight w:val="none"/>
                <w:u w:val="single"/>
                <w:lang w:eastAsia="zh-CN"/>
              </w:rPr>
              <w:t>）</w:t>
            </w:r>
            <w:r>
              <w:rPr>
                <w:rFonts w:hint="eastAsia" w:ascii="宋体" w:hAnsi="宋体" w:eastAsia="宋体" w:cs="宋体"/>
                <w:sz w:val="18"/>
                <w:szCs w:val="18"/>
                <w:highlight w:val="none"/>
                <w:u w:val="single"/>
              </w:rPr>
              <w:t>；</w:t>
            </w:r>
          </w:p>
        </w:tc>
        <w:tc>
          <w:tcPr>
            <w:tcW w:w="1105" w:type="dxa"/>
            <w:vAlign w:val="center"/>
          </w:tcPr>
          <w:p w14:paraId="6C0ADA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p>
        </w:tc>
      </w:tr>
      <w:tr w14:paraId="2F3E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7DD547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w:t>
            </w:r>
          </w:p>
        </w:tc>
        <w:tc>
          <w:tcPr>
            <w:tcW w:w="7122" w:type="dxa"/>
            <w:vAlign w:val="center"/>
          </w:tcPr>
          <w:p w14:paraId="569AF0CD">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u w:val="single"/>
              </w:rPr>
              <w:t>投标声明书</w:t>
            </w:r>
          </w:p>
        </w:tc>
        <w:tc>
          <w:tcPr>
            <w:tcW w:w="1105" w:type="dxa"/>
            <w:vAlign w:val="center"/>
          </w:tcPr>
          <w:p w14:paraId="2EA837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14:paraId="3F11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1F99B1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14:paraId="7E39308E">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参加国企采购活动前三年内，在经营活动中没有重大违法记录。请在投标声明书中如实填写</w:t>
            </w:r>
            <w:r>
              <w:rPr>
                <w:rFonts w:hint="eastAsia" w:ascii="宋体" w:hAnsi="宋体" w:eastAsia="宋体" w:cs="宋体"/>
                <w:color w:val="auto"/>
                <w:sz w:val="18"/>
                <w:szCs w:val="18"/>
                <w:highlight w:val="none"/>
                <w:u w:val="single"/>
              </w:rPr>
              <w:t>（新成立不满三年的组织机构自成立之日起算）</w:t>
            </w:r>
          </w:p>
        </w:tc>
        <w:tc>
          <w:tcPr>
            <w:tcW w:w="1105" w:type="dxa"/>
            <w:vAlign w:val="center"/>
          </w:tcPr>
          <w:p w14:paraId="56E704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p>
        </w:tc>
      </w:tr>
      <w:tr w14:paraId="08DD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760070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14:paraId="4DA4F64C">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14:paraId="149FCB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p>
        </w:tc>
      </w:tr>
      <w:tr w14:paraId="110D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70DC11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shd w:val="clear" w:color="auto" w:fill="auto"/>
            <w:vAlign w:val="center"/>
          </w:tcPr>
          <w:p w14:paraId="0431340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投标供应商履约能力、资信和信誉</w:t>
            </w:r>
            <w:r>
              <w:rPr>
                <w:rFonts w:hint="eastAsia" w:ascii="宋体" w:hAnsi="宋体" w:eastAsia="宋体" w:cs="宋体"/>
                <w:color w:val="auto"/>
                <w:sz w:val="18"/>
                <w:szCs w:val="18"/>
                <w:highlight w:val="none"/>
                <w:lang w:val="en-US" w:eastAsia="zh-CN"/>
              </w:rPr>
              <w:t>说明及相关资料</w:t>
            </w:r>
          </w:p>
        </w:tc>
        <w:tc>
          <w:tcPr>
            <w:tcW w:w="1105" w:type="dxa"/>
            <w:shd w:val="clear" w:color="auto" w:fill="auto"/>
            <w:vAlign w:val="center"/>
          </w:tcPr>
          <w:p w14:paraId="512075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auto"/>
                <w:kern w:val="2"/>
                <w:sz w:val="18"/>
                <w:szCs w:val="18"/>
                <w:highlight w:val="none"/>
                <w:lang w:val="en-US" w:eastAsia="zh-CN" w:bidi="ar-SA"/>
              </w:rPr>
            </w:pPr>
          </w:p>
        </w:tc>
      </w:tr>
      <w:tr w14:paraId="3FBE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6AA1D5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shd w:val="clear" w:color="auto" w:fill="auto"/>
            <w:vAlign w:val="center"/>
          </w:tcPr>
          <w:p w14:paraId="795E1C1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投标供应商同类项目业绩</w:t>
            </w:r>
          </w:p>
        </w:tc>
        <w:tc>
          <w:tcPr>
            <w:tcW w:w="1105" w:type="dxa"/>
            <w:shd w:val="clear" w:color="auto" w:fill="auto"/>
            <w:vAlign w:val="center"/>
          </w:tcPr>
          <w:p w14:paraId="065E91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附件</w:t>
            </w:r>
            <w:r>
              <w:rPr>
                <w:rFonts w:hint="eastAsia" w:ascii="宋体" w:hAnsi="宋体" w:eastAsia="宋体" w:cs="宋体"/>
                <w:bCs/>
                <w:color w:val="auto"/>
                <w:sz w:val="18"/>
                <w:szCs w:val="18"/>
                <w:highlight w:val="none"/>
                <w:lang w:val="en-US" w:eastAsia="zh-CN"/>
              </w:rPr>
              <w:t>五</w:t>
            </w:r>
          </w:p>
        </w:tc>
      </w:tr>
      <w:tr w14:paraId="561E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shd w:val="clear" w:color="auto" w:fill="auto"/>
            <w:vAlign w:val="center"/>
          </w:tcPr>
          <w:p w14:paraId="7F1A65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shd w:val="clear" w:color="auto" w:fill="auto"/>
            <w:vAlign w:val="center"/>
          </w:tcPr>
          <w:p w14:paraId="621D01F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投入本项目的项目实施负责人简历表</w:t>
            </w:r>
          </w:p>
        </w:tc>
        <w:tc>
          <w:tcPr>
            <w:tcW w:w="1105" w:type="dxa"/>
            <w:shd w:val="clear" w:color="auto" w:fill="auto"/>
            <w:vAlign w:val="center"/>
          </w:tcPr>
          <w:p w14:paraId="303C64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附件六</w:t>
            </w:r>
          </w:p>
        </w:tc>
      </w:tr>
      <w:tr w14:paraId="713A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shd w:val="clear" w:color="auto" w:fill="auto"/>
            <w:vAlign w:val="center"/>
          </w:tcPr>
          <w:p w14:paraId="3B90F3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122" w:type="dxa"/>
            <w:shd w:val="clear" w:color="auto" w:fill="auto"/>
            <w:vAlign w:val="center"/>
          </w:tcPr>
          <w:p w14:paraId="1B9BBBD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投入本项目全程陪同导游</w:t>
            </w:r>
            <w:r>
              <w:rPr>
                <w:rFonts w:hint="eastAsia" w:ascii="宋体" w:hAnsi="宋体" w:eastAsia="宋体" w:cs="宋体"/>
                <w:color w:val="auto"/>
                <w:sz w:val="18"/>
                <w:szCs w:val="18"/>
                <w:highlight w:val="none"/>
                <w:lang w:val="en-US" w:eastAsia="zh-CN"/>
              </w:rPr>
              <w:t>情况</w:t>
            </w:r>
            <w:r>
              <w:rPr>
                <w:rFonts w:hint="eastAsia" w:ascii="宋体" w:hAnsi="宋体" w:eastAsia="宋体" w:cs="宋体"/>
                <w:color w:val="auto"/>
                <w:sz w:val="18"/>
                <w:szCs w:val="18"/>
                <w:highlight w:val="none"/>
              </w:rPr>
              <w:t>表</w:t>
            </w:r>
          </w:p>
        </w:tc>
        <w:tc>
          <w:tcPr>
            <w:tcW w:w="1105" w:type="dxa"/>
            <w:shd w:val="clear" w:color="auto" w:fill="auto"/>
            <w:vAlign w:val="center"/>
          </w:tcPr>
          <w:p w14:paraId="6EEB70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附件七</w:t>
            </w:r>
          </w:p>
        </w:tc>
      </w:tr>
      <w:tr w14:paraId="5AC5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shd w:val="clear" w:color="auto" w:fill="auto"/>
            <w:vAlign w:val="center"/>
          </w:tcPr>
          <w:p w14:paraId="4B7444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7122" w:type="dxa"/>
            <w:shd w:val="clear" w:color="auto" w:fill="auto"/>
            <w:vAlign w:val="center"/>
          </w:tcPr>
          <w:p w14:paraId="7890F5C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疗休养线路安排方案</w:t>
            </w:r>
          </w:p>
        </w:tc>
        <w:tc>
          <w:tcPr>
            <w:tcW w:w="1105" w:type="dxa"/>
            <w:shd w:val="clear" w:color="auto" w:fill="auto"/>
            <w:vAlign w:val="center"/>
          </w:tcPr>
          <w:p w14:paraId="729D45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附件八</w:t>
            </w:r>
          </w:p>
        </w:tc>
      </w:tr>
      <w:tr w14:paraId="52A6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shd w:val="clear" w:color="auto" w:fill="auto"/>
            <w:vAlign w:val="center"/>
          </w:tcPr>
          <w:p w14:paraId="25F988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7122" w:type="dxa"/>
            <w:shd w:val="clear" w:color="auto" w:fill="auto"/>
            <w:vAlign w:val="center"/>
          </w:tcPr>
          <w:p w14:paraId="61C9F40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业主评价</w:t>
            </w:r>
          </w:p>
        </w:tc>
        <w:tc>
          <w:tcPr>
            <w:tcW w:w="1105" w:type="dxa"/>
            <w:shd w:val="clear" w:color="auto" w:fill="auto"/>
            <w:vAlign w:val="center"/>
          </w:tcPr>
          <w:p w14:paraId="7B4C75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auto"/>
                <w:sz w:val="18"/>
                <w:szCs w:val="18"/>
                <w:highlight w:val="none"/>
                <w:lang w:val="en-US" w:eastAsia="zh-CN"/>
              </w:rPr>
            </w:pPr>
          </w:p>
        </w:tc>
      </w:tr>
      <w:tr w14:paraId="2F2E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shd w:val="clear" w:color="auto" w:fill="auto"/>
            <w:vAlign w:val="center"/>
          </w:tcPr>
          <w:p w14:paraId="688682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7122" w:type="dxa"/>
            <w:shd w:val="clear" w:color="auto" w:fill="auto"/>
            <w:vAlign w:val="center"/>
          </w:tcPr>
          <w:p w14:paraId="399AD71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sz w:val="18"/>
                <w:szCs w:val="18"/>
                <w:highlight w:val="none"/>
              </w:rPr>
              <w:t>景点安排</w:t>
            </w:r>
          </w:p>
        </w:tc>
        <w:tc>
          <w:tcPr>
            <w:tcW w:w="1105" w:type="dxa"/>
            <w:shd w:val="clear" w:color="auto" w:fill="auto"/>
            <w:vAlign w:val="center"/>
          </w:tcPr>
          <w:p w14:paraId="2C52147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176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shd w:val="clear" w:color="auto" w:fill="auto"/>
            <w:vAlign w:val="center"/>
          </w:tcPr>
          <w:p w14:paraId="065054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11</w:t>
            </w:r>
          </w:p>
        </w:tc>
        <w:tc>
          <w:tcPr>
            <w:tcW w:w="7122" w:type="dxa"/>
            <w:shd w:val="clear" w:color="auto" w:fill="auto"/>
            <w:vAlign w:val="center"/>
          </w:tcPr>
          <w:p w14:paraId="3FE5B86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线路安排</w:t>
            </w:r>
          </w:p>
        </w:tc>
        <w:tc>
          <w:tcPr>
            <w:tcW w:w="1105" w:type="dxa"/>
            <w:shd w:val="clear" w:color="auto" w:fill="auto"/>
            <w:vAlign w:val="center"/>
          </w:tcPr>
          <w:p w14:paraId="2FCDF64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69A6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shd w:val="clear" w:color="auto" w:fill="auto"/>
            <w:vAlign w:val="center"/>
          </w:tcPr>
          <w:p w14:paraId="65F0B5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12</w:t>
            </w:r>
          </w:p>
        </w:tc>
        <w:tc>
          <w:tcPr>
            <w:tcW w:w="7122" w:type="dxa"/>
            <w:shd w:val="clear" w:color="auto" w:fill="auto"/>
            <w:vAlign w:val="center"/>
          </w:tcPr>
          <w:p w14:paraId="334F3DB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sz w:val="18"/>
                <w:szCs w:val="18"/>
                <w:highlight w:val="none"/>
              </w:rPr>
              <w:t>酒店住宿安排</w:t>
            </w:r>
          </w:p>
        </w:tc>
        <w:tc>
          <w:tcPr>
            <w:tcW w:w="1105" w:type="dxa"/>
            <w:shd w:val="clear" w:color="auto" w:fill="auto"/>
            <w:vAlign w:val="center"/>
          </w:tcPr>
          <w:p w14:paraId="43DBA2D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7C5E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7178D3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13</w:t>
            </w:r>
          </w:p>
        </w:tc>
        <w:tc>
          <w:tcPr>
            <w:tcW w:w="0" w:type="auto"/>
            <w:shd w:val="clear" w:color="auto" w:fill="auto"/>
            <w:vAlign w:val="center"/>
          </w:tcPr>
          <w:p w14:paraId="08D169D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sz w:val="18"/>
                <w:szCs w:val="18"/>
                <w:highlight w:val="none"/>
              </w:rPr>
              <w:t>餐标</w:t>
            </w:r>
          </w:p>
        </w:tc>
        <w:tc>
          <w:tcPr>
            <w:tcW w:w="0" w:type="auto"/>
            <w:shd w:val="clear" w:color="auto" w:fill="auto"/>
            <w:vAlign w:val="center"/>
          </w:tcPr>
          <w:p w14:paraId="4E62D94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59DF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11C2EC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14</w:t>
            </w:r>
          </w:p>
        </w:tc>
        <w:tc>
          <w:tcPr>
            <w:tcW w:w="0" w:type="auto"/>
            <w:shd w:val="clear" w:color="auto" w:fill="auto"/>
            <w:vAlign w:val="center"/>
          </w:tcPr>
          <w:p w14:paraId="6C8DB6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旅游车安排方案</w:t>
            </w:r>
          </w:p>
        </w:tc>
        <w:tc>
          <w:tcPr>
            <w:tcW w:w="0" w:type="auto"/>
            <w:shd w:val="clear" w:color="auto" w:fill="auto"/>
            <w:vAlign w:val="center"/>
          </w:tcPr>
          <w:p w14:paraId="1B73D4B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5496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4F78B4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15</w:t>
            </w:r>
          </w:p>
        </w:tc>
        <w:tc>
          <w:tcPr>
            <w:tcW w:w="0" w:type="auto"/>
            <w:shd w:val="clear" w:color="auto" w:fill="auto"/>
            <w:vAlign w:val="center"/>
          </w:tcPr>
          <w:p w14:paraId="3324F92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本地化服务能力</w:t>
            </w:r>
          </w:p>
        </w:tc>
        <w:tc>
          <w:tcPr>
            <w:tcW w:w="0" w:type="auto"/>
            <w:shd w:val="clear" w:color="auto" w:fill="auto"/>
            <w:vAlign w:val="center"/>
          </w:tcPr>
          <w:p w14:paraId="4120184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3075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50DDA2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16</w:t>
            </w:r>
          </w:p>
        </w:tc>
        <w:tc>
          <w:tcPr>
            <w:tcW w:w="0" w:type="auto"/>
            <w:shd w:val="clear" w:color="auto" w:fill="auto"/>
            <w:vAlign w:val="center"/>
          </w:tcPr>
          <w:p w14:paraId="7B787F7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保险承诺</w:t>
            </w:r>
          </w:p>
        </w:tc>
        <w:tc>
          <w:tcPr>
            <w:tcW w:w="0" w:type="auto"/>
            <w:shd w:val="clear" w:color="auto" w:fill="auto"/>
            <w:vAlign w:val="center"/>
          </w:tcPr>
          <w:p w14:paraId="5478C84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1C9D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7786E2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17</w:t>
            </w:r>
          </w:p>
        </w:tc>
        <w:tc>
          <w:tcPr>
            <w:tcW w:w="0" w:type="auto"/>
            <w:shd w:val="clear" w:color="auto" w:fill="auto"/>
            <w:vAlign w:val="center"/>
          </w:tcPr>
          <w:p w14:paraId="4FD4221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服务相关承诺承诺</w:t>
            </w:r>
          </w:p>
        </w:tc>
        <w:tc>
          <w:tcPr>
            <w:tcW w:w="0" w:type="auto"/>
            <w:shd w:val="clear" w:color="auto" w:fill="auto"/>
            <w:vAlign w:val="center"/>
          </w:tcPr>
          <w:p w14:paraId="6E54D48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0B92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6D1A0A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18</w:t>
            </w:r>
          </w:p>
        </w:tc>
        <w:tc>
          <w:tcPr>
            <w:tcW w:w="0" w:type="auto"/>
            <w:shd w:val="clear" w:color="auto" w:fill="auto"/>
            <w:vAlign w:val="center"/>
          </w:tcPr>
          <w:p w14:paraId="7DB52D5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安全预案、组织实施能力、投诉处理</w:t>
            </w:r>
            <w:r>
              <w:rPr>
                <w:rFonts w:hint="eastAsia" w:ascii="宋体" w:hAnsi="宋体" w:eastAsia="宋体" w:cs="宋体"/>
                <w:color w:val="auto"/>
                <w:sz w:val="18"/>
                <w:szCs w:val="18"/>
                <w:highlight w:val="none"/>
                <w:lang w:eastAsia="zh-CN"/>
              </w:rPr>
              <w:t>、后续计划方针</w:t>
            </w:r>
          </w:p>
        </w:tc>
        <w:tc>
          <w:tcPr>
            <w:tcW w:w="0" w:type="auto"/>
            <w:shd w:val="clear" w:color="auto" w:fill="auto"/>
            <w:vAlign w:val="center"/>
          </w:tcPr>
          <w:p w14:paraId="3723F5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1345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0A8455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19</w:t>
            </w:r>
          </w:p>
        </w:tc>
        <w:tc>
          <w:tcPr>
            <w:tcW w:w="0" w:type="auto"/>
            <w:shd w:val="clear" w:color="auto" w:fill="auto"/>
            <w:vAlign w:val="center"/>
          </w:tcPr>
          <w:p w14:paraId="158ABA7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优惠条件</w:t>
            </w:r>
          </w:p>
        </w:tc>
        <w:tc>
          <w:tcPr>
            <w:tcW w:w="0" w:type="auto"/>
            <w:shd w:val="clear" w:color="auto" w:fill="auto"/>
            <w:vAlign w:val="center"/>
          </w:tcPr>
          <w:p w14:paraId="7255C7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025B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762CE2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w:t>
            </w:r>
          </w:p>
        </w:tc>
        <w:tc>
          <w:tcPr>
            <w:tcW w:w="0" w:type="auto"/>
            <w:shd w:val="clear" w:color="auto" w:fill="auto"/>
            <w:vAlign w:val="center"/>
          </w:tcPr>
          <w:p w14:paraId="285D2BC1">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根据采购文件中的采购内容及要求以及技术资信评分项目，</w:t>
            </w:r>
            <w:r>
              <w:rPr>
                <w:rFonts w:hint="eastAsia" w:ascii="宋体" w:hAnsi="宋体" w:eastAsia="宋体" w:cs="宋体"/>
                <w:sz w:val="18"/>
                <w:szCs w:val="18"/>
                <w:highlight w:val="none"/>
                <w:lang w:val="en-US" w:eastAsia="zh-CN"/>
              </w:rPr>
              <w:t>投标人认为</w:t>
            </w:r>
            <w:r>
              <w:rPr>
                <w:rFonts w:hint="eastAsia" w:ascii="宋体" w:hAnsi="宋体" w:eastAsia="宋体" w:cs="宋体"/>
                <w:sz w:val="18"/>
                <w:szCs w:val="18"/>
                <w:highlight w:val="none"/>
              </w:rPr>
              <w:t>需要提供的</w:t>
            </w:r>
            <w:r>
              <w:rPr>
                <w:rFonts w:hint="eastAsia" w:ascii="宋体" w:hAnsi="宋体" w:eastAsia="宋体" w:cs="宋体"/>
                <w:sz w:val="18"/>
                <w:szCs w:val="18"/>
                <w:highlight w:val="none"/>
                <w:lang w:val="en-US" w:eastAsia="zh-CN"/>
              </w:rPr>
              <w:t>其他</w:t>
            </w:r>
            <w:r>
              <w:rPr>
                <w:rFonts w:hint="eastAsia" w:ascii="宋体" w:hAnsi="宋体" w:eastAsia="宋体" w:cs="宋体"/>
                <w:sz w:val="18"/>
                <w:szCs w:val="18"/>
                <w:highlight w:val="none"/>
              </w:rPr>
              <w:t>文件和资料</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格式自拟</w:t>
            </w:r>
            <w:r>
              <w:rPr>
                <w:rFonts w:hint="eastAsia" w:ascii="宋体" w:hAnsi="宋体" w:eastAsia="宋体" w:cs="宋体"/>
                <w:sz w:val="18"/>
                <w:szCs w:val="18"/>
                <w:highlight w:val="none"/>
                <w:lang w:eastAsia="zh-CN"/>
              </w:rPr>
              <w:t>）</w:t>
            </w:r>
          </w:p>
        </w:tc>
        <w:tc>
          <w:tcPr>
            <w:tcW w:w="0" w:type="auto"/>
            <w:shd w:val="clear" w:color="auto" w:fill="auto"/>
            <w:vAlign w:val="center"/>
          </w:tcPr>
          <w:p w14:paraId="70C4761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bl>
    <w:p w14:paraId="203E5549">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技术资信标说明：</w:t>
      </w:r>
    </w:p>
    <w:p w14:paraId="0C04CE4C">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1）</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可根据采购文件中的</w:t>
      </w:r>
      <w:r>
        <w:rPr>
          <w:rFonts w:hint="eastAsia" w:ascii="宋体" w:hAnsi="宋体" w:eastAsia="宋体" w:cs="宋体"/>
          <w:sz w:val="22"/>
          <w:highlight w:val="none"/>
          <w:lang w:val="en-US" w:eastAsia="zh-CN"/>
        </w:rPr>
        <w:t>采购内容及要求</w:t>
      </w:r>
      <w:r>
        <w:rPr>
          <w:rFonts w:hint="eastAsia" w:ascii="宋体" w:hAnsi="宋体" w:eastAsia="宋体" w:cs="宋体"/>
          <w:sz w:val="22"/>
          <w:highlight w:val="none"/>
        </w:rPr>
        <w:t>以及技术资信评分表</w:t>
      </w:r>
      <w:r>
        <w:rPr>
          <w:rFonts w:hint="eastAsia" w:ascii="宋体" w:hAnsi="宋体" w:eastAsia="宋体" w:cs="宋体"/>
          <w:sz w:val="22"/>
          <w:highlight w:val="none"/>
          <w:lang w:val="en-US" w:eastAsia="zh-CN"/>
        </w:rPr>
        <w:t>内容</w:t>
      </w:r>
      <w:r>
        <w:rPr>
          <w:rFonts w:hint="eastAsia" w:ascii="宋体" w:hAnsi="宋体" w:eastAsia="宋体" w:cs="宋体"/>
          <w:sz w:val="22"/>
          <w:highlight w:val="none"/>
        </w:rPr>
        <w:t>，提供</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认为需要提供的文件和资料。</w:t>
      </w:r>
    </w:p>
    <w:p w14:paraId="454362BD">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2）投标文件中应承诺：</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所提供的服务在合同执行过程中如若发生侵权事件，其侵权责任与</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人及</w:t>
      </w:r>
      <w:r>
        <w:rPr>
          <w:rFonts w:hint="eastAsia" w:ascii="宋体" w:hAnsi="宋体" w:eastAsia="宋体" w:cs="宋体"/>
          <w:sz w:val="22"/>
          <w:highlight w:val="none"/>
          <w:lang w:eastAsia="zh-CN"/>
        </w:rPr>
        <w:t>采购</w:t>
      </w:r>
      <w:r>
        <w:rPr>
          <w:rFonts w:hint="eastAsia" w:ascii="宋体" w:hAnsi="宋体" w:eastAsia="宋体" w:cs="宋体"/>
          <w:sz w:val="22"/>
          <w:highlight w:val="none"/>
        </w:rPr>
        <w:t>代理机构无关，由</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承担全部责任。侵权造成的所有相关费用，均由</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支付，保证不伤害</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人的利益。</w:t>
      </w:r>
    </w:p>
    <w:p w14:paraId="2E11D8AF">
      <w:pPr>
        <w:tabs>
          <w:tab w:val="left" w:pos="5355"/>
        </w:tabs>
        <w:ind w:left="360"/>
        <w:rPr>
          <w:rFonts w:hint="eastAsia" w:ascii="宋体" w:hAnsi="宋体" w:eastAsia="宋体" w:cs="宋体"/>
          <w:b/>
          <w:bCs/>
          <w:sz w:val="22"/>
          <w:highlight w:val="none"/>
          <w:u w:val="single"/>
          <w:lang w:eastAsia="zh-CN"/>
        </w:rPr>
      </w:pPr>
      <w:r>
        <w:rPr>
          <w:rFonts w:hint="eastAsia" w:ascii="宋体" w:hAnsi="宋体" w:eastAsia="宋体" w:cs="宋体"/>
          <w:sz w:val="22"/>
          <w:highlight w:val="none"/>
        </w:rPr>
        <w:t>3）</w:t>
      </w:r>
      <w:r>
        <w:rPr>
          <w:rFonts w:hint="eastAsia" w:ascii="宋体" w:hAnsi="宋体" w:eastAsia="宋体" w:cs="宋体"/>
          <w:b/>
          <w:bCs/>
          <w:sz w:val="22"/>
          <w:highlight w:val="none"/>
          <w:u w:val="single"/>
        </w:rPr>
        <w:t>以上所需的各种证书、证件、证明、执照若系复印件，须在复印件上加盖</w:t>
      </w:r>
      <w:r>
        <w:rPr>
          <w:rFonts w:hint="eastAsia" w:ascii="宋体" w:hAnsi="宋体" w:eastAsia="宋体" w:cs="宋体"/>
          <w:b/>
          <w:bCs/>
          <w:sz w:val="22"/>
          <w:highlight w:val="none"/>
          <w:u w:val="single"/>
          <w:lang w:eastAsia="zh-CN"/>
        </w:rPr>
        <w:t>投标人</w:t>
      </w:r>
      <w:r>
        <w:rPr>
          <w:rFonts w:hint="eastAsia" w:ascii="宋体" w:hAnsi="宋体" w:eastAsia="宋体" w:cs="宋体"/>
          <w:b/>
          <w:bCs/>
          <w:sz w:val="22"/>
          <w:highlight w:val="none"/>
          <w:u w:val="single"/>
        </w:rPr>
        <w:t>有效的公章。相关证书、报告等如遇年检或换证等特殊情况须提供相应的证明材料，证明材料如为复印件需加盖投标人公章</w:t>
      </w:r>
      <w:r>
        <w:rPr>
          <w:rFonts w:hint="eastAsia" w:ascii="宋体" w:hAnsi="宋体" w:eastAsia="宋体" w:cs="宋体"/>
          <w:b/>
          <w:bCs/>
          <w:sz w:val="22"/>
          <w:highlight w:val="none"/>
          <w:u w:val="single"/>
          <w:lang w:eastAsia="zh-CN"/>
        </w:rPr>
        <w:t>。</w:t>
      </w:r>
    </w:p>
    <w:p w14:paraId="3738D3F7">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（2） 商务（报价）标</w:t>
      </w:r>
    </w:p>
    <w:tbl>
      <w:tblPr>
        <w:tblStyle w:val="2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14:paraId="4550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5447ECBE">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323" w:type="dxa"/>
            <w:vAlign w:val="center"/>
          </w:tcPr>
          <w:p w14:paraId="736F70DA">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内  容</w:t>
            </w:r>
          </w:p>
        </w:tc>
        <w:tc>
          <w:tcPr>
            <w:tcW w:w="1496" w:type="dxa"/>
            <w:vAlign w:val="center"/>
          </w:tcPr>
          <w:p w14:paraId="4E4B6BEE">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备注</w:t>
            </w:r>
          </w:p>
        </w:tc>
      </w:tr>
      <w:tr w14:paraId="61D0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51C93A3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323" w:type="dxa"/>
            <w:vAlign w:val="center"/>
          </w:tcPr>
          <w:p w14:paraId="03BB4574">
            <w:pPr>
              <w:rPr>
                <w:rFonts w:hint="eastAsia" w:ascii="宋体" w:hAnsi="宋体" w:eastAsia="宋体" w:cs="宋体"/>
                <w:sz w:val="18"/>
                <w:szCs w:val="18"/>
                <w:highlight w:val="none"/>
              </w:rPr>
            </w:pPr>
            <w:r>
              <w:rPr>
                <w:rFonts w:hint="eastAsia" w:ascii="宋体" w:hAnsi="宋体" w:eastAsia="宋体" w:cs="宋体"/>
                <w:sz w:val="18"/>
                <w:szCs w:val="18"/>
                <w:highlight w:val="none"/>
              </w:rPr>
              <w:t>开标一览表</w:t>
            </w:r>
          </w:p>
        </w:tc>
        <w:tc>
          <w:tcPr>
            <w:tcW w:w="1496" w:type="dxa"/>
            <w:vAlign w:val="center"/>
          </w:tcPr>
          <w:p w14:paraId="75F629B7">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九</w:t>
            </w:r>
          </w:p>
        </w:tc>
      </w:tr>
      <w:tr w14:paraId="2AF7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402E048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6323" w:type="dxa"/>
            <w:vAlign w:val="center"/>
          </w:tcPr>
          <w:p w14:paraId="272240F4">
            <w:pPr>
              <w:rPr>
                <w:rFonts w:hint="eastAsia" w:ascii="宋体" w:hAnsi="宋体" w:eastAsia="宋体" w:cs="宋体"/>
                <w:sz w:val="18"/>
                <w:szCs w:val="18"/>
                <w:highlight w:val="none"/>
              </w:rPr>
            </w:pPr>
            <w:r>
              <w:rPr>
                <w:rFonts w:hint="eastAsia" w:ascii="宋体" w:hAnsi="宋体" w:eastAsia="宋体" w:cs="宋体"/>
                <w:sz w:val="18"/>
                <w:szCs w:val="18"/>
                <w:highlight w:val="none"/>
              </w:rPr>
              <w:t>投标分项报价表</w:t>
            </w:r>
          </w:p>
        </w:tc>
        <w:tc>
          <w:tcPr>
            <w:tcW w:w="1496" w:type="dxa"/>
            <w:vAlign w:val="center"/>
          </w:tcPr>
          <w:p w14:paraId="0250BF84">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p>
        </w:tc>
      </w:tr>
    </w:tbl>
    <w:p w14:paraId="023BAA35">
      <w:pPr>
        <w:pStyle w:val="3"/>
        <w:rPr>
          <w:rFonts w:hint="eastAsia" w:ascii="宋体" w:hAnsi="宋体" w:eastAsia="宋体" w:cs="宋体"/>
        </w:rPr>
      </w:pPr>
    </w:p>
    <w:p w14:paraId="5A267319">
      <w:pPr>
        <w:rPr>
          <w:rFonts w:hint="eastAsia" w:ascii="宋体" w:hAnsi="宋体" w:eastAsia="宋体" w:cs="宋体"/>
          <w:b/>
          <w:sz w:val="22"/>
          <w:highlight w:val="none"/>
        </w:rPr>
      </w:pPr>
      <w:r>
        <w:rPr>
          <w:rFonts w:hint="eastAsia" w:ascii="宋体" w:hAnsi="宋体" w:eastAsia="宋体" w:cs="宋体"/>
          <w:b/>
          <w:sz w:val="22"/>
          <w:highlight w:val="none"/>
        </w:rPr>
        <w:t>11.2  投标文件格式</w:t>
      </w:r>
    </w:p>
    <w:p w14:paraId="3744F5CC">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投标人应根据采购文件中所提供的格式，内容按顺序填写并装订成册，不允许以活页夹形式装订投标文件，</w:t>
      </w:r>
      <w:r>
        <w:rPr>
          <w:rFonts w:hint="eastAsia" w:ascii="宋体" w:hAnsi="宋体" w:eastAsia="宋体" w:cs="宋体"/>
          <w:b/>
          <w:bCs/>
          <w:sz w:val="22"/>
          <w:highlight w:val="none"/>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收</w:t>
      </w:r>
      <w:r>
        <w:rPr>
          <w:rFonts w:hint="eastAsia" w:ascii="宋体" w:hAnsi="宋体" w:eastAsia="宋体" w:cs="宋体"/>
          <w:sz w:val="22"/>
          <w:highlight w:val="none"/>
        </w:rPr>
        <w:t>。</w:t>
      </w:r>
    </w:p>
    <w:p w14:paraId="5138EFF4">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投标文件应有目录以及页码，以便评委检索。</w:t>
      </w:r>
    </w:p>
    <w:p w14:paraId="7E5D06C1">
      <w:pPr>
        <w:numPr>
          <w:ilvl w:val="0"/>
          <w:numId w:val="4"/>
        </w:numPr>
        <w:tabs>
          <w:tab w:val="left" w:pos="530"/>
        </w:tabs>
        <w:autoSpaceDE w:val="0"/>
        <w:autoSpaceDN w:val="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投标文件尽可能简练有针对性，双面打印/复印后装订。</w:t>
      </w:r>
    </w:p>
    <w:p w14:paraId="53E31337">
      <w:pPr>
        <w:numPr>
          <w:ilvl w:val="0"/>
          <w:numId w:val="3"/>
        </w:numPr>
        <w:tabs>
          <w:tab w:val="left" w:pos="525"/>
          <w:tab w:val="left" w:pos="900"/>
        </w:tabs>
        <w:ind w:left="525" w:hanging="52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投标报价</w:t>
      </w:r>
    </w:p>
    <w:p w14:paraId="55A19561">
      <w:pPr>
        <w:ind w:left="526" w:hanging="526" w:hangingChars="238"/>
        <w:rPr>
          <w:rFonts w:hint="eastAsia" w:ascii="宋体" w:hAnsi="宋体" w:eastAsia="宋体" w:cs="宋体"/>
          <w:b/>
          <w:color w:val="auto"/>
          <w:sz w:val="22"/>
          <w:szCs w:val="22"/>
          <w:highlight w:val="none"/>
          <w:u w:val="single"/>
        </w:rPr>
      </w:pPr>
      <w:r>
        <w:rPr>
          <w:rFonts w:hint="eastAsia" w:ascii="宋体" w:hAnsi="宋体" w:eastAsia="宋体" w:cs="宋体"/>
          <w:b/>
          <w:bCs/>
          <w:color w:val="auto"/>
          <w:sz w:val="22"/>
          <w:highlight w:val="none"/>
        </w:rPr>
        <w:t>12.1</w:t>
      </w:r>
      <w:r>
        <w:rPr>
          <w:rFonts w:hint="eastAsia" w:ascii="宋体" w:hAnsi="宋体" w:eastAsia="宋体" w:cs="宋体"/>
          <w:b/>
          <w:bCs/>
          <w:color w:val="auto"/>
          <w:sz w:val="22"/>
          <w:szCs w:val="22"/>
          <w:highlight w:val="none"/>
        </w:rPr>
        <w:t xml:space="preserve"> </w:t>
      </w:r>
      <w:r>
        <w:rPr>
          <w:rFonts w:hint="eastAsia" w:ascii="宋体" w:hAnsi="宋体" w:eastAsia="宋体" w:cs="宋体"/>
          <w:b/>
          <w:color w:val="auto"/>
          <w:sz w:val="22"/>
          <w:szCs w:val="22"/>
          <w:highlight w:val="none"/>
          <w:u w:val="single"/>
        </w:rPr>
        <w:t>▲投标人的报价为含税单人总价，报价包括</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参团职工</w:t>
      </w:r>
      <w:r>
        <w:rPr>
          <w:rFonts w:hint="eastAsia" w:ascii="宋体" w:hAnsi="宋体" w:eastAsia="宋体" w:cs="宋体"/>
          <w:b/>
          <w:color w:val="auto"/>
          <w:sz w:val="22"/>
          <w:szCs w:val="22"/>
          <w:highlight w:val="none"/>
          <w:u w:val="single"/>
          <w:lang w:val="en-US" w:eastAsia="zh-CN"/>
        </w:rPr>
        <w:t>餐饮费、住宿费</w:t>
      </w:r>
      <w:r>
        <w:rPr>
          <w:rFonts w:hint="eastAsia" w:ascii="宋体" w:hAnsi="宋体" w:eastAsia="宋体" w:cs="宋体"/>
          <w:b/>
          <w:color w:val="auto"/>
          <w:sz w:val="22"/>
          <w:szCs w:val="22"/>
          <w:highlight w:val="none"/>
          <w:u w:val="single"/>
        </w:rPr>
        <w:t>、</w:t>
      </w:r>
      <w:r>
        <w:rPr>
          <w:rFonts w:hint="eastAsia" w:ascii="宋体" w:hAnsi="宋体" w:eastAsia="宋体" w:cs="宋体"/>
          <w:b/>
          <w:color w:val="auto"/>
          <w:sz w:val="22"/>
          <w:szCs w:val="22"/>
          <w:highlight w:val="none"/>
          <w:u w:val="single"/>
          <w:lang w:val="en-US" w:eastAsia="zh-CN"/>
        </w:rPr>
        <w:t>交通费、</w:t>
      </w:r>
      <w:r>
        <w:rPr>
          <w:rFonts w:hint="eastAsia" w:ascii="宋体" w:hAnsi="宋体" w:eastAsia="宋体" w:cs="宋体"/>
          <w:b/>
          <w:color w:val="auto"/>
          <w:sz w:val="22"/>
          <w:szCs w:val="22"/>
          <w:highlight w:val="none"/>
          <w:u w:val="single"/>
        </w:rPr>
        <w:t>景点门票费、行程中包含的项目活动费用（如有）、导游服务费和旅行社（含疗休养目的地地接旅行社）的其他服务费用、旅游期间各项保险费用及其他杂费、利润、税费等</w:t>
      </w:r>
      <w:r>
        <w:rPr>
          <w:rFonts w:hint="eastAsia" w:ascii="宋体" w:hAnsi="宋体" w:eastAsia="宋体" w:cs="宋体"/>
          <w:b/>
          <w:color w:val="auto"/>
          <w:sz w:val="21"/>
          <w:szCs w:val="21"/>
          <w:highlight w:val="none"/>
          <w:u w:val="single"/>
        </w:rPr>
        <w:t>等完成本合同所需的一切本身和不可或缺的所有工作开支等各项全部费用。另外，政策性文件规定合同包含的所有风险、责任等均由</w:t>
      </w:r>
      <w:r>
        <w:rPr>
          <w:rFonts w:hint="eastAsia" w:ascii="宋体" w:hAnsi="宋体" w:eastAsia="宋体" w:cs="宋体"/>
          <w:b/>
          <w:color w:val="auto"/>
          <w:sz w:val="21"/>
          <w:szCs w:val="21"/>
          <w:highlight w:val="none"/>
          <w:u w:val="single"/>
          <w:lang w:val="en-US" w:eastAsia="zh-CN"/>
        </w:rPr>
        <w:t>投标人</w:t>
      </w:r>
      <w:r>
        <w:rPr>
          <w:rFonts w:hint="eastAsia" w:ascii="宋体" w:hAnsi="宋体" w:eastAsia="宋体" w:cs="宋体"/>
          <w:b/>
          <w:color w:val="auto"/>
          <w:sz w:val="21"/>
          <w:szCs w:val="21"/>
          <w:highlight w:val="none"/>
          <w:u w:val="single"/>
        </w:rPr>
        <w:t>全部承担。</w:t>
      </w:r>
      <w:r>
        <w:rPr>
          <w:rFonts w:hint="eastAsia" w:ascii="宋体" w:hAnsi="宋体" w:eastAsia="宋体" w:cs="宋体"/>
          <w:b/>
          <w:color w:val="auto"/>
          <w:sz w:val="21"/>
          <w:szCs w:val="21"/>
          <w:highlight w:val="none"/>
          <w:u w:val="single"/>
          <w:lang w:val="en-US" w:eastAsia="zh-CN"/>
        </w:rPr>
        <w:t>投标</w:t>
      </w:r>
      <w:r>
        <w:rPr>
          <w:rFonts w:hint="eastAsia" w:ascii="宋体" w:hAnsi="宋体" w:eastAsia="宋体" w:cs="宋体"/>
          <w:b/>
          <w:color w:val="auto"/>
          <w:sz w:val="22"/>
          <w:szCs w:val="22"/>
          <w:highlight w:val="none"/>
          <w:u w:val="single"/>
        </w:rPr>
        <w:t>供应商应根据自身编制的方案并考虑职工疗休养的公平性、均衡性，对</w:t>
      </w:r>
      <w:r>
        <w:rPr>
          <w:rFonts w:hint="eastAsia" w:ascii="宋体" w:hAnsi="宋体" w:eastAsia="宋体" w:cs="宋体"/>
          <w:b/>
          <w:color w:val="auto"/>
          <w:sz w:val="22"/>
          <w:szCs w:val="22"/>
          <w:highlight w:val="none"/>
          <w:u w:val="single"/>
          <w:lang w:eastAsia="zh-CN"/>
        </w:rPr>
        <w:t>市域</w:t>
      </w:r>
      <w:r>
        <w:rPr>
          <w:rFonts w:hint="eastAsia" w:ascii="宋体" w:hAnsi="宋体" w:eastAsia="宋体" w:cs="宋体"/>
          <w:b/>
          <w:color w:val="auto"/>
          <w:sz w:val="22"/>
          <w:szCs w:val="22"/>
          <w:highlight w:val="none"/>
          <w:u w:val="single"/>
        </w:rPr>
        <w:t>线路</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省内线路和跨省线路分别综合报价。</w:t>
      </w:r>
      <w:r>
        <w:rPr>
          <w:rFonts w:hint="eastAsia" w:ascii="宋体" w:hAnsi="宋体" w:eastAsia="宋体" w:cs="宋体"/>
          <w:b/>
          <w:color w:val="auto"/>
          <w:sz w:val="22"/>
          <w:szCs w:val="22"/>
          <w:highlight w:val="none"/>
          <w:u w:val="single"/>
          <w:lang w:eastAsia="zh-CN"/>
        </w:rPr>
        <w:t>单人综合单价超过</w:t>
      </w:r>
      <w:r>
        <w:rPr>
          <w:rFonts w:hint="eastAsia" w:ascii="宋体" w:hAnsi="宋体" w:eastAsia="宋体" w:cs="宋体"/>
          <w:b/>
          <w:color w:val="auto"/>
          <w:sz w:val="22"/>
          <w:szCs w:val="22"/>
          <w:highlight w:val="none"/>
          <w:u w:val="single"/>
          <w:lang w:val="en-US" w:eastAsia="zh-CN"/>
        </w:rPr>
        <w:t>3000元/人或总价报价超过采购预算的按无效标处理</w:t>
      </w:r>
      <w:r>
        <w:rPr>
          <w:rFonts w:hint="eastAsia" w:ascii="宋体" w:hAnsi="宋体" w:eastAsia="宋体" w:cs="宋体"/>
          <w:b/>
          <w:color w:val="auto"/>
          <w:sz w:val="22"/>
          <w:szCs w:val="22"/>
          <w:highlight w:val="none"/>
          <w:u w:val="single"/>
        </w:rPr>
        <w:t>。</w:t>
      </w:r>
    </w:p>
    <w:p w14:paraId="79A2C212">
      <w:pPr>
        <w:ind w:left="526" w:hanging="526" w:hangingChars="238"/>
        <w:rPr>
          <w:rFonts w:hint="eastAsia" w:ascii="宋体" w:hAnsi="宋体" w:eastAsia="宋体" w:cs="宋体"/>
          <w:b/>
          <w:bCs/>
          <w:sz w:val="22"/>
          <w:highlight w:val="none"/>
          <w:lang w:val="zh-CN"/>
        </w:rPr>
      </w:pPr>
      <w:r>
        <w:rPr>
          <w:rFonts w:hint="eastAsia" w:ascii="宋体" w:hAnsi="宋体" w:eastAsia="宋体" w:cs="宋体"/>
          <w:b/>
          <w:bCs/>
          <w:sz w:val="22"/>
          <w:highlight w:val="none"/>
        </w:rPr>
        <w:t xml:space="preserve">12.2 </w:t>
      </w:r>
      <w:r>
        <w:rPr>
          <w:rFonts w:hint="eastAsia" w:ascii="宋体" w:hAnsi="宋体" w:eastAsia="宋体" w:cs="宋体"/>
          <w:b/>
          <w:bCs/>
          <w:sz w:val="22"/>
          <w:highlight w:val="none"/>
          <w:lang w:eastAsia="zh-CN"/>
        </w:rPr>
        <w:t>投标人</w:t>
      </w:r>
      <w:r>
        <w:rPr>
          <w:rFonts w:hint="eastAsia" w:ascii="宋体" w:hAnsi="宋体" w:eastAsia="宋体" w:cs="宋体"/>
          <w:b/>
          <w:bCs/>
          <w:sz w:val="22"/>
          <w:highlight w:val="none"/>
        </w:rPr>
        <w:t>认为为完成本采购文件规定的承包内容所需发生的直接成本、间接成本、利润、税金、政策性文件规定的费用等一切费用均应计入投标报价；凡未列入的，将被认为均已包含在总报价中，今后不得以任何理由追加或调整。</w:t>
      </w:r>
    </w:p>
    <w:p w14:paraId="4B352CF5">
      <w:pPr>
        <w:tabs>
          <w:tab w:val="left" w:pos="1080"/>
        </w:tabs>
        <w:ind w:left="526" w:hanging="526" w:hangingChars="238"/>
        <w:rPr>
          <w:rFonts w:hint="eastAsia" w:ascii="宋体" w:hAnsi="宋体" w:eastAsia="宋体" w:cs="宋体"/>
          <w:b/>
          <w:bCs/>
          <w:sz w:val="22"/>
          <w:highlight w:val="none"/>
        </w:rPr>
      </w:pPr>
      <w:r>
        <w:rPr>
          <w:rFonts w:hint="eastAsia" w:ascii="宋体" w:hAnsi="宋体" w:eastAsia="宋体" w:cs="宋体"/>
          <w:b/>
          <w:bCs/>
          <w:sz w:val="22"/>
          <w:highlight w:val="none"/>
        </w:rPr>
        <w:t>12.3 投标人必须按附件中的开标一览表、投标分项报价表（均统一格式）内容填写单价、合价和总价，并由</w:t>
      </w:r>
      <w:r>
        <w:rPr>
          <w:rFonts w:hint="eastAsia" w:ascii="宋体" w:hAnsi="宋体" w:eastAsia="宋体" w:cs="宋体"/>
          <w:b/>
          <w:bCs/>
          <w:sz w:val="22"/>
          <w:highlight w:val="none"/>
          <w:lang w:eastAsia="zh-CN"/>
        </w:rPr>
        <w:t>法定代表人</w:t>
      </w:r>
      <w:r>
        <w:rPr>
          <w:rFonts w:hint="eastAsia" w:ascii="宋体" w:hAnsi="宋体" w:eastAsia="宋体" w:cs="宋体"/>
          <w:b/>
          <w:bCs/>
          <w:sz w:val="22"/>
          <w:highlight w:val="none"/>
        </w:rPr>
        <w:t>或投标人代表签署。</w:t>
      </w:r>
    </w:p>
    <w:p w14:paraId="113D1B56">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12.4 所有报价均以人民币报价，投标人如需外汇购入某些货物，须折合成人民币计入投标报价中。</w:t>
      </w:r>
    </w:p>
    <w:p w14:paraId="74F71563">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12.5 </w:t>
      </w:r>
      <w:r>
        <w:rPr>
          <w:rFonts w:hint="eastAsia" w:ascii="宋体" w:hAnsi="宋体" w:eastAsia="宋体" w:cs="宋体"/>
          <w:b/>
          <w:bCs/>
          <w:sz w:val="22"/>
          <w:highlight w:val="none"/>
        </w:rPr>
        <w:t>采购人不接受任何选择报价，对每一种货物/服务只允许一个报价。</w:t>
      </w:r>
    </w:p>
    <w:p w14:paraId="127C4BFC">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12.6采购单位要求分类报价是为了方便评标，但在任何情况下不限制采购人以其认为最合适的条款、条件签订合同的权利。</w:t>
      </w:r>
    </w:p>
    <w:p w14:paraId="491838AE">
      <w:pPr>
        <w:keepNext w:val="0"/>
        <w:keepLines w:val="0"/>
        <w:pageBreakBefore w:val="0"/>
        <w:widowControl/>
        <w:tabs>
          <w:tab w:val="left" w:pos="1080"/>
        </w:tabs>
        <w:kinsoku/>
        <w:wordWrap/>
        <w:overflowPunct/>
        <w:topLinePunct w:val="0"/>
        <w:autoSpaceDE/>
        <w:autoSpaceDN/>
        <w:bidi w:val="0"/>
        <w:adjustRightInd/>
        <w:snapToGrid/>
        <w:ind w:left="524" w:hanging="523" w:hangingChars="238"/>
        <w:textAlignment w:val="auto"/>
        <w:rPr>
          <w:rFonts w:hint="eastAsia" w:ascii="宋体" w:hAnsi="宋体" w:eastAsia="宋体" w:cs="宋体"/>
          <w:sz w:val="22"/>
          <w:highlight w:val="none"/>
        </w:rPr>
      </w:pPr>
      <w:r>
        <w:rPr>
          <w:rFonts w:hint="eastAsia" w:ascii="宋体" w:hAnsi="宋体" w:eastAsia="宋体" w:cs="宋体"/>
          <w:bCs/>
          <w:sz w:val="22"/>
          <w:highlight w:val="none"/>
          <w:u w:val="single"/>
        </w:rPr>
        <w:t>12.7▲</w:t>
      </w:r>
      <w:r>
        <w:rPr>
          <w:rFonts w:hint="eastAsia" w:ascii="宋体" w:hAnsi="宋体" w:eastAsia="宋体" w:cs="宋体"/>
          <w:b/>
          <w:sz w:val="22"/>
          <w:highlight w:val="none"/>
          <w:u w:val="single"/>
        </w:rPr>
        <w:t>投标报价报出后，投标人不得以任何理由予以变更。任何包含价格调整的要求，将被认为是非实质性响应投标而予以拒绝。</w:t>
      </w:r>
    </w:p>
    <w:p w14:paraId="0B069193">
      <w:pPr>
        <w:tabs>
          <w:tab w:val="left" w:pos="1080"/>
        </w:tabs>
        <w:ind w:left="524" w:hanging="523" w:hangingChars="238"/>
        <w:rPr>
          <w:rFonts w:hint="eastAsia" w:ascii="宋体" w:hAnsi="宋体" w:eastAsia="宋体" w:cs="宋体"/>
          <w:strike/>
          <w:sz w:val="22"/>
          <w:highlight w:val="none"/>
        </w:rPr>
      </w:pPr>
      <w:r>
        <w:rPr>
          <w:rFonts w:hint="eastAsia" w:ascii="宋体" w:hAnsi="宋体" w:eastAsia="宋体" w:cs="宋体"/>
          <w:sz w:val="22"/>
          <w:highlight w:val="none"/>
        </w:rPr>
        <w:t>12.8</w:t>
      </w:r>
      <w:r>
        <w:rPr>
          <w:rFonts w:hint="eastAsia" w:ascii="宋体" w:hAnsi="宋体" w:eastAsia="宋体" w:cs="宋体"/>
          <w:b/>
          <w:bCs/>
          <w:sz w:val="22"/>
          <w:highlight w:val="none"/>
        </w:rPr>
        <w:t>最低报价不作为中标的保证。</w:t>
      </w:r>
    </w:p>
    <w:p w14:paraId="22609279">
      <w:pPr>
        <w:numPr>
          <w:ilvl w:val="0"/>
          <w:numId w:val="3"/>
        </w:numPr>
        <w:tabs>
          <w:tab w:val="left" w:pos="525"/>
          <w:tab w:val="left" w:pos="900"/>
        </w:tabs>
        <w:ind w:left="525" w:hanging="525"/>
        <w:rPr>
          <w:rFonts w:hint="eastAsia" w:ascii="宋体" w:hAnsi="宋体" w:eastAsia="宋体" w:cs="宋体"/>
          <w:b/>
          <w:sz w:val="22"/>
          <w:highlight w:val="none"/>
          <w:u w:val="single"/>
        </w:rPr>
      </w:pPr>
      <w:r>
        <w:rPr>
          <w:rFonts w:hint="eastAsia" w:ascii="宋体" w:hAnsi="宋体" w:eastAsia="宋体" w:cs="宋体"/>
          <w:b/>
          <w:sz w:val="22"/>
          <w:highlight w:val="none"/>
          <w:u w:val="single"/>
        </w:rPr>
        <w:t>▲投标保证金</w:t>
      </w:r>
    </w:p>
    <w:p w14:paraId="796CB359">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13.1 </w:t>
      </w:r>
      <w:r>
        <w:rPr>
          <w:rFonts w:hint="eastAsia" w:ascii="宋体" w:hAnsi="宋体" w:eastAsia="宋体" w:cs="宋体"/>
          <w:b/>
          <w:bCs/>
          <w:sz w:val="22"/>
          <w:highlight w:val="none"/>
          <w:u w:val="single"/>
        </w:rPr>
        <w:t>投标人须按投标人须知前附表规定交纳投标保证金，否则采购人将</w:t>
      </w:r>
      <w:r>
        <w:rPr>
          <w:rFonts w:hint="eastAsia" w:ascii="宋体" w:hAnsi="宋体" w:eastAsia="宋体" w:cs="宋体"/>
          <w:b/>
          <w:bCs/>
          <w:sz w:val="22"/>
          <w:highlight w:val="none"/>
          <w:u w:val="single"/>
          <w:lang w:val="en-US" w:eastAsia="zh-CN"/>
        </w:rPr>
        <w:t>作无效标处理</w:t>
      </w:r>
      <w:r>
        <w:rPr>
          <w:rFonts w:hint="eastAsia" w:ascii="宋体" w:hAnsi="宋体" w:eastAsia="宋体" w:cs="宋体"/>
          <w:sz w:val="22"/>
          <w:highlight w:val="none"/>
        </w:rPr>
        <w:t>。</w:t>
      </w:r>
    </w:p>
    <w:p w14:paraId="0EF8B465">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13.2</w:t>
      </w:r>
      <w:r>
        <w:rPr>
          <w:rFonts w:hint="eastAsia" w:ascii="宋体" w:hAnsi="宋体" w:eastAsia="宋体" w:cs="宋体"/>
          <w:b/>
          <w:bCs/>
          <w:sz w:val="22"/>
          <w:highlight w:val="none"/>
          <w:u w:val="single"/>
        </w:rPr>
        <w:t>投标保证金金额及形式详见采购公告及投标须知前附表规定。</w:t>
      </w:r>
    </w:p>
    <w:p w14:paraId="4EDAD52E">
      <w:pPr>
        <w:tabs>
          <w:tab w:val="left" w:pos="851"/>
          <w:tab w:val="left" w:pos="1080"/>
        </w:tabs>
        <w:ind w:left="524" w:hanging="523" w:hangingChars="238"/>
        <w:rPr>
          <w:rFonts w:hint="eastAsia" w:ascii="宋体" w:hAnsi="宋体" w:eastAsia="宋体" w:cs="宋体"/>
          <w:b/>
          <w:bCs/>
          <w:sz w:val="22"/>
          <w:highlight w:val="none"/>
        </w:rPr>
      </w:pPr>
      <w:r>
        <w:rPr>
          <w:rFonts w:hint="eastAsia" w:ascii="宋体" w:hAnsi="宋体" w:eastAsia="宋体" w:cs="宋体"/>
          <w:sz w:val="22"/>
          <w:highlight w:val="none"/>
        </w:rPr>
        <w:t>13.3 投标人的投标保证金在中标人提交履约担保并与采购人签订了合同且合同经备案后无息退还，未中标投标人的投标保证金将在确定中标人后无息退还。</w:t>
      </w:r>
    </w:p>
    <w:p w14:paraId="2DF6F30D">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13.4 </w:t>
      </w:r>
      <w:r>
        <w:rPr>
          <w:rFonts w:hint="eastAsia" w:ascii="宋体" w:hAnsi="宋体" w:eastAsia="宋体" w:cs="宋体"/>
          <w:b/>
          <w:sz w:val="22"/>
          <w:highlight w:val="none"/>
          <w:u w:val="single"/>
        </w:rPr>
        <w:t>如发生下列情况之一，投标保证金将不予退还：</w:t>
      </w:r>
    </w:p>
    <w:p w14:paraId="070B588D">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投标人在采购文件规定的投标有效期内撤回投标；</w:t>
      </w:r>
    </w:p>
    <w:p w14:paraId="7478BAAA">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中标人未按中标通知书中规定的时间与采购人签订合同；</w:t>
      </w:r>
    </w:p>
    <w:p w14:paraId="763C1BAB">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中标人在规定期限内未能根据采购文件要求提供履约担保；</w:t>
      </w:r>
    </w:p>
    <w:p w14:paraId="2F271F30">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投标人在投标文件中提供虚假</w:t>
      </w:r>
      <w:r>
        <w:rPr>
          <w:rFonts w:hint="eastAsia" w:ascii="宋体" w:hAnsi="宋体" w:eastAsia="宋体" w:cs="宋体"/>
          <w:sz w:val="22"/>
          <w:highlight w:val="none"/>
          <w:lang w:val="en-US" w:eastAsia="zh-CN"/>
        </w:rPr>
        <w:t>承诺、虚假资料</w:t>
      </w:r>
      <w:r>
        <w:rPr>
          <w:rFonts w:hint="eastAsia" w:ascii="宋体" w:hAnsi="宋体" w:eastAsia="宋体" w:cs="宋体"/>
          <w:sz w:val="22"/>
          <w:highlight w:val="none"/>
        </w:rPr>
        <w:t>，经评标委员会确认属实的；</w:t>
      </w:r>
    </w:p>
    <w:p w14:paraId="2DD94FB9">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经国企采购监督管理部门审查认定</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有违反《温州市市属国有企业采购管理办法》等有关法律法规的行为。</w:t>
      </w:r>
    </w:p>
    <w:p w14:paraId="52C77EC8">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投标有效期</w:t>
      </w:r>
    </w:p>
    <w:p w14:paraId="1DD9B975">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14.1 </w:t>
      </w:r>
      <w:r>
        <w:rPr>
          <w:rFonts w:hint="eastAsia" w:ascii="宋体" w:hAnsi="宋体" w:eastAsia="宋体" w:cs="宋体"/>
          <w:b/>
          <w:sz w:val="22"/>
          <w:highlight w:val="none"/>
          <w:u w:val="single"/>
        </w:rPr>
        <w:t>▲投标有效期见投标人须知前附表，投标文件有效期短于这个规定期限的将被拒绝。</w:t>
      </w:r>
    </w:p>
    <w:p w14:paraId="3F2EC8EF">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14.2在投标人须知前附表规定的投标有效期内，投标人不得要求撤销或修改其投标文件。</w:t>
      </w:r>
    </w:p>
    <w:p w14:paraId="3152196D">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77AD61AA">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投标文件的签署和规定</w:t>
      </w:r>
    </w:p>
    <w:p w14:paraId="62094B3F">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投标人应提供技术资信标、商务（报价）标各一式</w:t>
      </w:r>
      <w:r>
        <w:rPr>
          <w:rFonts w:hint="eastAsia" w:ascii="宋体" w:hAnsi="宋体" w:eastAsia="宋体" w:cs="宋体"/>
          <w:b/>
          <w:sz w:val="22"/>
          <w:highlight w:val="none"/>
          <w:lang w:val="en-US" w:eastAsia="zh-CN"/>
        </w:rPr>
        <w:t>七</w:t>
      </w:r>
      <w:r>
        <w:rPr>
          <w:rFonts w:hint="eastAsia" w:ascii="宋体" w:hAnsi="宋体" w:eastAsia="宋体" w:cs="宋体"/>
          <w:b/>
          <w:sz w:val="22"/>
          <w:highlight w:val="none"/>
        </w:rPr>
        <w:t>份的投标文件，分别装订成册。其中正本一份、副本六份，每套投标文件的封面应清楚标明“正本”或“副本”字样，若“正本”与“副本”不符，以“正本”为准。</w:t>
      </w:r>
    </w:p>
    <w:p w14:paraId="1BCEFD5D">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投标文件的正本必须打印或用不褪色的墨水书写，并由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或其授权代表签署，副本可用正本的复印件。</w:t>
      </w:r>
    </w:p>
    <w:p w14:paraId="30FD1DA6">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投标文件如有修改和增删必须由投标文件签字人在修改和增删处旁签署或盖章，方才有效。</w:t>
      </w:r>
    </w:p>
    <w:p w14:paraId="0EF3AF70">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投标文件字迹模糊或在关键的技术、商务条款上表述不清楚，将可能导致其投标被拒绝。</w:t>
      </w:r>
    </w:p>
    <w:p w14:paraId="454AEC93">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投标文件的密封及标记</w:t>
      </w:r>
    </w:p>
    <w:p w14:paraId="43545486">
      <w:pPr>
        <w:numPr>
          <w:ilvl w:val="1"/>
          <w:numId w:val="7"/>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投标人必须将投标文件的“技术资信标”、“商务（报价）标”分别单独密封，且在各自的密封袋上标明“技术资信标”、“商务（报价）标”字样。</w:t>
      </w:r>
      <w:r>
        <w:rPr>
          <w:rFonts w:hint="eastAsia" w:ascii="宋体" w:hAnsi="宋体" w:eastAsia="宋体" w:cs="宋体"/>
          <w:sz w:val="22"/>
          <w:highlight w:val="none"/>
        </w:rPr>
        <w:t>封口处贴上封条，启封处加盖投标单位公章并由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或其授权代表签字。</w:t>
      </w:r>
      <w:r>
        <w:rPr>
          <w:rFonts w:hint="eastAsia" w:ascii="宋体" w:hAnsi="宋体" w:eastAsia="宋体" w:cs="宋体"/>
          <w:b/>
          <w:sz w:val="22"/>
          <w:highlight w:val="none"/>
        </w:rPr>
        <w:t>封皮上写明投标项目名称</w:t>
      </w:r>
      <w:r>
        <w:rPr>
          <w:rFonts w:hint="eastAsia" w:ascii="宋体" w:hAnsi="宋体" w:eastAsia="宋体" w:cs="宋体"/>
          <w:b/>
          <w:sz w:val="22"/>
          <w:highlight w:val="none"/>
          <w:lang w:eastAsia="zh-CN"/>
        </w:rPr>
        <w:t>、</w:t>
      </w:r>
      <w:r>
        <w:rPr>
          <w:rFonts w:hint="eastAsia" w:ascii="宋体" w:hAnsi="宋体" w:eastAsia="宋体" w:cs="宋体"/>
          <w:b/>
          <w:sz w:val="22"/>
          <w:highlight w:val="none"/>
          <w:lang w:val="en-US" w:eastAsia="zh-CN"/>
        </w:rPr>
        <w:t>项目</w:t>
      </w:r>
      <w:r>
        <w:rPr>
          <w:rFonts w:hint="eastAsia" w:ascii="宋体" w:hAnsi="宋体" w:eastAsia="宋体" w:cs="宋体"/>
          <w:b/>
          <w:sz w:val="22"/>
          <w:highlight w:val="none"/>
          <w:lang w:eastAsia="zh-CN"/>
        </w:rPr>
        <w:t>编号</w:t>
      </w:r>
      <w:r>
        <w:rPr>
          <w:rFonts w:hint="eastAsia" w:ascii="宋体" w:hAnsi="宋体" w:eastAsia="宋体" w:cs="宋体"/>
          <w:b/>
          <w:sz w:val="22"/>
          <w:highlight w:val="none"/>
        </w:rPr>
        <w:t>，并注明“开标时启封”字样。</w:t>
      </w:r>
    </w:p>
    <w:p w14:paraId="5D4B0856">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如果投标人未按上述要求密封及加写标记，采购人对投标文件的误投和提前启封不负责任。</w:t>
      </w:r>
    </w:p>
    <w:p w14:paraId="2B18EB3C">
      <w:pPr>
        <w:spacing w:before="156" w:beforeLines="50" w:after="156" w:afterLines="50"/>
        <w:jc w:val="center"/>
        <w:rPr>
          <w:rFonts w:hint="eastAsia" w:ascii="宋体" w:hAnsi="宋体" w:eastAsia="宋体" w:cs="宋体"/>
          <w:b/>
          <w:sz w:val="28"/>
          <w:szCs w:val="28"/>
          <w:highlight w:val="none"/>
        </w:rPr>
      </w:pPr>
      <w:bookmarkStart w:id="83" w:name="_Toc209332636"/>
      <w:bookmarkStart w:id="84" w:name="_Toc207609184"/>
      <w:bookmarkStart w:id="85" w:name="_Toc216667823"/>
      <w:bookmarkStart w:id="86" w:name="_Toc205005289"/>
      <w:bookmarkStart w:id="87" w:name="_Toc204491320"/>
      <w:bookmarkStart w:id="88" w:name="_Toc227056849"/>
      <w:bookmarkStart w:id="89" w:name="_Toc223717607"/>
      <w:bookmarkStart w:id="90" w:name="_Toc223933224"/>
      <w:bookmarkStart w:id="91" w:name="_Toc205877560"/>
      <w:bookmarkStart w:id="92" w:name="_Toc210879711"/>
      <w:bookmarkStart w:id="93" w:name="_Toc227057036"/>
      <w:bookmarkStart w:id="94" w:name="_Toc205004971"/>
      <w:bookmarkStart w:id="95" w:name="_Toc209261368"/>
      <w:bookmarkStart w:id="96" w:name="_Toc209261435"/>
      <w:bookmarkStart w:id="97" w:name="_Toc209250722"/>
      <w:bookmarkStart w:id="98" w:name="_Toc214365793"/>
      <w:bookmarkStart w:id="99" w:name="_Toc205703105"/>
      <w:bookmarkStart w:id="100" w:name="_Toc209251130"/>
      <w:bookmarkStart w:id="101" w:name="_Toc227489890"/>
      <w:bookmarkStart w:id="102" w:name="_Toc204578578"/>
      <w:bookmarkStart w:id="103" w:name="_Toc219538616"/>
      <w:bookmarkStart w:id="104" w:name="_Toc218041729"/>
      <w:bookmarkStart w:id="105" w:name="_Toc215415533"/>
      <w:bookmarkStart w:id="106" w:name="_Toc205877455"/>
      <w:bookmarkStart w:id="107" w:name="_Toc217460688"/>
      <w:r>
        <w:rPr>
          <w:rFonts w:hint="eastAsia" w:ascii="宋体" w:hAnsi="宋体" w:eastAsia="宋体" w:cs="宋体"/>
          <w:b/>
          <w:sz w:val="28"/>
          <w:szCs w:val="28"/>
          <w:highlight w:val="none"/>
        </w:rPr>
        <w:t>四、 投标文件的递交</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60BAF3EF">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投标文件的递交</w:t>
      </w:r>
    </w:p>
    <w:p w14:paraId="39662E0A">
      <w:pPr>
        <w:numPr>
          <w:ilvl w:val="1"/>
          <w:numId w:val="8"/>
        </w:numPr>
        <w:tabs>
          <w:tab w:val="left" w:pos="525"/>
        </w:tabs>
        <w:ind w:left="527" w:hanging="527"/>
        <w:rPr>
          <w:rFonts w:hint="eastAsia" w:ascii="宋体" w:hAnsi="宋体" w:eastAsia="宋体" w:cs="宋体"/>
          <w:b/>
          <w:sz w:val="22"/>
          <w:highlight w:val="none"/>
          <w:u w:val="single"/>
        </w:rPr>
      </w:pPr>
      <w:r>
        <w:rPr>
          <w:rFonts w:hint="eastAsia" w:ascii="宋体" w:hAnsi="宋体" w:eastAsia="宋体" w:cs="宋体"/>
          <w:b/>
          <w:bCs/>
          <w:sz w:val="22"/>
          <w:highlight w:val="none"/>
          <w:u w:val="single"/>
        </w:rPr>
        <w:t>▲</w:t>
      </w:r>
      <w:r>
        <w:rPr>
          <w:rFonts w:hint="eastAsia" w:ascii="宋体" w:hAnsi="宋体" w:eastAsia="宋体" w:cs="宋体"/>
          <w:b/>
          <w:sz w:val="22"/>
          <w:highlight w:val="none"/>
          <w:u w:val="single"/>
        </w:rPr>
        <w:t>投标文件必须在规定的投标文件递交截止时间前送达到投标文件递交地点；</w:t>
      </w:r>
    </w:p>
    <w:p w14:paraId="490F6A26">
      <w:pPr>
        <w:numPr>
          <w:ilvl w:val="1"/>
          <w:numId w:val="8"/>
        </w:numPr>
        <w:tabs>
          <w:tab w:val="left" w:pos="525"/>
        </w:tabs>
        <w:ind w:left="527" w:hanging="527"/>
        <w:rPr>
          <w:rFonts w:hint="eastAsia" w:ascii="宋体" w:hAnsi="宋体" w:eastAsia="宋体" w:cs="宋体"/>
          <w:b/>
          <w:sz w:val="22"/>
          <w:highlight w:val="none"/>
        </w:rPr>
      </w:pPr>
      <w:r>
        <w:rPr>
          <w:rFonts w:hint="eastAsia" w:ascii="宋体" w:hAnsi="宋体" w:eastAsia="宋体" w:cs="宋体"/>
          <w:b/>
          <w:sz w:val="22"/>
          <w:highlight w:val="none"/>
        </w:rPr>
        <w:t>在递交投标文件同时递交以下证明文件，由评标委员会确认投标资格：</w:t>
      </w:r>
    </w:p>
    <w:p w14:paraId="04DE0BF2">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投标保证金缴纳凭证；</w:t>
      </w:r>
    </w:p>
    <w:p w14:paraId="17529E20">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投标人代表有效身份证件；</w:t>
      </w:r>
    </w:p>
    <w:p w14:paraId="202ACDF5">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如企业/事业单位</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委派投标人代表的，需提交</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授权书（原件）。</w:t>
      </w:r>
    </w:p>
    <w:p w14:paraId="3E9C420B">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投标文件的修改和撤回</w:t>
      </w:r>
    </w:p>
    <w:p w14:paraId="3F181C8F">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在投标文件递交截止时间前，投标人可以用书面形式提出修改或撤回其投标并送达到采购人，但不得影响开标活动的正常进行。</w:t>
      </w:r>
    </w:p>
    <w:p w14:paraId="2D749A7B">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“投标文件修改”或“投标文件撤回通知”都应密封并在密封袋上写明投标项目名称、编号、投标单位名称，并注明“投标文件修改”或“投标文件撤回通知”字样。</w:t>
      </w:r>
    </w:p>
    <w:p w14:paraId="60F8D0B3">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从投标文件递交截止时间起至投标有效期满这段时间内，投标人不得撤回其投标，否则投标保证金将被不予退还。</w:t>
      </w:r>
    </w:p>
    <w:p w14:paraId="3C0A2D29">
      <w:pPr>
        <w:numPr>
          <w:ilvl w:val="0"/>
          <w:numId w:val="3"/>
        </w:numPr>
        <w:tabs>
          <w:tab w:val="left" w:pos="525"/>
          <w:tab w:val="left" w:pos="900"/>
        </w:tabs>
        <w:ind w:left="527" w:hanging="527"/>
        <w:rPr>
          <w:rFonts w:hint="eastAsia" w:ascii="宋体" w:hAnsi="宋体" w:eastAsia="宋体" w:cs="宋体"/>
          <w:b/>
          <w:sz w:val="22"/>
          <w:highlight w:val="none"/>
          <w:u w:val="single"/>
        </w:rPr>
      </w:pPr>
      <w:r>
        <w:rPr>
          <w:rFonts w:hint="eastAsia" w:ascii="宋体" w:hAnsi="宋体" w:eastAsia="宋体" w:cs="宋体"/>
          <w:b/>
          <w:sz w:val="22"/>
          <w:highlight w:val="none"/>
          <w:u w:val="single"/>
        </w:rPr>
        <w:t>▲发生下列情况之一的投标文件将拒收：</w:t>
      </w:r>
    </w:p>
    <w:p w14:paraId="7838E907">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在投标文件递交截止时间以后送达的投标文件；</w:t>
      </w:r>
    </w:p>
    <w:p w14:paraId="27E2CFF0">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未购买采购文件；</w:t>
      </w:r>
    </w:p>
    <w:p w14:paraId="319B479B">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未密封或未装订的投标文件及由于包装不妥在送达</w:t>
      </w:r>
      <w:r>
        <w:rPr>
          <w:rFonts w:hint="eastAsia" w:ascii="宋体" w:hAnsi="宋体" w:eastAsia="宋体" w:cs="宋体"/>
          <w:bCs/>
          <w:sz w:val="22"/>
          <w:highlight w:val="none"/>
          <w:u w:val="single"/>
          <w:lang w:val="en-US" w:eastAsia="zh-CN"/>
        </w:rPr>
        <w:t>时</w:t>
      </w:r>
      <w:r>
        <w:rPr>
          <w:rFonts w:hint="eastAsia" w:ascii="宋体" w:hAnsi="宋体" w:eastAsia="宋体" w:cs="宋体"/>
          <w:bCs/>
          <w:sz w:val="22"/>
          <w:highlight w:val="none"/>
          <w:u w:val="single"/>
        </w:rPr>
        <w:t>严重破损或失散的投标文件；</w:t>
      </w:r>
    </w:p>
    <w:p w14:paraId="6A775E2A">
      <w:pPr>
        <w:numPr>
          <w:ilvl w:val="1"/>
          <w:numId w:val="11"/>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u w:val="single"/>
        </w:rPr>
        <w:t>以电讯形式递交的投标文件</w:t>
      </w:r>
      <w:r>
        <w:rPr>
          <w:rFonts w:hint="eastAsia" w:ascii="宋体" w:hAnsi="宋体" w:eastAsia="宋体" w:cs="宋体"/>
          <w:bCs/>
          <w:sz w:val="22"/>
          <w:highlight w:val="none"/>
        </w:rPr>
        <w:t>。</w:t>
      </w:r>
    </w:p>
    <w:p w14:paraId="563801E0">
      <w:pPr>
        <w:spacing w:before="156" w:beforeLines="50" w:after="156" w:afterLines="50"/>
        <w:jc w:val="center"/>
        <w:rPr>
          <w:rFonts w:hint="eastAsia" w:ascii="宋体" w:hAnsi="宋体" w:eastAsia="宋体" w:cs="宋体"/>
          <w:b/>
          <w:sz w:val="28"/>
          <w:szCs w:val="28"/>
          <w:highlight w:val="none"/>
        </w:rPr>
      </w:pPr>
      <w:bookmarkStart w:id="108" w:name="_Toc204578579"/>
      <w:bookmarkStart w:id="109" w:name="_Toc219538617"/>
      <w:bookmarkStart w:id="110" w:name="_Toc205703106"/>
      <w:bookmarkStart w:id="111" w:name="_Toc215415534"/>
      <w:bookmarkStart w:id="112" w:name="_Toc209261436"/>
      <w:bookmarkStart w:id="113" w:name="_Toc227489891"/>
      <w:bookmarkStart w:id="114" w:name="_Toc209332637"/>
      <w:bookmarkStart w:id="115" w:name="_Toc205005290"/>
      <w:bookmarkStart w:id="116" w:name="_Toc216667824"/>
      <w:bookmarkStart w:id="117" w:name="_Toc214365794"/>
      <w:bookmarkStart w:id="118" w:name="_Toc217460689"/>
      <w:bookmarkStart w:id="119" w:name="_Toc218041730"/>
      <w:bookmarkStart w:id="120" w:name="_Toc209250723"/>
      <w:bookmarkStart w:id="121" w:name="_Toc205877456"/>
      <w:bookmarkStart w:id="122" w:name="_Toc204491321"/>
      <w:bookmarkStart w:id="123" w:name="_Toc227057037"/>
      <w:bookmarkStart w:id="124" w:name="_Toc223933225"/>
      <w:bookmarkStart w:id="125" w:name="_Toc205004972"/>
      <w:bookmarkStart w:id="126" w:name="_Toc207609185"/>
      <w:bookmarkStart w:id="127" w:name="_Toc209261369"/>
      <w:bookmarkStart w:id="128" w:name="_Toc205877561"/>
      <w:bookmarkStart w:id="129" w:name="_Toc223717608"/>
      <w:bookmarkStart w:id="130" w:name="_Toc227056850"/>
      <w:bookmarkStart w:id="131" w:name="_Toc210879712"/>
      <w:bookmarkStart w:id="132" w:name="_Toc209251131"/>
      <w:r>
        <w:rPr>
          <w:rFonts w:hint="eastAsia" w:ascii="宋体" w:hAnsi="宋体" w:eastAsia="宋体" w:cs="宋体"/>
          <w:b/>
          <w:sz w:val="28"/>
          <w:szCs w:val="28"/>
          <w:highlight w:val="none"/>
        </w:rPr>
        <w:t>五、 开标和评审</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3868826">
      <w:pPr>
        <w:numPr>
          <w:ilvl w:val="0"/>
          <w:numId w:val="3"/>
        </w:numPr>
        <w:tabs>
          <w:tab w:val="left" w:pos="525"/>
          <w:tab w:val="left" w:pos="900"/>
        </w:tabs>
        <w:ind w:left="525" w:hanging="525"/>
        <w:rPr>
          <w:rFonts w:hint="eastAsia" w:ascii="宋体" w:hAnsi="宋体" w:eastAsia="宋体" w:cs="宋体"/>
          <w:sz w:val="22"/>
          <w:highlight w:val="none"/>
        </w:rPr>
      </w:pPr>
      <w:bookmarkStart w:id="133" w:name="_Toc207609186"/>
      <w:bookmarkStart w:id="134" w:name="_Toc227056851"/>
      <w:bookmarkStart w:id="135" w:name="_Toc219538618"/>
      <w:bookmarkStart w:id="136" w:name="_Toc217460690"/>
      <w:bookmarkStart w:id="137" w:name="_Toc205703107"/>
      <w:bookmarkStart w:id="138" w:name="_Toc214365795"/>
      <w:bookmarkStart w:id="139" w:name="_Toc209261437"/>
      <w:bookmarkStart w:id="140" w:name="_Toc209261370"/>
      <w:bookmarkStart w:id="141" w:name="_Toc210879713"/>
      <w:bookmarkStart w:id="142" w:name="_Toc209250724"/>
      <w:bookmarkStart w:id="143" w:name="_Toc218041731"/>
      <w:bookmarkStart w:id="144" w:name="_Toc227489892"/>
      <w:bookmarkStart w:id="145" w:name="_Toc204491322"/>
      <w:bookmarkStart w:id="146" w:name="_Toc223933226"/>
      <w:bookmarkStart w:id="147" w:name="_Toc216667825"/>
      <w:bookmarkStart w:id="148" w:name="_Toc209251132"/>
      <w:bookmarkStart w:id="149" w:name="_Toc205004973"/>
      <w:bookmarkStart w:id="150" w:name="_Toc209332638"/>
      <w:bookmarkStart w:id="151" w:name="_Toc205877562"/>
      <w:bookmarkStart w:id="152" w:name="_Toc204578580"/>
      <w:bookmarkStart w:id="153" w:name="_Toc223717609"/>
      <w:bookmarkStart w:id="154" w:name="_Toc205877457"/>
      <w:bookmarkStart w:id="155" w:name="_Toc227057038"/>
      <w:bookmarkStart w:id="156" w:name="_Toc215415535"/>
      <w:bookmarkStart w:id="157" w:name="_Toc205005291"/>
      <w:r>
        <w:rPr>
          <w:rFonts w:hint="eastAsia" w:ascii="宋体" w:hAnsi="宋体" w:eastAsia="宋体" w:cs="宋体"/>
          <w:sz w:val="22"/>
          <w:highlight w:val="none"/>
        </w:rPr>
        <w:t>评标委员会</w:t>
      </w:r>
    </w:p>
    <w:p w14:paraId="69CCEE62">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采购人依法组建评标委员会。评标委员会的成员在评标过程中必须严格遵守有关法律、法规的规定。</w:t>
      </w:r>
    </w:p>
    <w:p w14:paraId="055EB028">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评标过程的保密性</w:t>
      </w:r>
    </w:p>
    <w:p w14:paraId="3ADD0120">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开标后直至向中标人授予合同时止，凡与评审有关的资料均不得向投标人及与评标无关人员透露。如果投标人在评标过程中试图向</w:t>
      </w:r>
      <w:r>
        <w:rPr>
          <w:rFonts w:hint="eastAsia" w:ascii="宋体" w:hAnsi="宋体" w:eastAsia="宋体" w:cs="宋体"/>
          <w:sz w:val="22"/>
          <w:highlight w:val="none"/>
        </w:rPr>
        <w:t>采购单位、评标委员会</w:t>
      </w:r>
      <w:r>
        <w:rPr>
          <w:rFonts w:hint="eastAsia" w:ascii="宋体" w:hAnsi="宋体" w:eastAsia="宋体" w:cs="宋体"/>
          <w:bCs/>
          <w:sz w:val="22"/>
          <w:highlight w:val="none"/>
        </w:rPr>
        <w:t>施加影响，其投标将被拒绝。</w:t>
      </w:r>
    </w:p>
    <w:p w14:paraId="1313626E">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开标、评标</w:t>
      </w:r>
    </w:p>
    <w:p w14:paraId="0F04E3FF">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开标程序：</w:t>
      </w:r>
    </w:p>
    <w:p w14:paraId="5289AFC6">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宣布开标纪律；</w:t>
      </w:r>
    </w:p>
    <w:p w14:paraId="336E8E8C">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公布在投标截止时间前递交投标文件的</w:t>
      </w:r>
      <w:r>
        <w:rPr>
          <w:rFonts w:hint="eastAsia" w:ascii="宋体" w:hAnsi="宋体" w:eastAsia="宋体" w:cs="宋体"/>
          <w:bCs/>
          <w:sz w:val="22"/>
          <w:highlight w:val="none"/>
          <w:lang w:eastAsia="zh-CN"/>
        </w:rPr>
        <w:t>投标人</w:t>
      </w:r>
      <w:r>
        <w:rPr>
          <w:rFonts w:hint="eastAsia" w:ascii="宋体" w:hAnsi="宋体" w:eastAsia="宋体" w:cs="宋体"/>
          <w:bCs/>
          <w:sz w:val="22"/>
          <w:highlight w:val="none"/>
        </w:rPr>
        <w:t>名称，并点名确认</w:t>
      </w:r>
      <w:r>
        <w:rPr>
          <w:rFonts w:hint="eastAsia" w:ascii="宋体" w:hAnsi="宋体" w:eastAsia="宋体" w:cs="宋体"/>
          <w:bCs/>
          <w:sz w:val="22"/>
          <w:highlight w:val="none"/>
          <w:lang w:eastAsia="zh-CN"/>
        </w:rPr>
        <w:t>投标人</w:t>
      </w:r>
      <w:r>
        <w:rPr>
          <w:rFonts w:hint="eastAsia" w:ascii="宋体" w:hAnsi="宋体" w:eastAsia="宋体" w:cs="宋体"/>
          <w:bCs/>
          <w:sz w:val="22"/>
          <w:highlight w:val="none"/>
        </w:rPr>
        <w:t>是否派授权代表到场；</w:t>
      </w:r>
    </w:p>
    <w:p w14:paraId="50BC8C09">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宣布唱标人、记录人、监督人员等有关人员姓名；</w:t>
      </w:r>
    </w:p>
    <w:p w14:paraId="71F76841">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密封情况检查：由</w:t>
      </w:r>
      <w:r>
        <w:rPr>
          <w:rFonts w:hint="eastAsia" w:ascii="宋体" w:hAnsi="宋体" w:eastAsia="宋体" w:cs="宋体"/>
          <w:bCs/>
          <w:sz w:val="22"/>
          <w:highlight w:val="none"/>
          <w:lang w:eastAsia="zh-CN"/>
        </w:rPr>
        <w:t>投标人</w:t>
      </w:r>
      <w:r>
        <w:rPr>
          <w:rFonts w:hint="eastAsia" w:ascii="宋体" w:hAnsi="宋体" w:eastAsia="宋体" w:cs="宋体"/>
          <w:bCs/>
          <w:sz w:val="22"/>
          <w:highlight w:val="none"/>
        </w:rPr>
        <w:t>或其推选的代表检查投标文件密封情况；</w:t>
      </w:r>
    </w:p>
    <w:p w14:paraId="1C9E3F0A">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开标顺序：</w:t>
      </w:r>
      <w:r>
        <w:rPr>
          <w:rFonts w:hint="eastAsia" w:ascii="宋体" w:hAnsi="宋体" w:eastAsia="宋体" w:cs="宋体"/>
          <w:bCs/>
          <w:sz w:val="22"/>
          <w:highlight w:val="none"/>
          <w:lang w:val="en-US" w:eastAsia="zh-CN"/>
        </w:rPr>
        <w:t>同时</w:t>
      </w:r>
      <w:r>
        <w:rPr>
          <w:rFonts w:hint="eastAsia" w:ascii="宋体" w:hAnsi="宋体" w:eastAsia="宋体" w:cs="宋体"/>
          <w:bCs/>
          <w:sz w:val="22"/>
          <w:highlight w:val="none"/>
        </w:rPr>
        <w:t>开启技术资信部分投标文件、开启商务（报价）文件；</w:t>
      </w:r>
    </w:p>
    <w:p w14:paraId="47DACA52">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确认开标结果：</w:t>
      </w:r>
      <w:r>
        <w:rPr>
          <w:rFonts w:hint="eastAsia" w:ascii="宋体" w:hAnsi="宋体" w:eastAsia="宋体" w:cs="宋体"/>
          <w:bCs/>
          <w:sz w:val="22"/>
          <w:highlight w:val="none"/>
          <w:lang w:eastAsia="zh-CN"/>
        </w:rPr>
        <w:t>投标人</w:t>
      </w:r>
      <w:r>
        <w:rPr>
          <w:rFonts w:hint="eastAsia" w:ascii="宋体" w:hAnsi="宋体" w:eastAsia="宋体" w:cs="宋体"/>
          <w:bCs/>
          <w:sz w:val="22"/>
          <w:highlight w:val="none"/>
        </w:rPr>
        <w:t>授权代表对开标书面记录进行当场校核及勘误，并签字确认；并同时由记录人、核对人当场签字确认。</w:t>
      </w:r>
    </w:p>
    <w:p w14:paraId="641D95E2">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宣布开标结束。</w:t>
      </w:r>
    </w:p>
    <w:p w14:paraId="1F8526F5">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lang w:eastAsia="zh-CN"/>
        </w:rPr>
        <w:t>投标人</w:t>
      </w:r>
      <w:r>
        <w:rPr>
          <w:rFonts w:hint="eastAsia" w:ascii="宋体" w:hAnsi="宋体" w:eastAsia="宋体" w:cs="宋体"/>
          <w:bCs/>
          <w:sz w:val="22"/>
          <w:highlight w:val="none"/>
        </w:rPr>
        <w:t>授权代表未参加开标会议；未到场签字确认的，不影响开标，评标过程，视同认可开标结果；事后不得对采购相关人员、开标过程和开标结果提出异议。</w:t>
      </w:r>
    </w:p>
    <w:p w14:paraId="4DE222AA">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评标程序：先对各投标文件进行初审，然后对初审合格的投标文件进行技术资信标评审，技术资信标评审结束后，再对各有效标进行商务（报价）评审。</w:t>
      </w:r>
    </w:p>
    <w:p w14:paraId="68737A49">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投标文件的初审。初审分为资格性审查和符合性检查。</w:t>
      </w:r>
    </w:p>
    <w:p w14:paraId="35C0D274">
      <w:pPr>
        <w:numPr>
          <w:ilvl w:val="0"/>
          <w:numId w:val="14"/>
        </w:numPr>
        <w:tabs>
          <w:tab w:val="left" w:pos="525"/>
        </w:tabs>
        <w:ind w:left="525" w:hanging="315"/>
        <w:rPr>
          <w:rFonts w:hint="eastAsia" w:ascii="宋体" w:hAnsi="宋体" w:eastAsia="宋体" w:cs="宋体"/>
          <w:b/>
          <w:bCs/>
          <w:sz w:val="22"/>
          <w:highlight w:val="none"/>
          <w:u w:val="single"/>
        </w:rPr>
      </w:pPr>
      <w:r>
        <w:rPr>
          <w:rFonts w:hint="eastAsia" w:ascii="宋体" w:hAnsi="宋体" w:eastAsia="宋体" w:cs="宋体"/>
          <w:bCs/>
          <w:sz w:val="22"/>
          <w:highlight w:val="none"/>
        </w:rPr>
        <w:t>资格性审查。依据法律、法规和采购文件的规定，评标委员会对各投标人进行资格性审查，资格性审查内容包括但不仅限于审查随投标文件一同提交的</w:t>
      </w:r>
      <w:r>
        <w:rPr>
          <w:rFonts w:hint="eastAsia" w:ascii="宋体" w:hAnsi="宋体" w:eastAsia="宋体" w:cs="宋体"/>
          <w:bCs/>
          <w:sz w:val="22"/>
          <w:highlight w:val="none"/>
          <w:lang w:eastAsia="zh-CN"/>
        </w:rPr>
        <w:t>法定代表人</w:t>
      </w:r>
      <w:r>
        <w:rPr>
          <w:rFonts w:hint="eastAsia" w:ascii="宋体" w:hAnsi="宋体" w:eastAsia="宋体" w:cs="宋体"/>
          <w:bCs/>
          <w:sz w:val="22"/>
          <w:highlight w:val="none"/>
        </w:rPr>
        <w:t>授权书（原件）、投标代表人有效身份证件、投标保证金缴纳凭证，以及投标文件所提交证明材料是否能证明符合本项目对投标人资格的实质性要求。</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审查不合格的投标文件将作无效标处理。</w:t>
      </w:r>
    </w:p>
    <w:p w14:paraId="1EFCE62B">
      <w:pPr>
        <w:numPr>
          <w:ilvl w:val="0"/>
          <w:numId w:val="14"/>
        </w:numPr>
        <w:tabs>
          <w:tab w:val="left" w:pos="525"/>
        </w:tabs>
        <w:ind w:left="525" w:hanging="315"/>
        <w:rPr>
          <w:rFonts w:hint="eastAsia" w:ascii="宋体" w:hAnsi="宋体" w:eastAsia="宋体" w:cs="宋体"/>
          <w:bCs/>
          <w:sz w:val="22"/>
          <w:highlight w:val="none"/>
        </w:rPr>
      </w:pPr>
      <w:r>
        <w:rPr>
          <w:rFonts w:hint="eastAsia" w:ascii="宋体" w:hAnsi="宋体" w:eastAsia="宋体" w:cs="宋体"/>
          <w:bCs/>
          <w:sz w:val="22"/>
          <w:highlight w:val="none"/>
        </w:rPr>
        <w:t>符合性检查。依据采购文件的规定，对投标文件的有效性、完整性和对采购文件的响应程度进行审查，以确定是否对采购文件的实质性要求作出响应。</w:t>
      </w:r>
    </w:p>
    <w:p w14:paraId="1E41E66C">
      <w:pPr>
        <w:tabs>
          <w:tab w:val="left" w:pos="525"/>
        </w:tabs>
        <w:ind w:left="548" w:leftChars="261"/>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▲通过资格性审查与符合性审查的技术资信标由评委进行综合评审，审查确认未通过的技术资信标不予评审。</w:t>
      </w:r>
    </w:p>
    <w:p w14:paraId="2300D629">
      <w:pPr>
        <w:numPr>
          <w:ilvl w:val="1"/>
          <w:numId w:val="12"/>
        </w:numPr>
        <w:tabs>
          <w:tab w:val="left" w:pos="525"/>
        </w:tabs>
        <w:ind w:left="525" w:hanging="525"/>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▲在对各投标人的投标文件进行综合评审时，投标文件有下列情况之一的，经评标委员会认定后按无效标处理：</w:t>
      </w:r>
    </w:p>
    <w:p w14:paraId="164D36E7">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w:t>
      </w:r>
      <w:r>
        <w:rPr>
          <w:rFonts w:hint="eastAsia" w:ascii="宋体" w:hAnsi="宋体" w:eastAsia="宋体" w:cs="宋体"/>
          <w:bCs/>
          <w:sz w:val="22"/>
          <w:highlight w:val="none"/>
          <w:u w:val="single"/>
          <w:lang w:val="en-US" w:eastAsia="zh-CN"/>
        </w:rPr>
        <w:t>主要内容</w:t>
      </w:r>
      <w:r>
        <w:rPr>
          <w:rFonts w:hint="eastAsia" w:ascii="宋体" w:hAnsi="宋体" w:eastAsia="宋体" w:cs="宋体"/>
          <w:bCs/>
          <w:sz w:val="22"/>
          <w:highlight w:val="none"/>
          <w:u w:val="single"/>
        </w:rPr>
        <w:t>未按要求加盖单位公章、无</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或其授权代表签字或盖章的；</w:t>
      </w:r>
    </w:p>
    <w:p w14:paraId="09F45098">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投标文件附有采购人不能接受的条件；</w:t>
      </w:r>
    </w:p>
    <w:p w14:paraId="50ED3F4C">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授权代表参加投标没有</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合法、有效委托的；</w:t>
      </w:r>
    </w:p>
    <w:p w14:paraId="6953093B">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投标单位递交两份以上内容不同的投标书，未声明哪一份有效的；</w:t>
      </w:r>
    </w:p>
    <w:p w14:paraId="138F3E9C">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投标单位未能按要求提交投标保证金的；</w:t>
      </w:r>
    </w:p>
    <w:p w14:paraId="537B3CE7">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未实质性响应采购文件中</w:t>
      </w:r>
      <w:r>
        <w:rPr>
          <w:rFonts w:hint="eastAsia" w:ascii="宋体" w:hAnsi="宋体" w:eastAsia="宋体" w:cs="宋体"/>
          <w:bCs/>
          <w:sz w:val="22"/>
          <w:highlight w:val="none"/>
          <w:u w:val="single"/>
          <w:lang w:val="en-US" w:eastAsia="zh-CN"/>
        </w:rPr>
        <w:t>加</w:t>
      </w:r>
      <w:r>
        <w:rPr>
          <w:rFonts w:hint="eastAsia" w:ascii="宋体" w:hAnsi="宋体" w:eastAsia="宋体" w:cs="宋体"/>
          <w:bCs/>
          <w:sz w:val="22"/>
          <w:highlight w:val="none"/>
          <w:u w:val="single"/>
        </w:rPr>
        <w:t>“▲”同时加下划线</w:t>
      </w:r>
      <w:r>
        <w:rPr>
          <w:rFonts w:hint="eastAsia" w:ascii="宋体" w:hAnsi="宋体" w:eastAsia="宋体" w:cs="宋体"/>
          <w:bCs/>
          <w:sz w:val="22"/>
          <w:highlight w:val="none"/>
          <w:u w:val="single"/>
          <w:lang w:val="en-US" w:eastAsia="zh-CN"/>
        </w:rPr>
        <w:t>的</w:t>
      </w:r>
      <w:r>
        <w:rPr>
          <w:rFonts w:hint="eastAsia" w:ascii="宋体" w:hAnsi="宋体" w:eastAsia="宋体" w:cs="宋体"/>
          <w:bCs/>
          <w:sz w:val="22"/>
          <w:highlight w:val="none"/>
          <w:u w:val="single"/>
        </w:rPr>
        <w:t>条款；</w:t>
      </w:r>
    </w:p>
    <w:p w14:paraId="2E530025">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投标报价超出采购预算</w:t>
      </w:r>
      <w:r>
        <w:rPr>
          <w:rFonts w:hint="eastAsia" w:ascii="宋体" w:hAnsi="宋体" w:eastAsia="宋体" w:cs="宋体"/>
          <w:bCs/>
          <w:sz w:val="22"/>
          <w:highlight w:val="none"/>
          <w:u w:val="single"/>
          <w:lang w:val="en-US" w:eastAsia="zh-CN"/>
        </w:rPr>
        <w:t>或综合单价最高限价</w:t>
      </w:r>
      <w:r>
        <w:rPr>
          <w:rFonts w:hint="eastAsia" w:ascii="宋体" w:hAnsi="宋体" w:eastAsia="宋体" w:cs="宋体"/>
          <w:bCs/>
          <w:sz w:val="22"/>
          <w:highlight w:val="none"/>
          <w:u w:val="single"/>
        </w:rPr>
        <w:t>的</w:t>
      </w:r>
      <w:r>
        <w:rPr>
          <w:rFonts w:hint="eastAsia" w:ascii="宋体" w:hAnsi="宋体" w:eastAsia="宋体" w:cs="宋体"/>
          <w:bCs/>
          <w:sz w:val="22"/>
          <w:highlight w:val="none"/>
          <w:u w:val="single"/>
          <w:lang w:eastAsia="zh-CN"/>
        </w:rPr>
        <w:t>；</w:t>
      </w:r>
    </w:p>
    <w:p w14:paraId="150B06F3">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投标人提交的投标文件相关证书、材料经评标委员会认定有弄虚作假情况的；</w:t>
      </w:r>
    </w:p>
    <w:p w14:paraId="3E25E2B2">
      <w:pPr>
        <w:numPr>
          <w:ilvl w:val="0"/>
          <w:numId w:val="15"/>
        </w:numPr>
        <w:rPr>
          <w:rFonts w:hint="eastAsia" w:ascii="宋体" w:hAnsi="宋体" w:eastAsia="宋体" w:cs="宋体"/>
          <w:bCs/>
          <w:sz w:val="22"/>
          <w:highlight w:val="none"/>
        </w:rPr>
      </w:pPr>
      <w:r>
        <w:rPr>
          <w:rFonts w:hint="eastAsia" w:ascii="宋体" w:hAnsi="宋体" w:eastAsia="宋体" w:cs="宋体"/>
          <w:bCs/>
          <w:sz w:val="22"/>
          <w:highlight w:val="none"/>
          <w:u w:val="single"/>
        </w:rPr>
        <w:t>评标委员会认定不符合法律、法规和采购文件中规定的其他实质性要求的。</w:t>
      </w:r>
    </w:p>
    <w:p w14:paraId="730F041D">
      <w:pPr>
        <w:tabs>
          <w:tab w:val="left" w:pos="525"/>
        </w:tabs>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评标委员会发现投标文件有下列情形之一的属于重大偏差(评标委员会按少数服从多数原则认定),按照无效投标处理</w:t>
      </w:r>
      <w:r>
        <w:rPr>
          <w:rFonts w:hint="eastAsia" w:ascii="宋体" w:hAnsi="宋体" w:eastAsia="宋体" w:cs="宋体"/>
          <w:kern w:val="0"/>
          <w:sz w:val="22"/>
          <w:highlight w:val="none"/>
        </w:rPr>
        <w:t>：</w:t>
      </w:r>
    </w:p>
    <w:p w14:paraId="25FC82F8">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1）主要、实质性内容未按采购文件要求编制、</w:t>
      </w:r>
      <w:r>
        <w:rPr>
          <w:rFonts w:hint="eastAsia" w:ascii="宋体" w:hAnsi="宋体" w:eastAsia="宋体" w:cs="宋体"/>
          <w:bCs/>
          <w:sz w:val="22"/>
          <w:highlight w:val="none"/>
          <w:u w:val="single"/>
        </w:rPr>
        <w:t>内容不全</w:t>
      </w:r>
      <w:r>
        <w:rPr>
          <w:rFonts w:hint="eastAsia" w:ascii="宋体" w:hAnsi="宋体" w:eastAsia="宋体" w:cs="宋体"/>
          <w:kern w:val="0"/>
          <w:sz w:val="22"/>
          <w:highlight w:val="none"/>
          <w:u w:val="single"/>
        </w:rPr>
        <w:t>或实质性内容字迹模糊、辨认不清的投标文件；</w:t>
      </w:r>
    </w:p>
    <w:p w14:paraId="073687CA">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2）除22.4条款以外，出现其它明显不符合服务内容要求、技术服务标准要求或不满足采购文件</w:t>
      </w:r>
      <w:r>
        <w:rPr>
          <w:rFonts w:hint="eastAsia" w:ascii="宋体" w:hAnsi="宋体" w:eastAsia="宋体" w:cs="宋体"/>
          <w:kern w:val="0"/>
          <w:sz w:val="22"/>
          <w:highlight w:val="none"/>
          <w:u w:val="single"/>
          <w:lang w:val="en-US" w:eastAsia="zh-CN"/>
        </w:rPr>
        <w:t>采购</w:t>
      </w:r>
      <w:r>
        <w:rPr>
          <w:rFonts w:hint="eastAsia" w:ascii="宋体" w:hAnsi="宋体" w:eastAsia="宋体" w:cs="宋体"/>
          <w:kern w:val="0"/>
          <w:sz w:val="22"/>
          <w:highlight w:val="none"/>
          <w:u w:val="single"/>
        </w:rPr>
        <w:t>内容及要求中的主要</w:t>
      </w:r>
      <w:r>
        <w:rPr>
          <w:rFonts w:hint="eastAsia" w:ascii="宋体" w:hAnsi="宋体" w:eastAsia="宋体" w:cs="宋体"/>
          <w:kern w:val="0"/>
          <w:sz w:val="22"/>
          <w:highlight w:val="none"/>
          <w:u w:val="single"/>
          <w:lang w:val="en-US" w:eastAsia="zh-CN"/>
        </w:rPr>
        <w:t>服务要求等</w:t>
      </w:r>
      <w:r>
        <w:rPr>
          <w:rFonts w:hint="eastAsia" w:ascii="宋体" w:hAnsi="宋体" w:eastAsia="宋体" w:cs="宋体"/>
          <w:bCs/>
          <w:sz w:val="22"/>
          <w:highlight w:val="none"/>
          <w:u w:val="single"/>
        </w:rPr>
        <w:t>，对服务质量产生重大影响</w:t>
      </w:r>
      <w:r>
        <w:rPr>
          <w:rFonts w:hint="eastAsia" w:ascii="宋体" w:hAnsi="宋体" w:eastAsia="宋体" w:cs="宋体"/>
          <w:kern w:val="0"/>
          <w:sz w:val="22"/>
          <w:highlight w:val="none"/>
          <w:u w:val="single"/>
        </w:rPr>
        <w:t>的投标文件；</w:t>
      </w:r>
    </w:p>
    <w:p w14:paraId="3A459ACC">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3）除22.4条款以外，出现投标项目服务</w:t>
      </w:r>
      <w:r>
        <w:rPr>
          <w:rFonts w:hint="eastAsia" w:ascii="宋体" w:hAnsi="宋体" w:eastAsia="宋体" w:cs="宋体"/>
          <w:kern w:val="0"/>
          <w:sz w:val="22"/>
          <w:highlight w:val="none"/>
          <w:u w:val="single"/>
          <w:lang w:val="en-US" w:eastAsia="zh-CN"/>
        </w:rPr>
        <w:t>内容、服务</w:t>
      </w:r>
      <w:r>
        <w:rPr>
          <w:rFonts w:hint="eastAsia" w:ascii="宋体" w:hAnsi="宋体" w:eastAsia="宋体" w:cs="宋体"/>
          <w:kern w:val="0"/>
          <w:sz w:val="22"/>
          <w:highlight w:val="none"/>
          <w:u w:val="single"/>
        </w:rPr>
        <w:t>工作量与采购文件对比出现较大偏差；</w:t>
      </w:r>
      <w:r>
        <w:rPr>
          <w:rFonts w:hint="eastAsia" w:ascii="宋体" w:hAnsi="宋体" w:eastAsia="宋体" w:cs="宋体"/>
          <w:kern w:val="0"/>
          <w:sz w:val="22"/>
          <w:highlight w:val="none"/>
          <w:u w:val="single"/>
          <w:lang w:val="en-US" w:eastAsia="zh-CN"/>
        </w:rPr>
        <w:t>或</w:t>
      </w:r>
      <w:r>
        <w:rPr>
          <w:rFonts w:hint="eastAsia" w:ascii="宋体" w:hAnsi="宋体" w:eastAsia="宋体" w:cs="宋体"/>
          <w:kern w:val="0"/>
          <w:sz w:val="22"/>
          <w:highlight w:val="none"/>
          <w:u w:val="single"/>
        </w:rPr>
        <w:t>商务报价明细表计算错误，出现较大差错；</w:t>
      </w:r>
    </w:p>
    <w:p w14:paraId="690DACE7">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4）除22.4条款以外，出现其它不符合采购文件中规定的实质性要求的投标文件，是否为偏离实质性要求由评标委员会认定。</w:t>
      </w:r>
    </w:p>
    <w:p w14:paraId="50135E89">
      <w:pPr>
        <w:numPr>
          <w:ilvl w:val="1"/>
          <w:numId w:val="12"/>
        </w:numPr>
        <w:tabs>
          <w:tab w:val="left" w:pos="525"/>
        </w:tabs>
        <w:ind w:left="525" w:hanging="525"/>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有下列情形之一的，视为</w:t>
      </w:r>
      <w:r>
        <w:rPr>
          <w:rFonts w:hint="eastAsia" w:ascii="宋体" w:hAnsi="宋体" w:eastAsia="宋体" w:cs="宋体"/>
          <w:b/>
          <w:bCs/>
          <w:kern w:val="0"/>
          <w:sz w:val="22"/>
          <w:highlight w:val="none"/>
          <w:u w:val="single"/>
          <w:lang w:eastAsia="zh-CN"/>
        </w:rPr>
        <w:t>投标人</w:t>
      </w:r>
      <w:r>
        <w:rPr>
          <w:rFonts w:hint="eastAsia" w:ascii="宋体" w:hAnsi="宋体" w:eastAsia="宋体" w:cs="宋体"/>
          <w:b/>
          <w:bCs/>
          <w:kern w:val="0"/>
          <w:sz w:val="22"/>
          <w:highlight w:val="none"/>
          <w:u w:val="single"/>
        </w:rPr>
        <w:t>串通投标，其投标无效</w:t>
      </w:r>
      <w:r>
        <w:rPr>
          <w:rFonts w:hint="eastAsia" w:ascii="宋体" w:hAnsi="宋体" w:eastAsia="宋体" w:cs="宋体"/>
          <w:kern w:val="0"/>
          <w:sz w:val="22"/>
          <w:highlight w:val="none"/>
        </w:rPr>
        <w:t>：</w:t>
      </w:r>
    </w:p>
    <w:p w14:paraId="616709D9">
      <w:pPr>
        <w:numPr>
          <w:ilvl w:val="0"/>
          <w:numId w:val="16"/>
        </w:num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不同</w:t>
      </w:r>
      <w:r>
        <w:rPr>
          <w:rFonts w:hint="eastAsia" w:ascii="宋体" w:hAnsi="宋体" w:eastAsia="宋体" w:cs="宋体"/>
          <w:kern w:val="0"/>
          <w:sz w:val="22"/>
          <w:highlight w:val="none"/>
          <w:lang w:eastAsia="zh-CN"/>
        </w:rPr>
        <w:t>投标人</w:t>
      </w:r>
      <w:r>
        <w:rPr>
          <w:rFonts w:hint="eastAsia" w:ascii="宋体" w:hAnsi="宋体" w:eastAsia="宋体" w:cs="宋体"/>
          <w:kern w:val="0"/>
          <w:sz w:val="22"/>
          <w:highlight w:val="none"/>
        </w:rPr>
        <w:t>的投标文件由同一单位或者个人编制；</w:t>
      </w:r>
    </w:p>
    <w:p w14:paraId="644F1FDF">
      <w:pPr>
        <w:numPr>
          <w:ilvl w:val="0"/>
          <w:numId w:val="16"/>
        </w:num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不同</w:t>
      </w:r>
      <w:r>
        <w:rPr>
          <w:rFonts w:hint="eastAsia" w:ascii="宋体" w:hAnsi="宋体" w:eastAsia="宋体" w:cs="宋体"/>
          <w:kern w:val="0"/>
          <w:sz w:val="22"/>
          <w:highlight w:val="none"/>
          <w:lang w:eastAsia="zh-CN"/>
        </w:rPr>
        <w:t>投标人</w:t>
      </w:r>
      <w:r>
        <w:rPr>
          <w:rFonts w:hint="eastAsia" w:ascii="宋体" w:hAnsi="宋体" w:eastAsia="宋体" w:cs="宋体"/>
          <w:kern w:val="0"/>
          <w:sz w:val="22"/>
          <w:highlight w:val="none"/>
        </w:rPr>
        <w:t>委托同一单位或者个人办理投标事宜；</w:t>
      </w:r>
    </w:p>
    <w:p w14:paraId="37D3BDC8">
      <w:pPr>
        <w:numPr>
          <w:ilvl w:val="0"/>
          <w:numId w:val="16"/>
        </w:num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不同</w:t>
      </w:r>
      <w:r>
        <w:rPr>
          <w:rFonts w:hint="eastAsia" w:ascii="宋体" w:hAnsi="宋体" w:eastAsia="宋体" w:cs="宋体"/>
          <w:kern w:val="0"/>
          <w:sz w:val="22"/>
          <w:highlight w:val="none"/>
          <w:lang w:eastAsia="zh-CN"/>
        </w:rPr>
        <w:t>投标人</w:t>
      </w:r>
      <w:r>
        <w:rPr>
          <w:rFonts w:hint="eastAsia" w:ascii="宋体" w:hAnsi="宋体" w:eastAsia="宋体" w:cs="宋体"/>
          <w:kern w:val="0"/>
          <w:sz w:val="22"/>
          <w:highlight w:val="none"/>
        </w:rPr>
        <w:t>的投标文件载明的项目管理成员或者联系人员为同一人；</w:t>
      </w:r>
    </w:p>
    <w:p w14:paraId="7C36A028">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4）不同</w:t>
      </w:r>
      <w:r>
        <w:rPr>
          <w:rFonts w:hint="eastAsia" w:ascii="宋体" w:hAnsi="宋体" w:eastAsia="宋体" w:cs="宋体"/>
          <w:kern w:val="0"/>
          <w:sz w:val="22"/>
          <w:highlight w:val="none"/>
          <w:lang w:eastAsia="zh-CN"/>
        </w:rPr>
        <w:t>投标人</w:t>
      </w:r>
      <w:r>
        <w:rPr>
          <w:rFonts w:hint="eastAsia" w:ascii="宋体" w:hAnsi="宋体" w:eastAsia="宋体" w:cs="宋体"/>
          <w:kern w:val="0"/>
          <w:sz w:val="22"/>
          <w:highlight w:val="none"/>
        </w:rPr>
        <w:t>的投标文件异常一致或者投标报价呈规律性差异；</w:t>
      </w:r>
    </w:p>
    <w:p w14:paraId="397845E1">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5）不同</w:t>
      </w:r>
      <w:r>
        <w:rPr>
          <w:rFonts w:hint="eastAsia" w:ascii="宋体" w:hAnsi="宋体" w:eastAsia="宋体" w:cs="宋体"/>
          <w:kern w:val="0"/>
          <w:sz w:val="22"/>
          <w:highlight w:val="none"/>
          <w:lang w:eastAsia="zh-CN"/>
        </w:rPr>
        <w:t>投标人</w:t>
      </w:r>
      <w:r>
        <w:rPr>
          <w:rFonts w:hint="eastAsia" w:ascii="宋体" w:hAnsi="宋体" w:eastAsia="宋体" w:cs="宋体"/>
          <w:kern w:val="0"/>
          <w:sz w:val="22"/>
          <w:highlight w:val="none"/>
        </w:rPr>
        <w:t>的投标文件相互混装；</w:t>
      </w:r>
    </w:p>
    <w:p w14:paraId="2B9FC60A">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6）不同</w:t>
      </w:r>
      <w:r>
        <w:rPr>
          <w:rFonts w:hint="eastAsia" w:ascii="宋体" w:hAnsi="宋体" w:eastAsia="宋体" w:cs="宋体"/>
          <w:kern w:val="0"/>
          <w:sz w:val="22"/>
          <w:highlight w:val="none"/>
          <w:lang w:eastAsia="zh-CN"/>
        </w:rPr>
        <w:t>投标人</w:t>
      </w:r>
      <w:r>
        <w:rPr>
          <w:rFonts w:hint="eastAsia" w:ascii="宋体" w:hAnsi="宋体" w:eastAsia="宋体" w:cs="宋体"/>
          <w:kern w:val="0"/>
          <w:sz w:val="22"/>
          <w:highlight w:val="none"/>
        </w:rPr>
        <w:t>的投标保证金从同一单位或者个人的账户转出。</w:t>
      </w:r>
    </w:p>
    <w:p w14:paraId="490C0F51">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 xml:space="preserve"> “技术资信标”评审结束后，由评标委员会对各投标人的商务报价进行核查，核查时发现投标报价内容不清楚可要求投标人书面澄清，计算上的错误，可按下面方法修正：</w:t>
      </w:r>
    </w:p>
    <w:p w14:paraId="346812D7">
      <w:pPr>
        <w:numPr>
          <w:ilvl w:val="0"/>
          <w:numId w:val="17"/>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投标文件中开标一览表(报价表)内容与投标文件中相应内容不一致的，以开标一览表(报价表)为准；</w:t>
      </w:r>
    </w:p>
    <w:p w14:paraId="56E37422">
      <w:pPr>
        <w:numPr>
          <w:ilvl w:val="0"/>
          <w:numId w:val="17"/>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大写金额和小写金额不一致的，以大写金额为准；</w:t>
      </w:r>
    </w:p>
    <w:p w14:paraId="79A74483">
      <w:pPr>
        <w:numPr>
          <w:ilvl w:val="0"/>
          <w:numId w:val="17"/>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单价金额小数点或者百分比有明显错位的，以开标一览表的总价为准，并修改单价；</w:t>
      </w:r>
    </w:p>
    <w:p w14:paraId="07A6F17F">
      <w:pPr>
        <w:numPr>
          <w:ilvl w:val="0"/>
          <w:numId w:val="17"/>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总价金额与按单价汇总金额不一致的，以单价金额计算结果为准。</w:t>
      </w:r>
    </w:p>
    <w:p w14:paraId="5862106B">
      <w:pPr>
        <w:tabs>
          <w:tab w:val="left" w:pos="420"/>
          <w:tab w:val="left" w:pos="735"/>
        </w:tabs>
        <w:ind w:left="420"/>
        <w:rPr>
          <w:rFonts w:hint="eastAsia" w:ascii="宋体" w:hAnsi="宋体" w:eastAsia="宋体" w:cs="宋体"/>
          <w:sz w:val="22"/>
          <w:highlight w:val="none"/>
        </w:rPr>
      </w:pPr>
      <w:r>
        <w:rPr>
          <w:rFonts w:hint="eastAsia" w:ascii="宋体" w:hAnsi="宋体" w:eastAsia="宋体" w:cs="宋体"/>
          <w:sz w:val="22"/>
          <w:highlight w:val="none"/>
        </w:rPr>
        <w:t>同时出现两种以上不一致的，按照前款规定的顺序修正（前款优先顺序为1）→2）→3）→4））。</w:t>
      </w:r>
    </w:p>
    <w:p w14:paraId="648A2760">
      <w:pPr>
        <w:tabs>
          <w:tab w:val="left" w:pos="735"/>
        </w:tabs>
        <w:ind w:left="420"/>
        <w:rPr>
          <w:rFonts w:hint="eastAsia" w:ascii="宋体" w:hAnsi="宋体" w:eastAsia="宋体" w:cs="宋体"/>
          <w:sz w:val="22"/>
          <w:highlight w:val="none"/>
          <w:u w:val="single"/>
        </w:rPr>
      </w:pPr>
      <w:r>
        <w:rPr>
          <w:rFonts w:hint="eastAsia" w:ascii="宋体" w:hAnsi="宋体" w:eastAsia="宋体" w:cs="宋体"/>
          <w:kern w:val="0"/>
          <w:sz w:val="22"/>
          <w:highlight w:val="none"/>
          <w:u w:val="single"/>
        </w:rPr>
        <w:t>▲</w:t>
      </w:r>
      <w:r>
        <w:rPr>
          <w:rFonts w:hint="eastAsia" w:ascii="宋体" w:hAnsi="宋体" w:eastAsia="宋体" w:cs="宋体"/>
          <w:b/>
          <w:bCs/>
          <w:sz w:val="22"/>
          <w:highlight w:val="none"/>
          <w:u w:val="single"/>
        </w:rPr>
        <w:t>修正后的报价按照本投标须知第23.1条的规定经投标人确认后产生约束力，投标人不确认的，其投标无效。</w:t>
      </w:r>
    </w:p>
    <w:p w14:paraId="1EF8A4CE">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highlight w:val="none"/>
        </w:rPr>
        <w:t>评标委员会决定投标的响应性只根据投标文件本身的内容，而不寻求外部的证据。</w:t>
      </w:r>
    </w:p>
    <w:p w14:paraId="1A4225F4">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实质上没有响应采购文件要求的投标将被拒绝，投标人不得通过修正或撤消不合要求的偏离或保留从而使其投标成为实质上响应的投标。</w:t>
      </w:r>
    </w:p>
    <w:p w14:paraId="4ADE71CA">
      <w:pPr>
        <w:numPr>
          <w:ilvl w:val="1"/>
          <w:numId w:val="12"/>
        </w:numPr>
        <w:tabs>
          <w:tab w:val="left" w:pos="525"/>
        </w:tabs>
        <w:ind w:left="525" w:hanging="525"/>
        <w:rPr>
          <w:rFonts w:hint="eastAsia" w:ascii="宋体" w:hAnsi="宋体" w:eastAsia="宋体" w:cs="宋体"/>
          <w:szCs w:val="24"/>
          <w:highlight w:val="none"/>
        </w:rPr>
      </w:pPr>
      <w:r>
        <w:rPr>
          <w:rFonts w:hint="eastAsia" w:ascii="宋体" w:hAnsi="宋体" w:eastAsia="宋体" w:cs="宋体"/>
          <w:kern w:val="0"/>
          <w:sz w:val="22"/>
          <w:highlight w:val="none"/>
        </w:rPr>
        <w:t>▲</w:t>
      </w:r>
      <w:r>
        <w:rPr>
          <w:rFonts w:hint="eastAsia" w:ascii="宋体" w:hAnsi="宋体" w:eastAsia="宋体" w:cs="宋体"/>
          <w:b/>
          <w:bCs/>
          <w:kern w:val="0"/>
          <w:sz w:val="22"/>
          <w:highlight w:val="none"/>
          <w:u w:val="singl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kern w:val="0"/>
          <w:sz w:val="22"/>
          <w:highlight w:val="none"/>
        </w:rPr>
        <w:t>。</w:t>
      </w:r>
    </w:p>
    <w:p w14:paraId="368E6E8F">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评标委员会对审查合格的投标文件按照采购文件中制订的评标方法进行综合评定打分。</w:t>
      </w:r>
    </w:p>
    <w:p w14:paraId="2F1AC298">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评标过程中遇到特殊情况，由评标委员会遵循公开、公正原则，采取投票方式按照少数服从多数原则决定。</w:t>
      </w:r>
    </w:p>
    <w:p w14:paraId="77A1B358">
      <w:pPr>
        <w:numPr>
          <w:ilvl w:val="1"/>
          <w:numId w:val="12"/>
        </w:numPr>
        <w:tabs>
          <w:tab w:val="left" w:pos="525"/>
        </w:tabs>
        <w:ind w:left="525" w:hanging="525"/>
        <w:rPr>
          <w:rFonts w:hint="eastAsia" w:ascii="宋体" w:hAnsi="宋体" w:eastAsia="宋体" w:cs="宋体"/>
          <w:b/>
          <w:bCs/>
          <w:sz w:val="22"/>
          <w:highlight w:val="none"/>
          <w:u w:val="single"/>
          <w:shd w:val="clear" w:color="auto" w:fill="FFFF00"/>
        </w:rPr>
      </w:pPr>
      <w:r>
        <w:rPr>
          <w:rFonts w:hint="eastAsia" w:ascii="宋体" w:hAnsi="宋体" w:eastAsia="宋体" w:cs="宋体"/>
          <w:bCs/>
          <w:sz w:val="22"/>
          <w:szCs w:val="22"/>
          <w:highlight w:val="none"/>
        </w:rPr>
        <w:t>如投标截止时间、评审期间，出现有效</w:t>
      </w:r>
      <w:r>
        <w:rPr>
          <w:rFonts w:hint="eastAsia" w:ascii="宋体" w:hAnsi="宋体" w:eastAsia="宋体" w:cs="宋体"/>
          <w:bCs/>
          <w:sz w:val="22"/>
          <w:szCs w:val="22"/>
          <w:highlight w:val="none"/>
          <w:lang w:eastAsia="zh-CN"/>
        </w:rPr>
        <w:t>投标人</w:t>
      </w:r>
      <w:r>
        <w:rPr>
          <w:rFonts w:hint="eastAsia" w:ascii="宋体" w:hAnsi="宋体" w:eastAsia="宋体" w:cs="宋体"/>
          <w:bCs/>
          <w:sz w:val="22"/>
          <w:szCs w:val="22"/>
          <w:highlight w:val="none"/>
        </w:rPr>
        <w:t>不足3家的</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作废标处理</w:t>
      </w:r>
      <w:r>
        <w:rPr>
          <w:rFonts w:hint="eastAsia" w:ascii="宋体" w:hAnsi="宋体" w:eastAsia="宋体" w:cs="宋体"/>
          <w:bCs/>
          <w:sz w:val="22"/>
          <w:szCs w:val="22"/>
          <w:highlight w:val="none"/>
          <w:lang w:eastAsia="zh-CN"/>
        </w:rPr>
        <w:t>。</w:t>
      </w:r>
    </w:p>
    <w:p w14:paraId="1F73DFE0">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投标文件的澄清</w:t>
      </w:r>
    </w:p>
    <w:p w14:paraId="2D6F1633">
      <w:pPr>
        <w:numPr>
          <w:ilvl w:val="1"/>
          <w:numId w:val="18"/>
        </w:numPr>
        <w:tabs>
          <w:tab w:val="left" w:pos="420"/>
          <w:tab w:val="left" w:pos="450"/>
        </w:tabs>
        <w:ind w:left="525" w:hanging="525"/>
        <w:rPr>
          <w:rFonts w:hint="eastAsia" w:ascii="宋体" w:hAnsi="宋体" w:eastAsia="宋体" w:cs="宋体"/>
          <w:sz w:val="22"/>
          <w:highlight w:val="none"/>
          <w:u w:val="single"/>
        </w:rPr>
      </w:pPr>
      <w:r>
        <w:rPr>
          <w:rFonts w:hint="eastAsia" w:ascii="宋体" w:hAnsi="宋体" w:eastAsia="宋体" w:cs="宋体"/>
          <w:sz w:val="22"/>
          <w:highlight w:val="none"/>
        </w:rPr>
        <w:t xml:space="preserve"> 在评标期间，评标委员会可以书面方式要求投标人对投标文件中含义不明确、对同类问题表述不一致或者有明显文字和计算错误的内容作必要的澄清、说明或补正。澄清、说明或补正应以书面形式并由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r>
        <w:rPr>
          <w:rFonts w:hint="eastAsia" w:ascii="宋体" w:hAnsi="宋体" w:eastAsia="宋体" w:cs="宋体"/>
          <w:sz w:val="22"/>
          <w:highlight w:val="none"/>
          <w:u w:val="none"/>
        </w:rPr>
        <w:t>。</w:t>
      </w:r>
      <w:r>
        <w:rPr>
          <w:rFonts w:hint="eastAsia" w:ascii="宋体" w:hAnsi="宋体" w:eastAsia="宋体" w:cs="宋体"/>
          <w:b/>
          <w:bCs/>
          <w:sz w:val="22"/>
          <w:highlight w:val="none"/>
          <w:u w:val="single"/>
        </w:rPr>
        <w:t>▲拒不按要求对其投标文件进行澄清，说明或补正的投标人，评标委员会将其作无效标处理</w:t>
      </w:r>
      <w:r>
        <w:rPr>
          <w:rFonts w:hint="eastAsia" w:ascii="宋体" w:hAnsi="宋体" w:eastAsia="宋体" w:cs="宋体"/>
          <w:sz w:val="22"/>
          <w:highlight w:val="none"/>
          <w:u w:val="single"/>
        </w:rPr>
        <w:t>。</w:t>
      </w:r>
    </w:p>
    <w:p w14:paraId="2A191A7E">
      <w:pPr>
        <w:numPr>
          <w:ilvl w:val="1"/>
          <w:numId w:val="18"/>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b/>
          <w:bCs/>
          <w:sz w:val="22"/>
          <w:highlight w:val="none"/>
          <w:u w:val="single"/>
        </w:rPr>
        <w:t>▲经澄清后，若偏差仍存在，且不可接受，</w:t>
      </w:r>
      <w:r>
        <w:rPr>
          <w:rFonts w:hint="eastAsia" w:ascii="宋体" w:hAnsi="宋体" w:eastAsia="宋体" w:cs="宋体"/>
          <w:b/>
          <w:bCs/>
          <w:sz w:val="22"/>
          <w:highlight w:val="none"/>
          <w:u w:val="single"/>
          <w:lang w:val="en-US" w:eastAsia="zh-CN"/>
        </w:rPr>
        <w:t>投标人则被认为是</w:t>
      </w:r>
      <w:r>
        <w:rPr>
          <w:rFonts w:hint="eastAsia" w:ascii="宋体" w:hAnsi="宋体" w:eastAsia="宋体" w:cs="宋体"/>
          <w:b/>
          <w:bCs/>
          <w:sz w:val="22"/>
          <w:highlight w:val="none"/>
          <w:u w:val="single"/>
        </w:rPr>
        <w:t>“没有实质性响应采购文件要求”，其投标</w:t>
      </w:r>
      <w:r>
        <w:rPr>
          <w:rFonts w:hint="eastAsia" w:ascii="宋体" w:hAnsi="宋体" w:eastAsia="宋体" w:cs="宋体"/>
          <w:b/>
          <w:bCs/>
          <w:sz w:val="22"/>
          <w:highlight w:val="none"/>
          <w:u w:val="single"/>
          <w:lang w:val="en-US" w:eastAsia="zh-CN"/>
        </w:rPr>
        <w:t>将作无效标处理</w:t>
      </w:r>
      <w:r>
        <w:rPr>
          <w:rFonts w:hint="eastAsia" w:ascii="宋体" w:hAnsi="宋体" w:eastAsia="宋体" w:cs="宋体"/>
          <w:sz w:val="22"/>
          <w:highlight w:val="none"/>
          <w:u w:val="single"/>
        </w:rPr>
        <w:t>。</w:t>
      </w:r>
    </w:p>
    <w:p w14:paraId="03AFA7FA">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确定中标候选人</w:t>
      </w:r>
    </w:p>
    <w:p w14:paraId="074ABD33">
      <w:pPr>
        <w:numPr>
          <w:ilvl w:val="1"/>
          <w:numId w:val="19"/>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本次采购由评标委员会推荐中标候选人，采购人根据评标委员会的推荐结果进行最终确认。</w:t>
      </w:r>
    </w:p>
    <w:p w14:paraId="3DF03F59">
      <w:pPr>
        <w:numPr>
          <w:ilvl w:val="1"/>
          <w:numId w:val="19"/>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评标委员会依据法律、法规及采购文件有关规定在有效标中按投标人的综合得分（即技术资信分与商务（报价）分之和）高低进行排序，综合得分第一</w:t>
      </w: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第二名</w:t>
      </w:r>
      <w:r>
        <w:rPr>
          <w:rFonts w:hint="eastAsia" w:ascii="宋体" w:hAnsi="宋体" w:eastAsia="宋体" w:cs="宋体"/>
          <w:sz w:val="22"/>
          <w:highlight w:val="none"/>
        </w:rPr>
        <w:t>的投标人推荐为中标候选人（综合得分相同以投标报价低的排序第一；综合得分且投标报价相同的，则由评标委员会</w:t>
      </w:r>
      <w:r>
        <w:rPr>
          <w:rFonts w:hint="eastAsia" w:ascii="宋体" w:hAnsi="宋体" w:eastAsia="宋体" w:cs="宋体"/>
          <w:sz w:val="22"/>
          <w:highlight w:val="none"/>
          <w:lang w:val="en-US" w:eastAsia="zh-CN"/>
        </w:rPr>
        <w:t>以少数服从多数的原则投票选择</w:t>
      </w:r>
      <w:r>
        <w:rPr>
          <w:rFonts w:hint="eastAsia" w:ascii="宋体" w:hAnsi="宋体" w:eastAsia="宋体" w:cs="宋体"/>
          <w:sz w:val="22"/>
          <w:highlight w:val="none"/>
        </w:rPr>
        <w:t>其中一名为名次优先者）。</w:t>
      </w:r>
    </w:p>
    <w:p w14:paraId="46B3B360">
      <w:pPr>
        <w:numPr>
          <w:ilvl w:val="1"/>
          <w:numId w:val="19"/>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采购人可以视具体情况直接确定排名第二的候选</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为中标</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，或重新组织采购活动。</w:t>
      </w:r>
    </w:p>
    <w:p w14:paraId="4D6A986A">
      <w:pPr>
        <w:numPr>
          <w:ilvl w:val="1"/>
          <w:numId w:val="19"/>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采购人将把中标通知书授予最佳投标者，最低报价不是中标的保证。</w:t>
      </w:r>
    </w:p>
    <w:p w14:paraId="3AE8BC1B">
      <w:pPr>
        <w:numPr>
          <w:ilvl w:val="1"/>
          <w:numId w:val="19"/>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采购单位对决标结果不做任何解释。</w:t>
      </w:r>
    </w:p>
    <w:p w14:paraId="2A03FACE">
      <w:pPr>
        <w:numPr>
          <w:ilvl w:val="0"/>
          <w:numId w:val="3"/>
        </w:numPr>
        <w:tabs>
          <w:tab w:val="left" w:pos="525"/>
          <w:tab w:val="left" w:pos="900"/>
        </w:tabs>
        <w:ind w:left="525" w:hanging="525"/>
        <w:rPr>
          <w:rFonts w:hint="eastAsia" w:ascii="宋体" w:hAnsi="宋体" w:eastAsia="宋体" w:cs="宋体"/>
          <w:b/>
          <w:szCs w:val="21"/>
          <w:highlight w:val="none"/>
        </w:rPr>
      </w:pPr>
      <w:r>
        <w:rPr>
          <w:rFonts w:hint="eastAsia" w:ascii="宋体" w:hAnsi="宋体" w:eastAsia="宋体" w:cs="宋体"/>
          <w:b/>
          <w:szCs w:val="21"/>
          <w:highlight w:val="none"/>
        </w:rPr>
        <w:t>重新采购</w:t>
      </w:r>
    </w:p>
    <w:p w14:paraId="3F2A49FA">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本项目</w:t>
      </w:r>
      <w:r>
        <w:rPr>
          <w:rFonts w:hint="eastAsia" w:ascii="宋体" w:hAnsi="宋体" w:eastAsia="宋体" w:cs="宋体"/>
          <w:bCs/>
          <w:szCs w:val="21"/>
          <w:highlight w:val="none"/>
        </w:rPr>
        <w:t>如第一次采购因有效投标人数量不足3家</w:t>
      </w:r>
      <w:r>
        <w:rPr>
          <w:rFonts w:hint="eastAsia" w:ascii="宋体" w:hAnsi="宋体" w:eastAsia="宋体" w:cs="宋体"/>
          <w:bCs/>
          <w:szCs w:val="21"/>
          <w:highlight w:val="none"/>
          <w:lang w:val="en-US" w:eastAsia="zh-CN"/>
        </w:rPr>
        <w:t>的</w:t>
      </w:r>
      <w:r>
        <w:rPr>
          <w:rFonts w:hint="eastAsia" w:ascii="宋体" w:hAnsi="宋体" w:eastAsia="宋体" w:cs="宋体"/>
          <w:bCs/>
          <w:szCs w:val="21"/>
          <w:highlight w:val="none"/>
        </w:rPr>
        <w:t>作废标处理，根据《温州市市属国有企业采购管理办法》相关条款规定，采购人将重新组织采购。</w:t>
      </w:r>
    </w:p>
    <w:p w14:paraId="51514572">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本项目属于国有企业采购项目，如重新采购后，在投标截止时间止及评审期间，出现有效</w:t>
      </w:r>
      <w:r>
        <w:rPr>
          <w:rFonts w:hint="eastAsia" w:ascii="宋体" w:hAnsi="宋体" w:eastAsia="宋体" w:cs="宋体"/>
          <w:bCs/>
          <w:szCs w:val="21"/>
          <w:highlight w:val="none"/>
          <w:lang w:eastAsia="zh-CN"/>
        </w:rPr>
        <w:t>投标人</w:t>
      </w:r>
      <w:r>
        <w:rPr>
          <w:rFonts w:hint="eastAsia" w:ascii="宋体" w:hAnsi="宋体" w:eastAsia="宋体" w:cs="宋体"/>
          <w:bCs/>
          <w:szCs w:val="21"/>
          <w:highlight w:val="none"/>
        </w:rPr>
        <w:t>不足三家的情形，采购人可根据实际情况决定本项目继续按原有采购方式继续进行采购活动或转变采购方式或</w:t>
      </w:r>
      <w:r>
        <w:rPr>
          <w:rFonts w:hint="eastAsia" w:ascii="宋体" w:hAnsi="宋体" w:eastAsia="宋体" w:cs="宋体"/>
          <w:bCs/>
          <w:szCs w:val="21"/>
          <w:highlight w:val="none"/>
          <w:lang w:eastAsia="zh-CN"/>
        </w:rPr>
        <w:t>废标</w:t>
      </w:r>
      <w:r>
        <w:rPr>
          <w:rFonts w:hint="eastAsia" w:ascii="宋体" w:hAnsi="宋体" w:eastAsia="宋体" w:cs="宋体"/>
          <w:bCs/>
          <w:szCs w:val="21"/>
          <w:highlight w:val="none"/>
        </w:rPr>
        <w:t>。</w:t>
      </w:r>
    </w:p>
    <w:p w14:paraId="195E62D2">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评标细则详见本采购文件《评标原则及方法》。</w:t>
      </w:r>
    </w:p>
    <w:p w14:paraId="4BC391CA">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未尽事宜遵循相关法律法规及规范性文件执行。</w:t>
      </w:r>
    </w:p>
    <w:p w14:paraId="2683F6B7">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六、 授予合同</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B318F12">
      <w:pPr>
        <w:numPr>
          <w:ilvl w:val="0"/>
          <w:numId w:val="3"/>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确定中标</w:t>
      </w:r>
      <w:r>
        <w:rPr>
          <w:rFonts w:hint="eastAsia" w:ascii="宋体" w:hAnsi="宋体" w:eastAsia="宋体" w:cs="宋体"/>
          <w:bCs/>
          <w:sz w:val="22"/>
          <w:highlight w:val="none"/>
          <w:lang w:eastAsia="zh-CN"/>
        </w:rPr>
        <w:t>投标人</w:t>
      </w:r>
    </w:p>
    <w:p w14:paraId="7C4AE2EB">
      <w:pPr>
        <w:numPr>
          <w:ilvl w:val="1"/>
          <w:numId w:val="20"/>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采购</w:t>
      </w:r>
      <w:r>
        <w:rPr>
          <w:rFonts w:hint="eastAsia" w:ascii="宋体" w:hAnsi="宋体" w:eastAsia="宋体" w:cs="宋体"/>
          <w:bCs/>
          <w:sz w:val="22"/>
          <w:highlight w:val="none"/>
        </w:rPr>
        <w:t>人自收到评标报告之日起5个工作日内，在评标报告确定的中标候选人名单中按顺序确定中标</w:t>
      </w:r>
      <w:r>
        <w:rPr>
          <w:rFonts w:hint="eastAsia" w:ascii="宋体" w:hAnsi="宋体" w:eastAsia="宋体" w:cs="宋体"/>
          <w:bCs/>
          <w:sz w:val="22"/>
          <w:highlight w:val="none"/>
          <w:lang w:eastAsia="zh-CN"/>
        </w:rPr>
        <w:t>投标人</w:t>
      </w:r>
      <w:r>
        <w:rPr>
          <w:rFonts w:hint="eastAsia" w:ascii="宋体" w:hAnsi="宋体" w:eastAsia="宋体" w:cs="宋体"/>
          <w:bCs/>
          <w:sz w:val="22"/>
          <w:highlight w:val="none"/>
        </w:rPr>
        <w:t>。</w:t>
      </w:r>
    </w:p>
    <w:p w14:paraId="150D7A33">
      <w:pPr>
        <w:numPr>
          <w:ilvl w:val="1"/>
          <w:numId w:val="20"/>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中标</w:t>
      </w:r>
      <w:r>
        <w:rPr>
          <w:rFonts w:hint="eastAsia" w:ascii="宋体" w:hAnsi="宋体" w:eastAsia="宋体" w:cs="宋体"/>
          <w:bCs/>
          <w:sz w:val="22"/>
          <w:highlight w:val="none"/>
          <w:lang w:eastAsia="zh-CN"/>
        </w:rPr>
        <w:t>投标人</w:t>
      </w:r>
      <w:r>
        <w:rPr>
          <w:rFonts w:hint="eastAsia" w:ascii="宋体" w:hAnsi="宋体" w:eastAsia="宋体" w:cs="宋体"/>
          <w:bCs/>
          <w:sz w:val="22"/>
          <w:highlight w:val="none"/>
        </w:rPr>
        <w:t>确定之日起2个工作日内，在</w:t>
      </w:r>
      <w:r>
        <w:rPr>
          <w:rFonts w:hint="eastAsia" w:ascii="宋体" w:hAnsi="宋体" w:eastAsia="宋体" w:cs="宋体"/>
          <w:sz w:val="22"/>
          <w:highlight w:val="none"/>
        </w:rPr>
        <w:t>发布项目采购公告的网站上</w:t>
      </w:r>
      <w:r>
        <w:rPr>
          <w:rFonts w:hint="eastAsia" w:ascii="宋体" w:hAnsi="宋体" w:eastAsia="宋体" w:cs="宋体"/>
          <w:bCs/>
          <w:sz w:val="22"/>
          <w:highlight w:val="none"/>
        </w:rPr>
        <w:t>公告中标结果，中标公告期限为</w:t>
      </w:r>
      <w:r>
        <w:rPr>
          <w:rFonts w:hint="eastAsia" w:ascii="宋体" w:hAnsi="宋体" w:eastAsia="宋体" w:cs="宋体"/>
          <w:bCs/>
          <w:sz w:val="22"/>
          <w:highlight w:val="none"/>
          <w:lang w:val="en-US" w:eastAsia="zh-CN"/>
        </w:rPr>
        <w:t>3</w:t>
      </w:r>
      <w:r>
        <w:rPr>
          <w:rFonts w:hint="eastAsia" w:ascii="宋体" w:hAnsi="宋体" w:eastAsia="宋体" w:cs="宋体"/>
          <w:bCs/>
          <w:sz w:val="22"/>
          <w:highlight w:val="none"/>
        </w:rPr>
        <w:t>日。</w:t>
      </w:r>
    </w:p>
    <w:p w14:paraId="7A1B7C20">
      <w:pPr>
        <w:numPr>
          <w:ilvl w:val="1"/>
          <w:numId w:val="20"/>
        </w:numPr>
        <w:tabs>
          <w:tab w:val="left" w:pos="540"/>
        </w:tabs>
        <w:rPr>
          <w:rFonts w:hint="eastAsia" w:ascii="宋体" w:hAnsi="宋体" w:eastAsia="宋体" w:cs="宋体"/>
          <w:b/>
          <w:bCs/>
          <w:szCs w:val="24"/>
          <w:highlight w:val="none"/>
          <w:u w:val="single"/>
        </w:rPr>
      </w:pPr>
      <w:r>
        <w:rPr>
          <w:rFonts w:hint="eastAsia" w:ascii="宋体" w:hAnsi="宋体" w:eastAsia="宋体" w:cs="宋体"/>
          <w:b/>
          <w:bCs/>
          <w:sz w:val="22"/>
          <w:highlight w:val="none"/>
          <w:u w:val="single"/>
        </w:rPr>
        <w:t>各</w:t>
      </w:r>
      <w:r>
        <w:rPr>
          <w:rFonts w:hint="eastAsia" w:ascii="宋体" w:hAnsi="宋体" w:eastAsia="宋体" w:cs="宋体"/>
          <w:b/>
          <w:bCs/>
          <w:sz w:val="22"/>
          <w:highlight w:val="none"/>
          <w:u w:val="single"/>
          <w:lang w:eastAsia="zh-CN"/>
        </w:rPr>
        <w:t>投标人</w:t>
      </w:r>
      <w:r>
        <w:rPr>
          <w:rFonts w:hint="eastAsia" w:ascii="宋体" w:hAnsi="宋体" w:eastAsia="宋体" w:cs="宋体"/>
          <w:b/>
          <w:bCs/>
          <w:sz w:val="22"/>
          <w:highlight w:val="none"/>
          <w:u w:val="single"/>
        </w:rPr>
        <w:t>对评标结果如有异议，可在中标结果公告</w:t>
      </w:r>
      <w:r>
        <w:rPr>
          <w:rFonts w:hint="eastAsia" w:ascii="宋体" w:hAnsi="宋体" w:eastAsia="宋体" w:cs="宋体"/>
          <w:b/>
          <w:bCs/>
          <w:sz w:val="22"/>
          <w:highlight w:val="none"/>
          <w:u w:val="single"/>
          <w:lang w:val="en-US" w:eastAsia="zh-CN"/>
        </w:rPr>
        <w:t>期内</w:t>
      </w:r>
      <w:r>
        <w:rPr>
          <w:rFonts w:hint="eastAsia" w:ascii="宋体" w:hAnsi="宋体" w:eastAsia="宋体" w:cs="宋体"/>
          <w:b/>
          <w:bCs/>
          <w:sz w:val="22"/>
          <w:highlight w:val="none"/>
          <w:u w:val="single"/>
        </w:rPr>
        <w:t>内以书面形式向采购人署名提出质疑，但需对质疑内容的真实性承担法律责任。提出质疑的投标人应当是参与所质疑项目采购活动的投标人，投标人提出质疑应当提交质疑函和必要的证明材料。质疑</w:t>
      </w:r>
      <w:r>
        <w:rPr>
          <w:rFonts w:hint="eastAsia" w:ascii="宋体" w:hAnsi="宋体" w:eastAsia="宋体" w:cs="宋体"/>
          <w:b/>
          <w:bCs/>
          <w:sz w:val="22"/>
          <w:highlight w:val="none"/>
          <w:u w:val="single"/>
          <w:lang w:eastAsia="zh-CN"/>
        </w:rPr>
        <w:t>投标人</w:t>
      </w:r>
      <w:r>
        <w:rPr>
          <w:rFonts w:hint="eastAsia" w:ascii="宋体" w:hAnsi="宋体" w:eastAsia="宋体" w:cs="宋体"/>
          <w:b/>
          <w:bCs/>
          <w:sz w:val="22"/>
          <w:highlight w:val="none"/>
          <w:u w:val="single"/>
        </w:rPr>
        <w:t>对采购人、采购代理机构的答复不满意或者采购人、采购代理机构未在规定的时间内作出答复的，可以在答复期满后15个工作日内向温州市交通发展集团有限公司纪检监察室投诉。</w:t>
      </w:r>
    </w:p>
    <w:p w14:paraId="623BD292">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签订合同</w:t>
      </w:r>
    </w:p>
    <w:p w14:paraId="7011C556">
      <w:pPr>
        <w:numPr>
          <w:ilvl w:val="0"/>
          <w:numId w:val="21"/>
        </w:numPr>
        <w:tabs>
          <w:tab w:val="left" w:pos="540"/>
        </w:tabs>
        <w:rPr>
          <w:rFonts w:hint="eastAsia" w:ascii="宋体" w:hAnsi="宋体" w:eastAsia="宋体" w:cs="宋体"/>
          <w:lang w:val="en-US" w:eastAsia="zh-CN"/>
        </w:rPr>
      </w:pPr>
      <w:r>
        <w:rPr>
          <w:rFonts w:hint="eastAsia" w:ascii="宋体" w:hAnsi="宋体" w:eastAsia="宋体" w:cs="宋体"/>
          <w:bCs/>
          <w:sz w:val="22"/>
          <w:szCs w:val="22"/>
          <w:highlight w:val="none"/>
        </w:rPr>
        <w:t>公告期结束后，中标</w:t>
      </w:r>
      <w:r>
        <w:rPr>
          <w:rFonts w:hint="eastAsia" w:ascii="宋体" w:hAnsi="宋体" w:eastAsia="宋体" w:cs="宋体"/>
          <w:bCs/>
          <w:sz w:val="22"/>
          <w:szCs w:val="22"/>
          <w:highlight w:val="none"/>
          <w:lang w:eastAsia="zh-CN"/>
        </w:rPr>
        <w:t>投标人</w:t>
      </w:r>
      <w:r>
        <w:rPr>
          <w:rFonts w:hint="eastAsia" w:ascii="宋体" w:hAnsi="宋体" w:eastAsia="宋体" w:cs="宋体"/>
          <w:bCs/>
          <w:sz w:val="22"/>
          <w:szCs w:val="22"/>
          <w:highlight w:val="none"/>
        </w:rPr>
        <w:t>须在5个工作日内主动联系采购人或采购机构领取中标通知书。中标</w:t>
      </w:r>
      <w:r>
        <w:rPr>
          <w:rFonts w:hint="eastAsia" w:ascii="宋体" w:hAnsi="宋体" w:eastAsia="宋体" w:cs="宋体"/>
          <w:bCs/>
          <w:sz w:val="22"/>
          <w:szCs w:val="22"/>
          <w:highlight w:val="none"/>
          <w:lang w:eastAsia="zh-CN"/>
        </w:rPr>
        <w:t>投标人</w:t>
      </w:r>
      <w:r>
        <w:rPr>
          <w:rFonts w:hint="eastAsia" w:ascii="宋体" w:hAnsi="宋体" w:eastAsia="宋体" w:cs="宋体"/>
          <w:bCs/>
          <w:sz w:val="22"/>
          <w:szCs w:val="22"/>
          <w:highlight w:val="none"/>
        </w:rPr>
        <w:t>应当在收到中标通知书之日起30日内</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与采购人</w:t>
      </w:r>
      <w:r>
        <w:rPr>
          <w:rFonts w:hint="eastAsia" w:ascii="宋体" w:hAnsi="宋体" w:eastAsia="宋体" w:cs="宋体"/>
          <w:bCs/>
          <w:sz w:val="22"/>
          <w:szCs w:val="22"/>
          <w:highlight w:val="none"/>
          <w:lang w:eastAsia="zh-CN"/>
        </w:rPr>
        <w:t>（</w:t>
      </w:r>
      <w:r>
        <w:rPr>
          <w:rFonts w:hint="eastAsia" w:ascii="宋体" w:hAnsi="宋体" w:eastAsia="宋体" w:cs="宋体"/>
          <w:b/>
          <w:bCs w:val="0"/>
          <w:sz w:val="22"/>
          <w:szCs w:val="22"/>
          <w:highlight w:val="none"/>
          <w:u w:val="single"/>
          <w:lang w:val="en-US" w:eastAsia="zh-CN"/>
        </w:rPr>
        <w:t>按照有关文件规定，指采购文件第二部分合同条款中规定的甲方合同主体</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签订合同。中标</w:t>
      </w:r>
      <w:r>
        <w:rPr>
          <w:rFonts w:hint="eastAsia" w:ascii="宋体" w:hAnsi="宋体" w:eastAsia="宋体" w:cs="宋体"/>
          <w:bCs/>
          <w:sz w:val="22"/>
          <w:szCs w:val="22"/>
          <w:highlight w:val="none"/>
          <w:lang w:eastAsia="zh-CN"/>
        </w:rPr>
        <w:t>投标人</w:t>
      </w:r>
      <w:r>
        <w:rPr>
          <w:rFonts w:hint="eastAsia" w:ascii="宋体" w:hAnsi="宋体" w:eastAsia="宋体" w:cs="宋体"/>
          <w:bCs/>
          <w:sz w:val="22"/>
          <w:szCs w:val="22"/>
          <w:highlight w:val="none"/>
        </w:rPr>
        <w:t>未经采购人许可，在规定时间内未到采购人处与采购人签订合同，则视为拒签合同。</w:t>
      </w:r>
    </w:p>
    <w:p w14:paraId="33E45702">
      <w:pPr>
        <w:numPr>
          <w:ilvl w:val="0"/>
          <w:numId w:val="21"/>
        </w:numPr>
        <w:tabs>
          <w:tab w:val="left" w:pos="540"/>
        </w:tabs>
        <w:rPr>
          <w:rFonts w:hint="eastAsia" w:ascii="宋体" w:hAnsi="宋体" w:eastAsia="宋体" w:cs="宋体"/>
        </w:rPr>
      </w:pPr>
      <w:r>
        <w:rPr>
          <w:rFonts w:hint="eastAsia" w:ascii="宋体" w:hAnsi="宋体" w:eastAsia="宋体" w:cs="宋体"/>
          <w:bCs/>
          <w:sz w:val="22"/>
          <w:szCs w:val="22"/>
          <w:highlight w:val="none"/>
        </w:rPr>
        <w:t>采购文件、中标</w:t>
      </w:r>
      <w:r>
        <w:rPr>
          <w:rFonts w:hint="eastAsia" w:ascii="宋体" w:hAnsi="宋体" w:eastAsia="宋体" w:cs="宋体"/>
          <w:bCs/>
          <w:sz w:val="22"/>
          <w:szCs w:val="22"/>
          <w:highlight w:val="none"/>
          <w:lang w:eastAsia="zh-CN"/>
        </w:rPr>
        <w:t>投标人</w:t>
      </w:r>
      <w:r>
        <w:rPr>
          <w:rFonts w:hint="eastAsia" w:ascii="宋体" w:hAnsi="宋体" w:eastAsia="宋体" w:cs="宋体"/>
          <w:bCs/>
          <w:sz w:val="22"/>
          <w:szCs w:val="22"/>
          <w:highlight w:val="none"/>
        </w:rPr>
        <w:t>的投标文件及投标修改文件、评标过程中有关澄清文件及经双方签字的询标纪要（承诺）和中标通知书均作为合同附件。</w:t>
      </w:r>
    </w:p>
    <w:p w14:paraId="0B447FEF">
      <w:pPr>
        <w:numPr>
          <w:ilvl w:val="0"/>
          <w:numId w:val="21"/>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拒签合同的责任</w:t>
      </w:r>
    </w:p>
    <w:p w14:paraId="1249A7D8">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Cs/>
          <w:sz w:val="22"/>
          <w:szCs w:val="22"/>
          <w:highlight w:val="none"/>
        </w:rPr>
        <w:t>中标</w:t>
      </w:r>
      <w:r>
        <w:rPr>
          <w:rFonts w:hint="eastAsia" w:ascii="宋体" w:hAnsi="宋体" w:eastAsia="宋体" w:cs="宋体"/>
          <w:bCs/>
          <w:sz w:val="22"/>
          <w:szCs w:val="22"/>
          <w:highlight w:val="none"/>
          <w:lang w:eastAsia="zh-CN"/>
        </w:rPr>
        <w:t>投标人</w:t>
      </w:r>
      <w:r>
        <w:rPr>
          <w:rFonts w:hint="eastAsia" w:ascii="宋体" w:hAnsi="宋体" w:eastAsia="宋体" w:cs="宋体"/>
          <w:bCs/>
          <w:sz w:val="22"/>
          <w:szCs w:val="22"/>
          <w:highlight w:val="none"/>
        </w:rPr>
        <w:t>在规定时间内（30日历天）借故否认已经承诺的条件、拒签合同，以投标违约处理，其投标保证金不予退回，并赔偿采购人由此造成的直接经济损失；采购人重</w:t>
      </w:r>
      <w:r>
        <w:rPr>
          <w:rFonts w:hint="eastAsia" w:ascii="宋体" w:hAnsi="宋体" w:eastAsia="宋体" w:cs="宋体"/>
          <w:b w:val="0"/>
          <w:bCs/>
          <w:sz w:val="22"/>
          <w:szCs w:val="22"/>
          <w:highlight w:val="none"/>
        </w:rPr>
        <w:t>新组织采购的，所需费用由原中标</w:t>
      </w:r>
      <w:r>
        <w:rPr>
          <w:rFonts w:hint="eastAsia" w:ascii="宋体" w:hAnsi="宋体" w:eastAsia="宋体" w:cs="宋体"/>
          <w:b w:val="0"/>
          <w:bCs/>
          <w:sz w:val="22"/>
          <w:szCs w:val="22"/>
          <w:highlight w:val="none"/>
          <w:lang w:eastAsia="zh-CN"/>
        </w:rPr>
        <w:t>投标人</w:t>
      </w:r>
      <w:r>
        <w:rPr>
          <w:rFonts w:hint="eastAsia" w:ascii="宋体" w:hAnsi="宋体" w:eastAsia="宋体" w:cs="宋体"/>
          <w:b w:val="0"/>
          <w:bCs/>
          <w:sz w:val="22"/>
          <w:szCs w:val="22"/>
          <w:highlight w:val="none"/>
        </w:rPr>
        <w:t>承担。</w:t>
      </w:r>
    </w:p>
    <w:p w14:paraId="0E20C0FE">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中标人须在合同签订后二个工作日内提交一份合同文本向采购代理机构备案，否则会影响投标保证金的退付。</w:t>
      </w:r>
    </w:p>
    <w:p w14:paraId="24AB4B40">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w:t>
      </w:r>
    </w:p>
    <w:p w14:paraId="69E65356">
      <w:pPr>
        <w:numPr>
          <w:ilvl w:val="0"/>
          <w:numId w:val="22"/>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中标人在收到中标通知书后，须按投标须知前附表的规定向采购人提交履约担保。</w:t>
      </w:r>
    </w:p>
    <w:p w14:paraId="3FD04BFB">
      <w:pPr>
        <w:numPr>
          <w:ilvl w:val="0"/>
          <w:numId w:val="22"/>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履约担保用于补偿采购人因中标人不能履行其合同义务而蒙受的损失。</w:t>
      </w:r>
    </w:p>
    <w:p w14:paraId="557C7A5E">
      <w:pPr>
        <w:numPr>
          <w:ilvl w:val="0"/>
          <w:numId w:val="22"/>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履约担保自合同签订之日起至项目验收合格止有效。有效期满后，采购人应及时将履约保证金无息退还给中标人。</w:t>
      </w:r>
    </w:p>
    <w:p w14:paraId="3E5CE667">
      <w:pPr>
        <w:numPr>
          <w:ilvl w:val="0"/>
          <w:numId w:val="3"/>
        </w:numPr>
        <w:tabs>
          <w:tab w:val="left" w:pos="540"/>
          <w:tab w:val="left" w:pos="900"/>
        </w:tabs>
        <w:ind w:left="525" w:hanging="525"/>
        <w:rPr>
          <w:rFonts w:hint="eastAsia" w:ascii="宋体" w:hAnsi="宋体" w:eastAsia="宋体" w:cs="宋体"/>
          <w:b w:val="0"/>
          <w:bCs/>
          <w:sz w:val="22"/>
          <w:szCs w:val="22"/>
          <w:highlight w:val="none"/>
          <w:shd w:val="clear" w:color="auto" w:fill="FFFF00"/>
        </w:rPr>
      </w:pPr>
      <w:r>
        <w:rPr>
          <w:rFonts w:hint="eastAsia" w:ascii="宋体" w:hAnsi="宋体" w:eastAsia="宋体" w:cs="宋体"/>
          <w:b w:val="0"/>
          <w:bCs/>
          <w:sz w:val="22"/>
          <w:szCs w:val="22"/>
          <w:highlight w:val="none"/>
        </w:rPr>
        <w:t>采购代理服务费</w:t>
      </w:r>
    </w:p>
    <w:p w14:paraId="5284C6C6">
      <w:pPr>
        <w:tabs>
          <w:tab w:val="left" w:pos="2800"/>
        </w:tabs>
        <w:autoSpaceDE w:val="0"/>
        <w:autoSpaceDN w:val="0"/>
        <w:ind w:firstLine="440" w:firstLineChars="200"/>
        <w:jc w:val="left"/>
        <w:rPr>
          <w:rFonts w:hint="eastAsia" w:ascii="宋体" w:hAnsi="宋体" w:eastAsia="宋体" w:cs="宋体"/>
          <w:b w:val="0"/>
          <w:bCs/>
          <w:sz w:val="22"/>
          <w:szCs w:val="22"/>
          <w:highlight w:val="none"/>
        </w:rPr>
      </w:pPr>
      <w:bookmarkStart w:id="158" w:name="_Toc215415536"/>
      <w:bookmarkStart w:id="159" w:name="_Toc227056852"/>
      <w:bookmarkStart w:id="160" w:name="_Toc219538619"/>
      <w:bookmarkStart w:id="161" w:name="_Toc223933227"/>
      <w:bookmarkStart w:id="162" w:name="_Toc227057039"/>
      <w:bookmarkStart w:id="163" w:name="_Toc223717610"/>
      <w:bookmarkStart w:id="164" w:name="_Toc217460691"/>
      <w:bookmarkStart w:id="165" w:name="_Toc216667826"/>
      <w:bookmarkStart w:id="166" w:name="_Toc218041732"/>
      <w:bookmarkStart w:id="167" w:name="_Toc227489893"/>
      <w:r>
        <w:rPr>
          <w:rFonts w:hint="eastAsia" w:ascii="宋体" w:hAnsi="宋体" w:eastAsia="宋体" w:cs="宋体"/>
          <w:b w:val="0"/>
          <w:bCs/>
          <w:sz w:val="22"/>
          <w:szCs w:val="22"/>
          <w:highlight w:val="none"/>
        </w:rPr>
        <w:t>本次</w:t>
      </w:r>
      <w:r>
        <w:rPr>
          <w:rFonts w:hint="eastAsia" w:ascii="宋体" w:hAnsi="宋体" w:eastAsia="宋体" w:cs="宋体"/>
          <w:b w:val="0"/>
          <w:bCs/>
          <w:sz w:val="22"/>
          <w:szCs w:val="22"/>
          <w:highlight w:val="none"/>
          <w:lang w:val="en-US" w:eastAsia="zh-CN"/>
        </w:rPr>
        <w:t>采购</w:t>
      </w:r>
      <w:r>
        <w:rPr>
          <w:rFonts w:hint="eastAsia" w:ascii="宋体" w:hAnsi="宋体" w:eastAsia="宋体" w:cs="宋体"/>
          <w:b w:val="0"/>
          <w:bCs/>
          <w:sz w:val="22"/>
          <w:szCs w:val="22"/>
          <w:highlight w:val="none"/>
        </w:rPr>
        <w:t>代理服务费按固定金额</w:t>
      </w:r>
      <w:r>
        <w:rPr>
          <w:rFonts w:hint="eastAsia" w:ascii="宋体" w:hAnsi="宋体" w:eastAsia="宋体" w:cs="宋体"/>
          <w:b w:val="0"/>
          <w:bCs/>
          <w:sz w:val="22"/>
          <w:szCs w:val="22"/>
          <w:highlight w:val="none"/>
          <w:lang w:val="en-US" w:eastAsia="zh-CN"/>
        </w:rPr>
        <w:t>壹万伍仟元整（¥15</w:t>
      </w:r>
      <w:r>
        <w:rPr>
          <w:rFonts w:hint="eastAsia" w:ascii="宋体" w:hAnsi="宋体" w:eastAsia="宋体" w:cs="宋体"/>
          <w:b w:val="0"/>
          <w:bCs/>
          <w:sz w:val="22"/>
          <w:szCs w:val="22"/>
          <w:highlight w:val="none"/>
        </w:rPr>
        <w:t>000.00元</w:t>
      </w:r>
      <w:r>
        <w:rPr>
          <w:rFonts w:hint="eastAsia" w:ascii="宋体" w:hAnsi="宋体" w:eastAsia="宋体" w:cs="宋体"/>
          <w:b w:val="0"/>
          <w:bCs/>
          <w:sz w:val="22"/>
          <w:szCs w:val="22"/>
          <w:highlight w:val="none"/>
          <w:lang w:eastAsia="zh-CN"/>
        </w:rPr>
        <w:t>）</w:t>
      </w:r>
      <w:r>
        <w:rPr>
          <w:rFonts w:hint="eastAsia" w:ascii="宋体" w:hAnsi="宋体" w:eastAsia="宋体" w:cs="宋体"/>
          <w:b w:val="0"/>
          <w:bCs/>
          <w:sz w:val="22"/>
          <w:szCs w:val="22"/>
          <w:highlight w:val="none"/>
        </w:rPr>
        <w:t>优惠计取</w:t>
      </w:r>
      <w:r>
        <w:rPr>
          <w:rFonts w:hint="eastAsia" w:ascii="宋体" w:hAnsi="宋体" w:eastAsia="宋体" w:cs="宋体"/>
          <w:b w:val="0"/>
          <w:bCs/>
          <w:sz w:val="22"/>
          <w:szCs w:val="22"/>
          <w:highlight w:val="none"/>
          <w:lang w:eastAsia="zh-CN"/>
        </w:rPr>
        <w:t>，</w:t>
      </w:r>
      <w:r>
        <w:rPr>
          <w:rFonts w:hint="eastAsia" w:ascii="宋体" w:hAnsi="宋体" w:eastAsia="宋体" w:cs="宋体"/>
          <w:b/>
          <w:bCs w:val="0"/>
          <w:sz w:val="22"/>
          <w:szCs w:val="22"/>
          <w:highlight w:val="none"/>
          <w:u w:val="single"/>
          <w:lang w:val="en-US" w:eastAsia="zh-CN"/>
        </w:rPr>
        <w:t>由中标人</w:t>
      </w:r>
      <w:r>
        <w:rPr>
          <w:rFonts w:hint="eastAsia" w:ascii="宋体" w:hAnsi="宋体" w:eastAsia="宋体" w:cs="宋体"/>
          <w:b/>
          <w:bCs w:val="0"/>
          <w:sz w:val="22"/>
          <w:szCs w:val="22"/>
          <w:highlight w:val="none"/>
          <w:u w:val="single"/>
        </w:rPr>
        <w:t>在领取中标通知书前支付给采购代理机构</w:t>
      </w:r>
      <w:r>
        <w:rPr>
          <w:rFonts w:hint="eastAsia" w:ascii="宋体" w:hAnsi="宋体" w:eastAsia="宋体" w:cs="宋体"/>
          <w:b w:val="0"/>
          <w:bCs/>
          <w:sz w:val="22"/>
          <w:szCs w:val="22"/>
          <w:highlight w:val="none"/>
        </w:rPr>
        <w:t>，采购代理服务费包含在投标总价中（报价不需要单列）</w:t>
      </w:r>
      <w:r>
        <w:rPr>
          <w:rFonts w:hint="eastAsia" w:ascii="宋体" w:hAnsi="宋体" w:eastAsia="宋体" w:cs="宋体"/>
          <w:b w:val="0"/>
          <w:bCs/>
          <w:sz w:val="22"/>
          <w:szCs w:val="22"/>
          <w:highlight w:val="none"/>
          <w:lang w:eastAsia="zh-CN"/>
        </w:rPr>
        <w:t>。</w:t>
      </w:r>
      <w:r>
        <w:rPr>
          <w:rFonts w:hint="eastAsia" w:ascii="宋体" w:hAnsi="宋体" w:eastAsia="宋体" w:cs="宋体"/>
          <w:b w:val="0"/>
          <w:bCs/>
          <w:sz w:val="22"/>
          <w:szCs w:val="22"/>
          <w:highlight w:val="none"/>
        </w:rPr>
        <w:t>代理服务费汇入以下账号：</w:t>
      </w:r>
    </w:p>
    <w:p w14:paraId="7E479940">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开户银行：工商银行杭州市武林支行</w:t>
      </w:r>
    </w:p>
    <w:p w14:paraId="74D0F921">
      <w:pPr>
        <w:ind w:left="538" w:leftChars="256" w:firstLine="440" w:firstLineChars="200"/>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rPr>
        <w:t>开户名称：</w:t>
      </w:r>
      <w:r>
        <w:rPr>
          <w:rFonts w:hint="eastAsia" w:ascii="宋体" w:hAnsi="宋体" w:eastAsia="宋体" w:cs="宋体"/>
          <w:b w:val="0"/>
          <w:bCs/>
          <w:sz w:val="22"/>
          <w:szCs w:val="22"/>
          <w:highlight w:val="none"/>
          <w:lang w:eastAsia="zh-CN"/>
        </w:rPr>
        <w:t>浙江国际招投标有限公司</w:t>
      </w:r>
    </w:p>
    <w:p w14:paraId="785F116B">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开户账号：1202021209906782015</w:t>
      </w:r>
    </w:p>
    <w:p w14:paraId="1B8C0DD9">
      <w:pPr>
        <w:ind w:left="538" w:leftChars="256"/>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采购代理服务费可以是现金、支票或汇票。</w:t>
      </w:r>
    </w:p>
    <w:p w14:paraId="0EFF3185">
      <w:pPr>
        <w:numPr>
          <w:ilvl w:val="0"/>
          <w:numId w:val="3"/>
        </w:numPr>
        <w:tabs>
          <w:tab w:val="left" w:pos="540"/>
          <w:tab w:val="left" w:pos="900"/>
        </w:tabs>
        <w:spacing w:line="240" w:lineRule="auto"/>
        <w:ind w:left="525" w:hanging="52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乐采云技术服务费：</w:t>
      </w:r>
    </w:p>
    <w:p w14:paraId="390B5E08">
      <w:pPr>
        <w:keepNext w:val="0"/>
        <w:keepLines w:val="0"/>
        <w:pageBreakBefore w:val="0"/>
        <w:widowControl w:val="0"/>
        <w:tabs>
          <w:tab w:val="left" w:pos="2800"/>
        </w:tabs>
        <w:kinsoku/>
        <w:wordWrap w:val="0"/>
        <w:overflowPunct/>
        <w:topLinePunct w:val="0"/>
        <w:autoSpaceDE w:val="0"/>
        <w:autoSpaceDN w:val="0"/>
        <w:bidi w:val="0"/>
        <w:adjustRightInd/>
        <w:snapToGrid/>
        <w:ind w:firstLine="442" w:firstLineChars="200"/>
        <w:jc w:val="left"/>
        <w:textAlignment w:val="auto"/>
        <w:rPr>
          <w:rFonts w:hint="eastAsia" w:ascii="宋体" w:hAnsi="宋体" w:eastAsia="宋体" w:cs="宋体"/>
          <w:sz w:val="22"/>
          <w:szCs w:val="22"/>
          <w:highlight w:val="none"/>
        </w:rPr>
      </w:pPr>
      <w:r>
        <w:rPr>
          <w:rFonts w:hint="eastAsia" w:ascii="宋体" w:hAnsi="宋体" w:eastAsia="宋体" w:cs="宋体"/>
          <w:b/>
          <w:sz w:val="22"/>
          <w:highlight w:val="none"/>
        </w:rPr>
        <w:t>根据</w:t>
      </w:r>
      <w:r>
        <w:rPr>
          <w:rFonts w:hint="eastAsia" w:ascii="宋体" w:hAnsi="宋体" w:eastAsia="宋体" w:cs="宋体"/>
          <w:b/>
          <w:color w:val="auto"/>
          <w:sz w:val="22"/>
          <w:highlight w:val="none"/>
        </w:rPr>
        <w:t>乐采云（https://www.lecaiyun.com/helpcenter/document#/document/detail?siteCode=lecaiyun&amp;manualId=2061&amp;topicId=8625）2023年9月6日发布的乐采云国企采购平台项目采购收费标准（温州市市属国企区）规定</w:t>
      </w:r>
      <w:r>
        <w:rPr>
          <w:rFonts w:hint="eastAsia" w:ascii="宋体" w:hAnsi="宋体" w:eastAsia="宋体" w:cs="宋体"/>
          <w:b/>
          <w:color w:val="auto"/>
          <w:sz w:val="22"/>
          <w:highlight w:val="none"/>
          <w:lang w:eastAsia="zh-CN"/>
        </w:rPr>
        <w:t>，乐采云技术服务费</w:t>
      </w:r>
      <w:r>
        <w:rPr>
          <w:rFonts w:hint="eastAsia" w:ascii="宋体" w:hAnsi="宋体" w:eastAsia="宋体" w:cs="宋体"/>
          <w:b/>
          <w:color w:val="auto"/>
          <w:sz w:val="22"/>
          <w:highlight w:val="none"/>
          <w:lang w:val="en-US" w:eastAsia="zh-CN"/>
        </w:rPr>
        <w:t>收费标准为</w:t>
      </w:r>
      <w:r>
        <w:rPr>
          <w:rFonts w:hint="eastAsia" w:ascii="宋体" w:hAnsi="宋体" w:eastAsia="宋体" w:cs="宋体"/>
          <w:b/>
          <w:color w:val="auto"/>
          <w:sz w:val="22"/>
          <w:highlight w:val="none"/>
          <w:lang w:eastAsia="zh-CN"/>
        </w:rPr>
        <w:t>：</w:t>
      </w:r>
    </w:p>
    <w:p w14:paraId="0509A753">
      <w:pPr>
        <w:keepNext w:val="0"/>
        <w:keepLines w:val="0"/>
        <w:pageBreakBefore w:val="0"/>
        <w:widowControl w:val="0"/>
        <w:numPr>
          <w:ilvl w:val="0"/>
          <w:numId w:val="23"/>
        </w:numPr>
        <w:tabs>
          <w:tab w:val="left" w:pos="540"/>
          <w:tab w:val="left" w:pos="900"/>
        </w:tabs>
        <w:kinsoku/>
        <w:wordWrap w:val="0"/>
        <w:overflowPunct/>
        <w:topLinePunct w:val="0"/>
        <w:autoSpaceDE/>
        <w:autoSpaceDN/>
        <w:bidi w:val="0"/>
        <w:adjustRightInd/>
        <w:snapToGrid/>
        <w:ind w:leftChars="200"/>
        <w:textAlignment w:val="auto"/>
        <w:rPr>
          <w:rFonts w:hint="eastAsia" w:ascii="宋体" w:hAnsi="宋体" w:eastAsia="宋体" w:cs="宋体"/>
          <w:b/>
          <w:sz w:val="22"/>
          <w:highlight w:val="none"/>
          <w:lang w:val="en-US" w:eastAsia="zh-CN"/>
        </w:rPr>
      </w:pPr>
      <w:r>
        <w:rPr>
          <w:rFonts w:hint="eastAsia" w:ascii="宋体" w:hAnsi="宋体" w:eastAsia="宋体" w:cs="宋体"/>
          <w:b/>
          <w:sz w:val="22"/>
          <w:highlight w:val="none"/>
        </w:rPr>
        <w:t>不涉及具体金额的采购项目，技术服务费800元/件</w:t>
      </w:r>
      <w:r>
        <w:rPr>
          <w:rFonts w:hint="eastAsia" w:ascii="宋体" w:hAnsi="宋体" w:eastAsia="宋体" w:cs="宋体"/>
          <w:b/>
          <w:sz w:val="22"/>
          <w:highlight w:val="none"/>
          <w:lang w:val="en-US" w:eastAsia="zh-CN"/>
        </w:rPr>
        <w:t>；</w:t>
      </w:r>
    </w:p>
    <w:p w14:paraId="5029548B">
      <w:pPr>
        <w:keepNext w:val="0"/>
        <w:keepLines w:val="0"/>
        <w:pageBreakBefore w:val="0"/>
        <w:widowControl w:val="0"/>
        <w:numPr>
          <w:ilvl w:val="0"/>
          <w:numId w:val="23"/>
        </w:numPr>
        <w:tabs>
          <w:tab w:val="left" w:pos="540"/>
          <w:tab w:val="left" w:pos="900"/>
        </w:tabs>
        <w:kinsoku/>
        <w:wordWrap w:val="0"/>
        <w:overflowPunct/>
        <w:topLinePunct w:val="0"/>
        <w:autoSpaceDE/>
        <w:autoSpaceDN/>
        <w:bidi w:val="0"/>
        <w:adjustRightInd/>
        <w:snapToGrid/>
        <w:ind w:leftChars="200"/>
        <w:textAlignment w:val="auto"/>
        <w:rPr>
          <w:rFonts w:hint="eastAsia" w:ascii="宋体" w:hAnsi="宋体" w:eastAsia="宋体" w:cs="宋体"/>
          <w:b/>
          <w:sz w:val="22"/>
          <w:highlight w:val="none"/>
        </w:rPr>
      </w:pPr>
      <w:r>
        <w:rPr>
          <w:rFonts w:hint="eastAsia" w:ascii="宋体" w:hAnsi="宋体" w:eastAsia="宋体" w:cs="宋体"/>
          <w:b/>
          <w:sz w:val="22"/>
          <w:highlight w:val="none"/>
        </w:rPr>
        <w:t>涉及具体金额的采购项目，根据标的额，按照以下比例收取技术服务费</w:t>
      </w:r>
      <w:r>
        <w:rPr>
          <w:rFonts w:hint="eastAsia" w:ascii="宋体" w:hAnsi="宋体" w:eastAsia="宋体" w:cs="宋体"/>
          <w:b/>
          <w:sz w:val="22"/>
          <w:highlight w:val="none"/>
          <w:lang w:eastAsia="zh-CN"/>
        </w:rPr>
        <w:t>：</w:t>
      </w:r>
    </w:p>
    <w:p w14:paraId="56B43C89">
      <w:pPr>
        <w:keepNext w:val="0"/>
        <w:keepLines w:val="0"/>
        <w:pageBreakBefore w:val="0"/>
        <w:widowControl w:val="0"/>
        <w:numPr>
          <w:ilvl w:val="0"/>
          <w:numId w:val="24"/>
        </w:numPr>
        <w:tabs>
          <w:tab w:val="left" w:pos="540"/>
          <w:tab w:val="left" w:pos="900"/>
        </w:tabs>
        <w:kinsoku/>
        <w:wordWrap w:val="0"/>
        <w:overflowPunct/>
        <w:topLinePunct w:val="0"/>
        <w:autoSpaceDE/>
        <w:autoSpaceDN/>
        <w:bidi w:val="0"/>
        <w:adjustRightInd/>
        <w:snapToGrid/>
        <w:ind w:leftChars="0" w:firstLine="442" w:firstLineChars="200"/>
        <w:textAlignment w:val="auto"/>
        <w:rPr>
          <w:rFonts w:hint="eastAsia" w:ascii="宋体" w:hAnsi="宋体" w:eastAsia="宋体" w:cs="宋体"/>
          <w:b/>
          <w:sz w:val="22"/>
          <w:highlight w:val="none"/>
        </w:rPr>
      </w:pPr>
      <w:r>
        <w:rPr>
          <w:rFonts w:hint="eastAsia" w:ascii="宋体" w:hAnsi="宋体" w:eastAsia="宋体" w:cs="宋体"/>
          <w:b/>
          <w:sz w:val="22"/>
          <w:highlight w:val="none"/>
        </w:rPr>
        <w:t>中标价80万元以下（含80万元的）：按800元收取；</w:t>
      </w:r>
    </w:p>
    <w:p w14:paraId="09D8B1C1">
      <w:pPr>
        <w:keepNext w:val="0"/>
        <w:keepLines w:val="0"/>
        <w:pageBreakBefore w:val="0"/>
        <w:widowControl w:val="0"/>
        <w:numPr>
          <w:ilvl w:val="0"/>
          <w:numId w:val="24"/>
        </w:numPr>
        <w:tabs>
          <w:tab w:val="left" w:pos="540"/>
          <w:tab w:val="left" w:pos="900"/>
        </w:tabs>
        <w:kinsoku/>
        <w:wordWrap w:val="0"/>
        <w:overflowPunct/>
        <w:topLinePunct w:val="0"/>
        <w:autoSpaceDE/>
        <w:autoSpaceDN/>
        <w:bidi w:val="0"/>
        <w:adjustRightInd/>
        <w:snapToGrid/>
        <w:ind w:leftChars="0" w:firstLine="442" w:firstLineChars="200"/>
        <w:textAlignment w:val="auto"/>
        <w:rPr>
          <w:rFonts w:hint="eastAsia" w:ascii="宋体" w:hAnsi="宋体" w:eastAsia="宋体" w:cs="宋体"/>
          <w:b/>
          <w:sz w:val="22"/>
          <w:highlight w:val="none"/>
        </w:rPr>
      </w:pPr>
      <w:r>
        <w:rPr>
          <w:rFonts w:hint="eastAsia" w:ascii="宋体" w:hAnsi="宋体" w:eastAsia="宋体" w:cs="宋体"/>
          <w:b/>
          <w:sz w:val="22"/>
          <w:highlight w:val="none"/>
        </w:rPr>
        <w:t>中标价超过80万元的：</w:t>
      </w:r>
      <w:r>
        <w:rPr>
          <w:rFonts w:hint="eastAsia" w:ascii="宋体" w:hAnsi="宋体" w:eastAsia="宋体" w:cs="宋体"/>
          <w:b/>
          <w:sz w:val="22"/>
          <w:highlight w:val="none"/>
          <w:lang w:val="en-US" w:eastAsia="zh-CN"/>
        </w:rPr>
        <w:t>按</w:t>
      </w:r>
      <w:r>
        <w:rPr>
          <w:rFonts w:hint="eastAsia" w:ascii="宋体" w:hAnsi="宋体" w:eastAsia="宋体" w:cs="宋体"/>
          <w:b/>
          <w:sz w:val="22"/>
          <w:highlight w:val="none"/>
        </w:rPr>
        <w:t>中标价的千分之一（0.1%）</w:t>
      </w:r>
      <w:r>
        <w:rPr>
          <w:rFonts w:hint="eastAsia" w:ascii="宋体" w:hAnsi="宋体" w:eastAsia="宋体" w:cs="宋体"/>
          <w:b/>
          <w:sz w:val="22"/>
          <w:highlight w:val="none"/>
          <w:lang w:val="en-US" w:eastAsia="zh-CN"/>
        </w:rPr>
        <w:t>收取</w:t>
      </w:r>
      <w:r>
        <w:rPr>
          <w:rFonts w:hint="eastAsia" w:ascii="宋体" w:hAnsi="宋体" w:eastAsia="宋体" w:cs="宋体"/>
          <w:b/>
          <w:sz w:val="22"/>
          <w:highlight w:val="none"/>
        </w:rPr>
        <w:t>，以30000元封顶。</w:t>
      </w:r>
    </w:p>
    <w:p w14:paraId="5D07F4C5">
      <w:pPr>
        <w:numPr>
          <w:ilvl w:val="0"/>
          <w:numId w:val="0"/>
        </w:numPr>
        <w:tabs>
          <w:tab w:val="left" w:pos="540"/>
          <w:tab w:val="left" w:pos="900"/>
        </w:tabs>
        <w:ind w:leftChars="0"/>
        <w:rPr>
          <w:rFonts w:hint="eastAsia" w:ascii="宋体" w:hAnsi="宋体" w:eastAsia="宋体" w:cs="宋体"/>
          <w:b w:val="0"/>
          <w:bCs/>
          <w:sz w:val="22"/>
          <w:szCs w:val="22"/>
          <w:highlight w:val="none"/>
        </w:rPr>
      </w:pPr>
      <w:r>
        <w:rPr>
          <w:rFonts w:hint="eastAsia" w:ascii="宋体" w:hAnsi="宋体" w:eastAsia="宋体" w:cs="宋体"/>
          <w:b/>
          <w:color w:val="auto"/>
          <w:sz w:val="22"/>
          <w:highlight w:val="none"/>
        </w:rPr>
        <w:t>由</w:t>
      </w:r>
      <w:r>
        <w:rPr>
          <w:rFonts w:hint="eastAsia" w:ascii="宋体" w:hAnsi="宋体" w:eastAsia="宋体" w:cs="宋体"/>
          <w:b/>
          <w:color w:val="auto"/>
          <w:sz w:val="22"/>
          <w:highlight w:val="none"/>
          <w:lang w:val="en-US" w:eastAsia="zh-CN"/>
        </w:rPr>
        <w:t>成交</w:t>
      </w:r>
      <w:r>
        <w:rPr>
          <w:rFonts w:hint="eastAsia" w:ascii="宋体" w:hAnsi="宋体" w:eastAsia="宋体" w:cs="宋体"/>
          <w:b/>
          <w:color w:val="auto"/>
          <w:sz w:val="22"/>
          <w:highlight w:val="none"/>
        </w:rPr>
        <w:t>供应商于中标</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lang w:val="en-US" w:eastAsia="zh-CN"/>
        </w:rPr>
        <w:t>成交</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结果公示后支付该项目的技术服务费。各供应商投标总报价须包含该乐采云技术服务费。</w:t>
      </w:r>
    </w:p>
    <w:p w14:paraId="1DD743A9">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解释权</w:t>
      </w:r>
    </w:p>
    <w:p w14:paraId="5A616E34">
      <w:pPr>
        <w:autoSpaceDE w:val="0"/>
        <w:autoSpaceDN w:val="0"/>
        <w:adjustRightInd w:val="0"/>
        <w:spacing w:after="120"/>
        <w:ind w:firstLine="220" w:firstLineChars="1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采购文件的解释权均属于采购人和浙江国际招投标有限公司。</w:t>
      </w:r>
    </w:p>
    <w:p w14:paraId="471ED527">
      <w:pPr>
        <w:keepNext/>
        <w:spacing w:before="312" w:beforeLines="100"/>
        <w:jc w:val="center"/>
        <w:outlineLvl w:val="0"/>
        <w:rPr>
          <w:rFonts w:hint="eastAsia" w:ascii="宋体" w:hAnsi="宋体" w:eastAsia="宋体" w:cs="宋体"/>
          <w:b/>
          <w:bCs/>
          <w:sz w:val="22"/>
          <w:szCs w:val="22"/>
          <w:highlight w:val="none"/>
        </w:rPr>
      </w:pPr>
    </w:p>
    <w:p w14:paraId="2C192B3E">
      <w:pPr>
        <w:spacing w:before="120" w:beforeLines="50" w:after="120" w:afterLines="50"/>
        <w:jc w:val="center"/>
        <w:rPr>
          <w:rFonts w:hint="eastAsia" w:ascii="宋体" w:hAnsi="宋体" w:eastAsia="宋体" w:cs="宋体"/>
          <w:b/>
          <w:sz w:val="28"/>
          <w:szCs w:val="28"/>
        </w:rPr>
      </w:pPr>
      <w:r>
        <w:rPr>
          <w:rFonts w:hint="eastAsia" w:ascii="宋体" w:hAnsi="宋体" w:eastAsia="宋体" w:cs="宋体"/>
          <w:b/>
          <w:sz w:val="28"/>
          <w:szCs w:val="28"/>
        </w:rPr>
        <w:t>七、 质疑与投诉</w:t>
      </w:r>
    </w:p>
    <w:p w14:paraId="2A0A4827">
      <w:pPr>
        <w:tabs>
          <w:tab w:val="left" w:pos="210"/>
        </w:tabs>
        <w:snapToGrid w:val="0"/>
        <w:ind w:left="400"/>
        <w:jc w:val="left"/>
        <w:outlineLvl w:val="2"/>
        <w:rPr>
          <w:rFonts w:hint="eastAsia" w:ascii="宋体" w:hAnsi="宋体" w:eastAsia="宋体" w:cs="宋体"/>
          <w:b/>
          <w:sz w:val="22"/>
          <w:szCs w:val="22"/>
          <w:lang w:val="zh-CN"/>
        </w:rPr>
      </w:pPr>
      <w:r>
        <w:rPr>
          <w:rFonts w:hint="eastAsia" w:ascii="宋体" w:hAnsi="宋体" w:eastAsia="宋体" w:cs="宋体"/>
          <w:b/>
          <w:sz w:val="22"/>
          <w:szCs w:val="22"/>
        </w:rPr>
        <w:t>1</w:t>
      </w:r>
      <w:r>
        <w:rPr>
          <w:rFonts w:hint="eastAsia" w:ascii="宋体" w:hAnsi="宋体" w:eastAsia="宋体" w:cs="宋体"/>
          <w:b/>
          <w:sz w:val="22"/>
          <w:szCs w:val="22"/>
          <w:lang w:val="en-US" w:eastAsia="zh-CN"/>
        </w:rPr>
        <w:t>.</w:t>
      </w:r>
      <w:r>
        <w:rPr>
          <w:rFonts w:hint="eastAsia" w:ascii="宋体" w:hAnsi="宋体" w:eastAsia="宋体" w:cs="宋体"/>
          <w:b/>
          <w:sz w:val="22"/>
          <w:szCs w:val="22"/>
          <w:lang w:val="zh-CN"/>
        </w:rPr>
        <w:t>供应商质疑</w:t>
      </w:r>
    </w:p>
    <w:p w14:paraId="35F97AF9">
      <w:pPr>
        <w:tabs>
          <w:tab w:val="left" w:pos="210"/>
        </w:tabs>
        <w:snapToGrid w:val="0"/>
        <w:ind w:firstLine="440" w:firstLineChars="200"/>
        <w:jc w:val="left"/>
        <w:outlineLvl w:val="2"/>
        <w:rPr>
          <w:rFonts w:hint="eastAsia" w:ascii="宋体" w:hAnsi="宋体" w:eastAsia="宋体" w:cs="宋体"/>
          <w:bCs/>
          <w:sz w:val="22"/>
          <w:szCs w:val="22"/>
          <w:lang w:val="zh-CN"/>
        </w:rPr>
      </w:pPr>
      <w:r>
        <w:rPr>
          <w:rFonts w:hint="eastAsia" w:ascii="宋体" w:hAnsi="宋体" w:eastAsia="宋体" w:cs="宋体"/>
          <w:bCs/>
          <w:sz w:val="22"/>
          <w:szCs w:val="22"/>
          <w:lang w:val="en-US" w:eastAsia="zh-CN"/>
        </w:rPr>
        <w:t>1.1</w:t>
      </w:r>
      <w:r>
        <w:rPr>
          <w:rFonts w:hint="eastAsia" w:ascii="宋体" w:hAnsi="宋体" w:eastAsia="宋体" w:cs="宋体"/>
          <w:bCs/>
          <w:sz w:val="22"/>
          <w:szCs w:val="22"/>
          <w:lang w:val="zh-CN"/>
        </w:rPr>
        <w:t>提出质疑的供应商（以下简称质疑供应商）应当是参与所质疑项目采购活动的供应商。潜在供应商已依法获取其可质疑的采购文件的，可以对该文件提出质疑。</w:t>
      </w:r>
    </w:p>
    <w:p w14:paraId="0490A4E9">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sz w:val="22"/>
          <w:szCs w:val="22"/>
          <w:highlight w:val="none"/>
          <w:lang w:val="en-US" w:eastAsia="zh-CN"/>
        </w:rPr>
        <w:t>1.2</w:t>
      </w:r>
      <w:r>
        <w:rPr>
          <w:rFonts w:hint="eastAsia" w:ascii="宋体" w:hAnsi="宋体" w:eastAsia="宋体" w:cs="宋体"/>
          <w:bCs/>
          <w:color w:val="auto"/>
          <w:sz w:val="22"/>
          <w:szCs w:val="22"/>
          <w:highlight w:val="none"/>
          <w:lang w:val="zh-CN"/>
        </w:rPr>
        <w:t>供应商认为采购文件、采购过程、中标</w:t>
      </w:r>
      <w:r>
        <w:rPr>
          <w:rFonts w:hint="eastAsia" w:ascii="宋体" w:hAnsi="宋体" w:eastAsia="宋体" w:cs="宋体"/>
          <w:bCs/>
          <w:color w:val="auto"/>
          <w:sz w:val="22"/>
          <w:szCs w:val="22"/>
          <w:highlight w:val="none"/>
        </w:rPr>
        <w:t>或者成交</w:t>
      </w:r>
      <w:r>
        <w:rPr>
          <w:rFonts w:hint="eastAsia" w:ascii="宋体" w:hAnsi="宋体" w:eastAsia="宋体" w:cs="宋体"/>
          <w:bCs/>
          <w:color w:val="auto"/>
          <w:sz w:val="22"/>
          <w:szCs w:val="22"/>
          <w:highlight w:val="none"/>
          <w:lang w:val="zh-CN"/>
        </w:rPr>
        <w:t>结果使自己的权益受到损害的，可以在知道或者应知其权益受到损害之日起</w:t>
      </w:r>
      <w:r>
        <w:rPr>
          <w:rFonts w:hint="eastAsia" w:ascii="宋体" w:hAnsi="宋体" w:eastAsia="宋体" w:cs="宋体"/>
          <w:bCs/>
          <w:color w:val="auto"/>
          <w:sz w:val="22"/>
          <w:szCs w:val="22"/>
          <w:highlight w:val="none"/>
        </w:rPr>
        <w:t>规定的时间</w:t>
      </w:r>
      <w:r>
        <w:rPr>
          <w:rFonts w:hint="eastAsia" w:ascii="宋体" w:hAnsi="宋体" w:eastAsia="宋体" w:cs="宋体"/>
          <w:bCs/>
          <w:color w:val="auto"/>
          <w:sz w:val="22"/>
          <w:szCs w:val="22"/>
          <w:highlight w:val="none"/>
          <w:lang w:val="zh-CN"/>
        </w:rPr>
        <w:t>内，以书面形式向采购人或者采购代理机构提出质疑，否则，采购人或者采购代理机构不予受理：</w:t>
      </w:r>
    </w:p>
    <w:p w14:paraId="0DB112FE">
      <w:pPr>
        <w:numPr>
          <w:ilvl w:val="0"/>
          <w:numId w:val="0"/>
        </w:numPr>
        <w:tabs>
          <w:tab w:val="left" w:pos="210"/>
          <w:tab w:val="left" w:pos="1050"/>
        </w:tabs>
        <w:snapToGrid w:val="0"/>
        <w:ind w:firstLine="440" w:firstLineChars="200"/>
        <w:jc w:val="left"/>
        <w:outlineLvl w:val="2"/>
        <w:rPr>
          <w:rFonts w:hint="eastAsia" w:ascii="宋体" w:hAnsi="宋体" w:eastAsia="宋体" w:cs="宋体"/>
          <w:bCs/>
          <w:color w:val="auto"/>
          <w:sz w:val="22"/>
          <w:szCs w:val="22"/>
          <w:lang w:val="zh-CN"/>
        </w:rPr>
      </w:pPr>
      <w:r>
        <w:rPr>
          <w:rFonts w:hint="eastAsia" w:ascii="宋体" w:hAnsi="宋体" w:eastAsia="宋体" w:cs="宋体"/>
          <w:bCs/>
          <w:sz w:val="22"/>
          <w:highlight w:val="none"/>
          <w:lang w:val="en-US" w:eastAsia="zh-CN"/>
        </w:rPr>
        <w:t>1）对采购文件提出质疑</w:t>
      </w:r>
      <w:r>
        <w:rPr>
          <w:rFonts w:hint="eastAsia" w:ascii="宋体" w:hAnsi="宋体" w:eastAsia="宋体" w:cs="宋体"/>
          <w:bCs/>
          <w:color w:val="auto"/>
          <w:sz w:val="22"/>
          <w:highlight w:val="none"/>
          <w:lang w:val="en-US" w:eastAsia="zh-CN"/>
        </w:rPr>
        <w:t>的，</w:t>
      </w:r>
      <w:r>
        <w:rPr>
          <w:rFonts w:hint="eastAsia" w:ascii="宋体" w:hAnsi="宋体" w:eastAsia="宋体" w:cs="宋体"/>
          <w:bCs/>
          <w:color w:val="auto"/>
          <w:sz w:val="22"/>
          <w:highlight w:val="none"/>
          <w:u w:val="none"/>
          <w:lang w:val="en-US" w:eastAsia="zh-CN"/>
        </w:rPr>
        <w:t>质疑期限为</w:t>
      </w:r>
      <w:r>
        <w:rPr>
          <w:rFonts w:hint="eastAsia" w:ascii="宋体" w:hAnsi="宋体" w:eastAsia="宋体" w:cs="宋体"/>
          <w:bCs/>
          <w:color w:val="auto"/>
          <w:kern w:val="0"/>
          <w:szCs w:val="21"/>
          <w:highlight w:val="none"/>
          <w:u w:val="none"/>
        </w:rPr>
        <w:t>自采购公告发出之日（</w:t>
      </w:r>
      <w:r>
        <w:rPr>
          <w:rFonts w:hint="eastAsia" w:ascii="宋体" w:hAnsi="宋体" w:eastAsia="宋体" w:cs="宋体"/>
          <w:bCs/>
          <w:color w:val="auto"/>
          <w:kern w:val="0"/>
          <w:szCs w:val="21"/>
          <w:highlight w:val="none"/>
          <w:u w:val="none"/>
          <w:lang w:val="en-US" w:eastAsia="zh-CN"/>
        </w:rPr>
        <w:t>采购公告发布</w:t>
      </w:r>
      <w:r>
        <w:rPr>
          <w:rFonts w:hint="eastAsia" w:ascii="宋体" w:hAnsi="宋体" w:eastAsia="宋体" w:cs="宋体"/>
          <w:bCs/>
          <w:color w:val="auto"/>
          <w:kern w:val="0"/>
          <w:szCs w:val="21"/>
          <w:highlight w:val="none"/>
          <w:u w:val="none"/>
        </w:rPr>
        <w:t>当天不算）起6日内，以书面形式向采购人和采购代理机构提出质疑</w:t>
      </w:r>
      <w:r>
        <w:rPr>
          <w:rFonts w:hint="eastAsia" w:ascii="宋体" w:hAnsi="宋体" w:eastAsia="宋体" w:cs="宋体"/>
          <w:bCs/>
          <w:sz w:val="22"/>
          <w:lang w:val="en-US" w:eastAsia="zh-CN"/>
        </w:rPr>
        <w:t>。</w:t>
      </w:r>
    </w:p>
    <w:p w14:paraId="53FCD67B">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lang w:val="zh-CN"/>
        </w:rPr>
      </w:pPr>
      <w:r>
        <w:rPr>
          <w:rFonts w:hint="eastAsia" w:ascii="宋体" w:hAnsi="宋体" w:eastAsia="宋体" w:cs="宋体"/>
          <w:bCs/>
          <w:color w:val="auto"/>
          <w:sz w:val="22"/>
          <w:szCs w:val="22"/>
          <w:lang w:val="en-US" w:eastAsia="zh-CN"/>
        </w:rPr>
        <w:t>2）</w:t>
      </w:r>
      <w:r>
        <w:rPr>
          <w:rFonts w:hint="eastAsia" w:ascii="宋体" w:hAnsi="宋体" w:eastAsia="宋体" w:cs="宋体"/>
          <w:bCs/>
          <w:color w:val="auto"/>
          <w:sz w:val="22"/>
          <w:szCs w:val="22"/>
          <w:lang w:val="zh-CN"/>
        </w:rPr>
        <w:t>对采购结果提出质疑的，质疑</w:t>
      </w:r>
      <w:r>
        <w:rPr>
          <w:rFonts w:hint="eastAsia" w:ascii="宋体" w:hAnsi="宋体" w:eastAsia="宋体" w:cs="宋体"/>
          <w:bCs/>
          <w:color w:val="auto"/>
          <w:sz w:val="22"/>
          <w:szCs w:val="22"/>
          <w:lang w:val="en-US" w:eastAsia="zh-CN"/>
        </w:rPr>
        <w:t>须在</w:t>
      </w:r>
      <w:r>
        <w:rPr>
          <w:rFonts w:hint="eastAsia" w:ascii="宋体" w:hAnsi="宋体" w:eastAsia="宋体" w:cs="宋体"/>
          <w:bCs/>
          <w:color w:val="auto"/>
          <w:sz w:val="22"/>
          <w:szCs w:val="22"/>
        </w:rPr>
        <w:t>采购结果公</w:t>
      </w:r>
      <w:r>
        <w:rPr>
          <w:rFonts w:hint="eastAsia" w:ascii="宋体" w:hAnsi="宋体" w:eastAsia="宋体" w:cs="宋体"/>
          <w:bCs/>
          <w:color w:val="auto"/>
          <w:sz w:val="22"/>
          <w:szCs w:val="22"/>
          <w:lang w:val="en-US" w:eastAsia="zh-CN"/>
        </w:rPr>
        <w:t>告</w:t>
      </w:r>
      <w:r>
        <w:rPr>
          <w:rFonts w:hint="eastAsia" w:ascii="宋体" w:hAnsi="宋体" w:eastAsia="宋体" w:cs="宋体"/>
          <w:bCs/>
          <w:color w:val="auto"/>
          <w:sz w:val="22"/>
          <w:szCs w:val="22"/>
        </w:rPr>
        <w:t>期</w:t>
      </w:r>
      <w:r>
        <w:rPr>
          <w:rFonts w:hint="eastAsia" w:ascii="宋体" w:hAnsi="宋体" w:eastAsia="宋体" w:cs="宋体"/>
          <w:bCs/>
          <w:color w:val="auto"/>
          <w:sz w:val="22"/>
          <w:szCs w:val="22"/>
          <w:lang w:val="zh-CN"/>
        </w:rPr>
        <w:t>内提出。</w:t>
      </w:r>
    </w:p>
    <w:p w14:paraId="49FF04FD">
      <w:pPr>
        <w:tabs>
          <w:tab w:val="left" w:pos="210"/>
        </w:tabs>
        <w:snapToGrid w:val="0"/>
        <w:ind w:left="402"/>
        <w:jc w:val="left"/>
        <w:outlineLvl w:val="2"/>
        <w:rPr>
          <w:rFonts w:hint="eastAsia" w:ascii="宋体" w:hAnsi="宋体" w:eastAsia="宋体" w:cs="宋体"/>
          <w:bCs/>
          <w:color w:val="auto"/>
          <w:sz w:val="22"/>
          <w:szCs w:val="22"/>
          <w:lang w:val="zh-CN"/>
        </w:rPr>
      </w:pPr>
      <w:r>
        <w:rPr>
          <w:rFonts w:hint="eastAsia" w:ascii="宋体" w:hAnsi="宋体" w:eastAsia="宋体" w:cs="宋体"/>
          <w:bCs/>
          <w:color w:val="auto"/>
          <w:sz w:val="22"/>
          <w:szCs w:val="22"/>
          <w:lang w:val="en-US" w:eastAsia="zh-CN"/>
        </w:rPr>
        <w:t>1.3</w:t>
      </w:r>
      <w:r>
        <w:rPr>
          <w:rFonts w:hint="eastAsia" w:ascii="宋体" w:hAnsi="宋体" w:eastAsia="宋体" w:cs="宋体"/>
          <w:bCs/>
          <w:color w:val="auto"/>
          <w:sz w:val="22"/>
          <w:szCs w:val="22"/>
          <w:lang w:val="zh-CN"/>
        </w:rPr>
        <w:t>供应商提出质疑应当提交质疑函和必要的证明材料。质疑函应当包括下列内容：</w:t>
      </w:r>
    </w:p>
    <w:p w14:paraId="6E7D6ED5">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lang w:val="zh-CN"/>
        </w:rPr>
      </w:pPr>
      <w:r>
        <w:rPr>
          <w:rFonts w:hint="eastAsia" w:ascii="宋体" w:hAnsi="宋体" w:eastAsia="宋体" w:cs="宋体"/>
          <w:bCs/>
          <w:color w:val="auto"/>
          <w:sz w:val="22"/>
          <w:szCs w:val="22"/>
          <w:lang w:val="en-US" w:eastAsia="zh-CN"/>
        </w:rPr>
        <w:t>1）</w:t>
      </w:r>
      <w:r>
        <w:rPr>
          <w:rFonts w:hint="eastAsia" w:ascii="宋体" w:hAnsi="宋体" w:eastAsia="宋体" w:cs="宋体"/>
          <w:bCs/>
          <w:color w:val="auto"/>
          <w:sz w:val="22"/>
          <w:szCs w:val="22"/>
          <w:lang w:val="zh-CN"/>
        </w:rPr>
        <w:t>供应商的姓名或者名称、地址、邮编、联系</w:t>
      </w:r>
      <w:r>
        <w:rPr>
          <w:rFonts w:hint="eastAsia" w:ascii="宋体" w:hAnsi="宋体" w:eastAsia="宋体" w:cs="宋体"/>
          <w:bCs/>
          <w:sz w:val="22"/>
          <w:szCs w:val="22"/>
          <w:lang w:val="zh-CN"/>
        </w:rPr>
        <w:t>人及联系电话；</w:t>
      </w:r>
    </w:p>
    <w:p w14:paraId="11EF0C56">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lang w:val="zh-CN"/>
        </w:rPr>
      </w:pPr>
      <w:r>
        <w:rPr>
          <w:rFonts w:hint="eastAsia" w:ascii="宋体" w:hAnsi="宋体" w:eastAsia="宋体" w:cs="宋体"/>
          <w:bCs/>
          <w:sz w:val="22"/>
          <w:szCs w:val="22"/>
          <w:lang w:val="en-US" w:eastAsia="zh-CN"/>
        </w:rPr>
        <w:t>2）</w:t>
      </w:r>
      <w:r>
        <w:rPr>
          <w:rFonts w:hint="eastAsia" w:ascii="宋体" w:hAnsi="宋体" w:eastAsia="宋体" w:cs="宋体"/>
          <w:bCs/>
          <w:sz w:val="22"/>
          <w:szCs w:val="22"/>
          <w:lang w:val="zh-CN"/>
        </w:rPr>
        <w:t>质疑项目的名称、编号；</w:t>
      </w:r>
    </w:p>
    <w:p w14:paraId="3DA3AC00">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lang w:val="zh-CN"/>
        </w:rPr>
      </w:pPr>
      <w:r>
        <w:rPr>
          <w:rFonts w:hint="eastAsia" w:ascii="宋体" w:hAnsi="宋体" w:eastAsia="宋体" w:cs="宋体"/>
          <w:bCs/>
          <w:sz w:val="22"/>
          <w:szCs w:val="22"/>
          <w:lang w:val="en-US" w:eastAsia="zh-CN"/>
        </w:rPr>
        <w:t>3）</w:t>
      </w:r>
      <w:r>
        <w:rPr>
          <w:rFonts w:hint="eastAsia" w:ascii="宋体" w:hAnsi="宋体" w:eastAsia="宋体" w:cs="宋体"/>
          <w:bCs/>
          <w:sz w:val="22"/>
          <w:szCs w:val="22"/>
          <w:lang w:val="zh-CN"/>
        </w:rPr>
        <w:t>具体、明确的质疑事项和与质疑事项相关的请求；</w:t>
      </w:r>
    </w:p>
    <w:p w14:paraId="0194D7F6">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lang w:val="zh-CN"/>
        </w:rPr>
      </w:pPr>
      <w:r>
        <w:rPr>
          <w:rFonts w:hint="eastAsia" w:ascii="宋体" w:hAnsi="宋体" w:eastAsia="宋体" w:cs="宋体"/>
          <w:bCs/>
          <w:sz w:val="22"/>
          <w:szCs w:val="22"/>
          <w:lang w:val="en-US" w:eastAsia="zh-CN"/>
        </w:rPr>
        <w:t>4）</w:t>
      </w:r>
      <w:r>
        <w:rPr>
          <w:rFonts w:hint="eastAsia" w:ascii="宋体" w:hAnsi="宋体" w:eastAsia="宋体" w:cs="宋体"/>
          <w:bCs/>
          <w:sz w:val="22"/>
          <w:szCs w:val="22"/>
          <w:lang w:val="zh-CN"/>
        </w:rPr>
        <w:t>事实依据；</w:t>
      </w:r>
    </w:p>
    <w:p w14:paraId="10EB7D7A">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lang w:val="zh-CN"/>
        </w:rPr>
      </w:pPr>
      <w:r>
        <w:rPr>
          <w:rFonts w:hint="eastAsia" w:ascii="宋体" w:hAnsi="宋体" w:eastAsia="宋体" w:cs="宋体"/>
          <w:bCs/>
          <w:sz w:val="22"/>
          <w:szCs w:val="22"/>
          <w:lang w:val="en-US" w:eastAsia="zh-CN"/>
        </w:rPr>
        <w:t>5）</w:t>
      </w:r>
      <w:r>
        <w:rPr>
          <w:rFonts w:hint="eastAsia" w:ascii="宋体" w:hAnsi="宋体" w:eastAsia="宋体" w:cs="宋体"/>
          <w:bCs/>
          <w:sz w:val="22"/>
          <w:szCs w:val="22"/>
          <w:lang w:val="zh-CN"/>
        </w:rPr>
        <w:t>必要的法律依据；</w:t>
      </w:r>
    </w:p>
    <w:p w14:paraId="6216F796">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lang w:val="zh-CN"/>
        </w:rPr>
      </w:pPr>
      <w:r>
        <w:rPr>
          <w:rFonts w:hint="eastAsia" w:ascii="宋体" w:hAnsi="宋体" w:eastAsia="宋体" w:cs="宋体"/>
          <w:bCs/>
          <w:sz w:val="22"/>
          <w:szCs w:val="22"/>
          <w:lang w:val="en-US" w:eastAsia="zh-CN"/>
        </w:rPr>
        <w:t>6）</w:t>
      </w:r>
      <w:r>
        <w:rPr>
          <w:rFonts w:hint="eastAsia" w:ascii="宋体" w:hAnsi="宋体" w:eastAsia="宋体" w:cs="宋体"/>
          <w:bCs/>
          <w:sz w:val="22"/>
          <w:szCs w:val="22"/>
          <w:lang w:val="zh-CN"/>
        </w:rPr>
        <w:t>提出质疑的日期。</w:t>
      </w:r>
    </w:p>
    <w:p w14:paraId="6DE6C57B">
      <w:pPr>
        <w:tabs>
          <w:tab w:val="left" w:pos="210"/>
        </w:tabs>
        <w:snapToGrid w:val="0"/>
        <w:ind w:firstLine="440" w:firstLineChars="200"/>
        <w:jc w:val="left"/>
        <w:outlineLvl w:val="2"/>
        <w:rPr>
          <w:rFonts w:hint="eastAsia" w:ascii="宋体" w:hAnsi="宋体" w:eastAsia="宋体" w:cs="宋体"/>
          <w:bCs/>
          <w:sz w:val="22"/>
          <w:szCs w:val="22"/>
          <w:lang w:val="zh-CN"/>
        </w:rPr>
      </w:pPr>
      <w:r>
        <w:rPr>
          <w:rFonts w:hint="eastAsia" w:ascii="宋体" w:hAnsi="宋体" w:eastAsia="宋体" w:cs="宋体"/>
          <w:bCs/>
          <w:sz w:val="22"/>
          <w:szCs w:val="22"/>
          <w:lang w:val="zh-CN"/>
        </w:rPr>
        <w:t>供应商提交的质疑函需一式三份。供应商为自然人的，应当由本人签字；供应商为法人或者其他组织的，应当由法定代表人、主要负责人，或者其授权代表签字或者盖章，并加盖公章。</w:t>
      </w:r>
    </w:p>
    <w:p w14:paraId="361E51C0">
      <w:pPr>
        <w:tabs>
          <w:tab w:val="left" w:pos="210"/>
        </w:tabs>
        <w:wordWrap w:val="0"/>
        <w:snapToGrid w:val="0"/>
        <w:ind w:firstLine="440" w:firstLineChars="200"/>
        <w:jc w:val="left"/>
        <w:outlineLvl w:val="2"/>
        <w:rPr>
          <w:rFonts w:hint="eastAsia" w:ascii="宋体" w:hAnsi="宋体" w:eastAsia="宋体" w:cs="宋体"/>
          <w:b w:val="0"/>
          <w:bCs/>
          <w:sz w:val="22"/>
          <w:szCs w:val="22"/>
          <w:u w:val="none"/>
          <w:lang w:val="zh-CN"/>
        </w:rPr>
      </w:pPr>
      <w:r>
        <w:rPr>
          <w:rFonts w:hint="eastAsia" w:ascii="宋体" w:hAnsi="宋体" w:eastAsia="宋体" w:cs="宋体"/>
          <w:b w:val="0"/>
          <w:bCs/>
          <w:sz w:val="22"/>
          <w:szCs w:val="22"/>
          <w:u w:val="none"/>
          <w:lang w:val="zh-CN"/>
        </w:rPr>
        <w:t>质疑供应商的《质疑函》可参考政府采购质疑函范本的格式进行编写。下载地址如下：“https://sitecdn.zcycdn.com/site_group/prod/site_1/2018/06/12/15-22-570613413750772.docx”。供应商可以先发电子版质疑函，但质疑函的收到日期以采购代理或采购人收到纸质原件的日期为准。</w:t>
      </w:r>
    </w:p>
    <w:p w14:paraId="0A60EA24">
      <w:pPr>
        <w:tabs>
          <w:tab w:val="left" w:pos="210"/>
          <w:tab w:val="left" w:pos="840"/>
        </w:tabs>
        <w:snapToGrid w:val="0"/>
        <w:ind w:firstLine="442" w:firstLineChars="200"/>
        <w:jc w:val="left"/>
        <w:outlineLvl w:val="2"/>
        <w:rPr>
          <w:rFonts w:hint="eastAsia" w:ascii="宋体" w:hAnsi="宋体" w:eastAsia="宋体" w:cs="宋体"/>
          <w:b/>
          <w:sz w:val="22"/>
          <w:szCs w:val="22"/>
          <w:u w:val="single"/>
          <w:lang w:val="zh-CN"/>
        </w:rPr>
      </w:pPr>
      <w:r>
        <w:rPr>
          <w:rFonts w:hint="eastAsia" w:ascii="宋体" w:hAnsi="宋体" w:eastAsia="宋体" w:cs="宋体"/>
          <w:b/>
          <w:sz w:val="22"/>
          <w:szCs w:val="22"/>
          <w:u w:val="single"/>
          <w:lang w:val="en-US" w:eastAsia="zh-CN"/>
        </w:rPr>
        <w:t>1.4</w:t>
      </w:r>
      <w:r>
        <w:rPr>
          <w:rFonts w:hint="eastAsia" w:ascii="宋体" w:hAnsi="宋体" w:eastAsia="宋体" w:cs="宋体"/>
          <w:b/>
          <w:sz w:val="22"/>
          <w:szCs w:val="22"/>
          <w:u w:val="single"/>
          <w:lang w:val="zh-CN"/>
        </w:rPr>
        <w:t>对同一采购程序环节的质疑</w:t>
      </w:r>
      <w:r>
        <w:rPr>
          <w:rFonts w:hint="eastAsia" w:ascii="宋体" w:hAnsi="宋体" w:eastAsia="宋体" w:cs="宋体"/>
          <w:b/>
          <w:sz w:val="22"/>
          <w:szCs w:val="22"/>
          <w:u w:val="single"/>
        </w:rPr>
        <w:t>时</w:t>
      </w:r>
      <w:r>
        <w:rPr>
          <w:rFonts w:hint="eastAsia" w:ascii="宋体" w:hAnsi="宋体" w:eastAsia="宋体" w:cs="宋体"/>
          <w:b/>
          <w:sz w:val="22"/>
          <w:szCs w:val="22"/>
          <w:u w:val="single"/>
          <w:lang w:val="zh-CN"/>
        </w:rPr>
        <w:t>，供应商须在法定质疑期内一次性提出，</w:t>
      </w:r>
      <w:r>
        <w:rPr>
          <w:rFonts w:hint="eastAsia" w:ascii="宋体" w:hAnsi="宋体" w:eastAsia="宋体" w:cs="宋体"/>
          <w:b/>
          <w:sz w:val="22"/>
          <w:u w:val="single"/>
          <w:lang w:val="zh-CN"/>
        </w:rPr>
        <w:t>已经提出过质疑的投标供应商在质疑期内不能提出新的质疑。</w:t>
      </w:r>
    </w:p>
    <w:p w14:paraId="7571631B">
      <w:pPr>
        <w:tabs>
          <w:tab w:val="left" w:pos="210"/>
          <w:tab w:val="left" w:pos="840"/>
        </w:tabs>
        <w:snapToGrid w:val="0"/>
        <w:ind w:firstLine="440" w:firstLineChars="200"/>
        <w:jc w:val="left"/>
        <w:outlineLvl w:val="2"/>
        <w:rPr>
          <w:rFonts w:hint="eastAsia" w:ascii="宋体" w:hAnsi="宋体" w:eastAsia="宋体" w:cs="宋体"/>
          <w:bCs/>
          <w:sz w:val="22"/>
          <w:szCs w:val="22"/>
          <w:lang w:val="zh-CN"/>
        </w:rPr>
      </w:pPr>
      <w:r>
        <w:rPr>
          <w:rFonts w:hint="eastAsia" w:ascii="宋体" w:hAnsi="宋体" w:eastAsia="宋体" w:cs="宋体"/>
          <w:bCs/>
          <w:sz w:val="22"/>
          <w:szCs w:val="22"/>
          <w:lang w:val="en-US" w:eastAsia="zh-CN"/>
        </w:rPr>
        <w:t>1.5</w:t>
      </w:r>
      <w:r>
        <w:rPr>
          <w:rFonts w:hint="eastAsia" w:ascii="宋体" w:hAnsi="宋体" w:eastAsia="宋体" w:cs="宋体"/>
          <w:bCs/>
          <w:sz w:val="22"/>
          <w:szCs w:val="22"/>
          <w:lang w:val="zh-CN"/>
        </w:rPr>
        <w:t>采购人负责供应商质疑答复。采购人委托采购代理机构采购的，采购代理机构对委托授权范围内质疑事项作出答复。委托授权范围应当在采购代理协议中明确。</w:t>
      </w:r>
    </w:p>
    <w:p w14:paraId="1F9F1854">
      <w:pPr>
        <w:tabs>
          <w:tab w:val="left" w:pos="210"/>
          <w:tab w:val="left" w:pos="840"/>
        </w:tabs>
        <w:snapToGrid w:val="0"/>
        <w:ind w:firstLine="440" w:firstLineChars="200"/>
        <w:jc w:val="left"/>
        <w:outlineLvl w:val="2"/>
        <w:rPr>
          <w:rFonts w:hint="eastAsia" w:ascii="宋体" w:hAnsi="宋体" w:eastAsia="宋体" w:cs="宋体"/>
          <w:bCs/>
          <w:sz w:val="22"/>
          <w:szCs w:val="22"/>
          <w:lang w:val="zh-CN"/>
        </w:rPr>
      </w:pPr>
      <w:r>
        <w:rPr>
          <w:rFonts w:hint="eastAsia" w:ascii="宋体" w:hAnsi="宋体" w:eastAsia="宋体" w:cs="宋体"/>
          <w:bCs/>
          <w:sz w:val="22"/>
          <w:szCs w:val="22"/>
          <w:lang w:val="en-US" w:eastAsia="zh-CN"/>
        </w:rPr>
        <w:t>1.6</w:t>
      </w:r>
      <w:r>
        <w:rPr>
          <w:rFonts w:hint="eastAsia" w:ascii="宋体" w:hAnsi="宋体" w:eastAsia="宋体" w:cs="宋体"/>
          <w:bCs/>
          <w:sz w:val="22"/>
          <w:szCs w:val="22"/>
          <w:lang w:val="zh-CN"/>
        </w:rPr>
        <w:t>采购人或者采购代理机构应当在收到供应商的书面质疑后七个工作日内作出答复，但答复的内容不得涉及商业秘密。</w:t>
      </w:r>
    </w:p>
    <w:p w14:paraId="40C81FA1">
      <w:pPr>
        <w:tabs>
          <w:tab w:val="left" w:pos="210"/>
        </w:tabs>
        <w:snapToGrid w:val="0"/>
        <w:ind w:firstLine="442" w:firstLineChars="200"/>
        <w:jc w:val="left"/>
        <w:outlineLvl w:val="2"/>
        <w:rPr>
          <w:rFonts w:hint="eastAsia" w:ascii="宋体" w:hAnsi="宋体" w:eastAsia="宋体" w:cs="宋体"/>
          <w:b/>
          <w:sz w:val="22"/>
          <w:szCs w:val="22"/>
          <w:lang w:val="zh-CN"/>
        </w:rPr>
      </w:pPr>
      <w:r>
        <w:rPr>
          <w:rFonts w:hint="eastAsia" w:ascii="宋体" w:hAnsi="宋体" w:eastAsia="宋体" w:cs="宋体"/>
          <w:b/>
          <w:sz w:val="22"/>
          <w:szCs w:val="22"/>
        </w:rPr>
        <w:t>2</w:t>
      </w:r>
      <w:r>
        <w:rPr>
          <w:rFonts w:hint="eastAsia" w:ascii="宋体" w:hAnsi="宋体" w:eastAsia="宋体" w:cs="宋体"/>
          <w:b/>
          <w:sz w:val="22"/>
          <w:szCs w:val="22"/>
          <w:lang w:val="en-US" w:eastAsia="zh-CN"/>
        </w:rPr>
        <w:t>.</w:t>
      </w:r>
      <w:r>
        <w:rPr>
          <w:rFonts w:hint="eastAsia" w:ascii="宋体" w:hAnsi="宋体" w:eastAsia="宋体" w:cs="宋体"/>
          <w:b/>
          <w:sz w:val="22"/>
          <w:szCs w:val="22"/>
          <w:lang w:val="zh-CN"/>
        </w:rPr>
        <w:t>供应商投诉</w:t>
      </w:r>
    </w:p>
    <w:p w14:paraId="2C3E9780">
      <w:pPr>
        <w:tabs>
          <w:tab w:val="left" w:pos="210"/>
        </w:tabs>
        <w:snapToGrid w:val="0"/>
        <w:ind w:firstLine="440" w:firstLineChars="200"/>
        <w:jc w:val="left"/>
        <w:outlineLvl w:val="2"/>
        <w:rPr>
          <w:rFonts w:hint="eastAsia" w:ascii="宋体" w:hAnsi="宋体" w:eastAsia="宋体" w:cs="宋体"/>
          <w:bCs/>
          <w:sz w:val="22"/>
          <w:szCs w:val="22"/>
          <w:lang w:val="zh-CN"/>
        </w:rPr>
      </w:pPr>
      <w:r>
        <w:rPr>
          <w:rFonts w:hint="eastAsia" w:ascii="宋体" w:hAnsi="宋体" w:eastAsia="宋体" w:cs="宋体"/>
          <w:bCs/>
          <w:sz w:val="22"/>
          <w:szCs w:val="22"/>
          <w:lang w:val="en-US" w:eastAsia="zh-CN"/>
        </w:rPr>
        <w:t>2.1</w:t>
      </w:r>
      <w:r>
        <w:rPr>
          <w:rFonts w:hint="eastAsia" w:ascii="宋体" w:hAnsi="宋体" w:eastAsia="宋体" w:cs="宋体"/>
          <w:bCs/>
          <w:sz w:val="22"/>
          <w:szCs w:val="22"/>
          <w:lang w:val="zh-CN"/>
        </w:rPr>
        <w:t>质疑供应商对采购人、采购代理机构的答复不满意或者采购人、采购代理机构未在规定的时间内作出答复的，可以在答复期满后</w:t>
      </w:r>
      <w:r>
        <w:rPr>
          <w:rFonts w:hint="eastAsia" w:ascii="宋体" w:hAnsi="宋体" w:eastAsia="宋体" w:cs="宋体"/>
          <w:bCs/>
          <w:sz w:val="22"/>
          <w:szCs w:val="22"/>
        </w:rPr>
        <w:t>15</w:t>
      </w:r>
      <w:r>
        <w:rPr>
          <w:rFonts w:hint="eastAsia" w:ascii="宋体" w:hAnsi="宋体" w:eastAsia="宋体" w:cs="宋体"/>
          <w:bCs/>
          <w:sz w:val="22"/>
          <w:szCs w:val="22"/>
          <w:lang w:val="zh-CN"/>
        </w:rPr>
        <w:t>个工作日内向采购人（集团）的内设监管职能部门投诉。</w:t>
      </w:r>
    </w:p>
    <w:p w14:paraId="3162FF3F">
      <w:pPr>
        <w:tabs>
          <w:tab w:val="left" w:pos="210"/>
        </w:tabs>
        <w:snapToGrid w:val="0"/>
        <w:ind w:firstLine="440" w:firstLineChars="200"/>
        <w:jc w:val="left"/>
        <w:outlineLvl w:val="2"/>
        <w:rPr>
          <w:rFonts w:hint="eastAsia" w:ascii="宋体" w:hAnsi="宋体" w:eastAsia="宋体" w:cs="宋体"/>
          <w:bCs/>
          <w:sz w:val="22"/>
          <w:szCs w:val="22"/>
          <w:lang w:val="zh-CN"/>
        </w:rPr>
      </w:pPr>
      <w:r>
        <w:rPr>
          <w:rFonts w:hint="eastAsia" w:ascii="宋体" w:hAnsi="宋体" w:eastAsia="宋体" w:cs="宋体"/>
          <w:bCs/>
          <w:sz w:val="22"/>
          <w:szCs w:val="22"/>
          <w:lang w:val="en-US" w:eastAsia="zh-CN"/>
        </w:rPr>
        <w:t>2.</w:t>
      </w:r>
      <w:r>
        <w:rPr>
          <w:rFonts w:hint="eastAsia" w:ascii="宋体" w:hAnsi="宋体" w:eastAsia="宋体" w:cs="宋体"/>
          <w:bCs/>
          <w:sz w:val="22"/>
          <w:szCs w:val="22"/>
        </w:rPr>
        <w:t>2</w:t>
      </w:r>
      <w:r>
        <w:rPr>
          <w:rFonts w:hint="eastAsia" w:ascii="宋体" w:hAnsi="宋体" w:eastAsia="宋体" w:cs="宋体"/>
          <w:bCs/>
          <w:sz w:val="22"/>
          <w:szCs w:val="22"/>
          <w:lang w:val="zh-CN"/>
        </w:rPr>
        <w:t>供应商投诉的事项不得超出已质疑事项的范围，基于质疑答复内容提出的投诉事项除外。</w:t>
      </w:r>
    </w:p>
    <w:p w14:paraId="6DA02EC0">
      <w:pPr>
        <w:tabs>
          <w:tab w:val="left" w:pos="210"/>
        </w:tabs>
        <w:snapToGrid w:val="0"/>
        <w:ind w:firstLine="440" w:firstLineChars="200"/>
        <w:jc w:val="left"/>
        <w:outlineLvl w:val="2"/>
        <w:rPr>
          <w:rFonts w:hint="eastAsia" w:ascii="宋体" w:hAnsi="宋体" w:eastAsia="宋体" w:cs="宋体"/>
          <w:bCs/>
          <w:sz w:val="22"/>
          <w:szCs w:val="22"/>
          <w:lang w:val="zh-CN"/>
        </w:rPr>
      </w:pPr>
      <w:r>
        <w:rPr>
          <w:rFonts w:hint="eastAsia" w:ascii="宋体" w:hAnsi="宋体" w:eastAsia="宋体" w:cs="宋体"/>
          <w:bCs/>
          <w:sz w:val="22"/>
          <w:szCs w:val="22"/>
          <w:lang w:val="en-US" w:eastAsia="zh-CN"/>
        </w:rPr>
        <w:t>2.3</w:t>
      </w:r>
      <w:r>
        <w:rPr>
          <w:rFonts w:hint="eastAsia" w:ascii="宋体" w:hAnsi="宋体" w:eastAsia="宋体" w:cs="宋体"/>
          <w:bCs/>
          <w:sz w:val="22"/>
          <w:szCs w:val="22"/>
          <w:lang w:val="zh-CN"/>
        </w:rPr>
        <w:t>供应商投诉应当有明确的请求和必要的证明材料。</w:t>
      </w:r>
    </w:p>
    <w:p w14:paraId="22BA936B">
      <w:pPr>
        <w:tabs>
          <w:tab w:val="left" w:pos="210"/>
        </w:tabs>
        <w:snapToGrid w:val="0"/>
        <w:ind w:firstLine="440" w:firstLineChars="200"/>
        <w:jc w:val="left"/>
        <w:outlineLvl w:val="2"/>
        <w:rPr>
          <w:rFonts w:hint="eastAsia" w:ascii="宋体" w:hAnsi="宋体" w:eastAsia="宋体" w:cs="宋体"/>
          <w:bCs/>
          <w:sz w:val="22"/>
          <w:szCs w:val="22"/>
          <w:lang w:val="zh-CN"/>
        </w:rPr>
      </w:pPr>
      <w:r>
        <w:rPr>
          <w:rFonts w:hint="eastAsia" w:ascii="宋体" w:hAnsi="宋体" w:eastAsia="宋体" w:cs="宋体"/>
          <w:bCs/>
          <w:sz w:val="22"/>
          <w:szCs w:val="22"/>
          <w:lang w:val="en-US" w:eastAsia="zh-CN"/>
        </w:rPr>
        <w:t>2.4</w:t>
      </w:r>
      <w:r>
        <w:rPr>
          <w:rFonts w:hint="eastAsia" w:ascii="宋体" w:hAnsi="宋体" w:eastAsia="宋体" w:cs="宋体"/>
          <w:bCs/>
          <w:sz w:val="22"/>
          <w:szCs w:val="22"/>
          <w:lang w:val="zh-CN"/>
        </w:rPr>
        <w:t>以联合体形式参加采购活动的，其投诉应当由组成联合体的所有供应商共同提出。</w:t>
      </w:r>
    </w:p>
    <w:p w14:paraId="4D64B112">
      <w:pPr>
        <w:ind w:firstLine="440" w:firstLineChars="200"/>
        <w:rPr>
          <w:rFonts w:hint="eastAsia" w:ascii="宋体" w:hAnsi="宋体" w:eastAsia="宋体" w:cs="宋体"/>
          <w:bCs/>
          <w:sz w:val="22"/>
          <w:szCs w:val="22"/>
          <w:lang w:val="zh-CN"/>
        </w:rPr>
      </w:pPr>
      <w:r>
        <w:rPr>
          <w:rFonts w:hint="eastAsia" w:ascii="宋体" w:hAnsi="宋体" w:eastAsia="宋体" w:cs="宋体"/>
          <w:bCs/>
          <w:sz w:val="22"/>
          <w:szCs w:val="22"/>
          <w:lang w:val="en-US" w:eastAsia="zh-CN"/>
        </w:rPr>
        <w:t>2.5投诉供应商认为投诉回复处理结果不合法的，可以依法向采购人所在地人民法院提起诉讼。</w:t>
      </w:r>
    </w:p>
    <w:p w14:paraId="16F211DF">
      <w:pPr>
        <w:ind w:firstLine="442" w:firstLineChars="200"/>
        <w:rPr>
          <w:rFonts w:hint="eastAsia" w:ascii="宋体" w:hAnsi="宋体" w:eastAsia="宋体" w:cs="宋体"/>
          <w:b/>
          <w:bCs w:val="0"/>
          <w:sz w:val="22"/>
          <w:szCs w:val="22"/>
          <w:highlight w:val="none"/>
          <w:lang w:val="en-US" w:eastAsia="zh-CN"/>
        </w:rPr>
      </w:pPr>
      <w:r>
        <w:rPr>
          <w:rFonts w:hint="eastAsia" w:ascii="宋体" w:hAnsi="宋体" w:eastAsia="宋体" w:cs="宋体"/>
          <w:b/>
          <w:bCs w:val="0"/>
          <w:sz w:val="22"/>
          <w:szCs w:val="22"/>
          <w:highlight w:val="none"/>
          <w:lang w:val="en-US" w:eastAsia="zh-CN"/>
        </w:rPr>
        <w:t>3.其他</w:t>
      </w:r>
    </w:p>
    <w:p w14:paraId="50D63ACE">
      <w:pPr>
        <w:ind w:firstLine="440" w:firstLineChars="200"/>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3.1</w:t>
      </w:r>
      <w:r>
        <w:rPr>
          <w:rFonts w:hint="eastAsia" w:ascii="宋体" w:hAnsi="宋体" w:eastAsia="宋体" w:cs="宋体"/>
          <w:bCs/>
          <w:sz w:val="22"/>
          <w:szCs w:val="22"/>
          <w:highlight w:val="none"/>
          <w:lang w:val="zh-CN"/>
        </w:rPr>
        <w:t>质疑供应商或投诉供应商应当承担投诉事项的举证责任，质疑供应商或投诉供应商未提供相关证据、依据和其他有关材料的，视为该质疑或投诉事项不成立；被质疑供应商或被投诉供应商未按照质疑答复通知书或投诉答复通知书要求提交相关证据、依据和其他有关材料的，视同其放弃说明权利，依法承担不利后果。</w:t>
      </w:r>
    </w:p>
    <w:p w14:paraId="47370875">
      <w:pPr>
        <w:numPr>
          <w:ilvl w:val="0"/>
          <w:numId w:val="0"/>
        </w:numPr>
        <w:tabs>
          <w:tab w:val="left" w:pos="210"/>
        </w:tabs>
        <w:snapToGrid w:val="0"/>
        <w:spacing w:line="240" w:lineRule="auto"/>
        <w:ind w:firstLine="440" w:firstLineChars="20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Cs/>
          <w:sz w:val="22"/>
          <w:szCs w:val="22"/>
          <w:highlight w:val="none"/>
          <w:lang w:val="zh-CN"/>
        </w:rPr>
        <w:t>3.2如有发现不实的质疑或投诉（包括但不限于未提供证据、证据与质疑或投诉内容无关联、虚假证据等），采购人有权视其为不实的质疑投诉，并有权将该供应商纳入集团黑名单，同时保留对外公布的权利。</w:t>
      </w:r>
    </w:p>
    <w:p w14:paraId="3A21D2CC">
      <w:pPr>
        <w:keepNext/>
        <w:spacing w:before="312" w:beforeLines="100"/>
        <w:jc w:val="center"/>
        <w:outlineLvl w:val="0"/>
        <w:rPr>
          <w:rFonts w:hint="eastAsia" w:ascii="宋体" w:hAnsi="宋体" w:eastAsia="宋体" w:cs="宋体"/>
          <w:b w:val="0"/>
          <w:bCs/>
          <w:sz w:val="22"/>
          <w:szCs w:val="22"/>
          <w:highlight w:val="none"/>
          <w:lang w:val="zh-CN"/>
        </w:rPr>
      </w:pPr>
    </w:p>
    <w:p w14:paraId="390FAEC0">
      <w:pPr>
        <w:keepNext/>
        <w:spacing w:before="312" w:beforeLines="100"/>
        <w:jc w:val="center"/>
        <w:outlineLvl w:val="0"/>
        <w:rPr>
          <w:rFonts w:hint="eastAsia" w:ascii="宋体" w:hAnsi="宋体" w:eastAsia="宋体" w:cs="宋体"/>
          <w:b w:val="0"/>
          <w:bCs/>
          <w:sz w:val="22"/>
          <w:szCs w:val="22"/>
          <w:lang w:val="zh-CN"/>
        </w:rPr>
      </w:pPr>
    </w:p>
    <w:p w14:paraId="4BD06539">
      <w:pPr>
        <w:keepNext/>
        <w:spacing w:before="312" w:beforeLines="100"/>
        <w:jc w:val="center"/>
        <w:outlineLvl w:val="0"/>
        <w:rPr>
          <w:rFonts w:hint="eastAsia" w:ascii="宋体" w:hAnsi="宋体" w:eastAsia="宋体" w:cs="宋体"/>
          <w:b/>
          <w:bCs/>
          <w:sz w:val="36"/>
          <w:szCs w:val="36"/>
          <w:highlight w:val="none"/>
        </w:rPr>
      </w:pPr>
      <w:r>
        <w:rPr>
          <w:rFonts w:hint="eastAsia" w:ascii="宋体" w:hAnsi="宋体" w:eastAsia="宋体" w:cs="宋体"/>
          <w:b/>
          <w:bCs/>
          <w:sz w:val="22"/>
          <w:szCs w:val="22"/>
          <w:highlight w:val="none"/>
        </w:rPr>
        <w:br w:type="page"/>
      </w:r>
      <w:bookmarkStart w:id="168" w:name="_Toc491780524"/>
      <w:r>
        <w:rPr>
          <w:rFonts w:hint="eastAsia" w:ascii="宋体" w:hAnsi="宋体" w:eastAsia="宋体" w:cs="宋体"/>
          <w:b/>
          <w:bCs/>
          <w:sz w:val="36"/>
          <w:szCs w:val="36"/>
          <w:highlight w:val="none"/>
        </w:rPr>
        <w:t>第二部分 合同条款</w:t>
      </w:r>
      <w:bookmarkEnd w:id="168"/>
    </w:p>
    <w:bookmarkEnd w:id="158"/>
    <w:bookmarkEnd w:id="159"/>
    <w:bookmarkEnd w:id="160"/>
    <w:bookmarkEnd w:id="161"/>
    <w:bookmarkEnd w:id="162"/>
    <w:bookmarkEnd w:id="163"/>
    <w:bookmarkEnd w:id="164"/>
    <w:bookmarkEnd w:id="165"/>
    <w:bookmarkEnd w:id="166"/>
    <w:bookmarkEnd w:id="167"/>
    <w:p w14:paraId="78C36C8F">
      <w:pPr>
        <w:spacing w:line="400" w:lineRule="exact"/>
        <w:ind w:firstLine="0" w:firstLineChars="0"/>
        <w:rPr>
          <w:rFonts w:hint="eastAsia" w:ascii="宋体" w:hAnsi="宋体" w:eastAsia="宋体" w:cs="宋体"/>
          <w:b/>
          <w:color w:val="auto"/>
          <w:sz w:val="22"/>
          <w:szCs w:val="22"/>
          <w:highlight w:val="none"/>
        </w:rPr>
      </w:pPr>
      <w:bookmarkStart w:id="169" w:name="_Toc2104015"/>
      <w:bookmarkStart w:id="170" w:name="_Toc446439139"/>
      <w:bookmarkStart w:id="171" w:name="_Toc10568489"/>
      <w:bookmarkStart w:id="172" w:name="_Toc227056854"/>
      <w:bookmarkStart w:id="173" w:name="_Toc227056853"/>
      <w:bookmarkStart w:id="174" w:name="_Toc227489895"/>
      <w:bookmarkStart w:id="175" w:name="_Toc227489894"/>
      <w:bookmarkStart w:id="176" w:name="_Toc217460692"/>
      <w:bookmarkStart w:id="177" w:name="_Toc216667827"/>
      <w:bookmarkStart w:id="178" w:name="_Toc227057041"/>
      <w:bookmarkStart w:id="179" w:name="_Toc215415538"/>
      <w:bookmarkStart w:id="180" w:name="_Toc216667828"/>
      <w:bookmarkStart w:id="181" w:name="_Toc219538621"/>
      <w:bookmarkStart w:id="182" w:name="_Toc227057040"/>
      <w:bookmarkStart w:id="183" w:name="_Toc223933228"/>
      <w:bookmarkStart w:id="184" w:name="_Toc219538620"/>
      <w:bookmarkStart w:id="185" w:name="_Toc217460693"/>
      <w:bookmarkStart w:id="186" w:name="_Toc223717611"/>
      <w:bookmarkStart w:id="187" w:name="_Toc223933229"/>
      <w:bookmarkStart w:id="188" w:name="_Toc218041734"/>
      <w:bookmarkStart w:id="189" w:name="_Toc223717612"/>
      <w:bookmarkStart w:id="190" w:name="_Toc218041733"/>
      <w:bookmarkStart w:id="191" w:name="_Toc215415537"/>
      <w:r>
        <w:rPr>
          <w:rFonts w:hint="eastAsia" w:ascii="宋体" w:hAnsi="宋体" w:eastAsia="宋体" w:cs="宋体"/>
          <w:b/>
          <w:color w:val="auto"/>
          <w:sz w:val="22"/>
          <w:szCs w:val="22"/>
          <w:highlight w:val="none"/>
        </w:rPr>
        <w:t>注：</w:t>
      </w:r>
    </w:p>
    <w:p w14:paraId="68ED6EA7">
      <w:pPr>
        <w:spacing w:line="240" w:lineRule="auto"/>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1、按照有关文件规定，</w:t>
      </w:r>
      <w:r>
        <w:rPr>
          <w:rFonts w:hint="eastAsia" w:ascii="宋体" w:hAnsi="宋体" w:eastAsia="宋体" w:cs="宋体"/>
          <w:b/>
          <w:color w:val="auto"/>
          <w:sz w:val="22"/>
          <w:szCs w:val="22"/>
          <w:highlight w:val="none"/>
        </w:rPr>
        <w:t>中标人</w:t>
      </w:r>
      <w:r>
        <w:rPr>
          <w:rFonts w:hint="eastAsia" w:ascii="宋体" w:hAnsi="宋体" w:eastAsia="宋体" w:cs="宋体"/>
          <w:b/>
          <w:color w:val="auto"/>
          <w:sz w:val="22"/>
          <w:szCs w:val="22"/>
          <w:highlight w:val="none"/>
          <w:lang w:val="en-US" w:eastAsia="zh-CN"/>
        </w:rPr>
        <w:t>与</w:t>
      </w:r>
      <w:r>
        <w:rPr>
          <w:rFonts w:hint="eastAsia" w:ascii="宋体" w:hAnsi="宋体" w:eastAsia="宋体" w:cs="宋体"/>
          <w:b/>
          <w:color w:val="auto"/>
          <w:sz w:val="22"/>
          <w:szCs w:val="22"/>
          <w:highlight w:val="none"/>
          <w:lang w:eastAsia="zh-CN"/>
        </w:rPr>
        <w:t>温州市高速公路运营管理有限公司</w:t>
      </w:r>
      <w:r>
        <w:rPr>
          <w:rFonts w:hint="eastAsia" w:ascii="宋体" w:hAnsi="宋体" w:eastAsia="宋体" w:cs="宋体"/>
          <w:b/>
          <w:color w:val="auto"/>
          <w:sz w:val="22"/>
          <w:szCs w:val="22"/>
          <w:highlight w:val="none"/>
        </w:rPr>
        <w:t>签订合同</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其中劳务派遣职工疗休养与温州厂长经理人才有限公司签订合同</w:t>
      </w:r>
      <w:r>
        <w:rPr>
          <w:rFonts w:hint="eastAsia" w:ascii="宋体" w:hAnsi="宋体" w:eastAsia="宋体" w:cs="宋体"/>
          <w:b/>
          <w:color w:val="auto"/>
          <w:sz w:val="22"/>
          <w:szCs w:val="22"/>
          <w:highlight w:val="none"/>
        </w:rPr>
        <w:t>。</w:t>
      </w:r>
    </w:p>
    <w:p w14:paraId="563EF8A9">
      <w:pPr>
        <w:spacing w:line="240" w:lineRule="auto"/>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如甲、乙双方同意，合同格式也可以按照其他形式, 具体条款以甲方为主协商确定。但合同条款的基本内容应与以下要求的内容相一致。</w:t>
      </w:r>
    </w:p>
    <w:p w14:paraId="29E149F9">
      <w:pPr>
        <w:keepNext/>
        <w:keepLines/>
        <w:snapToGrid w:val="0"/>
        <w:spacing w:before="0" w:after="0" w:line="240" w:lineRule="auto"/>
        <w:jc w:val="center"/>
        <w:outlineLvl w:val="9"/>
        <w:rPr>
          <w:rFonts w:hint="eastAsia" w:ascii="宋体" w:hAnsi="宋体" w:eastAsia="宋体" w:cs="宋体"/>
          <w:b/>
          <w:bCs/>
          <w:color w:val="auto"/>
          <w:sz w:val="28"/>
          <w:szCs w:val="28"/>
          <w:highlight w:val="none"/>
        </w:rPr>
      </w:pPr>
    </w:p>
    <w:p w14:paraId="5A47CBD9">
      <w:pPr>
        <w:keepNext/>
        <w:keepLines/>
        <w:snapToGrid w:val="0"/>
        <w:spacing w:before="0" w:after="0" w:line="24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一、职工疗休养合同</w:t>
      </w:r>
      <w:bookmarkEnd w:id="169"/>
      <w:bookmarkEnd w:id="170"/>
      <w:bookmarkEnd w:id="171"/>
    </w:p>
    <w:p w14:paraId="1EAAA95F">
      <w:pPr>
        <w:spacing w:line="24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 xml:space="preserve">甲方： </w:t>
      </w:r>
      <w:r>
        <w:rPr>
          <w:rFonts w:hint="eastAsia" w:ascii="宋体" w:hAnsi="宋体" w:eastAsia="宋体" w:cs="宋体"/>
          <w:color w:val="auto"/>
          <w:sz w:val="22"/>
          <w:szCs w:val="22"/>
          <w:highlight w:val="none"/>
          <w:u w:val="single"/>
        </w:rPr>
        <w:t xml:space="preserve">                            </w:t>
      </w:r>
    </w:p>
    <w:p w14:paraId="24597038">
      <w:pPr>
        <w:spacing w:line="24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 xml:space="preserve">乙方： </w:t>
      </w:r>
      <w:r>
        <w:rPr>
          <w:rFonts w:hint="eastAsia" w:ascii="宋体" w:hAnsi="宋体" w:eastAsia="宋体" w:cs="宋体"/>
          <w:color w:val="auto"/>
          <w:sz w:val="22"/>
          <w:szCs w:val="22"/>
          <w:highlight w:val="none"/>
          <w:u w:val="single"/>
        </w:rPr>
        <w:t xml:space="preserve">                            </w:t>
      </w:r>
    </w:p>
    <w:p w14:paraId="57D28ACE">
      <w:pPr>
        <w:spacing w:before="120" w:beforeLines="50" w:line="240" w:lineRule="auto"/>
        <w:ind w:left="17" w:leftChars="8" w:firstLine="454"/>
        <w:rPr>
          <w:rFonts w:hint="eastAsia" w:ascii="宋体" w:hAnsi="宋体" w:eastAsia="宋体" w:cs="宋体"/>
          <w:color w:val="auto"/>
          <w:sz w:val="22"/>
          <w:szCs w:val="22"/>
          <w:u w:val="single"/>
          <w:lang w:eastAsia="zh-CN"/>
        </w:rPr>
      </w:pPr>
    </w:p>
    <w:p w14:paraId="72531DAA">
      <w:pPr>
        <w:spacing w:before="120" w:beforeLines="50" w:line="240" w:lineRule="auto"/>
        <w:ind w:left="17" w:leftChars="8" w:firstLine="454"/>
        <w:rPr>
          <w:rFonts w:hint="eastAsia" w:ascii="宋体" w:hAnsi="宋体" w:eastAsia="宋体" w:cs="宋体"/>
          <w:color w:val="auto"/>
          <w:sz w:val="22"/>
          <w:szCs w:val="22"/>
          <w:highlight w:val="none"/>
        </w:rPr>
      </w:pPr>
      <w:r>
        <w:rPr>
          <w:rFonts w:hint="eastAsia" w:ascii="宋体" w:hAnsi="宋体" w:eastAsia="宋体" w:cs="宋体"/>
          <w:color w:val="auto"/>
          <w:sz w:val="22"/>
          <w:szCs w:val="22"/>
          <w:u w:val="single"/>
          <w:lang w:eastAsia="zh-CN"/>
        </w:rPr>
        <w:t>温州市高速公路运营管理有限公司</w:t>
      </w:r>
      <w:r>
        <w:rPr>
          <w:rFonts w:hint="eastAsia" w:ascii="宋体" w:hAnsi="宋体" w:eastAsia="宋体" w:cs="宋体"/>
          <w:color w:val="auto"/>
          <w:sz w:val="22"/>
          <w:szCs w:val="22"/>
        </w:rPr>
        <w:t>（以下简称甲方）</w:t>
      </w:r>
      <w:r>
        <w:rPr>
          <w:rFonts w:hint="eastAsia" w:ascii="宋体" w:hAnsi="宋体" w:eastAsia="宋体" w:cs="宋体"/>
          <w:color w:val="auto"/>
          <w:sz w:val="22"/>
          <w:szCs w:val="22"/>
          <w:lang w:val="en-US" w:eastAsia="zh-CN"/>
        </w:rPr>
        <w:t>对</w:t>
      </w:r>
      <w:r>
        <w:rPr>
          <w:rFonts w:hint="eastAsia" w:ascii="宋体" w:hAnsi="宋体" w:eastAsia="宋体" w:cs="宋体"/>
          <w:color w:val="auto"/>
          <w:sz w:val="22"/>
          <w:szCs w:val="22"/>
        </w:rPr>
        <w:t>采购的</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项目名称、编号）进行公开招标，经评标委员会评审决定</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u w:val="single"/>
        </w:rPr>
        <w:t xml:space="preserve"> （以下简称乙方）</w:t>
      </w:r>
      <w:r>
        <w:rPr>
          <w:rFonts w:hint="eastAsia" w:ascii="宋体" w:hAnsi="宋体" w:eastAsia="宋体" w:cs="宋体"/>
          <w:color w:val="auto"/>
          <w:sz w:val="22"/>
          <w:szCs w:val="22"/>
        </w:rPr>
        <w:t xml:space="preserve"> 为中标供应商。甲、乙双方同意按照以下条款和条件，签署本合同。</w:t>
      </w:r>
    </w:p>
    <w:p w14:paraId="7A01CCAF">
      <w:pPr>
        <w:spacing w:before="120" w:beforeLines="50" w:line="240" w:lineRule="auto"/>
        <w:ind w:left="0" w:leftChars="0" w:firstLine="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第一条 合同内容</w:t>
      </w:r>
    </w:p>
    <w:p w14:paraId="5D67A0C2">
      <w:pPr>
        <w:shd w:val="solid" w:color="FFFFFF" w:fill="auto"/>
        <w:autoSpaceDN w:val="0"/>
        <w:spacing w:line="24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1.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公司职工疗休养。</w:t>
      </w:r>
    </w:p>
    <w:p w14:paraId="5924A2F3">
      <w:pPr>
        <w:shd w:val="solid" w:color="FFFFFF" w:fill="auto"/>
        <w:autoSpaceDN w:val="0"/>
        <w:spacing w:line="24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疗休养线路及价格为：</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详见附件</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7C1BA995">
      <w:pPr>
        <w:spacing w:line="240" w:lineRule="auto"/>
        <w:rPr>
          <w:rFonts w:hint="eastAsia" w:ascii="宋体" w:hAnsi="宋体" w:eastAsia="宋体" w:cs="宋体"/>
          <w:b/>
          <w:color w:val="auto"/>
          <w:kern w:val="0"/>
          <w:sz w:val="22"/>
          <w:szCs w:val="22"/>
          <w:highlight w:val="none"/>
        </w:rPr>
      </w:pPr>
    </w:p>
    <w:p w14:paraId="69BB6D47">
      <w:pPr>
        <w:spacing w:line="240" w:lineRule="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第二条 服务质量要求</w:t>
      </w:r>
    </w:p>
    <w:p w14:paraId="070EA59F">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乙方所供服务质量应符合</w:t>
      </w:r>
      <w:r>
        <w:rPr>
          <w:rFonts w:hint="eastAsia" w:ascii="宋体" w:hAnsi="宋体" w:eastAsia="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文件要求、其投标文件承诺及双方签订的合同要求。</w:t>
      </w:r>
    </w:p>
    <w:p w14:paraId="5CB9014D">
      <w:pPr>
        <w:spacing w:line="240" w:lineRule="auto"/>
        <w:rPr>
          <w:rFonts w:hint="eastAsia" w:ascii="宋体" w:hAnsi="宋体" w:eastAsia="宋体" w:cs="宋体"/>
          <w:b/>
          <w:color w:val="auto"/>
          <w:kern w:val="0"/>
          <w:sz w:val="22"/>
          <w:szCs w:val="22"/>
          <w:highlight w:val="none"/>
        </w:rPr>
      </w:pPr>
    </w:p>
    <w:p w14:paraId="4BBD3FBB">
      <w:pPr>
        <w:spacing w:line="240" w:lineRule="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第三条 合同履行</w:t>
      </w:r>
    </w:p>
    <w:p w14:paraId="1D785001">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lang w:val="en-US" w:eastAsia="zh-CN"/>
        </w:rPr>
        <w:t>由</w:t>
      </w:r>
      <w:r>
        <w:rPr>
          <w:rFonts w:hint="eastAsia" w:ascii="宋体" w:hAnsi="宋体" w:eastAsia="宋体" w:cs="宋体"/>
          <w:color w:val="auto"/>
          <w:kern w:val="0"/>
          <w:sz w:val="22"/>
          <w:szCs w:val="22"/>
          <w:highlight w:val="none"/>
        </w:rPr>
        <w:t>甲方</w:t>
      </w:r>
      <w:r>
        <w:rPr>
          <w:rFonts w:hint="eastAsia" w:ascii="宋体" w:hAnsi="宋体" w:eastAsia="宋体" w:cs="宋体"/>
          <w:color w:val="auto"/>
          <w:kern w:val="0"/>
          <w:sz w:val="22"/>
          <w:szCs w:val="22"/>
          <w:highlight w:val="none"/>
          <w:lang w:val="en-US" w:eastAsia="zh-CN"/>
        </w:rPr>
        <w:t>及</w:t>
      </w:r>
      <w:r>
        <w:rPr>
          <w:rFonts w:hint="eastAsia" w:ascii="宋体" w:hAnsi="宋体" w:eastAsia="宋体" w:cs="宋体"/>
          <w:color w:val="auto"/>
          <w:kern w:val="0"/>
          <w:sz w:val="22"/>
          <w:szCs w:val="22"/>
          <w:highlight w:val="none"/>
        </w:rPr>
        <w:t>职工</w:t>
      </w:r>
      <w:r>
        <w:rPr>
          <w:rFonts w:hint="eastAsia" w:ascii="宋体" w:hAnsi="宋体" w:eastAsia="宋体" w:cs="宋体"/>
          <w:color w:val="auto"/>
          <w:kern w:val="0"/>
          <w:sz w:val="22"/>
          <w:szCs w:val="22"/>
          <w:highlight w:val="none"/>
          <w:lang w:val="en-US" w:eastAsia="zh-CN"/>
        </w:rPr>
        <w:t>根据需要在本合同第一条中规划的疗休养线路中</w:t>
      </w:r>
      <w:r>
        <w:rPr>
          <w:rFonts w:hint="eastAsia" w:ascii="宋体" w:hAnsi="宋体" w:eastAsia="宋体" w:cs="宋体"/>
          <w:color w:val="auto"/>
          <w:kern w:val="0"/>
          <w:sz w:val="22"/>
          <w:szCs w:val="22"/>
          <w:highlight w:val="none"/>
        </w:rPr>
        <w:t>自</w:t>
      </w:r>
      <w:r>
        <w:rPr>
          <w:rFonts w:hint="eastAsia" w:ascii="宋体" w:hAnsi="宋体" w:eastAsia="宋体" w:cs="宋体"/>
          <w:color w:val="auto"/>
          <w:kern w:val="0"/>
          <w:sz w:val="22"/>
          <w:szCs w:val="22"/>
          <w:highlight w:val="none"/>
          <w:lang w:val="en-US" w:eastAsia="zh-CN"/>
        </w:rPr>
        <w:t>由</w:t>
      </w:r>
      <w:r>
        <w:rPr>
          <w:rFonts w:hint="eastAsia" w:ascii="宋体" w:hAnsi="宋体" w:eastAsia="宋体" w:cs="宋体"/>
          <w:color w:val="auto"/>
          <w:kern w:val="0"/>
          <w:sz w:val="22"/>
          <w:szCs w:val="22"/>
          <w:highlight w:val="none"/>
        </w:rPr>
        <w:t>选择疗休养线路。</w:t>
      </w:r>
      <w:r>
        <w:rPr>
          <w:rFonts w:hint="eastAsia" w:ascii="宋体" w:hAnsi="宋体" w:eastAsia="宋体" w:cs="宋体"/>
          <w:color w:val="auto"/>
          <w:kern w:val="0"/>
          <w:sz w:val="22"/>
          <w:szCs w:val="22"/>
          <w:highlight w:val="none"/>
          <w:lang w:val="en-US" w:eastAsia="zh-CN"/>
        </w:rPr>
        <w:t>每条疗休养线路登记的</w:t>
      </w:r>
      <w:r>
        <w:rPr>
          <w:rFonts w:hint="eastAsia" w:ascii="宋体" w:hAnsi="宋体" w:eastAsia="宋体" w:cs="宋体"/>
          <w:color w:val="auto"/>
          <w:kern w:val="0"/>
          <w:sz w:val="22"/>
          <w:szCs w:val="22"/>
          <w:highlight w:val="none"/>
        </w:rPr>
        <w:t>职工疗休养人数</w:t>
      </w:r>
      <w:r>
        <w:rPr>
          <w:rFonts w:hint="eastAsia" w:ascii="宋体" w:hAnsi="宋体" w:eastAsia="宋体" w:cs="宋体"/>
          <w:color w:val="auto"/>
          <w:kern w:val="0"/>
          <w:sz w:val="22"/>
          <w:szCs w:val="22"/>
          <w:highlight w:val="none"/>
          <w:lang w:val="en-US" w:eastAsia="zh-CN"/>
        </w:rPr>
        <w:t>符合规定的人数时乙方必须组织出行，否则视乙方违约</w:t>
      </w:r>
      <w:r>
        <w:rPr>
          <w:rFonts w:hint="eastAsia" w:ascii="宋体" w:hAnsi="宋体" w:eastAsia="宋体" w:cs="宋体"/>
          <w:color w:val="auto"/>
          <w:kern w:val="0"/>
          <w:sz w:val="22"/>
          <w:szCs w:val="22"/>
          <w:highlight w:val="none"/>
          <w:lang w:eastAsia="zh-CN"/>
        </w:rPr>
        <w:t>。</w:t>
      </w:r>
    </w:p>
    <w:p w14:paraId="2E492DCA">
      <w:pPr>
        <w:spacing w:line="240" w:lineRule="auto"/>
        <w:ind w:firstLine="440" w:firstLineChars="20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2.甲方有权对参加本项目疗休养活动人数进行调整，最终按实际成行人数进行结算。如合同到期后，实际成行总人数不足合同约定的人数，甲方及其下属单位</w:t>
      </w:r>
      <w:r>
        <w:rPr>
          <w:rFonts w:hint="eastAsia" w:ascii="宋体" w:hAnsi="宋体" w:eastAsia="宋体" w:cs="宋体"/>
          <w:color w:val="auto"/>
          <w:kern w:val="0"/>
          <w:sz w:val="22"/>
          <w:szCs w:val="22"/>
          <w:highlight w:val="none"/>
        </w:rPr>
        <w:t>不给予其他费用补偿也不承担任何赔偿责任</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乙方合同价格中已经充分</w:t>
      </w:r>
      <w:r>
        <w:rPr>
          <w:rFonts w:hint="eastAsia" w:ascii="宋体" w:hAnsi="宋体" w:eastAsia="宋体" w:cs="宋体"/>
          <w:color w:val="auto"/>
          <w:kern w:val="0"/>
          <w:sz w:val="22"/>
          <w:szCs w:val="22"/>
          <w:highlight w:val="none"/>
        </w:rPr>
        <w:t>考虑</w:t>
      </w:r>
      <w:r>
        <w:rPr>
          <w:rFonts w:hint="eastAsia" w:ascii="宋体" w:hAnsi="宋体" w:eastAsia="宋体" w:cs="宋体"/>
          <w:color w:val="auto"/>
          <w:kern w:val="0"/>
          <w:sz w:val="22"/>
          <w:szCs w:val="22"/>
          <w:highlight w:val="none"/>
          <w:lang w:val="en-US" w:eastAsia="zh-CN"/>
        </w:rPr>
        <w:t>了</w:t>
      </w:r>
      <w:r>
        <w:rPr>
          <w:rFonts w:hint="eastAsia" w:ascii="宋体" w:hAnsi="宋体" w:eastAsia="宋体" w:cs="宋体"/>
          <w:color w:val="auto"/>
          <w:kern w:val="0"/>
          <w:sz w:val="22"/>
          <w:szCs w:val="22"/>
          <w:highlight w:val="none"/>
        </w:rPr>
        <w:t>由此产生的</w:t>
      </w:r>
      <w:r>
        <w:rPr>
          <w:rFonts w:hint="eastAsia" w:ascii="宋体" w:hAnsi="宋体" w:eastAsia="宋体" w:cs="宋体"/>
          <w:color w:val="auto"/>
          <w:kern w:val="0"/>
          <w:sz w:val="22"/>
          <w:szCs w:val="22"/>
          <w:highlight w:val="none"/>
          <w:lang w:val="en-US" w:eastAsia="zh-CN"/>
        </w:rPr>
        <w:t>相关</w:t>
      </w:r>
      <w:r>
        <w:rPr>
          <w:rFonts w:hint="eastAsia" w:ascii="宋体" w:hAnsi="宋体" w:eastAsia="宋体" w:cs="宋体"/>
          <w:color w:val="auto"/>
          <w:kern w:val="0"/>
          <w:sz w:val="22"/>
          <w:szCs w:val="22"/>
          <w:highlight w:val="none"/>
        </w:rPr>
        <w:t>风险。</w:t>
      </w:r>
    </w:p>
    <w:p w14:paraId="2BD94D2A">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乙方对承接的疗休养，应根据甲方的书面要求，15个工作日内安排房间、交通工具、用餐等，做好接待疗休养的准备，充分满足疗休养的要求，并按投标文件承诺的内容进行服务，做到优先安排、优质服务。</w:t>
      </w:r>
    </w:p>
    <w:p w14:paraId="2D6FF3CB">
      <w:pPr>
        <w:spacing w:line="240" w:lineRule="auto"/>
        <w:rPr>
          <w:rFonts w:hint="eastAsia" w:ascii="宋体" w:hAnsi="宋体" w:eastAsia="宋体" w:cs="宋体"/>
          <w:b/>
          <w:color w:val="auto"/>
          <w:kern w:val="0"/>
          <w:sz w:val="22"/>
          <w:szCs w:val="22"/>
          <w:highlight w:val="none"/>
        </w:rPr>
      </w:pPr>
    </w:p>
    <w:p w14:paraId="483D6818">
      <w:pPr>
        <w:spacing w:line="240" w:lineRule="auto"/>
        <w:rPr>
          <w:rFonts w:hint="eastAsia"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第四条 费用结算</w:t>
      </w:r>
    </w:p>
    <w:p w14:paraId="0E8D8827">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1．疗休养费用应包括：客房费、交通费</w:t>
      </w:r>
      <w:r>
        <w:rPr>
          <w:rFonts w:hint="eastAsia" w:ascii="宋体" w:hAnsi="宋体" w:eastAsia="宋体" w:cs="宋体"/>
          <w:strike w:val="0"/>
          <w:color w:val="auto"/>
          <w:kern w:val="0"/>
          <w:sz w:val="22"/>
          <w:szCs w:val="22"/>
          <w:highlight w:val="none"/>
          <w:lang w:eastAsia="zh-CN"/>
        </w:rPr>
        <w:t>（</w:t>
      </w:r>
      <w:r>
        <w:rPr>
          <w:rFonts w:hint="eastAsia" w:ascii="宋体" w:hAnsi="宋体" w:eastAsia="宋体" w:cs="宋体"/>
          <w:strike w:val="0"/>
          <w:color w:val="auto"/>
          <w:kern w:val="0"/>
          <w:sz w:val="22"/>
          <w:szCs w:val="22"/>
          <w:highlight w:val="none"/>
        </w:rPr>
        <w:t>含外省动车票</w:t>
      </w:r>
      <w:r>
        <w:rPr>
          <w:rFonts w:hint="eastAsia" w:ascii="宋体" w:hAnsi="宋体" w:eastAsia="宋体" w:cs="宋体"/>
          <w:strike w:val="0"/>
          <w:color w:val="auto"/>
          <w:kern w:val="0"/>
          <w:sz w:val="22"/>
          <w:szCs w:val="22"/>
          <w:highlight w:val="none"/>
          <w:lang w:eastAsia="zh-CN"/>
        </w:rPr>
        <w:t>）</w:t>
      </w:r>
      <w:r>
        <w:rPr>
          <w:rFonts w:hint="eastAsia" w:ascii="宋体" w:hAnsi="宋体" w:eastAsia="宋体" w:cs="宋体"/>
          <w:color w:val="auto"/>
          <w:kern w:val="0"/>
          <w:sz w:val="22"/>
          <w:szCs w:val="22"/>
          <w:highlight w:val="none"/>
        </w:rPr>
        <w:t>、餐饮费、门票</w:t>
      </w:r>
      <w:r>
        <w:rPr>
          <w:rFonts w:hint="eastAsia" w:ascii="宋体" w:hAnsi="宋体" w:eastAsia="宋体" w:cs="宋体"/>
          <w:color w:val="auto"/>
          <w:kern w:val="0"/>
          <w:sz w:val="22"/>
          <w:szCs w:val="22"/>
          <w:highlight w:val="none"/>
          <w:lang w:val="en-US" w:eastAsia="zh-CN"/>
        </w:rPr>
        <w:t>费、行程中包含的项目活动费用（如有）</w:t>
      </w:r>
      <w:r>
        <w:rPr>
          <w:rFonts w:hint="eastAsia" w:ascii="宋体" w:hAnsi="宋体" w:eastAsia="宋体" w:cs="宋体"/>
          <w:color w:val="auto"/>
          <w:kern w:val="0"/>
          <w:sz w:val="22"/>
          <w:szCs w:val="22"/>
          <w:highlight w:val="none"/>
        </w:rPr>
        <w:t>、导游服务费和旅行社（含疗休养目的地地接旅行社）的其他服务费用</w:t>
      </w:r>
      <w:r>
        <w:rPr>
          <w:rFonts w:hint="eastAsia" w:ascii="宋体" w:hAnsi="宋体" w:eastAsia="宋体" w:cs="宋体"/>
          <w:color w:val="auto"/>
          <w:kern w:val="0"/>
          <w:sz w:val="22"/>
          <w:szCs w:val="22"/>
          <w:highlight w:val="none"/>
          <w:lang w:eastAsia="zh-CN"/>
        </w:rPr>
        <w:t>、非职工个人原因所造成的单男单女的房价差、</w:t>
      </w:r>
      <w:r>
        <w:rPr>
          <w:rFonts w:hint="eastAsia" w:ascii="宋体" w:hAnsi="宋体" w:eastAsia="宋体" w:cs="宋体"/>
          <w:color w:val="auto"/>
          <w:kern w:val="0"/>
          <w:sz w:val="22"/>
          <w:szCs w:val="22"/>
          <w:highlight w:val="none"/>
        </w:rPr>
        <w:t>旅游</w:t>
      </w:r>
      <w:r>
        <w:rPr>
          <w:rFonts w:hint="eastAsia" w:ascii="宋体" w:hAnsi="宋体" w:eastAsia="宋体" w:cs="宋体"/>
          <w:color w:val="auto"/>
          <w:kern w:val="0"/>
          <w:sz w:val="22"/>
          <w:szCs w:val="22"/>
          <w:highlight w:val="none"/>
          <w:lang w:val="en-US" w:eastAsia="zh-CN"/>
        </w:rPr>
        <w:t>期间各项保险费用</w:t>
      </w:r>
      <w:r>
        <w:rPr>
          <w:rFonts w:hint="eastAsia" w:ascii="宋体" w:hAnsi="宋体" w:eastAsia="宋体" w:cs="宋体"/>
          <w:color w:val="auto"/>
          <w:kern w:val="0"/>
          <w:sz w:val="22"/>
          <w:szCs w:val="22"/>
          <w:highlight w:val="none"/>
        </w:rPr>
        <w:t>及其他杂费</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利润、税费等完成本合同所需的一切本身和不可或缺的所有工作开支等各项全部费用。</w:t>
      </w:r>
      <w:r>
        <w:rPr>
          <w:rFonts w:hint="eastAsia" w:ascii="宋体" w:hAnsi="宋体" w:eastAsia="宋体" w:cs="宋体"/>
          <w:color w:val="auto"/>
          <w:kern w:val="0"/>
          <w:sz w:val="22"/>
          <w:szCs w:val="22"/>
          <w:highlight w:val="none"/>
        </w:rPr>
        <w:t>本项目综合单价（含税）3000元/人，超出3000元部分费用</w:t>
      </w:r>
      <w:r>
        <w:rPr>
          <w:rFonts w:hint="eastAsia" w:ascii="宋体" w:hAnsi="宋体" w:eastAsia="宋体" w:cs="宋体"/>
          <w:color w:val="auto"/>
          <w:kern w:val="0"/>
          <w:sz w:val="22"/>
          <w:szCs w:val="22"/>
          <w:highlight w:val="none"/>
          <w:lang w:eastAsia="zh-CN"/>
        </w:rPr>
        <w:t>如飞机票等</w:t>
      </w:r>
      <w:r>
        <w:rPr>
          <w:rFonts w:hint="eastAsia" w:ascii="宋体" w:hAnsi="宋体" w:eastAsia="宋体" w:cs="宋体"/>
          <w:color w:val="auto"/>
          <w:kern w:val="0"/>
          <w:sz w:val="22"/>
          <w:szCs w:val="22"/>
          <w:highlight w:val="none"/>
        </w:rPr>
        <w:t>由参加疗休养人员承担，乙方自行向参加疗休养人员收取</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另外，政策性文件规定合同包含的所有风险、责任等均由乙方全部承担</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除此之外</w:t>
      </w:r>
      <w:r>
        <w:rPr>
          <w:rFonts w:hint="eastAsia" w:ascii="宋体" w:hAnsi="宋体" w:eastAsia="宋体" w:cs="宋体"/>
          <w:color w:val="auto"/>
          <w:kern w:val="0"/>
          <w:sz w:val="22"/>
          <w:szCs w:val="22"/>
          <w:highlight w:val="none"/>
        </w:rPr>
        <w:t>不得另行收取</w:t>
      </w:r>
      <w:r>
        <w:rPr>
          <w:rFonts w:hint="eastAsia" w:ascii="宋体" w:hAnsi="宋体" w:eastAsia="宋体" w:cs="宋体"/>
          <w:color w:val="auto"/>
          <w:kern w:val="0"/>
          <w:sz w:val="22"/>
          <w:szCs w:val="22"/>
          <w:highlight w:val="none"/>
          <w:lang w:val="en-US" w:eastAsia="zh-CN"/>
        </w:rPr>
        <w:t>其他任何费用</w:t>
      </w:r>
      <w:r>
        <w:rPr>
          <w:rFonts w:hint="eastAsia" w:ascii="宋体" w:hAnsi="宋体" w:eastAsia="宋体" w:cs="宋体"/>
          <w:color w:val="auto"/>
          <w:kern w:val="0"/>
          <w:sz w:val="22"/>
          <w:szCs w:val="22"/>
          <w:highlight w:val="none"/>
        </w:rPr>
        <w:t>。</w:t>
      </w:r>
    </w:p>
    <w:p w14:paraId="4FEE3F16">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．乙方在提供疗休养服务后，按本合同规定的价格足额开具的正式发票，同时提供每批次职工疗休养合同（复印件），</w:t>
      </w:r>
      <w:r>
        <w:rPr>
          <w:rFonts w:hint="eastAsia" w:ascii="宋体" w:hAnsi="宋体" w:eastAsia="宋体" w:cs="宋体"/>
          <w:b/>
          <w:bCs/>
          <w:color w:val="auto"/>
          <w:kern w:val="0"/>
          <w:sz w:val="22"/>
          <w:szCs w:val="22"/>
          <w:highlight w:val="none"/>
        </w:rPr>
        <w:t>甲方及其下属单位</w:t>
      </w:r>
      <w:r>
        <w:rPr>
          <w:rFonts w:hint="eastAsia" w:ascii="宋体" w:hAnsi="宋体" w:eastAsia="宋体" w:cs="宋体"/>
          <w:color w:val="auto"/>
          <w:kern w:val="0"/>
          <w:sz w:val="22"/>
          <w:szCs w:val="22"/>
          <w:highlight w:val="none"/>
        </w:rPr>
        <w:t>据此与乙方分别结算，每批次结算一次（完成疗休养服务后15日内），在甲方及其下属单位履行财务审核程序后，办理付款手续。</w:t>
      </w:r>
    </w:p>
    <w:p w14:paraId="644B787A">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w:t>
      </w:r>
      <w:r>
        <w:rPr>
          <w:rFonts w:hint="eastAsia" w:ascii="宋体" w:hAnsi="宋体" w:eastAsia="宋体" w:cs="宋体"/>
          <w:bCs/>
          <w:color w:val="auto"/>
          <w:kern w:val="0"/>
          <w:sz w:val="22"/>
          <w:szCs w:val="22"/>
          <w:highlight w:val="none"/>
        </w:rPr>
        <w:t>本合同以人民币付款。</w:t>
      </w:r>
    </w:p>
    <w:p w14:paraId="649630C2">
      <w:pPr>
        <w:spacing w:line="240" w:lineRule="auto"/>
        <w:rPr>
          <w:rFonts w:hint="eastAsia" w:ascii="宋体" w:hAnsi="宋体" w:eastAsia="宋体" w:cs="宋体"/>
          <w:b/>
          <w:bCs/>
          <w:color w:val="auto"/>
          <w:kern w:val="0"/>
          <w:sz w:val="22"/>
          <w:szCs w:val="22"/>
          <w:highlight w:val="none"/>
        </w:rPr>
      </w:pPr>
    </w:p>
    <w:p w14:paraId="207C6554">
      <w:pPr>
        <w:spacing w:line="240" w:lineRule="auto"/>
        <w:rPr>
          <w:rFonts w:hint="eastAsia" w:ascii="宋体" w:hAnsi="宋体" w:eastAsia="宋体" w:cs="宋体"/>
          <w:b/>
          <w:color w:val="auto"/>
          <w:kern w:val="0"/>
          <w:sz w:val="22"/>
          <w:szCs w:val="22"/>
          <w:highlight w:val="none"/>
        </w:rPr>
      </w:pPr>
      <w:r>
        <w:rPr>
          <w:rFonts w:hint="eastAsia" w:ascii="宋体" w:hAnsi="宋体" w:eastAsia="宋体" w:cs="宋体"/>
          <w:b/>
          <w:bCs/>
          <w:color w:val="auto"/>
          <w:kern w:val="0"/>
          <w:sz w:val="22"/>
          <w:szCs w:val="22"/>
          <w:highlight w:val="none"/>
        </w:rPr>
        <w:t xml:space="preserve">第五条 </w:t>
      </w:r>
      <w:r>
        <w:rPr>
          <w:rFonts w:hint="eastAsia" w:ascii="宋体" w:hAnsi="宋体" w:eastAsia="宋体" w:cs="宋体"/>
          <w:b/>
          <w:color w:val="auto"/>
          <w:kern w:val="0"/>
          <w:sz w:val="22"/>
          <w:szCs w:val="22"/>
          <w:highlight w:val="none"/>
        </w:rPr>
        <w:t>服务保证</w:t>
      </w:r>
    </w:p>
    <w:p w14:paraId="6193F65E">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1．乙方应保证按</w:t>
      </w:r>
      <w:r>
        <w:rPr>
          <w:rFonts w:hint="eastAsia" w:ascii="宋体" w:hAnsi="宋体" w:eastAsia="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文件要求和投标文件的承诺，为甲方（含下属单位）职工疗休养提供高质量的服务，积极配合甲方，在认真执行各项开支标准的基础上，做到安排优先、服务优良。</w:t>
      </w:r>
    </w:p>
    <w:p w14:paraId="36205CA6">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2．乙方提供的服务设施应保证安全、卫生、便捷、可靠。</w:t>
      </w:r>
    </w:p>
    <w:p w14:paraId="404C788D">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3．导游工作到位，有专门工作人员值班、保持通迅畅通。疗休养期间发生的人身安全及财产损失，如因乙方原因造成，应由乙方承担相应责任。</w:t>
      </w:r>
    </w:p>
    <w:p w14:paraId="6ABBBD51">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4．乙方应做到应保则保，妥善为甲方（含下属单位）疗休养职工提供人身意外伤害保险等。</w:t>
      </w:r>
    </w:p>
    <w:p w14:paraId="4BBBDFD2">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5.乙方应对甲方疗休养员工提出的违法、违规和不合理要求坚决予以拒绝。</w:t>
      </w:r>
    </w:p>
    <w:p w14:paraId="7173C9A1">
      <w:pPr>
        <w:spacing w:line="240" w:lineRule="auto"/>
        <w:ind w:firstLine="435"/>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6．乙方应自觉接受甲方相关部门的监督检查。</w:t>
      </w:r>
    </w:p>
    <w:p w14:paraId="44ABEAF2">
      <w:pPr>
        <w:spacing w:line="240" w:lineRule="auto"/>
        <w:ind w:firstLine="435"/>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7．乙方负责每月初将上月出团情况（包括线路，时间，参加人员名单、所在部门、身份证号码、联系电话，以及每批次疗休养合同（复印件）、职工疗休养情况反馈表（原件）等报甲方工会部门备案。</w:t>
      </w:r>
    </w:p>
    <w:p w14:paraId="4B230094">
      <w:pPr>
        <w:spacing w:line="240" w:lineRule="auto"/>
        <w:rPr>
          <w:rFonts w:hint="eastAsia" w:ascii="宋体" w:hAnsi="宋体" w:eastAsia="宋体" w:cs="宋体"/>
          <w:b/>
          <w:bCs/>
          <w:color w:val="auto"/>
          <w:kern w:val="0"/>
          <w:sz w:val="22"/>
          <w:szCs w:val="22"/>
          <w:highlight w:val="none"/>
        </w:rPr>
      </w:pPr>
    </w:p>
    <w:p w14:paraId="5582E952">
      <w:pPr>
        <w:spacing w:line="240" w:lineRule="auto"/>
        <w:rPr>
          <w:rFonts w:hint="eastAsia" w:ascii="宋体" w:hAnsi="宋体" w:eastAsia="宋体" w:cs="宋体"/>
          <w:b/>
          <w:color w:val="auto"/>
          <w:kern w:val="0"/>
          <w:sz w:val="22"/>
          <w:szCs w:val="22"/>
          <w:highlight w:val="none"/>
        </w:rPr>
      </w:pPr>
      <w:r>
        <w:rPr>
          <w:rFonts w:hint="eastAsia" w:ascii="宋体" w:hAnsi="宋体" w:eastAsia="宋体" w:cs="宋体"/>
          <w:b/>
          <w:bCs/>
          <w:color w:val="auto"/>
          <w:kern w:val="0"/>
          <w:sz w:val="22"/>
          <w:szCs w:val="22"/>
          <w:highlight w:val="none"/>
        </w:rPr>
        <w:t xml:space="preserve">第六条 </w:t>
      </w:r>
      <w:r>
        <w:rPr>
          <w:rFonts w:hint="eastAsia" w:ascii="宋体" w:hAnsi="宋体" w:eastAsia="宋体" w:cs="宋体"/>
          <w:b/>
          <w:color w:val="auto"/>
          <w:kern w:val="0"/>
          <w:sz w:val="22"/>
          <w:szCs w:val="22"/>
          <w:highlight w:val="none"/>
        </w:rPr>
        <w:t>接待</w:t>
      </w:r>
    </w:p>
    <w:p w14:paraId="6E2CE544">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1．乙方应按照规定的时间完成接待任务。</w:t>
      </w:r>
    </w:p>
    <w:p w14:paraId="20FE5515">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2．如果乙方无正当理由拖延时间或不主动与甲方办理相关疗休养手续，将受到以下制裁：不予退还履约保证金，赔偿损失和终止合同。</w:t>
      </w:r>
    </w:p>
    <w:p w14:paraId="6815FA59">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在履行接待服务过程中，如果乙方遇到不能按时接待的情况，乙方应及时以书面形式将不能按时接待的理由、可能延误的时间通知甲方。甲方在收到乙方通知后，应对情况进行分析，决定是否继续疗休养项目、酌情延长疗休养时间或终止合同。</w:t>
      </w:r>
    </w:p>
    <w:p w14:paraId="69D78BD2">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4．除合同条款第七条规定外，如果乙方没有按照规定的时间完成接待工作，甲方有权没收全额履约保证金，并且乙方应向甲方支付误期赔偿费，赔偿费按实际造成的损失计算。</w:t>
      </w:r>
    </w:p>
    <w:p w14:paraId="616BD4AE">
      <w:pPr>
        <w:spacing w:line="240" w:lineRule="auto"/>
        <w:rPr>
          <w:rFonts w:hint="eastAsia" w:ascii="宋体" w:hAnsi="宋体" w:eastAsia="宋体" w:cs="宋体"/>
          <w:b/>
          <w:bCs/>
          <w:color w:val="auto"/>
          <w:kern w:val="0"/>
          <w:sz w:val="22"/>
          <w:szCs w:val="22"/>
          <w:highlight w:val="none"/>
        </w:rPr>
      </w:pPr>
    </w:p>
    <w:p w14:paraId="3F7681B3">
      <w:pPr>
        <w:spacing w:line="240" w:lineRule="auto"/>
        <w:rPr>
          <w:rFonts w:hint="eastAsia" w:ascii="宋体" w:hAnsi="宋体" w:eastAsia="宋体" w:cs="宋体"/>
          <w:b/>
          <w:color w:val="auto"/>
          <w:kern w:val="0"/>
          <w:sz w:val="22"/>
          <w:szCs w:val="22"/>
          <w:highlight w:val="none"/>
        </w:rPr>
      </w:pPr>
      <w:r>
        <w:rPr>
          <w:rFonts w:hint="eastAsia" w:ascii="宋体" w:hAnsi="宋体" w:eastAsia="宋体" w:cs="宋体"/>
          <w:b/>
          <w:bCs/>
          <w:color w:val="auto"/>
          <w:kern w:val="0"/>
          <w:sz w:val="22"/>
          <w:szCs w:val="22"/>
          <w:highlight w:val="none"/>
        </w:rPr>
        <w:t>第七条</w:t>
      </w:r>
      <w:r>
        <w:rPr>
          <w:rFonts w:hint="eastAsia" w:ascii="宋体" w:hAnsi="宋体" w:eastAsia="宋体" w:cs="宋体"/>
          <w:b/>
          <w:color w:val="auto"/>
          <w:kern w:val="0"/>
          <w:sz w:val="22"/>
          <w:szCs w:val="22"/>
          <w:highlight w:val="none"/>
        </w:rPr>
        <w:t xml:space="preserve"> 服务要求</w:t>
      </w:r>
    </w:p>
    <w:p w14:paraId="1904B3B2">
      <w:pPr>
        <w:widowControl/>
        <w:autoSpaceDE w:val="0"/>
        <w:autoSpaceDN w:val="0"/>
        <w:adjustRightInd w:val="0"/>
        <w:spacing w:line="240" w:lineRule="auto"/>
        <w:ind w:firstLine="431" w:firstLineChars="196"/>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乙方应提供如下服务标准，包括饮食安排、客房布置、现场布置、人员配置等：</w:t>
      </w:r>
    </w:p>
    <w:p w14:paraId="6DC71DBF">
      <w:pPr>
        <w:tabs>
          <w:tab w:val="left" w:pos="9135"/>
        </w:tabs>
        <w:spacing w:line="240" w:lineRule="auto"/>
        <w:ind w:left="511" w:leftChars="34" w:hanging="440" w:hanging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1.  </w:t>
      </w:r>
      <w:r>
        <w:rPr>
          <w:rFonts w:hint="eastAsia" w:ascii="宋体" w:hAnsi="宋体" w:eastAsia="宋体" w:cs="宋体"/>
          <w:color w:val="auto"/>
          <w:sz w:val="22"/>
          <w:szCs w:val="22"/>
          <w:highlight w:val="none"/>
          <w:lang w:eastAsia="zh-CN"/>
        </w:rPr>
        <w:t>交通</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省内、</w:t>
      </w:r>
      <w:r>
        <w:rPr>
          <w:rFonts w:hint="eastAsia" w:ascii="宋体" w:hAnsi="宋体" w:eastAsia="宋体" w:cs="宋体"/>
          <w:color w:val="auto"/>
          <w:sz w:val="22"/>
          <w:szCs w:val="22"/>
          <w:highlight w:val="none"/>
        </w:rPr>
        <w:t>省外采用高铁（或动车组），从温州至线路目的地就近的车站（出发点至高铁站点的来回由供应商接送），</w:t>
      </w:r>
      <w:r>
        <w:rPr>
          <w:rFonts w:hint="eastAsia" w:ascii="宋体" w:hAnsi="宋体" w:eastAsia="宋体" w:cs="宋体"/>
          <w:color w:val="auto"/>
          <w:sz w:val="22"/>
          <w:szCs w:val="22"/>
          <w:highlight w:val="none"/>
          <w:lang w:eastAsia="zh-CN"/>
        </w:rPr>
        <w:t>市域</w:t>
      </w:r>
      <w:r>
        <w:rPr>
          <w:rFonts w:hint="eastAsia" w:ascii="宋体" w:hAnsi="宋体" w:eastAsia="宋体" w:cs="宋体"/>
          <w:color w:val="auto"/>
          <w:sz w:val="22"/>
          <w:szCs w:val="22"/>
          <w:highlight w:val="none"/>
        </w:rPr>
        <w:t>线路采用空调旅游车（包括从车站至疗休养酒店或安排的景点、景区内交通等）。高铁为二等座；空调旅游车应提供车况好（20</w:t>
      </w: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highlight w:val="none"/>
        </w:rPr>
        <w:t>年1月以后登记上牌）、内饰干净、下部有行李箱的车辆；驾驶员应具备准驾车型三年或以上驾龄，司机三年内无安全不良纪录。供应商方案应对此作出承诺，并预备不同人数团队的适配车型，并应获得</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认可；团队出发前需提供高铁车票、旅游车辆及驾驶员信息；报团出行人按供应商要求提早提供相关身份证信息，以供购买高铁车票。</w:t>
      </w:r>
      <w:r>
        <w:rPr>
          <w:rFonts w:hint="eastAsia" w:ascii="宋体" w:hAnsi="宋体" w:eastAsia="宋体" w:cs="宋体"/>
          <w:color w:val="auto"/>
          <w:sz w:val="22"/>
          <w:szCs w:val="22"/>
          <w:highlight w:val="none"/>
          <w:lang w:eastAsia="zh-CN"/>
        </w:rPr>
        <w:t>经甲方与供应商协商一致省内线路可采用空调旅游车。</w:t>
      </w:r>
    </w:p>
    <w:p w14:paraId="24DCDEDE">
      <w:pPr>
        <w:tabs>
          <w:tab w:val="left" w:pos="9135"/>
        </w:tabs>
        <w:spacing w:line="240" w:lineRule="auto"/>
        <w:ind w:left="511" w:leftChars="34" w:hanging="440"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景点</w:t>
      </w:r>
      <w:r>
        <w:rPr>
          <w:rFonts w:hint="eastAsia" w:ascii="宋体" w:hAnsi="宋体" w:eastAsia="宋体" w:cs="宋体"/>
          <w:color w:val="auto"/>
          <w:sz w:val="22"/>
          <w:szCs w:val="22"/>
          <w:highlight w:val="none"/>
          <w:lang w:eastAsia="zh-CN"/>
        </w:rPr>
        <w:t>门票</w:t>
      </w:r>
      <w:r>
        <w:rPr>
          <w:rFonts w:hint="eastAsia" w:ascii="宋体" w:hAnsi="宋体" w:eastAsia="宋体" w:cs="宋体"/>
          <w:color w:val="auto"/>
          <w:sz w:val="22"/>
          <w:szCs w:val="22"/>
          <w:highlight w:val="none"/>
        </w:rPr>
        <w:t>：包含线路安排的主要景区，至少包括一处5A级景点，其他沿途景点或周边景点以供应商编制并获得</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认可的方案为准，</w:t>
      </w:r>
      <w:r>
        <w:rPr>
          <w:rFonts w:hint="eastAsia" w:ascii="宋体" w:hAnsi="宋体" w:eastAsia="宋体" w:cs="宋体"/>
          <w:b/>
          <w:color w:val="auto"/>
          <w:sz w:val="22"/>
          <w:szCs w:val="22"/>
          <w:highlight w:val="none"/>
        </w:rPr>
        <w:t>不得安排购物点</w:t>
      </w:r>
      <w:r>
        <w:rPr>
          <w:rFonts w:hint="eastAsia" w:ascii="宋体" w:hAnsi="宋体" w:eastAsia="宋体" w:cs="宋体"/>
          <w:color w:val="auto"/>
          <w:sz w:val="22"/>
          <w:szCs w:val="22"/>
          <w:highlight w:val="none"/>
        </w:rPr>
        <w:t>。景点门票包括大门票和景点内必游的小门票，以及索道（如有）、电瓶车（如有）、游船（如有）等，自费的娱乐项目除外。方案应针对每条线路具体编制，并列出每个参观景点及计划参观时间等。</w:t>
      </w:r>
    </w:p>
    <w:p w14:paraId="34C7EA47">
      <w:pPr>
        <w:tabs>
          <w:tab w:val="left" w:pos="9135"/>
        </w:tabs>
        <w:spacing w:line="240" w:lineRule="auto"/>
        <w:ind w:left="511" w:leftChars="34" w:hanging="440"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住宿：挂牌</w:t>
      </w:r>
      <w:r>
        <w:rPr>
          <w:rFonts w:hint="eastAsia" w:ascii="宋体" w:hAnsi="宋体" w:eastAsia="宋体" w:cs="宋体"/>
          <w:color w:val="auto"/>
          <w:sz w:val="22"/>
          <w:szCs w:val="22"/>
          <w:highlight w:val="none"/>
          <w:lang w:eastAsia="zh-CN"/>
        </w:rPr>
        <w:t>五星、五钻</w:t>
      </w:r>
      <w:r>
        <w:rPr>
          <w:rFonts w:hint="eastAsia" w:ascii="宋体" w:hAnsi="宋体" w:eastAsia="宋体" w:cs="宋体"/>
          <w:color w:val="auto"/>
          <w:sz w:val="22"/>
          <w:szCs w:val="22"/>
          <w:highlight w:val="none"/>
        </w:rPr>
        <w:t>或相当于</w:t>
      </w:r>
      <w:r>
        <w:rPr>
          <w:rFonts w:hint="eastAsia" w:ascii="宋体" w:hAnsi="宋体" w:eastAsia="宋体" w:cs="宋体"/>
          <w:color w:val="auto"/>
          <w:sz w:val="22"/>
          <w:szCs w:val="22"/>
          <w:highlight w:val="none"/>
          <w:lang w:eastAsia="zh-CN"/>
        </w:rPr>
        <w:t>五星</w:t>
      </w:r>
      <w:r>
        <w:rPr>
          <w:rFonts w:hint="eastAsia" w:ascii="宋体" w:hAnsi="宋体" w:eastAsia="宋体" w:cs="宋体"/>
          <w:color w:val="auto"/>
          <w:sz w:val="22"/>
          <w:szCs w:val="22"/>
          <w:highlight w:val="none"/>
        </w:rPr>
        <w:t>标准的酒店（或度假村等同标准住宿，下同</w:t>
      </w:r>
      <w:r>
        <w:rPr>
          <w:rFonts w:hint="eastAsia" w:ascii="宋体" w:hAnsi="宋体" w:eastAsia="宋体" w:cs="宋体"/>
          <w:color w:val="auto"/>
          <w:sz w:val="22"/>
          <w:szCs w:val="22"/>
          <w:highlight w:val="none"/>
          <w:lang w:eastAsia="zh-CN"/>
        </w:rPr>
        <w:t>；文成、平阳等地区酒店最高为为四星、四钻标准的，以四星、四钻为标准</w:t>
      </w:r>
      <w:r>
        <w:rPr>
          <w:rFonts w:hint="eastAsia" w:ascii="宋体" w:hAnsi="宋体" w:eastAsia="宋体" w:cs="宋体"/>
          <w:color w:val="auto"/>
          <w:sz w:val="22"/>
          <w:szCs w:val="22"/>
          <w:highlight w:val="none"/>
        </w:rPr>
        <w:t>），开业或新装修时间不超过五年。住宿为标准间。住宿要求不安排一楼，尽可能在同一楼层，含早餐。要求房间干净，各个设施齐全且能正常使用，24小时供应热水。同一线路原则上住在同一家酒店。</w:t>
      </w:r>
    </w:p>
    <w:p w14:paraId="1209ED5D">
      <w:pPr>
        <w:tabs>
          <w:tab w:val="left" w:pos="9135"/>
        </w:tabs>
        <w:spacing w:line="240" w:lineRule="auto"/>
        <w:ind w:left="511" w:leftChars="34" w:hanging="440"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餐标：在正规饭店或农家乐就餐，可采用10人一桌或自助餐的形式。入住酒店必须包含早餐，</w:t>
      </w:r>
      <w:r>
        <w:rPr>
          <w:rFonts w:hint="eastAsia" w:ascii="宋体" w:hAnsi="宋体" w:eastAsia="宋体" w:cs="宋体"/>
          <w:color w:val="auto"/>
          <w:sz w:val="22"/>
          <w:szCs w:val="22"/>
          <w:highlight w:val="none"/>
          <w:lang w:eastAsia="zh-CN"/>
        </w:rPr>
        <w:t>市域线路</w:t>
      </w:r>
      <w:r>
        <w:rPr>
          <w:rFonts w:hint="eastAsia" w:ascii="宋体" w:hAnsi="宋体" w:eastAsia="宋体" w:cs="宋体"/>
          <w:color w:val="auto"/>
          <w:sz w:val="22"/>
          <w:szCs w:val="22"/>
          <w:highlight w:val="none"/>
        </w:rPr>
        <w:t>每人正餐餐费标准不低于</w:t>
      </w:r>
      <w:r>
        <w:rPr>
          <w:rFonts w:hint="eastAsia" w:ascii="宋体" w:hAnsi="宋体" w:eastAsia="宋体" w:cs="宋体"/>
          <w:color w:val="auto"/>
          <w:sz w:val="22"/>
          <w:szCs w:val="22"/>
          <w:highlight w:val="none"/>
          <w:lang w:val="en-US" w:eastAsia="zh-CN"/>
        </w:rPr>
        <w:t>90</w:t>
      </w:r>
      <w:r>
        <w:rPr>
          <w:rFonts w:hint="eastAsia" w:ascii="宋体" w:hAnsi="宋体" w:eastAsia="宋体" w:cs="宋体"/>
          <w:color w:val="auto"/>
          <w:sz w:val="22"/>
          <w:szCs w:val="22"/>
          <w:highlight w:val="none"/>
        </w:rPr>
        <w:t>元/人，且每人餐费总额不低于</w:t>
      </w:r>
      <w:r>
        <w:rPr>
          <w:rFonts w:hint="eastAsia" w:ascii="宋体" w:hAnsi="宋体" w:eastAsia="宋体" w:cs="宋体"/>
          <w:color w:val="auto"/>
          <w:sz w:val="22"/>
          <w:szCs w:val="22"/>
          <w:highlight w:val="none"/>
          <w:lang w:val="en-US" w:eastAsia="zh-CN"/>
        </w:rPr>
        <w:t>810</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；省内、省外线路</w:t>
      </w:r>
      <w:r>
        <w:rPr>
          <w:rFonts w:hint="eastAsia" w:ascii="宋体" w:hAnsi="宋体" w:eastAsia="宋体" w:cs="宋体"/>
          <w:color w:val="auto"/>
          <w:sz w:val="22"/>
          <w:szCs w:val="22"/>
          <w:highlight w:val="none"/>
        </w:rPr>
        <w:t>正餐餐费标准</w:t>
      </w:r>
      <w:r>
        <w:rPr>
          <w:rFonts w:hint="eastAsia" w:ascii="宋体" w:hAnsi="宋体" w:eastAsia="宋体" w:cs="宋体"/>
          <w:color w:val="auto"/>
          <w:sz w:val="22"/>
          <w:szCs w:val="22"/>
          <w:highlight w:val="none"/>
          <w:lang w:eastAsia="zh-CN"/>
        </w:rPr>
        <w:t>不低于</w:t>
      </w:r>
      <w:r>
        <w:rPr>
          <w:rFonts w:hint="eastAsia" w:ascii="宋体" w:hAnsi="宋体" w:eastAsia="宋体" w:cs="宋体"/>
          <w:color w:val="auto"/>
          <w:sz w:val="22"/>
          <w:szCs w:val="22"/>
          <w:highlight w:val="none"/>
          <w:lang w:val="en-US" w:eastAsia="zh-CN"/>
        </w:rPr>
        <w:t>70元/人，</w:t>
      </w:r>
      <w:r>
        <w:rPr>
          <w:rFonts w:hint="eastAsia" w:ascii="宋体" w:hAnsi="宋体" w:eastAsia="宋体" w:cs="宋体"/>
          <w:color w:val="auto"/>
          <w:sz w:val="22"/>
          <w:szCs w:val="22"/>
          <w:highlight w:val="none"/>
        </w:rPr>
        <w:t>且每人餐费总额不低于</w:t>
      </w:r>
      <w:r>
        <w:rPr>
          <w:rFonts w:hint="eastAsia" w:ascii="宋体" w:hAnsi="宋体" w:eastAsia="宋体" w:cs="宋体"/>
          <w:color w:val="auto"/>
          <w:sz w:val="22"/>
          <w:szCs w:val="22"/>
          <w:highlight w:val="none"/>
          <w:lang w:val="en-US" w:eastAsia="zh-CN"/>
        </w:rPr>
        <w:t>630</w:t>
      </w:r>
      <w:r>
        <w:rPr>
          <w:rFonts w:hint="eastAsia" w:ascii="宋体" w:hAnsi="宋体" w:eastAsia="宋体" w:cs="宋体"/>
          <w:color w:val="auto"/>
          <w:sz w:val="22"/>
          <w:szCs w:val="22"/>
          <w:highlight w:val="none"/>
        </w:rPr>
        <w:t>元。</w:t>
      </w:r>
    </w:p>
    <w:p w14:paraId="471141F4">
      <w:pPr>
        <w:tabs>
          <w:tab w:val="left" w:pos="9135"/>
        </w:tabs>
        <w:spacing w:line="240" w:lineRule="auto"/>
        <w:ind w:left="511" w:leftChars="34" w:hanging="440"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  每次活动“食、宿、行、门票”的价格不得高于“携程”、“艺龙”、“途牛”、“去哪儿”、“美团”、“百度糯米”等知名旅行及团购网站相同旅游产品价格。</w:t>
      </w:r>
    </w:p>
    <w:p w14:paraId="3166D702">
      <w:pPr>
        <w:tabs>
          <w:tab w:val="left" w:pos="9135"/>
        </w:tabs>
        <w:spacing w:line="240" w:lineRule="auto"/>
        <w:ind w:left="511" w:leftChars="34" w:hanging="440"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  乙方需安排有丰富经验的导游（不少于三年）陪同，每辆车至少安排一名导游。不安排购物点。</w:t>
      </w:r>
    </w:p>
    <w:p w14:paraId="0BCD2009">
      <w:pPr>
        <w:spacing w:line="240" w:lineRule="auto"/>
        <w:rPr>
          <w:rFonts w:hint="eastAsia" w:ascii="宋体" w:hAnsi="宋体" w:eastAsia="宋体" w:cs="宋体"/>
          <w:b/>
          <w:bCs/>
          <w:color w:val="auto"/>
          <w:kern w:val="0"/>
          <w:sz w:val="22"/>
          <w:szCs w:val="22"/>
          <w:highlight w:val="none"/>
        </w:rPr>
      </w:pPr>
    </w:p>
    <w:p w14:paraId="53546726">
      <w:pPr>
        <w:spacing w:line="240" w:lineRule="auto"/>
        <w:rPr>
          <w:rFonts w:hint="eastAsia" w:ascii="宋体" w:hAnsi="宋体" w:eastAsia="宋体" w:cs="宋体"/>
          <w:b/>
          <w:color w:val="auto"/>
          <w:kern w:val="0"/>
          <w:sz w:val="22"/>
          <w:szCs w:val="22"/>
          <w:highlight w:val="none"/>
        </w:rPr>
      </w:pPr>
      <w:r>
        <w:rPr>
          <w:rFonts w:hint="eastAsia" w:ascii="宋体" w:hAnsi="宋体" w:eastAsia="宋体" w:cs="宋体"/>
          <w:b/>
          <w:bCs/>
          <w:color w:val="auto"/>
          <w:kern w:val="0"/>
          <w:sz w:val="22"/>
          <w:szCs w:val="22"/>
          <w:highlight w:val="none"/>
        </w:rPr>
        <w:t>第八条</w:t>
      </w:r>
      <w:r>
        <w:rPr>
          <w:rFonts w:hint="eastAsia" w:ascii="宋体" w:hAnsi="宋体" w:eastAsia="宋体" w:cs="宋体"/>
          <w:b/>
          <w:color w:val="auto"/>
          <w:kern w:val="0"/>
          <w:sz w:val="22"/>
          <w:szCs w:val="22"/>
          <w:highlight w:val="none"/>
        </w:rPr>
        <w:t xml:space="preserve"> 不可抗力</w:t>
      </w:r>
    </w:p>
    <w:p w14:paraId="34910D5D">
      <w:pPr>
        <w:spacing w:line="24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1．如果乙方因不可抗力而导致服务实施延误或不能履行服务义务的话，不受制裁。</w:t>
      </w:r>
    </w:p>
    <w:p w14:paraId="166DDA5E">
      <w:pPr>
        <w:spacing w:line="24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2．本条所述的“不可抗力”系指那些乙方无法控制、不可预见的事件，但不包括乙方的违约或疏忽。这些事件包括但不限于：战争、严重火灾、洪水、台风、地震。</w:t>
      </w:r>
    </w:p>
    <w:p w14:paraId="6EB1236F">
      <w:pPr>
        <w:spacing w:line="24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3．在不可抗力事件发生后，乙方应尽快以书面形式将不可抗力的情况和原因通知甲方。除甲方书面另行要求外，乙方应尽实际可能继续履行服务义务，以及寻求采取合理的方案履行不受不可抗力影响的其他事项。如果不可抗力事件影响时间持续30天以上时，甲方和乙方应通过友好协商在合理的时间内达成进一步履行服务的合同。</w:t>
      </w:r>
    </w:p>
    <w:p w14:paraId="3292EA88">
      <w:pPr>
        <w:spacing w:line="240" w:lineRule="auto"/>
        <w:rPr>
          <w:rFonts w:hint="eastAsia" w:ascii="宋体" w:hAnsi="宋体" w:eastAsia="宋体" w:cs="宋体"/>
          <w:b/>
          <w:bCs/>
          <w:color w:val="auto"/>
          <w:kern w:val="0"/>
          <w:sz w:val="22"/>
          <w:szCs w:val="22"/>
          <w:highlight w:val="none"/>
        </w:rPr>
      </w:pPr>
    </w:p>
    <w:p w14:paraId="0F457079">
      <w:pPr>
        <w:spacing w:line="240" w:lineRule="auto"/>
        <w:rPr>
          <w:rFonts w:hint="eastAsia" w:ascii="宋体" w:hAnsi="宋体" w:eastAsia="宋体" w:cs="宋体"/>
          <w:b/>
          <w:color w:val="auto"/>
          <w:kern w:val="0"/>
          <w:sz w:val="22"/>
          <w:szCs w:val="22"/>
          <w:highlight w:val="none"/>
        </w:rPr>
      </w:pPr>
      <w:r>
        <w:rPr>
          <w:rFonts w:hint="eastAsia" w:ascii="宋体" w:hAnsi="宋体" w:eastAsia="宋体" w:cs="宋体"/>
          <w:b/>
          <w:bCs/>
          <w:color w:val="auto"/>
          <w:kern w:val="0"/>
          <w:sz w:val="22"/>
          <w:szCs w:val="22"/>
          <w:highlight w:val="none"/>
        </w:rPr>
        <w:t xml:space="preserve">第九条 </w:t>
      </w:r>
      <w:r>
        <w:rPr>
          <w:rFonts w:hint="eastAsia" w:ascii="宋体" w:hAnsi="宋体" w:eastAsia="宋体" w:cs="宋体"/>
          <w:b/>
          <w:color w:val="auto"/>
          <w:kern w:val="0"/>
          <w:sz w:val="22"/>
          <w:szCs w:val="22"/>
          <w:highlight w:val="none"/>
        </w:rPr>
        <w:t>赔偿责任</w:t>
      </w:r>
    </w:p>
    <w:p w14:paraId="163D0A42">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1．因乙方的原因使甲方的利益受到损害，甲方有权根据法定机构出具的相关检验报告，向乙方提出索赔。</w:t>
      </w:r>
    </w:p>
    <w:p w14:paraId="36FAD8DD">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如果在甲方发出索赔通知后5天内，乙方未作答复，上述索赔应视为已被乙方接受，如乙方未能在甲方发出索赔通知后10天内或甲方同意的更长时间内，按照本合同规定的任何一种方法解决索赔事宜，甲方将从乙方的履约保证金中扣回索赔金额，或采取法律手段解决索赔事宜。</w:t>
      </w:r>
    </w:p>
    <w:p w14:paraId="5A4164A9">
      <w:pPr>
        <w:spacing w:line="240" w:lineRule="auto"/>
        <w:rPr>
          <w:rFonts w:hint="eastAsia" w:ascii="宋体" w:hAnsi="宋体" w:eastAsia="宋体" w:cs="宋体"/>
          <w:b/>
          <w:bCs/>
          <w:color w:val="auto"/>
          <w:kern w:val="0"/>
          <w:sz w:val="22"/>
          <w:szCs w:val="22"/>
          <w:highlight w:val="none"/>
        </w:rPr>
      </w:pPr>
    </w:p>
    <w:p w14:paraId="7EA69A7F">
      <w:pPr>
        <w:spacing w:line="240" w:lineRule="auto"/>
        <w:rPr>
          <w:rFonts w:hint="eastAsia" w:ascii="宋体" w:hAnsi="宋体" w:eastAsia="宋体" w:cs="宋体"/>
          <w:b/>
          <w:color w:val="auto"/>
          <w:kern w:val="0"/>
          <w:sz w:val="22"/>
          <w:szCs w:val="22"/>
          <w:highlight w:val="none"/>
        </w:rPr>
      </w:pPr>
      <w:r>
        <w:rPr>
          <w:rFonts w:hint="eastAsia" w:ascii="宋体" w:hAnsi="宋体" w:eastAsia="宋体" w:cs="宋体"/>
          <w:b/>
          <w:bCs/>
          <w:color w:val="auto"/>
          <w:kern w:val="0"/>
          <w:sz w:val="22"/>
          <w:szCs w:val="22"/>
          <w:highlight w:val="none"/>
        </w:rPr>
        <w:t xml:space="preserve">第十条 </w:t>
      </w:r>
      <w:r>
        <w:rPr>
          <w:rFonts w:hint="eastAsia" w:ascii="宋体" w:hAnsi="宋体" w:eastAsia="宋体" w:cs="宋体"/>
          <w:b/>
          <w:bCs/>
          <w:color w:val="auto"/>
          <w:kern w:val="0"/>
          <w:sz w:val="22"/>
          <w:szCs w:val="22"/>
          <w:highlight w:val="none"/>
          <w:lang w:val="en-US" w:eastAsia="zh-CN"/>
        </w:rPr>
        <w:t>保险和</w:t>
      </w:r>
      <w:r>
        <w:rPr>
          <w:rFonts w:hint="eastAsia" w:ascii="宋体" w:hAnsi="宋体" w:eastAsia="宋体" w:cs="宋体"/>
          <w:b/>
          <w:color w:val="auto"/>
          <w:kern w:val="0"/>
          <w:sz w:val="22"/>
          <w:szCs w:val="22"/>
          <w:highlight w:val="none"/>
        </w:rPr>
        <w:t>税费</w:t>
      </w:r>
    </w:p>
    <w:p w14:paraId="5B2E3022">
      <w:pPr>
        <w:spacing w:line="24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1．根据现行税法规定与本合同有关的一切税费，均由乙方负担，</w:t>
      </w:r>
      <w:r>
        <w:rPr>
          <w:rFonts w:hint="eastAsia" w:ascii="宋体" w:hAnsi="宋体" w:eastAsia="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文件另有规定的除外。</w:t>
      </w:r>
    </w:p>
    <w:p w14:paraId="58301C4E">
      <w:pPr>
        <w:wordWrap w:val="0"/>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2.乙方为本项目服务负责购买下列保险：</w:t>
      </w:r>
      <w:r>
        <w:rPr>
          <w:rFonts w:hint="eastAsia" w:ascii="宋体" w:hAnsi="宋体" w:eastAsia="宋体" w:cs="宋体"/>
          <w:color w:val="auto"/>
          <w:kern w:val="0"/>
          <w:sz w:val="22"/>
          <w:highlight w:val="none"/>
        </w:rPr>
        <w:t>旅行社责任保险每次事故每人责任限额</w:t>
      </w:r>
      <w:r>
        <w:rPr>
          <w:rFonts w:hint="eastAsia" w:ascii="宋体" w:hAnsi="宋体" w:eastAsia="宋体" w:cs="宋体"/>
          <w:color w:val="auto"/>
          <w:kern w:val="0"/>
          <w:sz w:val="22"/>
          <w:highlight w:val="none"/>
          <w:u w:val="single"/>
          <w:lang w:val="en-US" w:eastAsia="zh-CN"/>
        </w:rPr>
        <w:t xml:space="preserve">           </w:t>
      </w:r>
      <w:r>
        <w:rPr>
          <w:rFonts w:hint="eastAsia" w:ascii="宋体" w:hAnsi="宋体" w:eastAsia="宋体" w:cs="宋体"/>
          <w:color w:val="auto"/>
          <w:kern w:val="0"/>
          <w:sz w:val="22"/>
          <w:highlight w:val="none"/>
        </w:rPr>
        <w:t>万</w:t>
      </w:r>
      <w:r>
        <w:rPr>
          <w:rFonts w:hint="eastAsia" w:ascii="宋体" w:hAnsi="宋体" w:eastAsia="宋体" w:cs="宋体"/>
          <w:color w:val="auto"/>
          <w:kern w:val="0"/>
          <w:sz w:val="22"/>
          <w:highlight w:val="none"/>
          <w:lang w:val="en-US" w:eastAsia="zh-CN"/>
        </w:rPr>
        <w:t>元；</w:t>
      </w:r>
      <w:r>
        <w:rPr>
          <w:rFonts w:hint="eastAsia" w:ascii="宋体" w:hAnsi="宋体" w:eastAsia="宋体" w:cs="宋体"/>
          <w:color w:val="auto"/>
          <w:kern w:val="0"/>
          <w:sz w:val="22"/>
          <w:highlight w:val="none"/>
        </w:rPr>
        <w:t>旅行社购买人身伤害意外保险</w:t>
      </w:r>
      <w:r>
        <w:rPr>
          <w:rFonts w:hint="eastAsia" w:ascii="宋体" w:hAnsi="宋体" w:eastAsia="宋体" w:cs="宋体"/>
          <w:color w:val="auto"/>
          <w:kern w:val="0"/>
          <w:sz w:val="22"/>
          <w:highlight w:val="none"/>
          <w:u w:val="single"/>
          <w:lang w:val="en-US" w:eastAsia="zh-CN"/>
        </w:rPr>
        <w:t xml:space="preserve">            万元</w:t>
      </w:r>
      <w:r>
        <w:rPr>
          <w:rFonts w:hint="eastAsia" w:ascii="宋体" w:hAnsi="宋体" w:eastAsia="宋体" w:cs="宋体"/>
          <w:color w:val="auto"/>
          <w:kern w:val="0"/>
          <w:sz w:val="22"/>
          <w:highlight w:val="none"/>
        </w:rPr>
        <w:t>。</w:t>
      </w:r>
    </w:p>
    <w:p w14:paraId="2F35D206">
      <w:pPr>
        <w:spacing w:line="240" w:lineRule="auto"/>
        <w:ind w:firstLine="440" w:firstLineChars="200"/>
        <w:rPr>
          <w:rFonts w:hint="eastAsia" w:ascii="宋体" w:hAnsi="宋体" w:eastAsia="宋体" w:cs="宋体"/>
          <w:b w:val="0"/>
          <w:bCs w:val="0"/>
          <w:color w:val="auto"/>
          <w:kern w:val="0"/>
          <w:sz w:val="22"/>
          <w:szCs w:val="22"/>
          <w:highlight w:val="none"/>
        </w:rPr>
      </w:pPr>
    </w:p>
    <w:p w14:paraId="44311193">
      <w:pPr>
        <w:spacing w:line="240" w:lineRule="auto"/>
        <w:rPr>
          <w:rFonts w:hint="eastAsia" w:ascii="宋体" w:hAnsi="宋体" w:eastAsia="宋体" w:cs="宋体"/>
          <w:b/>
          <w:color w:val="auto"/>
          <w:kern w:val="0"/>
          <w:sz w:val="22"/>
          <w:szCs w:val="22"/>
          <w:highlight w:val="none"/>
        </w:rPr>
      </w:pPr>
      <w:r>
        <w:rPr>
          <w:rFonts w:hint="eastAsia" w:ascii="宋体" w:hAnsi="宋体" w:eastAsia="宋体" w:cs="宋体"/>
          <w:b/>
          <w:bCs/>
          <w:color w:val="auto"/>
          <w:kern w:val="0"/>
          <w:sz w:val="22"/>
          <w:szCs w:val="22"/>
          <w:highlight w:val="none"/>
        </w:rPr>
        <w:t>第十一条</w:t>
      </w:r>
      <w:r>
        <w:rPr>
          <w:rFonts w:hint="eastAsia" w:ascii="宋体" w:hAnsi="宋体" w:eastAsia="宋体" w:cs="宋体"/>
          <w:b/>
          <w:color w:val="auto"/>
          <w:kern w:val="0"/>
          <w:sz w:val="22"/>
          <w:szCs w:val="22"/>
          <w:highlight w:val="none"/>
        </w:rPr>
        <w:t xml:space="preserve"> 履约保证金</w:t>
      </w:r>
    </w:p>
    <w:p w14:paraId="3897033B">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eastAsia="宋体" w:cs="宋体"/>
          <w:b/>
          <w:color w:val="auto"/>
          <w:kern w:val="0"/>
          <w:sz w:val="22"/>
          <w:szCs w:val="22"/>
          <w:highlight w:val="none"/>
        </w:rPr>
        <w:t>乙方须在合同签订前向甲方提供</w:t>
      </w:r>
      <w:r>
        <w:rPr>
          <w:rFonts w:hint="eastAsia" w:ascii="宋体" w:hAnsi="宋体" w:eastAsia="宋体" w:cs="宋体"/>
          <w:b/>
          <w:color w:val="auto"/>
          <w:kern w:val="0"/>
          <w:sz w:val="22"/>
          <w:szCs w:val="22"/>
          <w:highlight w:val="none"/>
          <w:lang w:val="en-US" w:eastAsia="zh-CN"/>
        </w:rPr>
        <w:t>6</w:t>
      </w:r>
      <w:r>
        <w:rPr>
          <w:rFonts w:hint="eastAsia" w:ascii="宋体" w:hAnsi="宋体" w:eastAsia="宋体" w:cs="宋体"/>
          <w:b/>
          <w:color w:val="auto"/>
          <w:kern w:val="0"/>
          <w:sz w:val="22"/>
          <w:szCs w:val="22"/>
          <w:highlight w:val="none"/>
        </w:rPr>
        <w:t>0000元（人民币：</w:t>
      </w:r>
      <w:r>
        <w:rPr>
          <w:rFonts w:hint="eastAsia" w:ascii="宋体" w:hAnsi="宋体" w:eastAsia="宋体" w:cs="宋体"/>
          <w:b/>
          <w:color w:val="auto"/>
          <w:kern w:val="0"/>
          <w:sz w:val="22"/>
          <w:szCs w:val="22"/>
          <w:highlight w:val="none"/>
          <w:lang w:val="en-US" w:eastAsia="zh-CN"/>
        </w:rPr>
        <w:t>陆</w:t>
      </w:r>
      <w:r>
        <w:rPr>
          <w:rFonts w:hint="eastAsia" w:ascii="宋体" w:hAnsi="宋体" w:eastAsia="宋体" w:cs="宋体"/>
          <w:b/>
          <w:color w:val="auto"/>
          <w:kern w:val="0"/>
          <w:sz w:val="22"/>
          <w:szCs w:val="22"/>
          <w:highlight w:val="none"/>
        </w:rPr>
        <w:t>万元整）的履约保证金。</w:t>
      </w:r>
    </w:p>
    <w:p w14:paraId="1670BEC4">
      <w:pPr>
        <w:spacing w:line="24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2．如乙方未能履行合同规定的义务，甲方有权从履约保证金中取得补偿。</w:t>
      </w:r>
    </w:p>
    <w:p w14:paraId="21D3AF20">
      <w:pPr>
        <w:spacing w:line="240" w:lineRule="auto"/>
        <w:ind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3．履约保证金应在合同期满且乙方按照承诺完成合同规定的全部义务后退还给乙方，不计利息。</w:t>
      </w:r>
    </w:p>
    <w:p w14:paraId="6737D240">
      <w:pPr>
        <w:spacing w:line="240" w:lineRule="auto"/>
        <w:rPr>
          <w:rFonts w:hint="eastAsia" w:ascii="宋体" w:hAnsi="宋体" w:eastAsia="宋体" w:cs="宋体"/>
          <w:b/>
          <w:bCs/>
          <w:color w:val="auto"/>
          <w:kern w:val="0"/>
          <w:sz w:val="22"/>
          <w:szCs w:val="22"/>
          <w:highlight w:val="none"/>
        </w:rPr>
      </w:pPr>
    </w:p>
    <w:p w14:paraId="15DEAEAA">
      <w:pPr>
        <w:numPr>
          <w:ilvl w:val="0"/>
          <w:numId w:val="25"/>
        </w:numPr>
        <w:spacing w:line="240" w:lineRule="auto"/>
        <w:rPr>
          <w:rFonts w:hint="eastAsia" w:ascii="宋体" w:hAnsi="宋体" w:eastAsia="宋体" w:cs="宋体"/>
          <w:b/>
          <w:color w:val="auto"/>
          <w:kern w:val="0"/>
          <w:sz w:val="22"/>
          <w:szCs w:val="22"/>
          <w:highlight w:val="none"/>
        </w:rPr>
      </w:pPr>
      <w:r>
        <w:rPr>
          <w:rFonts w:hint="eastAsia" w:ascii="宋体" w:hAnsi="宋体" w:eastAsia="宋体" w:cs="宋体"/>
          <w:b/>
          <w:bCs/>
          <w:color w:val="auto"/>
          <w:kern w:val="0"/>
          <w:sz w:val="22"/>
          <w:szCs w:val="22"/>
          <w:highlight w:val="none"/>
          <w:lang w:eastAsia="zh-CN"/>
        </w:rPr>
        <w:t>项目考核及</w:t>
      </w:r>
      <w:r>
        <w:rPr>
          <w:rFonts w:hint="eastAsia" w:ascii="宋体" w:hAnsi="宋体" w:eastAsia="宋体" w:cs="宋体"/>
          <w:b/>
          <w:color w:val="auto"/>
          <w:kern w:val="0"/>
          <w:sz w:val="22"/>
          <w:szCs w:val="22"/>
          <w:highlight w:val="none"/>
        </w:rPr>
        <w:t>违约责任</w:t>
      </w:r>
    </w:p>
    <w:p w14:paraId="08E86BAA">
      <w:pPr>
        <w:widowControl/>
        <w:ind w:firstLine="440" w:firstLineChars="200"/>
        <w:jc w:val="left"/>
        <w:rPr>
          <w:rFonts w:hint="eastAsia"/>
          <w:color w:val="auto"/>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本项目考核分为每批次考核与年度考核，考核以</w:t>
      </w:r>
      <w:r>
        <w:rPr>
          <w:rFonts w:hint="eastAsia" w:ascii="宋体" w:hAnsi="宋体" w:eastAsia="宋体" w:cs="宋体"/>
          <w:color w:val="auto"/>
          <w:kern w:val="0"/>
          <w:sz w:val="22"/>
          <w:szCs w:val="22"/>
          <w:highlight w:val="none"/>
          <w:lang w:eastAsia="zh-CN"/>
        </w:rPr>
        <w:t>甲方</w:t>
      </w:r>
      <w:r>
        <w:rPr>
          <w:rFonts w:hint="eastAsia" w:ascii="宋体" w:hAnsi="宋体" w:eastAsia="宋体" w:cs="宋体"/>
          <w:color w:val="auto"/>
          <w:kern w:val="0"/>
          <w:sz w:val="22"/>
          <w:szCs w:val="22"/>
          <w:highlight w:val="none"/>
        </w:rPr>
        <w:t>职工疗休养活动满意度测评表（职工）统计结果为准（测评表见合同附件)。当某批次职工疗休养活动考核为不合格的，乙方应向甲方支付该批次结算金额的10%的违约金；当职工疗休养活动考核不合格批次数量达到3批，甲方有权单方解除合同，且乙方须支付甲方截至当前批次（含本批次）结算总金额的10%的违约金。当职工疗休养活动年度考核不合格，甲方将不续签合同。</w:t>
      </w:r>
    </w:p>
    <w:p w14:paraId="50CB63A4">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．乙方有下列行为将作为违约：</w:t>
      </w:r>
    </w:p>
    <w:p w14:paraId="4F510F20">
      <w:pPr>
        <w:spacing w:line="240" w:lineRule="auto"/>
        <w:ind w:firstLine="330" w:firstLineChars="1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（1）逾期组团的，不可抗力除外；</w:t>
      </w:r>
    </w:p>
    <w:p w14:paraId="133A6440">
      <w:pPr>
        <w:spacing w:line="240" w:lineRule="auto"/>
        <w:ind w:firstLine="330" w:firstLineChars="1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（2）服务质量等跟</w:t>
      </w:r>
      <w:r>
        <w:rPr>
          <w:rFonts w:hint="eastAsia" w:ascii="宋体" w:hAnsi="宋体" w:eastAsia="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文件要求或中标供应商的投标文件中相关承诺存在着不符，并私自降低服务质量等的；</w:t>
      </w:r>
    </w:p>
    <w:p w14:paraId="4ED2ED2B">
      <w:pPr>
        <w:spacing w:line="240" w:lineRule="auto"/>
        <w:ind w:firstLine="330" w:firstLineChars="1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（3）不履行合同条款或只履行部分合同条款，或拒绝履行合同义务的；</w:t>
      </w:r>
    </w:p>
    <w:p w14:paraId="27EA9F0D">
      <w:pPr>
        <w:spacing w:line="240" w:lineRule="auto"/>
        <w:ind w:firstLine="330" w:firstLineChars="1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（4）不履行服务质量承诺的；</w:t>
      </w:r>
    </w:p>
    <w:p w14:paraId="4E528685">
      <w:pPr>
        <w:spacing w:line="240" w:lineRule="auto"/>
        <w:ind w:firstLine="330" w:firstLineChars="1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（5）无正当理由拒绝接待职工疗休养的；</w:t>
      </w:r>
    </w:p>
    <w:p w14:paraId="6EC9EE52">
      <w:pPr>
        <w:spacing w:line="240" w:lineRule="auto"/>
        <w:ind w:firstLine="330" w:firstLineChars="1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（6）采用不正当竞争手段争揽业务，引起投诉并经甲方查实的；</w:t>
      </w:r>
    </w:p>
    <w:p w14:paraId="45720BA9">
      <w:pPr>
        <w:spacing w:line="240" w:lineRule="auto"/>
        <w:ind w:firstLine="330" w:firstLineChars="15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（7）</w:t>
      </w:r>
      <w:r>
        <w:rPr>
          <w:rFonts w:hint="eastAsia" w:ascii="宋体" w:hAnsi="宋体" w:eastAsia="宋体" w:cs="宋体"/>
          <w:color w:val="auto"/>
          <w:sz w:val="22"/>
          <w:szCs w:val="22"/>
          <w:highlight w:val="none"/>
        </w:rPr>
        <w:t>实施过程中因服务质量差等原因被疗休养人员</w:t>
      </w:r>
      <w:r>
        <w:rPr>
          <w:rFonts w:hint="eastAsia" w:ascii="宋体" w:hAnsi="宋体" w:eastAsia="宋体" w:cs="宋体"/>
          <w:color w:val="auto"/>
          <w:sz w:val="22"/>
          <w:szCs w:val="22"/>
          <w:highlight w:val="none"/>
          <w:lang w:val="en-US" w:eastAsia="zh-CN"/>
        </w:rPr>
        <w:t>投诉，</w:t>
      </w:r>
      <w:r>
        <w:rPr>
          <w:rFonts w:hint="eastAsia" w:ascii="宋体" w:hAnsi="宋体" w:eastAsia="宋体" w:cs="宋体"/>
          <w:color w:val="auto"/>
          <w:sz w:val="22"/>
          <w:szCs w:val="22"/>
          <w:highlight w:val="none"/>
        </w:rPr>
        <w:t>投诉</w:t>
      </w:r>
      <w:r>
        <w:rPr>
          <w:rFonts w:hint="eastAsia" w:ascii="宋体" w:hAnsi="宋体" w:eastAsia="宋体" w:cs="宋体"/>
          <w:color w:val="auto"/>
          <w:sz w:val="22"/>
          <w:szCs w:val="22"/>
          <w:highlight w:val="none"/>
          <w:lang w:val="en-US" w:eastAsia="zh-CN"/>
        </w:rPr>
        <w:t>出现二</w:t>
      </w:r>
      <w:r>
        <w:rPr>
          <w:rFonts w:hint="eastAsia" w:ascii="宋体" w:hAnsi="宋体" w:eastAsia="宋体" w:cs="宋体"/>
          <w:color w:val="auto"/>
          <w:sz w:val="22"/>
          <w:szCs w:val="22"/>
          <w:highlight w:val="none"/>
        </w:rPr>
        <w:t>次以上(含</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次)并经甲方查实</w:t>
      </w:r>
      <w:r>
        <w:rPr>
          <w:rFonts w:hint="eastAsia" w:ascii="宋体" w:hAnsi="宋体" w:eastAsia="宋体" w:cs="宋体"/>
          <w:color w:val="auto"/>
          <w:sz w:val="22"/>
          <w:szCs w:val="22"/>
          <w:highlight w:val="none"/>
          <w:lang w:eastAsia="zh-CN"/>
        </w:rPr>
        <w:t>；</w:t>
      </w:r>
    </w:p>
    <w:p w14:paraId="1AE664E9">
      <w:pPr>
        <w:spacing w:line="240" w:lineRule="auto"/>
        <w:ind w:firstLine="330" w:firstLineChars="1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（8）乙方超过合同承诺的价格和费用标准、或高于市场价格向甲方收取费用的；</w:t>
      </w:r>
    </w:p>
    <w:p w14:paraId="394CBC2A">
      <w:pPr>
        <w:spacing w:line="240" w:lineRule="auto"/>
        <w:ind w:firstLine="330" w:firstLineChars="1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（9）因乙方服务质量问题，导致甲方出现重大损失的；</w:t>
      </w:r>
    </w:p>
    <w:p w14:paraId="0A9EFB75">
      <w:pPr>
        <w:spacing w:line="240" w:lineRule="auto"/>
        <w:ind w:firstLine="330" w:firstLineChars="1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（10）在合同期限内发生安全责任事故的；</w:t>
      </w:r>
    </w:p>
    <w:p w14:paraId="384EF2EB">
      <w:pPr>
        <w:spacing w:line="240" w:lineRule="auto"/>
        <w:ind w:firstLine="330" w:firstLineChars="1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（11）不按相关规定租用车辆一次经查实的；</w:t>
      </w:r>
    </w:p>
    <w:p w14:paraId="69C9BF6E">
      <w:pPr>
        <w:spacing w:line="240" w:lineRule="auto"/>
        <w:ind w:firstLine="330" w:firstLineChars="1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（12）在合同期限内发现给组团单位回扣的；</w:t>
      </w:r>
    </w:p>
    <w:p w14:paraId="447901C7">
      <w:pPr>
        <w:spacing w:line="240" w:lineRule="auto"/>
        <w:ind w:firstLine="330" w:firstLineChars="1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（13）违反国家其他的相关法律法规；</w:t>
      </w:r>
    </w:p>
    <w:p w14:paraId="1C5930EB">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疗休养人员向甲方反映乙方有违约情形的，甲方有权进行调查核实。乙方确有违约行为的，在甲方对乙方违约而采取的任何补救措施不受影响的情况下，根据情节轻重，甲方可扣除部分或全部履约保证金，直至终止合同。如因乙方的违约造成甲方的损失，乙方还应当赔偿损失。</w:t>
      </w:r>
    </w:p>
    <w:p w14:paraId="20E1F7F0">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．乙方在任何情况下都不得向甲方的经办人员提供任何形式的回扣，一经发现，甲方可立即全面终止合同的履行，并不予退还履约保证金，同时提请有关部门追究有关当事人的责任。</w:t>
      </w:r>
    </w:p>
    <w:p w14:paraId="649DA342">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．乙方如有上述第十</w:t>
      </w:r>
      <w:r>
        <w:rPr>
          <w:rFonts w:hint="eastAsia" w:ascii="宋体" w:hAnsi="宋体" w:eastAsia="宋体" w:cs="宋体"/>
          <w:color w:val="auto"/>
          <w:kern w:val="0"/>
          <w:sz w:val="22"/>
          <w:szCs w:val="22"/>
          <w:highlight w:val="none"/>
          <w:lang w:val="en-US" w:eastAsia="zh-CN"/>
        </w:rPr>
        <w:t>二</w:t>
      </w:r>
      <w:r>
        <w:rPr>
          <w:rFonts w:hint="eastAsia" w:ascii="宋体" w:hAnsi="宋体" w:eastAsia="宋体" w:cs="宋体"/>
          <w:color w:val="auto"/>
          <w:kern w:val="0"/>
          <w:sz w:val="22"/>
          <w:szCs w:val="22"/>
          <w:highlight w:val="none"/>
        </w:rPr>
        <w:t>条第1款规定情况的，除特殊原因外，将终止全部合同</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甲方视情况</w:t>
      </w:r>
      <w:r>
        <w:rPr>
          <w:rFonts w:hint="eastAsia" w:ascii="宋体" w:hAnsi="宋体" w:eastAsia="宋体" w:cs="宋体"/>
          <w:color w:val="auto"/>
          <w:sz w:val="22"/>
          <w:szCs w:val="22"/>
          <w:highlight w:val="none"/>
        </w:rPr>
        <w:t>由备选供应商执行剩余合同</w:t>
      </w:r>
      <w:r>
        <w:rPr>
          <w:rFonts w:hint="eastAsia" w:ascii="宋体" w:hAnsi="宋体" w:eastAsia="宋体" w:cs="宋体"/>
          <w:color w:val="auto"/>
          <w:sz w:val="22"/>
          <w:szCs w:val="22"/>
          <w:highlight w:val="none"/>
          <w:lang w:eastAsia="zh-CN"/>
        </w:rPr>
        <w:t>或重新进行采购</w:t>
      </w:r>
      <w:r>
        <w:rPr>
          <w:rFonts w:hint="eastAsia" w:ascii="宋体" w:hAnsi="宋体" w:eastAsia="宋体" w:cs="宋体"/>
          <w:color w:val="auto"/>
          <w:kern w:val="0"/>
          <w:sz w:val="22"/>
          <w:szCs w:val="22"/>
          <w:highlight w:val="none"/>
        </w:rPr>
        <w:t>；并且乙方不得参与甲方</w:t>
      </w:r>
      <w:r>
        <w:rPr>
          <w:rFonts w:hint="eastAsia" w:ascii="宋体" w:hAnsi="宋体" w:eastAsia="宋体" w:cs="宋体"/>
          <w:color w:val="auto"/>
          <w:kern w:val="0"/>
          <w:sz w:val="22"/>
          <w:szCs w:val="22"/>
          <w:highlight w:val="none"/>
          <w:lang w:val="en-US" w:eastAsia="zh-CN"/>
        </w:rPr>
        <w:t>组织</w:t>
      </w:r>
      <w:r>
        <w:rPr>
          <w:rFonts w:hint="eastAsia" w:ascii="宋体" w:hAnsi="宋体" w:eastAsia="宋体" w:cs="宋体"/>
          <w:color w:val="auto"/>
          <w:kern w:val="0"/>
          <w:sz w:val="22"/>
          <w:szCs w:val="22"/>
          <w:highlight w:val="none"/>
        </w:rPr>
        <w:t>的下一轮投标。</w:t>
      </w:r>
    </w:p>
    <w:p w14:paraId="2E863D59">
      <w:pPr>
        <w:spacing w:line="240" w:lineRule="auto"/>
        <w:rPr>
          <w:rFonts w:hint="eastAsia" w:ascii="宋体" w:hAnsi="宋体" w:eastAsia="宋体" w:cs="宋体"/>
          <w:b/>
          <w:bCs/>
          <w:color w:val="auto"/>
          <w:kern w:val="0"/>
          <w:sz w:val="22"/>
          <w:szCs w:val="22"/>
          <w:highlight w:val="none"/>
        </w:rPr>
      </w:pPr>
    </w:p>
    <w:p w14:paraId="68738E62">
      <w:pPr>
        <w:spacing w:line="240" w:lineRule="auto"/>
        <w:rPr>
          <w:rFonts w:hint="eastAsia" w:ascii="宋体" w:hAnsi="宋体" w:eastAsia="宋体" w:cs="宋体"/>
          <w:b/>
          <w:color w:val="auto"/>
          <w:kern w:val="0"/>
          <w:sz w:val="22"/>
          <w:szCs w:val="22"/>
          <w:highlight w:val="none"/>
        </w:rPr>
      </w:pPr>
      <w:r>
        <w:rPr>
          <w:rFonts w:hint="eastAsia" w:ascii="宋体" w:hAnsi="宋体" w:eastAsia="宋体" w:cs="宋体"/>
          <w:b/>
          <w:bCs/>
          <w:color w:val="auto"/>
          <w:kern w:val="0"/>
          <w:sz w:val="22"/>
          <w:szCs w:val="22"/>
          <w:highlight w:val="none"/>
        </w:rPr>
        <w:t xml:space="preserve">第十三条 </w:t>
      </w:r>
      <w:r>
        <w:rPr>
          <w:rFonts w:hint="eastAsia" w:ascii="宋体" w:hAnsi="宋体" w:eastAsia="宋体" w:cs="宋体"/>
          <w:b/>
          <w:color w:val="auto"/>
          <w:kern w:val="0"/>
          <w:sz w:val="22"/>
          <w:szCs w:val="22"/>
          <w:highlight w:val="none"/>
        </w:rPr>
        <w:t>破产终止合同</w:t>
      </w:r>
    </w:p>
    <w:p w14:paraId="2403F937">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如果乙方破产或无清偿能力，甲方可在任何时候以书面形式通知乙方终止合同而不给乙方补偿。该终止合同将不损害或影响甲方已经采取或将要采取的任何行动或补救措施的权力。</w:t>
      </w:r>
    </w:p>
    <w:p w14:paraId="7F3A6B6A">
      <w:pPr>
        <w:spacing w:line="240" w:lineRule="auto"/>
        <w:rPr>
          <w:rFonts w:hint="eastAsia" w:ascii="宋体" w:hAnsi="宋体" w:eastAsia="宋体" w:cs="宋体"/>
          <w:b/>
          <w:bCs/>
          <w:color w:val="auto"/>
          <w:kern w:val="0"/>
          <w:sz w:val="22"/>
          <w:szCs w:val="22"/>
          <w:highlight w:val="none"/>
        </w:rPr>
      </w:pPr>
    </w:p>
    <w:p w14:paraId="7F1A910B">
      <w:pPr>
        <w:spacing w:line="240" w:lineRule="auto"/>
        <w:rPr>
          <w:rFonts w:hint="eastAsia" w:ascii="宋体" w:hAnsi="宋体" w:eastAsia="宋体" w:cs="宋体"/>
          <w:b/>
          <w:color w:val="auto"/>
          <w:kern w:val="0"/>
          <w:sz w:val="22"/>
          <w:szCs w:val="22"/>
          <w:highlight w:val="none"/>
        </w:rPr>
      </w:pPr>
      <w:r>
        <w:rPr>
          <w:rFonts w:hint="eastAsia" w:ascii="宋体" w:hAnsi="宋体" w:eastAsia="宋体" w:cs="宋体"/>
          <w:b/>
          <w:bCs/>
          <w:color w:val="auto"/>
          <w:kern w:val="0"/>
          <w:sz w:val="22"/>
          <w:szCs w:val="22"/>
          <w:highlight w:val="none"/>
        </w:rPr>
        <w:t xml:space="preserve">第十四条 </w:t>
      </w:r>
      <w:r>
        <w:rPr>
          <w:rFonts w:hint="eastAsia" w:ascii="宋体" w:hAnsi="宋体" w:eastAsia="宋体" w:cs="宋体"/>
          <w:b/>
          <w:color w:val="auto"/>
          <w:kern w:val="0"/>
          <w:sz w:val="22"/>
          <w:szCs w:val="22"/>
          <w:highlight w:val="none"/>
        </w:rPr>
        <w:t>转让和分包</w:t>
      </w:r>
    </w:p>
    <w:p w14:paraId="426C5E3E">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除甲方事先书面同意外，乙方不得向其他单位转让任何其应履行的合同义务，也不得对本合同实施分包。</w:t>
      </w:r>
    </w:p>
    <w:p w14:paraId="1269DC9C">
      <w:pPr>
        <w:spacing w:line="240" w:lineRule="auto"/>
        <w:rPr>
          <w:rFonts w:hint="eastAsia" w:ascii="宋体" w:hAnsi="宋体" w:eastAsia="宋体" w:cs="宋体"/>
          <w:b/>
          <w:bCs/>
          <w:color w:val="auto"/>
          <w:kern w:val="0"/>
          <w:sz w:val="22"/>
          <w:szCs w:val="22"/>
          <w:highlight w:val="none"/>
        </w:rPr>
      </w:pPr>
    </w:p>
    <w:p w14:paraId="0E45300F">
      <w:pPr>
        <w:spacing w:line="240" w:lineRule="auto"/>
        <w:rPr>
          <w:rFonts w:hint="eastAsia" w:ascii="宋体" w:hAnsi="宋体" w:eastAsia="宋体" w:cs="宋体"/>
          <w:b/>
          <w:color w:val="auto"/>
          <w:kern w:val="0"/>
          <w:sz w:val="22"/>
          <w:szCs w:val="22"/>
          <w:highlight w:val="none"/>
        </w:rPr>
      </w:pPr>
      <w:r>
        <w:rPr>
          <w:rFonts w:hint="eastAsia" w:ascii="宋体" w:hAnsi="宋体" w:eastAsia="宋体" w:cs="宋体"/>
          <w:b/>
          <w:bCs/>
          <w:color w:val="auto"/>
          <w:kern w:val="0"/>
          <w:sz w:val="22"/>
          <w:szCs w:val="22"/>
          <w:highlight w:val="none"/>
        </w:rPr>
        <w:t xml:space="preserve">第十五条 </w:t>
      </w:r>
      <w:r>
        <w:rPr>
          <w:rFonts w:hint="eastAsia" w:ascii="宋体" w:hAnsi="宋体" w:eastAsia="宋体" w:cs="宋体"/>
          <w:b/>
          <w:color w:val="auto"/>
          <w:kern w:val="0"/>
          <w:sz w:val="22"/>
          <w:szCs w:val="22"/>
          <w:highlight w:val="none"/>
        </w:rPr>
        <w:t>合同的不良记录</w:t>
      </w:r>
    </w:p>
    <w:p w14:paraId="75EBE5D6">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如果乙方在合同有效期内受到任何有效投诉（如发生拒绝接待、服务不到位、不履行价格承诺等），会将被有效投诉列入不良记录名单,甲方有权拒绝其参加甲方组织的下一次疗休养定点供应商</w:t>
      </w:r>
      <w:r>
        <w:rPr>
          <w:rFonts w:hint="eastAsia" w:ascii="宋体" w:hAnsi="宋体" w:eastAsia="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活动，情节严重的向市国资委通报情况，建议将其列入国有企业采购黑名单。</w:t>
      </w:r>
    </w:p>
    <w:p w14:paraId="501B3790">
      <w:pPr>
        <w:spacing w:line="240" w:lineRule="auto"/>
        <w:rPr>
          <w:rFonts w:hint="eastAsia" w:ascii="宋体" w:hAnsi="宋体" w:eastAsia="宋体" w:cs="宋体"/>
          <w:b/>
          <w:bCs/>
          <w:color w:val="auto"/>
          <w:kern w:val="0"/>
          <w:sz w:val="22"/>
          <w:szCs w:val="22"/>
          <w:highlight w:val="none"/>
        </w:rPr>
      </w:pPr>
    </w:p>
    <w:p w14:paraId="249A4A82">
      <w:pPr>
        <w:spacing w:line="240" w:lineRule="auto"/>
        <w:rPr>
          <w:rFonts w:hint="eastAsia" w:ascii="宋体" w:hAnsi="宋体" w:eastAsia="宋体" w:cs="宋体"/>
          <w:b/>
          <w:color w:val="auto"/>
          <w:kern w:val="0"/>
          <w:sz w:val="22"/>
          <w:szCs w:val="22"/>
          <w:highlight w:val="none"/>
        </w:rPr>
      </w:pPr>
      <w:r>
        <w:rPr>
          <w:rFonts w:hint="eastAsia" w:ascii="宋体" w:hAnsi="宋体" w:eastAsia="宋体" w:cs="宋体"/>
          <w:b/>
          <w:bCs/>
          <w:color w:val="auto"/>
          <w:kern w:val="0"/>
          <w:sz w:val="22"/>
          <w:szCs w:val="22"/>
          <w:highlight w:val="none"/>
        </w:rPr>
        <w:t xml:space="preserve">第十六条 </w:t>
      </w:r>
      <w:r>
        <w:rPr>
          <w:rFonts w:hint="eastAsia" w:ascii="宋体" w:hAnsi="宋体" w:eastAsia="宋体" w:cs="宋体"/>
          <w:b/>
          <w:color w:val="auto"/>
          <w:kern w:val="0"/>
          <w:sz w:val="22"/>
          <w:szCs w:val="22"/>
          <w:highlight w:val="none"/>
        </w:rPr>
        <w:t>争议解决</w:t>
      </w:r>
    </w:p>
    <w:p w14:paraId="71402243">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1．在履行本合同过程中所发生的或与本合同有关的一切争端，由甲方直接与乙方进行处理，双方应通过友好协商的办法进行解决。</w:t>
      </w:r>
    </w:p>
    <w:p w14:paraId="49464D95">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2．如协商不成，甲方与乙方均可向甲方所在地人民法院提请诉讼。</w:t>
      </w:r>
    </w:p>
    <w:p w14:paraId="6B436FC6">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3．在法院审理期间，未审理部分应继续履行。</w:t>
      </w:r>
    </w:p>
    <w:p w14:paraId="36CFCEAB">
      <w:pPr>
        <w:spacing w:line="240" w:lineRule="auto"/>
        <w:rPr>
          <w:rFonts w:hint="eastAsia" w:ascii="宋体" w:hAnsi="宋体" w:eastAsia="宋体" w:cs="宋体"/>
          <w:b/>
          <w:bCs/>
          <w:color w:val="auto"/>
          <w:kern w:val="0"/>
          <w:sz w:val="22"/>
          <w:szCs w:val="22"/>
          <w:highlight w:val="none"/>
        </w:rPr>
      </w:pPr>
    </w:p>
    <w:p w14:paraId="6AF66903">
      <w:pPr>
        <w:spacing w:line="240" w:lineRule="auto"/>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 xml:space="preserve">第十七条 </w:t>
      </w:r>
      <w:r>
        <w:rPr>
          <w:rFonts w:hint="eastAsia" w:ascii="宋体" w:hAnsi="宋体" w:eastAsia="宋体" w:cs="宋体"/>
          <w:b/>
          <w:color w:val="auto"/>
          <w:kern w:val="0"/>
          <w:sz w:val="22"/>
          <w:szCs w:val="22"/>
          <w:highlight w:val="none"/>
        </w:rPr>
        <w:t>合同有效期</w:t>
      </w:r>
    </w:p>
    <w:p w14:paraId="71F8BD22">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本合同有效期为20</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年  月  日起至20</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年  月  日止，</w:t>
      </w:r>
      <w:r>
        <w:rPr>
          <w:rFonts w:hint="eastAsia" w:ascii="宋体" w:hAnsi="宋体" w:eastAsia="宋体" w:cs="宋体"/>
          <w:bCs w:val="0"/>
          <w:color w:val="auto"/>
          <w:kern w:val="0"/>
          <w:sz w:val="22"/>
          <w:szCs w:val="22"/>
          <w:highlight w:val="none"/>
        </w:rPr>
        <w:t>合同采用1+1</w:t>
      </w:r>
      <w:r>
        <w:rPr>
          <w:rFonts w:hint="eastAsia" w:ascii="宋体" w:hAnsi="宋体" w:eastAsia="宋体" w:cs="宋体"/>
          <w:bCs w:val="0"/>
          <w:color w:val="auto"/>
          <w:kern w:val="0"/>
          <w:sz w:val="22"/>
          <w:szCs w:val="22"/>
          <w:highlight w:val="none"/>
          <w:lang w:val="en-US" w:eastAsia="zh-CN"/>
        </w:rPr>
        <w:t>+1</w:t>
      </w:r>
      <w:r>
        <w:rPr>
          <w:rFonts w:hint="eastAsia" w:ascii="宋体" w:hAnsi="宋体" w:eastAsia="宋体" w:cs="宋体"/>
          <w:bCs w:val="0"/>
          <w:color w:val="auto"/>
          <w:kern w:val="0"/>
          <w:sz w:val="22"/>
          <w:szCs w:val="22"/>
          <w:highlight w:val="none"/>
        </w:rPr>
        <w:t>模式，在合同期满后如</w:t>
      </w:r>
      <w:r>
        <w:rPr>
          <w:rFonts w:hint="eastAsia" w:ascii="宋体" w:hAnsi="宋体" w:eastAsia="宋体" w:cs="宋体"/>
          <w:bCs w:val="0"/>
          <w:color w:val="auto"/>
          <w:kern w:val="0"/>
          <w:sz w:val="22"/>
          <w:szCs w:val="22"/>
          <w:highlight w:val="none"/>
          <w:lang w:eastAsia="zh-CN"/>
        </w:rPr>
        <w:t>对</w:t>
      </w:r>
      <w:r>
        <w:rPr>
          <w:rFonts w:hint="eastAsia" w:ascii="宋体" w:hAnsi="宋体" w:eastAsia="宋体" w:cs="宋体"/>
          <w:bCs w:val="0"/>
          <w:color w:val="auto"/>
          <w:kern w:val="0"/>
          <w:sz w:val="22"/>
          <w:szCs w:val="22"/>
          <w:highlight w:val="none"/>
        </w:rPr>
        <w:t>乙方年度考核得分为90分</w:t>
      </w:r>
      <w:r>
        <w:rPr>
          <w:rFonts w:hint="eastAsia" w:ascii="宋体" w:hAnsi="宋体" w:eastAsia="宋体" w:cs="宋体"/>
          <w:bCs w:val="0"/>
          <w:color w:val="auto"/>
          <w:kern w:val="0"/>
          <w:sz w:val="22"/>
          <w:szCs w:val="22"/>
          <w:highlight w:val="none"/>
          <w:lang w:eastAsia="zh-CN"/>
        </w:rPr>
        <w:t>（含）</w:t>
      </w:r>
      <w:r>
        <w:rPr>
          <w:rFonts w:hint="eastAsia" w:ascii="宋体" w:hAnsi="宋体" w:eastAsia="宋体" w:cs="宋体"/>
          <w:bCs w:val="0"/>
          <w:color w:val="auto"/>
          <w:kern w:val="0"/>
          <w:sz w:val="22"/>
          <w:szCs w:val="22"/>
          <w:highlight w:val="none"/>
        </w:rPr>
        <w:t>以上，</w:t>
      </w:r>
      <w:r>
        <w:rPr>
          <w:rFonts w:hint="eastAsia" w:ascii="宋体" w:hAnsi="宋体" w:eastAsia="宋体" w:cs="宋体"/>
          <w:color w:val="auto"/>
          <w:kern w:val="0"/>
          <w:sz w:val="22"/>
          <w:szCs w:val="22"/>
          <w:highlight w:val="none"/>
        </w:rPr>
        <w:t>对乙方服务满意的</w:t>
      </w:r>
      <w:r>
        <w:rPr>
          <w:rFonts w:hint="eastAsia" w:ascii="宋体" w:hAnsi="宋体" w:eastAsia="宋体" w:cs="宋体"/>
          <w:bCs w:val="0"/>
          <w:color w:val="auto"/>
          <w:kern w:val="0"/>
          <w:sz w:val="22"/>
          <w:szCs w:val="22"/>
          <w:highlight w:val="none"/>
        </w:rPr>
        <w:t>经双方协商一致后，甲方有权选择</w:t>
      </w:r>
      <w:r>
        <w:rPr>
          <w:rFonts w:hint="eastAsia" w:ascii="宋体" w:hAnsi="宋体" w:eastAsia="宋体" w:cs="宋体"/>
          <w:color w:val="auto"/>
          <w:kern w:val="0"/>
          <w:sz w:val="22"/>
          <w:szCs w:val="22"/>
          <w:highlight w:val="none"/>
        </w:rPr>
        <w:t>续签</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年合同，合同续签条件不变</w:t>
      </w:r>
      <w:r>
        <w:rPr>
          <w:rFonts w:hint="eastAsia" w:ascii="宋体" w:hAnsi="宋体" w:eastAsia="宋体" w:cs="宋体"/>
          <w:color w:val="auto"/>
          <w:kern w:val="0"/>
          <w:sz w:val="22"/>
          <w:szCs w:val="22"/>
          <w:highlight w:val="none"/>
          <w:lang w:eastAsia="zh-CN"/>
        </w:rPr>
        <w:t>（经协商可变更部分线路），</w:t>
      </w:r>
      <w:r>
        <w:rPr>
          <w:rFonts w:hint="eastAsia" w:ascii="宋体" w:hAnsi="宋体" w:eastAsia="宋体" w:cs="宋体"/>
          <w:color w:val="auto"/>
          <w:kern w:val="0"/>
          <w:sz w:val="22"/>
          <w:szCs w:val="22"/>
          <w:highlight w:val="none"/>
          <w:lang w:val="en-US" w:eastAsia="zh-CN"/>
        </w:rPr>
        <w:t>最多续签2次</w:t>
      </w:r>
      <w:r>
        <w:rPr>
          <w:rFonts w:hint="eastAsia" w:ascii="宋体" w:hAnsi="宋体" w:eastAsia="宋体" w:cs="宋体"/>
          <w:color w:val="auto"/>
          <w:kern w:val="0"/>
          <w:sz w:val="22"/>
          <w:szCs w:val="22"/>
          <w:highlight w:val="none"/>
        </w:rPr>
        <w:t>。</w:t>
      </w:r>
    </w:p>
    <w:p w14:paraId="0981247D">
      <w:pPr>
        <w:spacing w:line="240" w:lineRule="auto"/>
        <w:rPr>
          <w:rFonts w:hint="eastAsia" w:ascii="宋体" w:hAnsi="宋体" w:eastAsia="宋体" w:cs="宋体"/>
          <w:b/>
          <w:bCs/>
          <w:color w:val="auto"/>
          <w:kern w:val="0"/>
          <w:sz w:val="22"/>
          <w:szCs w:val="22"/>
          <w:highlight w:val="none"/>
        </w:rPr>
      </w:pPr>
    </w:p>
    <w:p w14:paraId="04A067F6">
      <w:pPr>
        <w:spacing w:line="240" w:lineRule="auto"/>
        <w:rPr>
          <w:rFonts w:hint="eastAsia" w:ascii="宋体" w:hAnsi="宋体" w:eastAsia="宋体" w:cs="宋体"/>
          <w:b/>
          <w:color w:val="auto"/>
          <w:kern w:val="0"/>
          <w:sz w:val="22"/>
          <w:szCs w:val="22"/>
          <w:highlight w:val="none"/>
        </w:rPr>
      </w:pPr>
      <w:r>
        <w:rPr>
          <w:rFonts w:hint="eastAsia" w:ascii="宋体" w:hAnsi="宋体" w:eastAsia="宋体" w:cs="宋体"/>
          <w:b/>
          <w:bCs/>
          <w:color w:val="auto"/>
          <w:kern w:val="0"/>
          <w:sz w:val="22"/>
          <w:szCs w:val="22"/>
          <w:highlight w:val="none"/>
        </w:rPr>
        <w:t xml:space="preserve">第十八条 </w:t>
      </w:r>
      <w:r>
        <w:rPr>
          <w:rFonts w:hint="eastAsia" w:ascii="宋体" w:hAnsi="宋体" w:eastAsia="宋体" w:cs="宋体"/>
          <w:b/>
          <w:color w:val="auto"/>
          <w:kern w:val="0"/>
          <w:sz w:val="22"/>
          <w:szCs w:val="22"/>
          <w:highlight w:val="none"/>
        </w:rPr>
        <w:t>合同生效及其它</w:t>
      </w:r>
    </w:p>
    <w:p w14:paraId="36B63B7C">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1．合同应在甲、乙方双方法定代表人或授权代表签字、加盖印章，并在乙方向甲方交纳履约保证金后生效。</w:t>
      </w:r>
    </w:p>
    <w:p w14:paraId="478774BF">
      <w:pPr>
        <w:spacing w:line="24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2．如需修改合同内容，应经双方协商，共同签署书面修改合同。该合同将作为本合同不可分割的一部分。</w:t>
      </w:r>
    </w:p>
    <w:p w14:paraId="6166DAD6">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3．本合同项下的甲方与乙方签订的合同的权利义务，对甲方具有相同权利义务，对乙方具有约束力。</w:t>
      </w:r>
    </w:p>
    <w:p w14:paraId="33BA13E8">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4．本合同条款未尽事宜，遵照《中华人民共和国</w:t>
      </w:r>
      <w:r>
        <w:rPr>
          <w:rFonts w:hint="eastAsia" w:ascii="宋体" w:hAnsi="宋体" w:eastAsia="宋体" w:cs="宋体"/>
          <w:color w:val="auto"/>
          <w:kern w:val="0"/>
          <w:sz w:val="22"/>
          <w:szCs w:val="22"/>
          <w:highlight w:val="none"/>
          <w:lang w:eastAsia="zh-CN"/>
        </w:rPr>
        <w:t>民法典</w:t>
      </w:r>
      <w:r>
        <w:rPr>
          <w:rFonts w:hint="eastAsia" w:ascii="宋体" w:hAnsi="宋体" w:eastAsia="宋体" w:cs="宋体"/>
          <w:color w:val="auto"/>
          <w:kern w:val="0"/>
          <w:sz w:val="22"/>
          <w:szCs w:val="22"/>
          <w:highlight w:val="none"/>
        </w:rPr>
        <w:t>》有关条文执行。</w:t>
      </w:r>
    </w:p>
    <w:p w14:paraId="5D46E977">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5．本合同应按照中华人民共和国的现行法律进行解释。</w:t>
      </w:r>
    </w:p>
    <w:p w14:paraId="4842D3B6">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6．本合同一式伍份，以中文书写，甲方、乙方各执贰份,代理机构备案壹份，具有同等效力。</w:t>
      </w:r>
    </w:p>
    <w:p w14:paraId="27A993F8">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7.每批次团队的满意度调查将作为甲方考核乙方的重要依据，如果乙方全年考核满意度低于70%的，甲方将无条件解除合同。</w:t>
      </w:r>
    </w:p>
    <w:p w14:paraId="560B3A8F">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8.本合同的组成</w:t>
      </w:r>
    </w:p>
    <w:p w14:paraId="03298D99">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（1）本合同的补充协议（如有）；</w:t>
      </w:r>
    </w:p>
    <w:p w14:paraId="1C0459B0">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（2）本合同文本及附件；</w:t>
      </w:r>
    </w:p>
    <w:p w14:paraId="3FD7D6F7">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（3）中标通知书；</w:t>
      </w:r>
    </w:p>
    <w:p w14:paraId="4D3477AA">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（4）投标文件及澄清文件；</w:t>
      </w:r>
    </w:p>
    <w:p w14:paraId="4DB534DA">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文件及澄清文件。</w:t>
      </w:r>
    </w:p>
    <w:p w14:paraId="2F0F4509">
      <w:pPr>
        <w:spacing w:line="24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上述文件资料内容如有不一致的，以上列排列顺序做出解释。</w:t>
      </w:r>
    </w:p>
    <w:p w14:paraId="1C6209A9">
      <w:pPr>
        <w:spacing w:line="240" w:lineRule="auto"/>
        <w:ind w:firstLine="440" w:firstLineChars="200"/>
        <w:rPr>
          <w:rFonts w:hint="eastAsia" w:ascii="宋体" w:hAnsi="宋体" w:eastAsia="宋体" w:cs="宋体"/>
          <w:color w:val="auto"/>
          <w:kern w:val="0"/>
          <w:sz w:val="22"/>
          <w:szCs w:val="22"/>
          <w:highlight w:val="none"/>
        </w:rPr>
      </w:pPr>
    </w:p>
    <w:tbl>
      <w:tblPr>
        <w:tblStyle w:val="26"/>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8"/>
        <w:gridCol w:w="4598"/>
      </w:tblGrid>
      <w:tr w14:paraId="3B66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8" w:type="dxa"/>
          </w:tcPr>
          <w:p w14:paraId="38F4BE10">
            <w:pPr>
              <w:spacing w:line="480" w:lineRule="auto"/>
              <w:rPr>
                <w:rFonts w:hint="eastAsia" w:ascii="宋体" w:hAnsi="宋体" w:eastAsia="宋体" w:cs="宋体"/>
                <w:sz w:val="22"/>
                <w:szCs w:val="22"/>
                <w:lang w:eastAsia="zh-CN"/>
              </w:rPr>
            </w:pPr>
            <w:r>
              <w:rPr>
                <w:rFonts w:hint="eastAsia" w:ascii="宋体" w:hAnsi="宋体" w:eastAsia="宋体" w:cs="宋体"/>
                <w:sz w:val="22"/>
                <w:szCs w:val="22"/>
              </w:rPr>
              <w:t>甲方（盖章）</w:t>
            </w:r>
            <w:r>
              <w:rPr>
                <w:rFonts w:hint="eastAsia" w:ascii="宋体" w:hAnsi="宋体" w:eastAsia="宋体" w:cs="宋体"/>
                <w:sz w:val="22"/>
                <w:szCs w:val="22"/>
                <w:lang w:eastAsia="zh-CN"/>
              </w:rPr>
              <w:t>：</w:t>
            </w:r>
          </w:p>
          <w:p w14:paraId="300E6536">
            <w:pPr>
              <w:spacing w:line="480" w:lineRule="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全</w:t>
            </w:r>
            <w:r>
              <w:rPr>
                <w:rFonts w:hint="eastAsia" w:ascii="宋体" w:hAnsi="宋体" w:eastAsia="宋体" w:cs="宋体"/>
                <w:sz w:val="22"/>
                <w:szCs w:val="22"/>
              </w:rPr>
              <w:t>权代表（</w:t>
            </w:r>
            <w:r>
              <w:rPr>
                <w:rFonts w:hint="eastAsia" w:ascii="宋体" w:hAnsi="宋体" w:eastAsia="宋体" w:cs="宋体"/>
                <w:sz w:val="22"/>
                <w:szCs w:val="22"/>
                <w:lang w:val="en-US" w:eastAsia="zh-CN"/>
              </w:rPr>
              <w:t>签字或盖章</w:t>
            </w:r>
            <w:r>
              <w:rPr>
                <w:rFonts w:hint="eastAsia" w:ascii="宋体" w:hAnsi="宋体" w:eastAsia="宋体" w:cs="宋体"/>
                <w:sz w:val="22"/>
                <w:szCs w:val="22"/>
              </w:rPr>
              <w:t>）</w:t>
            </w:r>
            <w:r>
              <w:rPr>
                <w:rFonts w:hint="eastAsia" w:ascii="宋体" w:hAnsi="宋体" w:eastAsia="宋体" w:cs="宋体"/>
                <w:sz w:val="22"/>
                <w:szCs w:val="22"/>
                <w:lang w:eastAsia="zh-CN"/>
              </w:rPr>
              <w:t>：</w:t>
            </w:r>
          </w:p>
          <w:p w14:paraId="68AF7F85">
            <w:pPr>
              <w:spacing w:line="480" w:lineRule="auto"/>
              <w:rPr>
                <w:rFonts w:hint="eastAsia" w:ascii="宋体" w:hAnsi="宋体" w:eastAsia="宋体" w:cs="宋体"/>
                <w:sz w:val="22"/>
                <w:szCs w:val="22"/>
              </w:rPr>
            </w:pPr>
            <w:r>
              <w:rPr>
                <w:rFonts w:hint="eastAsia" w:ascii="宋体" w:hAnsi="宋体" w:eastAsia="宋体" w:cs="宋体"/>
                <w:sz w:val="22"/>
                <w:szCs w:val="22"/>
              </w:rPr>
              <w:t>地址：</w:t>
            </w:r>
          </w:p>
          <w:p w14:paraId="7E74626F">
            <w:pPr>
              <w:spacing w:line="480" w:lineRule="auto"/>
              <w:rPr>
                <w:rFonts w:hint="eastAsia" w:ascii="宋体" w:hAnsi="宋体" w:eastAsia="宋体" w:cs="宋体"/>
                <w:sz w:val="22"/>
                <w:szCs w:val="22"/>
              </w:rPr>
            </w:pPr>
            <w:r>
              <w:rPr>
                <w:rFonts w:hint="eastAsia" w:ascii="宋体" w:hAnsi="宋体" w:eastAsia="宋体" w:cs="宋体"/>
                <w:sz w:val="22"/>
                <w:szCs w:val="22"/>
              </w:rPr>
              <w:t>电话：</w:t>
            </w:r>
          </w:p>
          <w:p w14:paraId="5D9A1BAD">
            <w:pPr>
              <w:spacing w:line="480" w:lineRule="auto"/>
              <w:rPr>
                <w:rFonts w:hint="eastAsia" w:ascii="宋体" w:hAnsi="宋体" w:eastAsia="宋体" w:cs="宋体"/>
                <w:sz w:val="22"/>
                <w:szCs w:val="22"/>
              </w:rPr>
            </w:pPr>
            <w:r>
              <w:rPr>
                <w:rFonts w:hint="eastAsia" w:ascii="宋体" w:hAnsi="宋体" w:eastAsia="宋体" w:cs="宋体"/>
                <w:sz w:val="22"/>
                <w:szCs w:val="22"/>
              </w:rPr>
              <w:t>传真：</w:t>
            </w:r>
          </w:p>
          <w:p w14:paraId="0D3FF1DB">
            <w:pPr>
              <w:spacing w:line="480" w:lineRule="auto"/>
              <w:rPr>
                <w:rFonts w:hint="eastAsia" w:ascii="宋体" w:hAnsi="宋体" w:eastAsia="宋体" w:cs="宋体"/>
                <w:sz w:val="22"/>
                <w:szCs w:val="22"/>
              </w:rPr>
            </w:pPr>
            <w:r>
              <w:rPr>
                <w:rFonts w:hint="eastAsia" w:ascii="宋体" w:hAnsi="宋体" w:eastAsia="宋体" w:cs="宋体"/>
                <w:sz w:val="22"/>
                <w:szCs w:val="22"/>
              </w:rPr>
              <w:t>开户银行：</w:t>
            </w:r>
          </w:p>
          <w:p w14:paraId="190AAEFA">
            <w:pPr>
              <w:spacing w:line="480" w:lineRule="auto"/>
              <w:rPr>
                <w:rFonts w:hint="eastAsia" w:ascii="宋体" w:hAnsi="宋体" w:eastAsia="宋体" w:cs="宋体"/>
                <w:sz w:val="22"/>
                <w:szCs w:val="22"/>
                <w:vertAlign w:val="baseline"/>
              </w:rPr>
            </w:pPr>
            <w:r>
              <w:rPr>
                <w:rFonts w:hint="eastAsia" w:ascii="宋体" w:hAnsi="宋体" w:eastAsia="宋体" w:cs="宋体"/>
                <w:sz w:val="22"/>
                <w:szCs w:val="22"/>
              </w:rPr>
              <w:t>帐号：</w:t>
            </w:r>
          </w:p>
        </w:tc>
        <w:tc>
          <w:tcPr>
            <w:tcW w:w="4598" w:type="dxa"/>
            <w:shd w:val="clear" w:color="auto" w:fill="auto"/>
            <w:vAlign w:val="top"/>
          </w:tcPr>
          <w:p w14:paraId="555CBE51">
            <w:pPr>
              <w:spacing w:line="480" w:lineRule="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乙</w:t>
            </w:r>
            <w:r>
              <w:rPr>
                <w:rFonts w:hint="eastAsia" w:ascii="宋体" w:hAnsi="宋体" w:eastAsia="宋体" w:cs="宋体"/>
                <w:sz w:val="22"/>
                <w:szCs w:val="22"/>
              </w:rPr>
              <w:t>方（盖章）</w:t>
            </w:r>
            <w:r>
              <w:rPr>
                <w:rFonts w:hint="eastAsia" w:ascii="宋体" w:hAnsi="宋体" w:eastAsia="宋体" w:cs="宋体"/>
                <w:sz w:val="22"/>
                <w:szCs w:val="22"/>
                <w:lang w:eastAsia="zh-CN"/>
              </w:rPr>
              <w:t>：</w:t>
            </w:r>
          </w:p>
          <w:p w14:paraId="2365B24C">
            <w:pPr>
              <w:spacing w:line="480" w:lineRule="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全</w:t>
            </w:r>
            <w:r>
              <w:rPr>
                <w:rFonts w:hint="eastAsia" w:ascii="宋体" w:hAnsi="宋体" w:eastAsia="宋体" w:cs="宋体"/>
                <w:sz w:val="22"/>
                <w:szCs w:val="22"/>
              </w:rPr>
              <w:t>权代表（</w:t>
            </w:r>
            <w:r>
              <w:rPr>
                <w:rFonts w:hint="eastAsia" w:ascii="宋体" w:hAnsi="宋体" w:eastAsia="宋体" w:cs="宋体"/>
                <w:sz w:val="22"/>
                <w:szCs w:val="22"/>
                <w:lang w:val="en-US" w:eastAsia="zh-CN"/>
              </w:rPr>
              <w:t>签字或盖章</w:t>
            </w:r>
            <w:r>
              <w:rPr>
                <w:rFonts w:hint="eastAsia" w:ascii="宋体" w:hAnsi="宋体" w:eastAsia="宋体" w:cs="宋体"/>
                <w:sz w:val="22"/>
                <w:szCs w:val="22"/>
              </w:rPr>
              <w:t>）</w:t>
            </w:r>
            <w:r>
              <w:rPr>
                <w:rFonts w:hint="eastAsia" w:ascii="宋体" w:hAnsi="宋体" w:eastAsia="宋体" w:cs="宋体"/>
                <w:sz w:val="22"/>
                <w:szCs w:val="22"/>
                <w:lang w:eastAsia="zh-CN"/>
              </w:rPr>
              <w:t>：</w:t>
            </w:r>
          </w:p>
          <w:p w14:paraId="1C1D95A4">
            <w:pPr>
              <w:spacing w:line="480" w:lineRule="auto"/>
              <w:rPr>
                <w:rFonts w:hint="eastAsia" w:ascii="宋体" w:hAnsi="宋体" w:eastAsia="宋体" w:cs="宋体"/>
                <w:sz w:val="22"/>
                <w:szCs w:val="22"/>
              </w:rPr>
            </w:pPr>
            <w:r>
              <w:rPr>
                <w:rFonts w:hint="eastAsia" w:ascii="宋体" w:hAnsi="宋体" w:eastAsia="宋体" w:cs="宋体"/>
                <w:sz w:val="22"/>
                <w:szCs w:val="22"/>
              </w:rPr>
              <w:t>地址：</w:t>
            </w:r>
          </w:p>
          <w:p w14:paraId="6ED2B958">
            <w:pPr>
              <w:spacing w:line="480" w:lineRule="auto"/>
              <w:rPr>
                <w:rFonts w:hint="eastAsia" w:ascii="宋体" w:hAnsi="宋体" w:eastAsia="宋体" w:cs="宋体"/>
                <w:sz w:val="22"/>
                <w:szCs w:val="22"/>
              </w:rPr>
            </w:pPr>
            <w:r>
              <w:rPr>
                <w:rFonts w:hint="eastAsia" w:ascii="宋体" w:hAnsi="宋体" w:eastAsia="宋体" w:cs="宋体"/>
                <w:sz w:val="22"/>
                <w:szCs w:val="22"/>
              </w:rPr>
              <w:t>电话：</w:t>
            </w:r>
          </w:p>
          <w:p w14:paraId="5433677C">
            <w:pPr>
              <w:spacing w:line="480" w:lineRule="auto"/>
              <w:rPr>
                <w:rFonts w:hint="eastAsia" w:ascii="宋体" w:hAnsi="宋体" w:eastAsia="宋体" w:cs="宋体"/>
                <w:sz w:val="22"/>
                <w:szCs w:val="22"/>
              </w:rPr>
            </w:pPr>
            <w:r>
              <w:rPr>
                <w:rFonts w:hint="eastAsia" w:ascii="宋体" w:hAnsi="宋体" w:eastAsia="宋体" w:cs="宋体"/>
                <w:sz w:val="22"/>
                <w:szCs w:val="22"/>
              </w:rPr>
              <w:t>传真：</w:t>
            </w:r>
          </w:p>
          <w:p w14:paraId="6FB78CE7">
            <w:pPr>
              <w:spacing w:line="480" w:lineRule="auto"/>
              <w:rPr>
                <w:rFonts w:hint="eastAsia" w:ascii="宋体" w:hAnsi="宋体" w:eastAsia="宋体" w:cs="宋体"/>
                <w:sz w:val="22"/>
                <w:szCs w:val="22"/>
              </w:rPr>
            </w:pPr>
            <w:r>
              <w:rPr>
                <w:rFonts w:hint="eastAsia" w:ascii="宋体" w:hAnsi="宋体" w:eastAsia="宋体" w:cs="宋体"/>
                <w:sz w:val="22"/>
                <w:szCs w:val="22"/>
              </w:rPr>
              <w:t>开户银行：</w:t>
            </w:r>
          </w:p>
          <w:p w14:paraId="3E416755">
            <w:pPr>
              <w:spacing w:line="480" w:lineRule="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rPr>
              <w:t>帐号：</w:t>
            </w:r>
          </w:p>
        </w:tc>
      </w:tr>
    </w:tbl>
    <w:p w14:paraId="2057DB40">
      <w:pPr>
        <w:spacing w:line="240" w:lineRule="auto"/>
        <w:rPr>
          <w:rFonts w:hint="eastAsia" w:ascii="宋体" w:hAnsi="宋体" w:eastAsia="宋体" w:cs="宋体"/>
          <w:color w:val="auto"/>
          <w:kern w:val="0"/>
          <w:sz w:val="22"/>
          <w:szCs w:val="22"/>
          <w:highlight w:val="none"/>
        </w:rPr>
      </w:pPr>
    </w:p>
    <w:p w14:paraId="12C3F713">
      <w:pPr>
        <w:spacing w:line="240" w:lineRule="auto"/>
        <w:rPr>
          <w:rFonts w:hint="eastAsia" w:ascii="宋体" w:hAnsi="宋体" w:eastAsia="宋体" w:cs="宋体"/>
          <w:color w:val="auto"/>
          <w:kern w:val="0"/>
          <w:sz w:val="22"/>
          <w:szCs w:val="22"/>
          <w:highlight w:val="none"/>
        </w:rPr>
      </w:pPr>
    </w:p>
    <w:p w14:paraId="5FE45DF0">
      <w:pPr>
        <w:spacing w:line="24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签订日期：    年    月    日</w:t>
      </w:r>
    </w:p>
    <w:p w14:paraId="4EAA3F40">
      <w:pPr>
        <w:spacing w:line="240" w:lineRule="auto"/>
        <w:rPr>
          <w:rFonts w:hint="eastAsia" w:ascii="宋体" w:hAnsi="宋体" w:eastAsia="宋体" w:cs="宋体"/>
          <w:color w:val="auto"/>
          <w:kern w:val="0"/>
          <w:sz w:val="22"/>
          <w:szCs w:val="22"/>
          <w:highlight w:val="none"/>
        </w:rPr>
      </w:pPr>
    </w:p>
    <w:p w14:paraId="22178430">
      <w:pPr>
        <w:spacing w:line="240" w:lineRule="auto"/>
        <w:rPr>
          <w:rFonts w:hint="eastAsia" w:ascii="宋体" w:hAnsi="宋体" w:eastAsia="宋体" w:cs="宋体"/>
          <w:color w:val="auto"/>
          <w:sz w:val="28"/>
          <w:szCs w:val="28"/>
          <w:highlight w:val="none"/>
        </w:rPr>
      </w:pPr>
      <w:bookmarkStart w:id="192" w:name="_Toc2104016"/>
      <w:bookmarkStart w:id="193" w:name="_Toc10568490"/>
      <w:r>
        <w:rPr>
          <w:rFonts w:hint="eastAsia" w:ascii="宋体" w:hAnsi="宋体" w:eastAsia="宋体" w:cs="宋体"/>
          <w:color w:val="auto"/>
          <w:sz w:val="28"/>
          <w:szCs w:val="28"/>
          <w:highlight w:val="none"/>
        </w:rPr>
        <w:br w:type="page"/>
      </w:r>
    </w:p>
    <w:p w14:paraId="53A6C7D6">
      <w:pPr>
        <w:pStyle w:val="5"/>
        <w:spacing w:line="240" w:lineRule="auto"/>
        <w:jc w:val="center"/>
        <w:rPr>
          <w:rFonts w:hint="eastAsia" w:ascii="宋体" w:hAnsi="宋体" w:eastAsia="宋体" w:cs="宋体"/>
          <w:b/>
          <w:bCs/>
          <w:color w:val="auto"/>
          <w:sz w:val="28"/>
          <w:szCs w:val="28"/>
          <w:highlight w:val="none"/>
        </w:rPr>
      </w:pPr>
      <w:bookmarkStart w:id="194" w:name="_Toc27537"/>
      <w:bookmarkStart w:id="195" w:name="_Toc9723"/>
      <w:r>
        <w:rPr>
          <w:rFonts w:hint="eastAsia" w:ascii="宋体" w:hAnsi="宋体" w:eastAsia="宋体" w:cs="宋体"/>
          <w:color w:val="auto"/>
          <w:sz w:val="28"/>
          <w:szCs w:val="28"/>
          <w:highlight w:val="none"/>
        </w:rPr>
        <w:t>二、每批次疗休养合同</w:t>
      </w:r>
      <w:bookmarkEnd w:id="192"/>
      <w:bookmarkEnd w:id="193"/>
      <w:bookmarkEnd w:id="194"/>
      <w:bookmarkEnd w:id="195"/>
    </w:p>
    <w:p w14:paraId="2B6BDECC">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eastAsia="宋体" w:cs="宋体"/>
          <w:color w:val="auto"/>
          <w:sz w:val="22"/>
          <w:szCs w:val="22"/>
          <w:highlight w:val="none"/>
          <w:u w:val="single"/>
        </w:rPr>
        <w:t xml:space="preserve">                               </w:t>
      </w:r>
    </w:p>
    <w:p w14:paraId="5D4011E2">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邮码：</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u w:val="single"/>
        </w:rPr>
        <w:t xml:space="preserve">           </w:t>
      </w:r>
    </w:p>
    <w:p w14:paraId="0E7E77C3">
      <w:pPr>
        <w:spacing w:line="24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职务：</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p>
    <w:p w14:paraId="13DBEF2C">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乙方：旅行社（或公司）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p>
    <w:p w14:paraId="26E40508">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邮码：</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p>
    <w:p w14:paraId="2F24838C">
      <w:pPr>
        <w:spacing w:line="240" w:lineRule="auto"/>
        <w:ind w:firstLine="440" w:firstLineChars="200"/>
        <w:rPr>
          <w:rFonts w:hint="eastAsia" w:ascii="宋体" w:hAnsi="宋体" w:eastAsia="宋体" w:cs="宋体"/>
          <w:color w:val="auto"/>
          <w:sz w:val="22"/>
          <w:szCs w:val="22"/>
          <w:highlight w:val="none"/>
        </w:rPr>
      </w:pPr>
    </w:p>
    <w:p w14:paraId="13DBA22B">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根据国家《中华人民共和国</w:t>
      </w:r>
      <w:r>
        <w:rPr>
          <w:rFonts w:hint="eastAsia" w:ascii="宋体" w:hAnsi="宋体" w:eastAsia="宋体" w:cs="宋体"/>
          <w:color w:val="auto"/>
          <w:sz w:val="22"/>
          <w:szCs w:val="22"/>
          <w:highlight w:val="none"/>
          <w:lang w:eastAsia="zh-CN"/>
        </w:rPr>
        <w:t>民法典</w:t>
      </w:r>
      <w:r>
        <w:rPr>
          <w:rFonts w:hint="eastAsia" w:ascii="宋体" w:hAnsi="宋体" w:eastAsia="宋体" w:cs="宋体"/>
          <w:color w:val="auto"/>
          <w:sz w:val="22"/>
          <w:szCs w:val="22"/>
          <w:highlight w:val="none"/>
        </w:rPr>
        <w:t>》、《中华人民共和国旅游法》、《旅行社条例》等有关法律、法规的规定，甲乙双方经协商一致，签订本合同，共同信守执行。</w:t>
      </w:r>
    </w:p>
    <w:p w14:paraId="4CD98061">
      <w:pPr>
        <w:spacing w:line="240" w:lineRule="auto"/>
        <w:rPr>
          <w:rFonts w:hint="eastAsia" w:ascii="宋体" w:hAnsi="宋体" w:eastAsia="宋体" w:cs="宋体"/>
          <w:b/>
          <w:color w:val="auto"/>
          <w:sz w:val="22"/>
          <w:szCs w:val="22"/>
          <w:highlight w:val="none"/>
        </w:rPr>
      </w:pPr>
    </w:p>
    <w:p w14:paraId="294B866D">
      <w:pPr>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第一条 疗休养的时间安排：</w:t>
      </w:r>
    </w:p>
    <w:p w14:paraId="45741C2D">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由乙方在</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日至</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日为甲方提供疗休养服务。</w:t>
      </w:r>
    </w:p>
    <w:p w14:paraId="453BD86E">
      <w:pPr>
        <w:spacing w:line="240" w:lineRule="auto"/>
        <w:rPr>
          <w:rFonts w:hint="eastAsia" w:ascii="宋体" w:hAnsi="宋体" w:eastAsia="宋体" w:cs="宋体"/>
          <w:b/>
          <w:color w:val="auto"/>
          <w:sz w:val="22"/>
          <w:szCs w:val="22"/>
          <w:highlight w:val="none"/>
        </w:rPr>
      </w:pPr>
    </w:p>
    <w:p w14:paraId="7F6DCCB7">
      <w:pPr>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第二条 疗休养的地点及每个疗休养景点的时间安排：</w:t>
      </w:r>
    </w:p>
    <w:p w14:paraId="43D0AA83">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2.1乙方为甲方提供的疗休养景点为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个。分别是</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103DD031">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2.2每天的时间安排为上午</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时至</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时，下午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时至</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时。</w:t>
      </w:r>
    </w:p>
    <w:p w14:paraId="2B141987">
      <w:pPr>
        <w:spacing w:line="240" w:lineRule="auto"/>
        <w:rPr>
          <w:rFonts w:hint="eastAsia" w:ascii="宋体" w:hAnsi="宋体" w:eastAsia="宋体" w:cs="宋体"/>
          <w:b/>
          <w:color w:val="auto"/>
          <w:sz w:val="22"/>
          <w:szCs w:val="22"/>
          <w:highlight w:val="none"/>
        </w:rPr>
      </w:pPr>
    </w:p>
    <w:p w14:paraId="343F1783">
      <w:pPr>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第三条 疗休养的生活安排：</w:t>
      </w:r>
    </w:p>
    <w:p w14:paraId="1D1862A0">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3.1乙方为甲方提供食宿，每天伙食在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元至</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元标准内。</w:t>
      </w:r>
    </w:p>
    <w:p w14:paraId="3CE394AB">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3.2乙方为甲方提供住宿，住宿酒店的名称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，地点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，星级</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等。</w:t>
      </w:r>
    </w:p>
    <w:p w14:paraId="1CE44B3A">
      <w:pPr>
        <w:spacing w:line="240" w:lineRule="auto"/>
        <w:rPr>
          <w:rFonts w:hint="eastAsia" w:ascii="宋体" w:hAnsi="宋体" w:eastAsia="宋体" w:cs="宋体"/>
          <w:b/>
          <w:color w:val="auto"/>
          <w:sz w:val="22"/>
          <w:szCs w:val="22"/>
          <w:highlight w:val="none"/>
        </w:rPr>
      </w:pPr>
    </w:p>
    <w:p w14:paraId="0EC8DAF6">
      <w:pPr>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第四条 导游服务：</w:t>
      </w:r>
    </w:p>
    <w:p w14:paraId="27499745">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乙方为甲方提供导游服务，服务内容：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w:t>
      </w:r>
    </w:p>
    <w:p w14:paraId="56F18EEA">
      <w:pPr>
        <w:spacing w:line="240" w:lineRule="auto"/>
        <w:rPr>
          <w:rFonts w:hint="eastAsia" w:ascii="宋体" w:hAnsi="宋体" w:eastAsia="宋体" w:cs="宋体"/>
          <w:b/>
          <w:color w:val="auto"/>
          <w:sz w:val="22"/>
          <w:szCs w:val="22"/>
          <w:highlight w:val="none"/>
        </w:rPr>
      </w:pPr>
    </w:p>
    <w:p w14:paraId="5A0E3F4A">
      <w:pPr>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第五条 疗休养的交通工具：</w:t>
      </w:r>
    </w:p>
    <w:p w14:paraId="5923C5A5">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乙方为甲方提供交通工具。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等交通工具都由乙方联系、提供，并保证甲方的疗休养安全。</w:t>
      </w:r>
    </w:p>
    <w:p w14:paraId="45F715C0">
      <w:pPr>
        <w:spacing w:line="240" w:lineRule="auto"/>
        <w:rPr>
          <w:rFonts w:hint="eastAsia" w:ascii="宋体" w:hAnsi="宋体" w:eastAsia="宋体" w:cs="宋体"/>
          <w:b/>
          <w:color w:val="auto"/>
          <w:sz w:val="22"/>
          <w:szCs w:val="22"/>
          <w:highlight w:val="none"/>
        </w:rPr>
      </w:pPr>
    </w:p>
    <w:p w14:paraId="71562362">
      <w:pPr>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第六条 疗休养的费用及付款方式：</w:t>
      </w:r>
    </w:p>
    <w:p w14:paraId="7C11235D">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6.1本次疗休养的个人综合单价：疗休养线路每人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元。</w:t>
      </w:r>
    </w:p>
    <w:p w14:paraId="31B9C604">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6.2每批次结算1次（该批次疗休养完毕后15日内），乙方开具正式发票，甲方在</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日付清（疗休养线路共有</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人，本次疗休养总费用</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元人民币）。</w:t>
      </w:r>
    </w:p>
    <w:p w14:paraId="6F39CBC0">
      <w:pPr>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疗休养费用包括：</w:t>
      </w:r>
    </w:p>
    <w:p w14:paraId="52B7EAC5">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（1）交通费（交通费“含外省动车票”）； </w:t>
      </w:r>
    </w:p>
    <w:p w14:paraId="14842F24">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（2）住宿费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非职工个人原因所造成的单男单女的房价差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66255D50">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（3）餐饮费； </w:t>
      </w:r>
    </w:p>
    <w:p w14:paraId="6478D937">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（4）旅行社统一安排的景区景点的门票费； </w:t>
      </w:r>
    </w:p>
    <w:p w14:paraId="100048A5">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（5）行程中安排的其他项目费用； </w:t>
      </w:r>
    </w:p>
    <w:p w14:paraId="7498E51D">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（6）导游服务费和旅行社（含疗休养目的地地接旅行社）的其他服务费用；</w:t>
      </w:r>
    </w:p>
    <w:p w14:paraId="4F2EFB38">
      <w:p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（7）疗休养全程保险费</w:t>
      </w:r>
      <w:r>
        <w:rPr>
          <w:rFonts w:hint="eastAsia" w:ascii="宋体" w:hAnsi="宋体" w:eastAsia="宋体" w:cs="宋体"/>
          <w:color w:val="auto"/>
          <w:sz w:val="22"/>
          <w:szCs w:val="22"/>
          <w:highlight w:val="none"/>
          <w:lang w:eastAsia="zh-CN"/>
        </w:rPr>
        <w:t>；</w:t>
      </w:r>
    </w:p>
    <w:p w14:paraId="0F7B25F7">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rPr>
        <w:t>其他（包括但不限于利润、税费、以及其它相关费用）</w:t>
      </w:r>
      <w:r>
        <w:rPr>
          <w:rFonts w:hint="eastAsia" w:ascii="宋体" w:hAnsi="宋体" w:eastAsia="宋体" w:cs="宋体"/>
          <w:color w:val="auto"/>
          <w:sz w:val="22"/>
          <w:szCs w:val="22"/>
          <w:highlight w:val="none"/>
        </w:rPr>
        <w:t>。</w:t>
      </w:r>
    </w:p>
    <w:p w14:paraId="55BF337E">
      <w:pPr>
        <w:spacing w:line="24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疗休养费用不包含：</w:t>
      </w:r>
    </w:p>
    <w:p w14:paraId="3CCACA07">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（1）合同约定需要甲方另行付费项目的费用；</w:t>
      </w:r>
    </w:p>
    <w:p w14:paraId="32E8D0FE">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（2）合同未约定由旅行社支付的费用，包括但不限于行程以外非合同约定活动项目所需的费用、自行安排活动期间发生的费用；</w:t>
      </w:r>
    </w:p>
    <w:p w14:paraId="6A8CE9B0">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kern w:val="0"/>
          <w:sz w:val="22"/>
          <w:szCs w:val="22"/>
          <w:highlight w:val="none"/>
        </w:rPr>
        <w:t>本</w:t>
      </w:r>
      <w:r>
        <w:rPr>
          <w:rFonts w:hint="eastAsia" w:ascii="宋体" w:hAnsi="宋体" w:eastAsia="宋体" w:cs="宋体"/>
          <w:color w:val="auto"/>
          <w:kern w:val="0"/>
          <w:sz w:val="22"/>
          <w:szCs w:val="22"/>
          <w:highlight w:val="none"/>
          <w:lang w:eastAsia="zh-CN"/>
        </w:rPr>
        <w:t>次疗休养</w:t>
      </w:r>
      <w:r>
        <w:rPr>
          <w:rFonts w:hint="eastAsia" w:ascii="宋体" w:hAnsi="宋体" w:eastAsia="宋体" w:cs="宋体"/>
          <w:color w:val="auto"/>
          <w:kern w:val="0"/>
          <w:sz w:val="22"/>
          <w:szCs w:val="22"/>
          <w:highlight w:val="none"/>
        </w:rPr>
        <w:t>综合单价（含税）3000元/人，超出3000元部分费用</w:t>
      </w:r>
      <w:r>
        <w:rPr>
          <w:rFonts w:hint="eastAsia" w:ascii="宋体" w:hAnsi="宋体" w:eastAsia="宋体" w:cs="宋体"/>
          <w:color w:val="auto"/>
          <w:kern w:val="0"/>
          <w:sz w:val="22"/>
          <w:szCs w:val="22"/>
          <w:highlight w:val="none"/>
          <w:lang w:eastAsia="zh-CN"/>
        </w:rPr>
        <w:t>如飞机票等</w:t>
      </w:r>
      <w:r>
        <w:rPr>
          <w:rFonts w:hint="eastAsia" w:ascii="宋体" w:hAnsi="宋体" w:eastAsia="宋体" w:cs="宋体"/>
          <w:color w:val="auto"/>
          <w:kern w:val="0"/>
          <w:sz w:val="22"/>
          <w:szCs w:val="22"/>
          <w:highlight w:val="none"/>
        </w:rPr>
        <w:t>由参加疗休养人员承担，乙方自行向参加疗休养人员收取</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sz w:val="22"/>
          <w:szCs w:val="22"/>
          <w:highlight w:val="none"/>
        </w:rPr>
        <w:t>行程中发生的甲方个人费用，包括但不限于交通工具上的非免费餐饮费、行李超重费，住宿期间的洗衣、电话、饮料及酒类费，个人娱乐费用，个人伤病医疗费，寻找个人遗失物品的费用及报酬，个人原因造成的赔偿费用。</w:t>
      </w:r>
    </w:p>
    <w:p w14:paraId="64DDD27E">
      <w:pPr>
        <w:spacing w:line="240" w:lineRule="auto"/>
        <w:rPr>
          <w:rFonts w:hint="eastAsia" w:ascii="宋体" w:hAnsi="宋体" w:eastAsia="宋体" w:cs="宋体"/>
          <w:b/>
          <w:color w:val="auto"/>
          <w:sz w:val="22"/>
          <w:szCs w:val="22"/>
          <w:highlight w:val="none"/>
        </w:rPr>
      </w:pPr>
    </w:p>
    <w:p w14:paraId="11229D72">
      <w:pPr>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第七条 双方的权利义务</w:t>
      </w:r>
    </w:p>
    <w:p w14:paraId="38D59522">
      <w:pPr>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一、乙方的权利</w:t>
      </w:r>
    </w:p>
    <w:p w14:paraId="5DB193EF">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1、根据甲方人员的身体健康状况及相关条件决定是否接纳甲方报名参团； </w:t>
      </w:r>
    </w:p>
    <w:p w14:paraId="2E75DEB8">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2、核实甲方提供的相关信息资料；  </w:t>
      </w:r>
    </w:p>
    <w:p w14:paraId="2E24EAD5">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3、按照合同约定向甲方收取全额疗休养费用；  </w:t>
      </w:r>
    </w:p>
    <w:p w14:paraId="21D84DEC">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4、旅游团队遇紧急情况时，可以采取安全防范措施和紧急避险措施并要求甲方配合； </w:t>
      </w:r>
    </w:p>
    <w:p w14:paraId="5E6064BD">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5、拒绝甲方提出的超出合同约定的不合理要求；</w:t>
      </w:r>
    </w:p>
    <w:p w14:paraId="0706573E">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6、要求甲方健康、文明旅游，劝阻甲方违法和违反社会公德的行为。</w:t>
      </w:r>
    </w:p>
    <w:p w14:paraId="60D8EF43">
      <w:pPr>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二、乙方的义务</w:t>
      </w:r>
    </w:p>
    <w:p w14:paraId="73DA4FEB">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1、按照合同约定的内容和标准为甲方提供服务，未经甲方同意不得擅自变更疗休养行程、酒店、餐饮安排；在疗休养过程中维护甲方人员的人身财产权益，承担相应的安全保障责任；</w:t>
      </w:r>
    </w:p>
    <w:p w14:paraId="074026E1">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2、向合格的供应商订购产品和服务；</w:t>
      </w:r>
    </w:p>
    <w:p w14:paraId="787437D0">
      <w:p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3、不以不合理的低价组织疗休养活动，诱骗甲方，并通过安排购物或者另行付费旅游项目获取回扣等不正当利益；</w:t>
      </w:r>
    </w:p>
    <w:p w14:paraId="6169FD0E">
      <w:p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4、组织、接待甲方，不指定具体购物场所，不安排另行付费旅游项目，但是，经双方协商一致或者甲方要求，且不影响其他甲方行程安排的除外；</w:t>
      </w:r>
    </w:p>
    <w:p w14:paraId="1D097150">
      <w:p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在出团前如实告知具体行程安排和有关具体事项，具体事项包括但不限于所到疗休养目的地的重地规定、风俗习惯；疗休养活动中的安全注意事项和安全避险措施、甲方不适合参加疗休养活动的情形；旅行社依法可以减免责任的信息；应急联络方式以及法律、法规规定的其他应当告知的事项；</w:t>
      </w:r>
    </w:p>
    <w:p w14:paraId="4E5A61D4">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6、按照合同约定，为旅游团队安排符合《中华人民共和国旅游法》、《导游人员管理条例》规定的持证导游人员；每辆车至少安排一名导游。</w:t>
      </w:r>
    </w:p>
    <w:p w14:paraId="5EBEA905">
      <w:p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7、妥善保管甲方交其代管的证件、行李等物品；</w:t>
      </w:r>
    </w:p>
    <w:p w14:paraId="4844DA8F">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8、为甲方发放用固定格式书写、由甲方填写的安全信息卡（包括甲方的姓名、血型、应急联络方式等）；</w:t>
      </w:r>
    </w:p>
    <w:p w14:paraId="7AC3B2D7">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9、甲方人身、财产权益受到损害时，应当采取合理必要的保护和救助措施，避免甲方人身、财产权益损失扩大；</w:t>
      </w:r>
    </w:p>
    <w:p w14:paraId="2DF0EC08">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10、积极协调处理疗休养行程中的纠纷，采取适当的措施防止损失扩大；</w:t>
      </w:r>
    </w:p>
    <w:p w14:paraId="31C65B62">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10、提示甲方投保人身意外伤害保险；</w:t>
      </w:r>
    </w:p>
    <w:p w14:paraId="7F8486B8">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11、向甲方提供发票；</w:t>
      </w:r>
    </w:p>
    <w:p w14:paraId="1B7D8224">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12、依法对甲方个人信息保密；</w:t>
      </w:r>
    </w:p>
    <w:p w14:paraId="155856DF">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13、疗休养行程中解除合同的，乙方应当协助甲方返回出发地或者甲方指定的合理地点，由于乙方的原因导致合同解除的，返程费用由乙方承担；</w:t>
      </w:r>
    </w:p>
    <w:p w14:paraId="41E5833E">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14、保证每次活动“食、宿、行、门票”的价格不得高于“携程”、“艺龙”、“途牛”、“去哪儿”、“美团”、“百度糯米”等知名旅行及团购网站相同旅游产品价格；</w:t>
      </w:r>
    </w:p>
    <w:p w14:paraId="28DB5958">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15、车辆和司机情况：空调旅游车应提供车况好（20</w:t>
      </w: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highlight w:val="none"/>
        </w:rPr>
        <w:t>年1月以后登记上牌）、内饰干净、下部有行李箱的车辆；驾驶员应具备准驾车型三年或以上驾龄，司机三年内无安全不良纪录</w:t>
      </w:r>
    </w:p>
    <w:p w14:paraId="4A154B8C">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16、景点及门票：包含线路安排的主要景区，至少包括一处5A级景点，其他沿途景点或周边景点以供应商编制并获得</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认可的方案为准，不得安排购物点。景点门票包括大门票和景点内必游的小门票，以及索道（如有）、电瓶车（如有）、游船（如有）等，自费的娱乐项目除外。</w:t>
      </w:r>
    </w:p>
    <w:p w14:paraId="46DF32F4">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17、住宿：挂牌</w:t>
      </w:r>
      <w:r>
        <w:rPr>
          <w:rFonts w:hint="eastAsia" w:ascii="宋体" w:hAnsi="宋体" w:eastAsia="宋体" w:cs="宋体"/>
          <w:color w:val="auto"/>
          <w:sz w:val="22"/>
          <w:szCs w:val="22"/>
          <w:highlight w:val="none"/>
          <w:lang w:eastAsia="zh-CN"/>
        </w:rPr>
        <w:t>五星、五钻</w:t>
      </w:r>
      <w:r>
        <w:rPr>
          <w:rFonts w:hint="eastAsia" w:ascii="宋体" w:hAnsi="宋体" w:eastAsia="宋体" w:cs="宋体"/>
          <w:color w:val="auto"/>
          <w:sz w:val="22"/>
          <w:szCs w:val="22"/>
          <w:highlight w:val="none"/>
        </w:rPr>
        <w:t>或相当于</w:t>
      </w:r>
      <w:r>
        <w:rPr>
          <w:rFonts w:hint="eastAsia" w:ascii="宋体" w:hAnsi="宋体" w:eastAsia="宋体" w:cs="宋体"/>
          <w:color w:val="auto"/>
          <w:sz w:val="22"/>
          <w:szCs w:val="22"/>
          <w:highlight w:val="none"/>
          <w:lang w:eastAsia="zh-CN"/>
        </w:rPr>
        <w:t>五星</w:t>
      </w:r>
      <w:r>
        <w:rPr>
          <w:rFonts w:hint="eastAsia" w:ascii="宋体" w:hAnsi="宋体" w:eastAsia="宋体" w:cs="宋体"/>
          <w:color w:val="auto"/>
          <w:sz w:val="22"/>
          <w:szCs w:val="22"/>
          <w:highlight w:val="none"/>
        </w:rPr>
        <w:t>标准的酒店（或度假村等同标准住宿，下同</w:t>
      </w:r>
      <w:r>
        <w:rPr>
          <w:rFonts w:hint="eastAsia" w:ascii="宋体" w:hAnsi="宋体" w:eastAsia="宋体" w:cs="宋体"/>
          <w:color w:val="auto"/>
          <w:sz w:val="22"/>
          <w:szCs w:val="22"/>
          <w:highlight w:val="none"/>
          <w:lang w:eastAsia="zh-CN"/>
        </w:rPr>
        <w:t>；文成、平阳为四星、四钻标准的酒店</w:t>
      </w:r>
      <w:r>
        <w:rPr>
          <w:rFonts w:hint="eastAsia" w:ascii="宋体" w:hAnsi="宋体" w:eastAsia="宋体" w:cs="宋体"/>
          <w:color w:val="auto"/>
          <w:sz w:val="22"/>
          <w:szCs w:val="22"/>
          <w:highlight w:val="none"/>
        </w:rPr>
        <w:t>），开业或新装修时间不超过五年。住宿为标准间。住宿要求不安排一楼，尽可能在同一楼层，含早餐。要求房间干净，各个设施齐全且能正常使用，24小时供应热水。同一线路原则上住在同一家酒店。</w:t>
      </w:r>
    </w:p>
    <w:p w14:paraId="209FDDF4">
      <w:pPr>
        <w:tabs>
          <w:tab w:val="left" w:pos="9135"/>
        </w:tabs>
        <w:spacing w:line="240" w:lineRule="auto"/>
        <w:ind w:left="0" w:leftChars="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18、餐标：在正规饭店或农家乐就餐，可采用10人一桌或自助餐的形式。入住酒店必须包含早餐，</w:t>
      </w:r>
      <w:r>
        <w:rPr>
          <w:rFonts w:hint="eastAsia" w:ascii="宋体" w:hAnsi="宋体" w:eastAsia="宋体" w:cs="宋体"/>
          <w:color w:val="auto"/>
          <w:sz w:val="22"/>
          <w:szCs w:val="22"/>
          <w:highlight w:val="none"/>
          <w:lang w:eastAsia="zh-CN"/>
        </w:rPr>
        <w:t>市域线路</w:t>
      </w:r>
      <w:r>
        <w:rPr>
          <w:rFonts w:hint="eastAsia" w:ascii="宋体" w:hAnsi="宋体" w:eastAsia="宋体" w:cs="宋体"/>
          <w:color w:val="auto"/>
          <w:sz w:val="22"/>
          <w:szCs w:val="22"/>
          <w:highlight w:val="none"/>
        </w:rPr>
        <w:t>每人正餐餐费标准不低于</w:t>
      </w:r>
      <w:r>
        <w:rPr>
          <w:rFonts w:hint="eastAsia" w:ascii="宋体" w:hAnsi="宋体" w:eastAsia="宋体" w:cs="宋体"/>
          <w:color w:val="auto"/>
          <w:sz w:val="22"/>
          <w:szCs w:val="22"/>
          <w:highlight w:val="none"/>
          <w:lang w:val="en-US" w:eastAsia="zh-CN"/>
        </w:rPr>
        <w:t>90</w:t>
      </w:r>
      <w:r>
        <w:rPr>
          <w:rFonts w:hint="eastAsia" w:ascii="宋体" w:hAnsi="宋体" w:eastAsia="宋体" w:cs="宋体"/>
          <w:color w:val="auto"/>
          <w:sz w:val="22"/>
          <w:szCs w:val="22"/>
          <w:highlight w:val="none"/>
        </w:rPr>
        <w:t>元/人，且每人餐费总额不低于</w:t>
      </w:r>
      <w:r>
        <w:rPr>
          <w:rFonts w:hint="eastAsia" w:ascii="宋体" w:hAnsi="宋体" w:eastAsia="宋体" w:cs="宋体"/>
          <w:color w:val="auto"/>
          <w:sz w:val="22"/>
          <w:szCs w:val="22"/>
          <w:highlight w:val="none"/>
          <w:lang w:val="en-US" w:eastAsia="zh-CN"/>
        </w:rPr>
        <w:t>810</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；省内、省外线路</w:t>
      </w:r>
      <w:r>
        <w:rPr>
          <w:rFonts w:hint="eastAsia" w:ascii="宋体" w:hAnsi="宋体" w:eastAsia="宋体" w:cs="宋体"/>
          <w:color w:val="auto"/>
          <w:sz w:val="22"/>
          <w:szCs w:val="22"/>
          <w:highlight w:val="none"/>
        </w:rPr>
        <w:t>正餐餐费标准</w:t>
      </w:r>
      <w:r>
        <w:rPr>
          <w:rFonts w:hint="eastAsia" w:ascii="宋体" w:hAnsi="宋体" w:eastAsia="宋体" w:cs="宋体"/>
          <w:color w:val="auto"/>
          <w:sz w:val="22"/>
          <w:szCs w:val="22"/>
          <w:highlight w:val="none"/>
          <w:lang w:eastAsia="zh-CN"/>
        </w:rPr>
        <w:t>不低于</w:t>
      </w:r>
      <w:r>
        <w:rPr>
          <w:rFonts w:hint="eastAsia" w:ascii="宋体" w:hAnsi="宋体" w:eastAsia="宋体" w:cs="宋体"/>
          <w:color w:val="auto"/>
          <w:sz w:val="22"/>
          <w:szCs w:val="22"/>
          <w:highlight w:val="none"/>
          <w:lang w:val="en-US" w:eastAsia="zh-CN"/>
        </w:rPr>
        <w:t>70元/人，</w:t>
      </w:r>
      <w:r>
        <w:rPr>
          <w:rFonts w:hint="eastAsia" w:ascii="宋体" w:hAnsi="宋体" w:eastAsia="宋体" w:cs="宋体"/>
          <w:color w:val="auto"/>
          <w:sz w:val="22"/>
          <w:szCs w:val="22"/>
          <w:highlight w:val="none"/>
        </w:rPr>
        <w:t>且每人餐费总额不低于</w:t>
      </w:r>
      <w:r>
        <w:rPr>
          <w:rFonts w:hint="eastAsia" w:ascii="宋体" w:hAnsi="宋体" w:eastAsia="宋体" w:cs="宋体"/>
          <w:color w:val="auto"/>
          <w:sz w:val="22"/>
          <w:szCs w:val="22"/>
          <w:highlight w:val="none"/>
          <w:lang w:val="en-US" w:eastAsia="zh-CN"/>
        </w:rPr>
        <w:t>630</w:t>
      </w:r>
      <w:r>
        <w:rPr>
          <w:rFonts w:hint="eastAsia" w:ascii="宋体" w:hAnsi="宋体" w:eastAsia="宋体" w:cs="宋体"/>
          <w:color w:val="auto"/>
          <w:sz w:val="22"/>
          <w:szCs w:val="22"/>
          <w:highlight w:val="none"/>
        </w:rPr>
        <w:t>元。</w:t>
      </w:r>
    </w:p>
    <w:p w14:paraId="40769682">
      <w:pPr>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三、甲方的权利</w:t>
      </w:r>
    </w:p>
    <w:p w14:paraId="22066AB6">
      <w:p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1、要求乙方按照合同约定履行相关义务；</w:t>
      </w:r>
    </w:p>
    <w:p w14:paraId="6C4213CB">
      <w:p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2、拒绝未经事先协商一致的转团、拼团行为；</w:t>
      </w:r>
    </w:p>
    <w:p w14:paraId="02E2E225">
      <w:p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有权自主选择旅游产品和服务，有权拒绝乙方未与甲方协商一致或者未经甲方要求而指定购物场所、安排甲方参加另行付费旅游项目的行为，有权拒绝乙方的导游强迫或者变相强迫甲方购物、参加另行付费旅游项目的行为；</w:t>
      </w:r>
    </w:p>
    <w:p w14:paraId="578EF1AB">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4、在支付旅游费用时要求旅行社出具发票；</w:t>
      </w:r>
    </w:p>
    <w:p w14:paraId="2151B704">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5、人格尊严、民族风俗习惯和宗教信仰得到尊重；</w:t>
      </w:r>
    </w:p>
    <w:p w14:paraId="2D0C0AAF">
      <w:p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6、在人身、财产安全遇有危险时，有权请求救助和保护；人身、财产受到损害的，有权依法获得赔偿；</w:t>
      </w:r>
    </w:p>
    <w:p w14:paraId="7A4CAFA8">
      <w:p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7、在合法权益受到损害时向有关部门投诉或者要求旅行社协助索赔；</w:t>
      </w:r>
    </w:p>
    <w:p w14:paraId="3AC0C788">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8、《中华人民共和国旅游法》、《中华人民共和国消费者权益保护法》和有关法律、法规赋予甲方的其他各项权利</w:t>
      </w:r>
    </w:p>
    <w:p w14:paraId="08C32E0D">
      <w:pPr>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四、甲方的义务</w:t>
      </w:r>
    </w:p>
    <w:p w14:paraId="7F63D9C2">
      <w:p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1、如实填写《疗休养报名表》、游客安全信息卡等各项内容，告知与疗休养活动相关的个人健康信息，并对其真实性负责，保证所提供的联系方式准确无误且能及时联系；</w:t>
      </w:r>
    </w:p>
    <w:p w14:paraId="12A64964">
      <w:p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2、按照合同约定支付疗休养费用；</w:t>
      </w:r>
    </w:p>
    <w:p w14:paraId="4B6AF725">
      <w:p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3、遵守法律、法规和有关规定，不在疗休养行程中从事违法活动，不参与色情、赌博和涉毒活动；</w:t>
      </w:r>
    </w:p>
    <w:p w14:paraId="6842F93E">
      <w:p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4、遵守公共秩序和社会公德，尊重疗休养目的地的风俗习惯、文化传统和宗教信仰，爱护旅游资源，保护生态环境，遵守《中国公民国内旅游文明行为公约》等文明行为规范；</w:t>
      </w:r>
    </w:p>
    <w:p w14:paraId="32096C0D">
      <w:p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5、对国家应对重大突发事件暂时限制旅游活动的措施以及有关部门、机构或者旅游经营者采取的安全防范和应急处置措施予以配合；</w:t>
      </w:r>
    </w:p>
    <w:p w14:paraId="1041B351">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6、妥善保管自己的行李物品，随身携带现金、有价证券、贵重物品，不在行李中夹带；</w:t>
      </w:r>
    </w:p>
    <w:p w14:paraId="73BABB16">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在疗休养活动中或者在解决纠纷时，应采取措施防止损失扩大，不损害当地居民的合法权益；不干扰他人的旅游活动；不损害旅游经营者和旅游从业人员的合法权益，不采取拒绝上、下机（车、船）、拖延行程或者脱团等不当行为；</w:t>
      </w:r>
    </w:p>
    <w:p w14:paraId="7AE1D739">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8、自行安排活动期间，应当在自己能够控制风险的范围内选择活动项目，遵守旅游活动中的安全警示规定，并对自己的安全负责。</w:t>
      </w:r>
    </w:p>
    <w:p w14:paraId="0861C6AC">
      <w:pPr>
        <w:spacing w:line="240" w:lineRule="auto"/>
        <w:rPr>
          <w:rFonts w:hint="eastAsia" w:ascii="宋体" w:hAnsi="宋体" w:eastAsia="宋体" w:cs="宋体"/>
          <w:b/>
          <w:color w:val="auto"/>
          <w:sz w:val="22"/>
          <w:szCs w:val="22"/>
          <w:highlight w:val="none"/>
        </w:rPr>
      </w:pPr>
    </w:p>
    <w:p w14:paraId="0495B31F">
      <w:pPr>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第八条 违约责任</w:t>
      </w:r>
    </w:p>
    <w:p w14:paraId="2D033283">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1、乙方未经甲方同意不得擅自减少或增加旅游景点和缩短旅游时间。如乙方违反约定，应向甲方赔偿</w:t>
      </w:r>
      <w:r>
        <w:rPr>
          <w:rFonts w:hint="eastAsia" w:ascii="宋体" w:hAnsi="宋体" w:eastAsia="宋体" w:cs="宋体"/>
          <w:color w:val="auto"/>
          <w:sz w:val="22"/>
          <w:szCs w:val="22"/>
          <w:highlight w:val="none"/>
          <w:u w:val="single"/>
        </w:rPr>
        <w:t xml:space="preserve"> 10 </w:t>
      </w:r>
      <w:r>
        <w:rPr>
          <w:rFonts w:hint="eastAsia" w:ascii="宋体" w:hAnsi="宋体" w:eastAsia="宋体" w:cs="宋体"/>
          <w:color w:val="auto"/>
          <w:sz w:val="22"/>
          <w:szCs w:val="22"/>
          <w:highlight w:val="none"/>
        </w:rPr>
        <w:t>％的违约金或者甲方可以要求乙方按约定继续提供旅游服务，乙方不提供的，甲方可以自行旅游，支出的合理费用，由乙方承担；乙方增加游览景点的，增加的费用由乙方承担。</w:t>
      </w:r>
    </w:p>
    <w:p w14:paraId="3D56CE0C">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具备履行条件，经甲方要求仍拒绝履行本合同义务的，乙方向甲方支付旅游费用总额30%的违约金，乙方采取订同等级别的住宿、用餐、交通等补救措施的，费用由乙方承担；造成甲方人身损害、滞留等严重后果的，甲方还可以要求乙方支付旅游费用一倍以上三倍以下的赔偿金。</w:t>
      </w:r>
    </w:p>
    <w:p w14:paraId="4CE41FD7">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3、乙方有以下情形之一的，甲方有权在旅游行程结束后</w:t>
      </w:r>
      <w:r>
        <w:rPr>
          <w:rFonts w:hint="eastAsia" w:ascii="宋体" w:hAnsi="宋体" w:eastAsia="宋体" w:cs="宋体"/>
          <w:color w:val="auto"/>
          <w:sz w:val="22"/>
          <w:szCs w:val="22"/>
          <w:highlight w:val="none"/>
          <w:u w:val="single"/>
        </w:rPr>
        <w:t xml:space="preserve"> 10 </w:t>
      </w:r>
      <w:r>
        <w:rPr>
          <w:rFonts w:hint="eastAsia" w:ascii="宋体" w:hAnsi="宋体" w:eastAsia="宋体" w:cs="宋体"/>
          <w:color w:val="auto"/>
          <w:sz w:val="22"/>
          <w:szCs w:val="22"/>
          <w:highlight w:val="none"/>
        </w:rPr>
        <w:t>日内，要求乙方为其办理退货并先行垫付退货货款，或者退还另行付费旅游项目的费用：</w:t>
      </w:r>
    </w:p>
    <w:p w14:paraId="4B79C500">
      <w:pPr>
        <w:spacing w:line="24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（1）乙方以不合理的低价组织旅游活动，诱骗甲方，并通过安排购物或者另行付费旅游项目获得取回扣等不正当利益的；</w:t>
      </w:r>
    </w:p>
    <w:p w14:paraId="7292365B">
      <w:pPr>
        <w:spacing w:line="24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（2）未经双方协商一致或者未经甲方要求，乙方指定具体购物场所或者安排另行付费旅游项目的。</w:t>
      </w:r>
    </w:p>
    <w:p w14:paraId="71850BE7">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4、在旅游结束后，甲方应在乙方开具发票后15天内交纳旅游费用。</w:t>
      </w:r>
    </w:p>
    <w:p w14:paraId="1C74DCFD">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5、甲方应遵守乙方安排在本次旅游当中的安全事项及其他合理要求，不得擅自单独行动，否则后果自负。</w:t>
      </w:r>
    </w:p>
    <w:p w14:paraId="34734555">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6、甲方违反安全警示规定，或者对国家应对重大突发事件暂时限制旅游活动的措施、安全防范和应急处置措施不予配合，造成乙方损失的，应当依法承担相应责任。</w:t>
      </w:r>
    </w:p>
    <w:p w14:paraId="172AEEFD">
      <w:pPr>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第九条 其他责任</w:t>
      </w:r>
    </w:p>
    <w:p w14:paraId="7D5FD5A7">
      <w:p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1、由于甲方自身原因导致本合同不能履行或者不能按照约定履行，或者造成甲方人身损害、财产损失的，乙方不承担责任。</w:t>
      </w:r>
    </w:p>
    <w:p w14:paraId="79174D65">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2、甲方在自行安排活动期间人身、财产权益受到损害的，乙方在事前已尽到必要警示说明义务且事后已尽到必要救助义务的，乙方不承担赔偿责任。</w:t>
      </w:r>
    </w:p>
    <w:p w14:paraId="1E04DFE1">
      <w:p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3、由于第三方侵害等不可归责于乙方的原因导致甲方人身、财产权益受到损害的，乙方不承担赔偿责任。但因乙方不履行协助义务致使甲方人身、财产权益损失扩大的，乙方应当就扩大的损失承担赔偿责任。</w:t>
      </w:r>
    </w:p>
    <w:p w14:paraId="5C691C2C">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4、由于公共交通经营者的原因造成甲方人身损害、财产损失依法应承担责任的，乙方应当协助甲方向公共交通经营者索赔。</w:t>
      </w:r>
    </w:p>
    <w:p w14:paraId="54A8A16B">
      <w:pPr>
        <w:spacing w:line="24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第十条 </w:t>
      </w:r>
      <w:r>
        <w:rPr>
          <w:rFonts w:hint="eastAsia" w:ascii="宋体" w:hAnsi="宋体" w:eastAsia="宋体" w:cs="宋体"/>
          <w:color w:val="auto"/>
          <w:sz w:val="22"/>
          <w:szCs w:val="22"/>
          <w:highlight w:val="none"/>
        </w:rPr>
        <w:t>本合同在执行前或执行期间，如有未尽事宜，甲乙双方协商同意后，另订附则附于本合之内，所有附则在法律上均与本合同有同等效力。</w:t>
      </w:r>
    </w:p>
    <w:p w14:paraId="0A8C5662">
      <w:pPr>
        <w:spacing w:line="24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第十一条</w:t>
      </w:r>
      <w:r>
        <w:rPr>
          <w:rFonts w:hint="eastAsia" w:ascii="宋体" w:hAnsi="宋体" w:eastAsia="宋体" w:cs="宋体"/>
          <w:color w:val="auto"/>
          <w:sz w:val="22"/>
          <w:szCs w:val="22"/>
          <w:highlight w:val="none"/>
        </w:rPr>
        <w:t>本合同一式肆份，双方各执贰份。具有同等效力。</w:t>
      </w:r>
    </w:p>
    <w:p w14:paraId="4348B981">
      <w:pPr>
        <w:rPr>
          <w:rFonts w:hint="eastAsia" w:ascii="宋体" w:hAnsi="宋体" w:eastAsia="宋体" w:cs="宋体"/>
          <w:color w:val="auto"/>
          <w:sz w:val="22"/>
          <w:szCs w:val="22"/>
          <w:highlight w:val="none"/>
        </w:rPr>
      </w:pPr>
    </w:p>
    <w:p w14:paraId="325E549D">
      <w:pPr>
        <w:rPr>
          <w:rFonts w:hint="eastAsia" w:ascii="宋体" w:hAnsi="宋体" w:eastAsia="宋体" w:cs="宋体"/>
          <w:color w:val="auto"/>
          <w:sz w:val="22"/>
          <w:szCs w:val="22"/>
          <w:highlight w:val="none"/>
        </w:rPr>
      </w:pPr>
    </w:p>
    <w:p w14:paraId="45DA6218">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707C816C">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附表一：</w:t>
      </w:r>
    </w:p>
    <w:p w14:paraId="1B213817">
      <w:pPr>
        <w:spacing w:line="24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满意度调查表</w:t>
      </w:r>
    </w:p>
    <w:p w14:paraId="28E7C845">
      <w:pPr>
        <w:widowControl/>
        <w:rPr>
          <w:rFonts w:hint="eastAsia" w:ascii="宋体" w:hAnsi="宋体" w:eastAsia="宋体" w:cs="宋体"/>
          <w:color w:val="auto"/>
          <w:sz w:val="22"/>
          <w:u w:val="single"/>
        </w:rPr>
      </w:pPr>
      <w:r>
        <w:rPr>
          <w:rFonts w:hint="eastAsia" w:ascii="宋体" w:hAnsi="宋体" w:eastAsia="宋体" w:cs="宋体"/>
          <w:color w:val="auto"/>
          <w:sz w:val="22"/>
        </w:rPr>
        <w:t>疗休养服务单位：</w:t>
      </w:r>
      <w:r>
        <w:rPr>
          <w:rFonts w:hint="eastAsia" w:ascii="宋体" w:hAnsi="宋体" w:eastAsia="宋体" w:cs="宋体"/>
          <w:color w:val="auto"/>
          <w:sz w:val="22"/>
          <w:u w:val="single"/>
        </w:rPr>
        <w:t xml:space="preserve">                 </w:t>
      </w:r>
      <w:r>
        <w:rPr>
          <w:rFonts w:hint="eastAsia" w:ascii="宋体" w:hAnsi="宋体" w:eastAsia="宋体" w:cs="宋体"/>
          <w:color w:val="auto"/>
          <w:sz w:val="22"/>
        </w:rPr>
        <w:t xml:space="preserve">  </w:t>
      </w:r>
    </w:p>
    <w:tbl>
      <w:tblPr>
        <w:tblStyle w:val="25"/>
        <w:tblW w:w="9300" w:type="dxa"/>
        <w:jc w:val="center"/>
        <w:tblLayout w:type="fixed"/>
        <w:tblCellMar>
          <w:top w:w="0" w:type="dxa"/>
          <w:left w:w="108" w:type="dxa"/>
          <w:bottom w:w="0" w:type="dxa"/>
          <w:right w:w="108" w:type="dxa"/>
        </w:tblCellMar>
      </w:tblPr>
      <w:tblGrid>
        <w:gridCol w:w="1980"/>
        <w:gridCol w:w="1064"/>
        <w:gridCol w:w="1040"/>
        <w:gridCol w:w="1067"/>
        <w:gridCol w:w="773"/>
        <w:gridCol w:w="1193"/>
        <w:gridCol w:w="714"/>
        <w:gridCol w:w="761"/>
        <w:gridCol w:w="708"/>
      </w:tblGrid>
      <w:tr w14:paraId="058C8A43">
        <w:tblPrEx>
          <w:tblCellMar>
            <w:top w:w="0" w:type="dxa"/>
            <w:left w:w="108" w:type="dxa"/>
            <w:bottom w:w="0" w:type="dxa"/>
            <w:right w:w="108" w:type="dxa"/>
          </w:tblCellMar>
        </w:tblPrEx>
        <w:trPr>
          <w:trHeight w:val="23" w:hRule="atLeast"/>
          <w:jc w:val="center"/>
        </w:trPr>
        <w:tc>
          <w:tcPr>
            <w:tcW w:w="1980" w:type="dxa"/>
            <w:tcBorders>
              <w:top w:val="single" w:color="000000" w:sz="4" w:space="0"/>
              <w:left w:val="single" w:color="000000" w:sz="4" w:space="0"/>
              <w:bottom w:val="single" w:color="000000" w:sz="4" w:space="0"/>
              <w:right w:val="single" w:color="000000" w:sz="4" w:space="0"/>
            </w:tcBorders>
            <w:vAlign w:val="center"/>
          </w:tcPr>
          <w:p w14:paraId="008799A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疗休养时间</w:t>
            </w:r>
          </w:p>
        </w:tc>
        <w:tc>
          <w:tcPr>
            <w:tcW w:w="3171" w:type="dxa"/>
            <w:gridSpan w:val="3"/>
            <w:tcBorders>
              <w:top w:val="single" w:color="000000" w:sz="4" w:space="0"/>
              <w:left w:val="nil"/>
              <w:bottom w:val="single" w:color="000000" w:sz="4" w:space="0"/>
              <w:right w:val="single" w:color="000000" w:sz="4" w:space="0"/>
            </w:tcBorders>
            <w:vAlign w:val="center"/>
          </w:tcPr>
          <w:p w14:paraId="20E9D2C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月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w:t>
            </w:r>
          </w:p>
        </w:tc>
        <w:tc>
          <w:tcPr>
            <w:tcW w:w="773" w:type="dxa"/>
            <w:tcBorders>
              <w:top w:val="single" w:color="000000" w:sz="4" w:space="0"/>
              <w:left w:val="nil"/>
              <w:bottom w:val="single" w:color="000000" w:sz="4" w:space="0"/>
              <w:right w:val="single" w:color="000000" w:sz="4" w:space="0"/>
            </w:tcBorders>
            <w:vAlign w:val="center"/>
          </w:tcPr>
          <w:p w14:paraId="1AC541C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地点</w:t>
            </w:r>
          </w:p>
        </w:tc>
        <w:tc>
          <w:tcPr>
            <w:tcW w:w="1907" w:type="dxa"/>
            <w:gridSpan w:val="2"/>
            <w:tcBorders>
              <w:top w:val="single" w:color="000000" w:sz="4" w:space="0"/>
              <w:left w:val="nil"/>
              <w:bottom w:val="single" w:color="000000" w:sz="4" w:space="0"/>
              <w:right w:val="single" w:color="000000" w:sz="4" w:space="0"/>
            </w:tcBorders>
            <w:vAlign w:val="center"/>
          </w:tcPr>
          <w:p w14:paraId="2D1E1CBD">
            <w:pPr>
              <w:widowControl/>
              <w:jc w:val="center"/>
              <w:rPr>
                <w:rFonts w:hint="eastAsia" w:ascii="宋体" w:hAnsi="宋体" w:eastAsia="宋体" w:cs="宋体"/>
                <w:color w:val="auto"/>
                <w:sz w:val="21"/>
                <w:szCs w:val="21"/>
              </w:rPr>
            </w:pPr>
          </w:p>
        </w:tc>
        <w:tc>
          <w:tcPr>
            <w:tcW w:w="761" w:type="dxa"/>
            <w:tcBorders>
              <w:top w:val="single" w:color="000000" w:sz="4" w:space="0"/>
              <w:left w:val="nil"/>
              <w:bottom w:val="single" w:color="000000" w:sz="4" w:space="0"/>
              <w:right w:val="single" w:color="000000" w:sz="4" w:space="0"/>
            </w:tcBorders>
            <w:vAlign w:val="center"/>
          </w:tcPr>
          <w:p w14:paraId="7365C47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人数</w:t>
            </w:r>
          </w:p>
        </w:tc>
        <w:tc>
          <w:tcPr>
            <w:tcW w:w="708" w:type="dxa"/>
            <w:tcBorders>
              <w:top w:val="single" w:color="000000" w:sz="4" w:space="0"/>
              <w:left w:val="nil"/>
              <w:bottom w:val="single" w:color="000000" w:sz="4" w:space="0"/>
              <w:right w:val="single" w:color="000000" w:sz="4" w:space="0"/>
            </w:tcBorders>
            <w:vAlign w:val="center"/>
          </w:tcPr>
          <w:p w14:paraId="07103940">
            <w:pPr>
              <w:widowControl/>
              <w:jc w:val="center"/>
              <w:rPr>
                <w:rFonts w:hint="eastAsia" w:ascii="宋体" w:hAnsi="宋体" w:eastAsia="宋体" w:cs="宋体"/>
                <w:color w:val="auto"/>
                <w:sz w:val="21"/>
                <w:szCs w:val="21"/>
              </w:rPr>
            </w:pPr>
          </w:p>
        </w:tc>
      </w:tr>
      <w:tr w14:paraId="5A593FD0">
        <w:tblPrEx>
          <w:tblCellMar>
            <w:top w:w="0" w:type="dxa"/>
            <w:left w:w="108" w:type="dxa"/>
            <w:bottom w:w="0" w:type="dxa"/>
            <w:right w:w="108" w:type="dxa"/>
          </w:tblCellMar>
        </w:tblPrEx>
        <w:trPr>
          <w:trHeight w:val="23" w:hRule="atLeast"/>
          <w:jc w:val="center"/>
        </w:trPr>
        <w:tc>
          <w:tcPr>
            <w:tcW w:w="1980" w:type="dxa"/>
            <w:vMerge w:val="restart"/>
            <w:tcBorders>
              <w:top w:val="single" w:color="000000" w:sz="4" w:space="0"/>
              <w:left w:val="single" w:color="000000" w:sz="4" w:space="0"/>
              <w:right w:val="single" w:color="000000" w:sz="4" w:space="0"/>
            </w:tcBorders>
            <w:vAlign w:val="center"/>
          </w:tcPr>
          <w:p w14:paraId="7A4EEF6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评分项目及分值（100分）</w:t>
            </w:r>
          </w:p>
        </w:tc>
        <w:tc>
          <w:tcPr>
            <w:tcW w:w="7320" w:type="dxa"/>
            <w:gridSpan w:val="8"/>
            <w:tcBorders>
              <w:top w:val="single" w:color="000000" w:sz="4" w:space="0"/>
              <w:left w:val="nil"/>
              <w:bottom w:val="single" w:color="000000" w:sz="4" w:space="0"/>
              <w:right w:val="single" w:color="000000" w:sz="4" w:space="0"/>
            </w:tcBorders>
            <w:vAlign w:val="center"/>
          </w:tcPr>
          <w:p w14:paraId="5AC68DE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满意度评价（请您在认为的选项后空格内评分）</w:t>
            </w:r>
          </w:p>
        </w:tc>
      </w:tr>
      <w:tr w14:paraId="4404E681">
        <w:tblPrEx>
          <w:tblCellMar>
            <w:top w:w="0" w:type="dxa"/>
            <w:left w:w="108" w:type="dxa"/>
            <w:bottom w:w="0" w:type="dxa"/>
            <w:right w:w="108" w:type="dxa"/>
          </w:tblCellMar>
        </w:tblPrEx>
        <w:trPr>
          <w:trHeight w:val="23" w:hRule="atLeast"/>
          <w:jc w:val="center"/>
        </w:trPr>
        <w:tc>
          <w:tcPr>
            <w:tcW w:w="1980" w:type="dxa"/>
            <w:vMerge w:val="continue"/>
            <w:tcBorders>
              <w:left w:val="single" w:color="000000" w:sz="4" w:space="0"/>
              <w:bottom w:val="single" w:color="000000" w:sz="4" w:space="0"/>
              <w:right w:val="single" w:color="000000" w:sz="4" w:space="0"/>
            </w:tcBorders>
            <w:vAlign w:val="center"/>
          </w:tcPr>
          <w:p w14:paraId="1E613A6A">
            <w:pPr>
              <w:widowControl/>
              <w:jc w:val="center"/>
              <w:rPr>
                <w:rFonts w:hint="eastAsia" w:ascii="宋体" w:hAnsi="宋体" w:eastAsia="宋体" w:cs="宋体"/>
                <w:color w:val="auto"/>
                <w:sz w:val="21"/>
                <w:szCs w:val="21"/>
              </w:rPr>
            </w:pPr>
          </w:p>
        </w:tc>
        <w:tc>
          <w:tcPr>
            <w:tcW w:w="2104" w:type="dxa"/>
            <w:gridSpan w:val="2"/>
            <w:tcBorders>
              <w:top w:val="single" w:color="000000" w:sz="4" w:space="0"/>
              <w:left w:val="nil"/>
              <w:bottom w:val="single" w:color="000000" w:sz="4" w:space="0"/>
              <w:right w:val="single" w:color="000000" w:sz="4" w:space="0"/>
            </w:tcBorders>
            <w:vAlign w:val="center"/>
          </w:tcPr>
          <w:p w14:paraId="4536681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好</w:t>
            </w:r>
          </w:p>
        </w:tc>
        <w:tc>
          <w:tcPr>
            <w:tcW w:w="1840" w:type="dxa"/>
            <w:gridSpan w:val="2"/>
            <w:tcBorders>
              <w:top w:val="single" w:color="000000" w:sz="4" w:space="0"/>
              <w:left w:val="nil"/>
              <w:bottom w:val="single" w:color="000000" w:sz="4" w:space="0"/>
              <w:right w:val="single" w:color="000000" w:sz="4" w:space="0"/>
            </w:tcBorders>
            <w:vAlign w:val="center"/>
          </w:tcPr>
          <w:p w14:paraId="08520FC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较好</w:t>
            </w:r>
          </w:p>
        </w:tc>
        <w:tc>
          <w:tcPr>
            <w:tcW w:w="1907" w:type="dxa"/>
            <w:gridSpan w:val="2"/>
            <w:tcBorders>
              <w:top w:val="single" w:color="000000" w:sz="4" w:space="0"/>
              <w:left w:val="nil"/>
              <w:bottom w:val="single" w:color="000000" w:sz="4" w:space="0"/>
              <w:right w:val="single" w:color="000000" w:sz="4" w:space="0"/>
            </w:tcBorders>
            <w:vAlign w:val="center"/>
          </w:tcPr>
          <w:p w14:paraId="7AAF46F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一般</w:t>
            </w:r>
          </w:p>
        </w:tc>
        <w:tc>
          <w:tcPr>
            <w:tcW w:w="1469" w:type="dxa"/>
            <w:gridSpan w:val="2"/>
            <w:tcBorders>
              <w:top w:val="single" w:color="000000" w:sz="4" w:space="0"/>
              <w:left w:val="nil"/>
              <w:bottom w:val="single" w:color="000000" w:sz="4" w:space="0"/>
              <w:right w:val="single" w:color="000000" w:sz="4" w:space="0"/>
            </w:tcBorders>
            <w:vAlign w:val="center"/>
          </w:tcPr>
          <w:p w14:paraId="0C19ADD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差</w:t>
            </w:r>
          </w:p>
        </w:tc>
      </w:tr>
      <w:tr w14:paraId="03E004E1">
        <w:tblPrEx>
          <w:tblCellMar>
            <w:top w:w="0" w:type="dxa"/>
            <w:left w:w="108" w:type="dxa"/>
            <w:bottom w:w="0" w:type="dxa"/>
            <w:right w:w="108" w:type="dxa"/>
          </w:tblCellMar>
        </w:tblPrEx>
        <w:trPr>
          <w:trHeight w:val="23"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CA5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餐饮状况</w:t>
            </w:r>
          </w:p>
          <w:p w14:paraId="51B3FA4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（25分）</w:t>
            </w:r>
          </w:p>
        </w:tc>
        <w:tc>
          <w:tcPr>
            <w:tcW w:w="1064" w:type="dxa"/>
            <w:tcBorders>
              <w:top w:val="single" w:color="000000" w:sz="4" w:space="0"/>
              <w:left w:val="nil"/>
              <w:bottom w:val="single" w:color="000000" w:sz="4" w:space="0"/>
              <w:right w:val="single" w:color="000000" w:sz="4" w:space="0"/>
            </w:tcBorders>
            <w:vAlign w:val="center"/>
          </w:tcPr>
          <w:p w14:paraId="6CC1EE8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（25-22）</w:t>
            </w:r>
          </w:p>
        </w:tc>
        <w:tc>
          <w:tcPr>
            <w:tcW w:w="1040" w:type="dxa"/>
            <w:tcBorders>
              <w:top w:val="single" w:color="000000" w:sz="4" w:space="0"/>
              <w:left w:val="nil"/>
              <w:bottom w:val="single" w:color="000000" w:sz="4" w:space="0"/>
              <w:right w:val="single" w:color="000000" w:sz="4" w:space="0"/>
            </w:tcBorders>
            <w:vAlign w:val="center"/>
          </w:tcPr>
          <w:p w14:paraId="3AEDFF23">
            <w:pPr>
              <w:widowControl/>
              <w:jc w:val="center"/>
              <w:rPr>
                <w:rFonts w:hint="eastAsia" w:ascii="宋体" w:hAnsi="宋体" w:eastAsia="宋体" w:cs="宋体"/>
                <w:color w:val="auto"/>
                <w:sz w:val="21"/>
                <w:szCs w:val="21"/>
              </w:rPr>
            </w:pPr>
          </w:p>
        </w:tc>
        <w:tc>
          <w:tcPr>
            <w:tcW w:w="1067" w:type="dxa"/>
            <w:tcBorders>
              <w:top w:val="single" w:color="000000" w:sz="4" w:space="0"/>
              <w:left w:val="nil"/>
              <w:bottom w:val="single" w:color="000000" w:sz="4" w:space="0"/>
              <w:right w:val="single" w:color="000000" w:sz="4" w:space="0"/>
            </w:tcBorders>
            <w:vAlign w:val="center"/>
          </w:tcPr>
          <w:p w14:paraId="11C5ED8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（21-18）</w:t>
            </w:r>
          </w:p>
        </w:tc>
        <w:tc>
          <w:tcPr>
            <w:tcW w:w="773" w:type="dxa"/>
            <w:tcBorders>
              <w:top w:val="single" w:color="000000" w:sz="4" w:space="0"/>
              <w:left w:val="nil"/>
              <w:bottom w:val="single" w:color="000000" w:sz="4" w:space="0"/>
              <w:right w:val="single" w:color="000000" w:sz="4" w:space="0"/>
            </w:tcBorders>
            <w:vAlign w:val="center"/>
          </w:tcPr>
          <w:p w14:paraId="22459F32">
            <w:pPr>
              <w:widowControl/>
              <w:jc w:val="center"/>
              <w:rPr>
                <w:rFonts w:hint="eastAsia" w:ascii="宋体" w:hAnsi="宋体" w:eastAsia="宋体" w:cs="宋体"/>
                <w:color w:val="auto"/>
                <w:sz w:val="21"/>
                <w:szCs w:val="21"/>
              </w:rPr>
            </w:pPr>
          </w:p>
        </w:tc>
        <w:tc>
          <w:tcPr>
            <w:tcW w:w="1193" w:type="dxa"/>
            <w:tcBorders>
              <w:top w:val="single" w:color="000000" w:sz="4" w:space="0"/>
              <w:left w:val="nil"/>
              <w:bottom w:val="single" w:color="000000" w:sz="4" w:space="0"/>
              <w:right w:val="single" w:color="000000" w:sz="4" w:space="0"/>
            </w:tcBorders>
            <w:vAlign w:val="center"/>
          </w:tcPr>
          <w:p w14:paraId="750BE6D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（17-14）</w:t>
            </w:r>
          </w:p>
        </w:tc>
        <w:tc>
          <w:tcPr>
            <w:tcW w:w="714" w:type="dxa"/>
            <w:tcBorders>
              <w:top w:val="single" w:color="000000" w:sz="4" w:space="0"/>
              <w:left w:val="nil"/>
              <w:bottom w:val="single" w:color="000000" w:sz="4" w:space="0"/>
              <w:right w:val="single" w:color="000000" w:sz="4" w:space="0"/>
            </w:tcBorders>
            <w:vAlign w:val="center"/>
          </w:tcPr>
          <w:p w14:paraId="503A99C6">
            <w:pPr>
              <w:widowControl/>
              <w:jc w:val="center"/>
              <w:rPr>
                <w:rFonts w:hint="eastAsia" w:ascii="宋体" w:hAnsi="宋体" w:eastAsia="宋体" w:cs="宋体"/>
                <w:color w:val="auto"/>
                <w:sz w:val="21"/>
                <w:szCs w:val="21"/>
              </w:rPr>
            </w:pPr>
          </w:p>
        </w:tc>
        <w:tc>
          <w:tcPr>
            <w:tcW w:w="761" w:type="dxa"/>
            <w:tcBorders>
              <w:top w:val="single" w:color="000000" w:sz="4" w:space="0"/>
              <w:left w:val="nil"/>
              <w:bottom w:val="single" w:color="000000" w:sz="4" w:space="0"/>
              <w:right w:val="single" w:color="000000" w:sz="4" w:space="0"/>
            </w:tcBorders>
            <w:vAlign w:val="center"/>
          </w:tcPr>
          <w:p w14:paraId="06A7A0C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708" w:type="dxa"/>
            <w:tcBorders>
              <w:top w:val="single" w:color="000000" w:sz="4" w:space="0"/>
              <w:left w:val="nil"/>
              <w:bottom w:val="single" w:color="000000" w:sz="4" w:space="0"/>
              <w:right w:val="single" w:color="000000" w:sz="4" w:space="0"/>
            </w:tcBorders>
            <w:vAlign w:val="center"/>
          </w:tcPr>
          <w:p w14:paraId="5C982527">
            <w:pPr>
              <w:widowControl/>
              <w:jc w:val="center"/>
              <w:rPr>
                <w:rFonts w:hint="eastAsia" w:ascii="宋体" w:hAnsi="宋体" w:eastAsia="宋体" w:cs="宋体"/>
                <w:color w:val="auto"/>
                <w:sz w:val="21"/>
                <w:szCs w:val="21"/>
              </w:rPr>
            </w:pPr>
          </w:p>
        </w:tc>
      </w:tr>
      <w:tr w14:paraId="661AB930">
        <w:tblPrEx>
          <w:tblCellMar>
            <w:top w:w="0" w:type="dxa"/>
            <w:left w:w="108" w:type="dxa"/>
            <w:bottom w:w="0" w:type="dxa"/>
            <w:right w:w="108" w:type="dxa"/>
          </w:tblCellMar>
        </w:tblPrEx>
        <w:trPr>
          <w:trHeight w:val="23"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D1E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住宿条件</w:t>
            </w:r>
          </w:p>
          <w:p w14:paraId="38ED726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（25分）</w:t>
            </w:r>
          </w:p>
        </w:tc>
        <w:tc>
          <w:tcPr>
            <w:tcW w:w="1064" w:type="dxa"/>
            <w:tcBorders>
              <w:top w:val="single" w:color="000000" w:sz="4" w:space="0"/>
              <w:left w:val="nil"/>
              <w:bottom w:val="single" w:color="000000" w:sz="4" w:space="0"/>
              <w:right w:val="single" w:color="000000" w:sz="4" w:space="0"/>
            </w:tcBorders>
            <w:vAlign w:val="center"/>
          </w:tcPr>
          <w:p w14:paraId="3496DF6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（25-22）</w:t>
            </w:r>
          </w:p>
        </w:tc>
        <w:tc>
          <w:tcPr>
            <w:tcW w:w="1040" w:type="dxa"/>
            <w:tcBorders>
              <w:top w:val="single" w:color="000000" w:sz="4" w:space="0"/>
              <w:left w:val="nil"/>
              <w:bottom w:val="single" w:color="000000" w:sz="4" w:space="0"/>
              <w:right w:val="single" w:color="000000" w:sz="4" w:space="0"/>
            </w:tcBorders>
            <w:vAlign w:val="center"/>
          </w:tcPr>
          <w:p w14:paraId="694A80BC">
            <w:pPr>
              <w:widowControl/>
              <w:jc w:val="center"/>
              <w:rPr>
                <w:rFonts w:hint="eastAsia" w:ascii="宋体" w:hAnsi="宋体" w:eastAsia="宋体" w:cs="宋体"/>
                <w:color w:val="auto"/>
                <w:sz w:val="21"/>
                <w:szCs w:val="21"/>
              </w:rPr>
            </w:pPr>
          </w:p>
        </w:tc>
        <w:tc>
          <w:tcPr>
            <w:tcW w:w="1067" w:type="dxa"/>
            <w:tcBorders>
              <w:top w:val="single" w:color="000000" w:sz="4" w:space="0"/>
              <w:left w:val="nil"/>
              <w:bottom w:val="single" w:color="000000" w:sz="4" w:space="0"/>
              <w:right w:val="single" w:color="000000" w:sz="4" w:space="0"/>
            </w:tcBorders>
            <w:vAlign w:val="center"/>
          </w:tcPr>
          <w:p w14:paraId="34171F5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（21-18）</w:t>
            </w:r>
          </w:p>
        </w:tc>
        <w:tc>
          <w:tcPr>
            <w:tcW w:w="773" w:type="dxa"/>
            <w:tcBorders>
              <w:top w:val="single" w:color="000000" w:sz="4" w:space="0"/>
              <w:left w:val="nil"/>
              <w:bottom w:val="single" w:color="000000" w:sz="4" w:space="0"/>
              <w:right w:val="single" w:color="000000" w:sz="4" w:space="0"/>
            </w:tcBorders>
            <w:vAlign w:val="center"/>
          </w:tcPr>
          <w:p w14:paraId="391F9A0F">
            <w:pPr>
              <w:widowControl/>
              <w:jc w:val="center"/>
              <w:rPr>
                <w:rFonts w:hint="eastAsia" w:ascii="宋体" w:hAnsi="宋体" w:eastAsia="宋体" w:cs="宋体"/>
                <w:color w:val="auto"/>
                <w:sz w:val="21"/>
                <w:szCs w:val="21"/>
              </w:rPr>
            </w:pPr>
          </w:p>
        </w:tc>
        <w:tc>
          <w:tcPr>
            <w:tcW w:w="1193" w:type="dxa"/>
            <w:tcBorders>
              <w:top w:val="single" w:color="000000" w:sz="4" w:space="0"/>
              <w:left w:val="nil"/>
              <w:bottom w:val="single" w:color="000000" w:sz="4" w:space="0"/>
              <w:right w:val="single" w:color="000000" w:sz="4" w:space="0"/>
            </w:tcBorders>
            <w:vAlign w:val="center"/>
          </w:tcPr>
          <w:p w14:paraId="4945F02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（17-14）</w:t>
            </w:r>
          </w:p>
        </w:tc>
        <w:tc>
          <w:tcPr>
            <w:tcW w:w="714" w:type="dxa"/>
            <w:tcBorders>
              <w:top w:val="single" w:color="000000" w:sz="4" w:space="0"/>
              <w:left w:val="nil"/>
              <w:bottom w:val="single" w:color="000000" w:sz="4" w:space="0"/>
              <w:right w:val="single" w:color="000000" w:sz="4" w:space="0"/>
            </w:tcBorders>
            <w:vAlign w:val="center"/>
          </w:tcPr>
          <w:p w14:paraId="103FB398">
            <w:pPr>
              <w:widowControl/>
              <w:jc w:val="center"/>
              <w:rPr>
                <w:rFonts w:hint="eastAsia" w:ascii="宋体" w:hAnsi="宋体" w:eastAsia="宋体" w:cs="宋体"/>
                <w:color w:val="auto"/>
                <w:sz w:val="21"/>
                <w:szCs w:val="21"/>
              </w:rPr>
            </w:pPr>
          </w:p>
        </w:tc>
        <w:tc>
          <w:tcPr>
            <w:tcW w:w="761" w:type="dxa"/>
            <w:tcBorders>
              <w:top w:val="single" w:color="000000" w:sz="4" w:space="0"/>
              <w:left w:val="nil"/>
              <w:bottom w:val="single" w:color="000000" w:sz="4" w:space="0"/>
              <w:right w:val="single" w:color="000000" w:sz="4" w:space="0"/>
            </w:tcBorders>
            <w:vAlign w:val="center"/>
          </w:tcPr>
          <w:p w14:paraId="2F68681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708" w:type="dxa"/>
            <w:tcBorders>
              <w:top w:val="single" w:color="000000" w:sz="4" w:space="0"/>
              <w:left w:val="nil"/>
              <w:bottom w:val="single" w:color="000000" w:sz="4" w:space="0"/>
              <w:right w:val="single" w:color="000000" w:sz="4" w:space="0"/>
            </w:tcBorders>
            <w:vAlign w:val="center"/>
          </w:tcPr>
          <w:p w14:paraId="3D84B23D">
            <w:pPr>
              <w:widowControl/>
              <w:jc w:val="center"/>
              <w:rPr>
                <w:rFonts w:hint="eastAsia" w:ascii="宋体" w:hAnsi="宋体" w:eastAsia="宋体" w:cs="宋体"/>
                <w:color w:val="auto"/>
                <w:sz w:val="21"/>
                <w:szCs w:val="21"/>
              </w:rPr>
            </w:pPr>
          </w:p>
        </w:tc>
      </w:tr>
      <w:tr w14:paraId="270006F0">
        <w:tblPrEx>
          <w:tblCellMar>
            <w:top w:w="0" w:type="dxa"/>
            <w:left w:w="108" w:type="dxa"/>
            <w:bottom w:w="0" w:type="dxa"/>
            <w:right w:w="108" w:type="dxa"/>
          </w:tblCellMar>
        </w:tblPrEx>
        <w:trPr>
          <w:trHeight w:val="23"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FA1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行程景点安排</w:t>
            </w:r>
          </w:p>
          <w:p w14:paraId="4D53234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（20分）</w:t>
            </w:r>
          </w:p>
        </w:tc>
        <w:tc>
          <w:tcPr>
            <w:tcW w:w="1064" w:type="dxa"/>
            <w:tcBorders>
              <w:top w:val="single" w:color="000000" w:sz="4" w:space="0"/>
              <w:left w:val="nil"/>
              <w:bottom w:val="single" w:color="000000" w:sz="4" w:space="0"/>
              <w:right w:val="single" w:color="000000" w:sz="4" w:space="0"/>
            </w:tcBorders>
            <w:vAlign w:val="center"/>
          </w:tcPr>
          <w:p w14:paraId="5DAAA06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（20-18）</w:t>
            </w:r>
          </w:p>
        </w:tc>
        <w:tc>
          <w:tcPr>
            <w:tcW w:w="1040" w:type="dxa"/>
            <w:tcBorders>
              <w:top w:val="single" w:color="000000" w:sz="4" w:space="0"/>
              <w:left w:val="nil"/>
              <w:bottom w:val="single" w:color="000000" w:sz="4" w:space="0"/>
              <w:right w:val="single" w:color="000000" w:sz="4" w:space="0"/>
            </w:tcBorders>
            <w:vAlign w:val="center"/>
          </w:tcPr>
          <w:p w14:paraId="3642E1BB">
            <w:pPr>
              <w:widowControl/>
              <w:jc w:val="center"/>
              <w:rPr>
                <w:rFonts w:hint="eastAsia" w:ascii="宋体" w:hAnsi="宋体" w:eastAsia="宋体" w:cs="宋体"/>
                <w:color w:val="auto"/>
                <w:sz w:val="21"/>
                <w:szCs w:val="21"/>
              </w:rPr>
            </w:pPr>
          </w:p>
        </w:tc>
        <w:tc>
          <w:tcPr>
            <w:tcW w:w="1067" w:type="dxa"/>
            <w:tcBorders>
              <w:top w:val="single" w:color="000000" w:sz="4" w:space="0"/>
              <w:left w:val="nil"/>
              <w:bottom w:val="single" w:color="000000" w:sz="4" w:space="0"/>
              <w:right w:val="single" w:color="000000" w:sz="4" w:space="0"/>
            </w:tcBorders>
            <w:vAlign w:val="center"/>
          </w:tcPr>
          <w:p w14:paraId="2F0AC20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（17-16）</w:t>
            </w:r>
          </w:p>
        </w:tc>
        <w:tc>
          <w:tcPr>
            <w:tcW w:w="773" w:type="dxa"/>
            <w:tcBorders>
              <w:top w:val="single" w:color="000000" w:sz="4" w:space="0"/>
              <w:left w:val="nil"/>
              <w:bottom w:val="single" w:color="000000" w:sz="4" w:space="0"/>
              <w:right w:val="single" w:color="000000" w:sz="4" w:space="0"/>
            </w:tcBorders>
            <w:vAlign w:val="center"/>
          </w:tcPr>
          <w:p w14:paraId="7B612880">
            <w:pPr>
              <w:widowControl/>
              <w:jc w:val="center"/>
              <w:rPr>
                <w:rFonts w:hint="eastAsia" w:ascii="宋体" w:hAnsi="宋体" w:eastAsia="宋体" w:cs="宋体"/>
                <w:color w:val="auto"/>
                <w:sz w:val="21"/>
                <w:szCs w:val="21"/>
              </w:rPr>
            </w:pPr>
          </w:p>
        </w:tc>
        <w:tc>
          <w:tcPr>
            <w:tcW w:w="1193" w:type="dxa"/>
            <w:tcBorders>
              <w:top w:val="single" w:color="000000" w:sz="4" w:space="0"/>
              <w:left w:val="nil"/>
              <w:bottom w:val="single" w:color="000000" w:sz="4" w:space="0"/>
              <w:right w:val="single" w:color="000000" w:sz="4" w:space="0"/>
            </w:tcBorders>
            <w:vAlign w:val="center"/>
          </w:tcPr>
          <w:p w14:paraId="0132CCA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（15-12）</w:t>
            </w:r>
          </w:p>
        </w:tc>
        <w:tc>
          <w:tcPr>
            <w:tcW w:w="714" w:type="dxa"/>
            <w:tcBorders>
              <w:top w:val="single" w:color="000000" w:sz="4" w:space="0"/>
              <w:left w:val="nil"/>
              <w:bottom w:val="single" w:color="000000" w:sz="4" w:space="0"/>
              <w:right w:val="single" w:color="000000" w:sz="4" w:space="0"/>
            </w:tcBorders>
            <w:vAlign w:val="center"/>
          </w:tcPr>
          <w:p w14:paraId="699E579B">
            <w:pPr>
              <w:widowControl/>
              <w:jc w:val="center"/>
              <w:rPr>
                <w:rFonts w:hint="eastAsia" w:ascii="宋体" w:hAnsi="宋体" w:eastAsia="宋体" w:cs="宋体"/>
                <w:color w:val="auto"/>
                <w:sz w:val="21"/>
                <w:szCs w:val="21"/>
              </w:rPr>
            </w:pPr>
          </w:p>
        </w:tc>
        <w:tc>
          <w:tcPr>
            <w:tcW w:w="761" w:type="dxa"/>
            <w:tcBorders>
              <w:top w:val="single" w:color="000000" w:sz="4" w:space="0"/>
              <w:left w:val="nil"/>
              <w:bottom w:val="single" w:color="000000" w:sz="4" w:space="0"/>
              <w:right w:val="single" w:color="000000" w:sz="4" w:space="0"/>
            </w:tcBorders>
            <w:vAlign w:val="center"/>
          </w:tcPr>
          <w:p w14:paraId="55F8966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708" w:type="dxa"/>
            <w:tcBorders>
              <w:top w:val="single" w:color="000000" w:sz="4" w:space="0"/>
              <w:left w:val="nil"/>
              <w:bottom w:val="single" w:color="000000" w:sz="4" w:space="0"/>
              <w:right w:val="single" w:color="000000" w:sz="4" w:space="0"/>
            </w:tcBorders>
            <w:vAlign w:val="center"/>
          </w:tcPr>
          <w:p w14:paraId="45632205">
            <w:pPr>
              <w:widowControl/>
              <w:jc w:val="center"/>
              <w:rPr>
                <w:rFonts w:hint="eastAsia" w:ascii="宋体" w:hAnsi="宋体" w:eastAsia="宋体" w:cs="宋体"/>
                <w:color w:val="auto"/>
                <w:sz w:val="21"/>
                <w:szCs w:val="21"/>
              </w:rPr>
            </w:pPr>
          </w:p>
        </w:tc>
      </w:tr>
      <w:tr w14:paraId="109C61FE">
        <w:tblPrEx>
          <w:tblCellMar>
            <w:top w:w="0" w:type="dxa"/>
            <w:left w:w="108" w:type="dxa"/>
            <w:bottom w:w="0" w:type="dxa"/>
            <w:right w:w="108" w:type="dxa"/>
          </w:tblCellMar>
        </w:tblPrEx>
        <w:trPr>
          <w:trHeight w:val="23"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10A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交通工具</w:t>
            </w:r>
          </w:p>
          <w:p w14:paraId="0886989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（10分）</w:t>
            </w:r>
          </w:p>
        </w:tc>
        <w:tc>
          <w:tcPr>
            <w:tcW w:w="1064" w:type="dxa"/>
            <w:tcBorders>
              <w:top w:val="single" w:color="000000" w:sz="4" w:space="0"/>
              <w:left w:val="nil"/>
              <w:bottom w:val="single" w:color="000000" w:sz="4" w:space="0"/>
              <w:right w:val="single" w:color="000000" w:sz="4" w:space="0"/>
            </w:tcBorders>
            <w:vAlign w:val="center"/>
          </w:tcPr>
          <w:p w14:paraId="775C8A2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（10-9）</w:t>
            </w:r>
          </w:p>
        </w:tc>
        <w:tc>
          <w:tcPr>
            <w:tcW w:w="1040" w:type="dxa"/>
            <w:tcBorders>
              <w:top w:val="single" w:color="000000" w:sz="4" w:space="0"/>
              <w:left w:val="nil"/>
              <w:bottom w:val="single" w:color="000000" w:sz="4" w:space="0"/>
              <w:right w:val="single" w:color="000000" w:sz="4" w:space="0"/>
            </w:tcBorders>
            <w:vAlign w:val="center"/>
          </w:tcPr>
          <w:p w14:paraId="11E1B73F">
            <w:pPr>
              <w:widowControl/>
              <w:jc w:val="center"/>
              <w:rPr>
                <w:rFonts w:hint="eastAsia" w:ascii="宋体" w:hAnsi="宋体" w:eastAsia="宋体" w:cs="宋体"/>
                <w:color w:val="auto"/>
                <w:sz w:val="21"/>
                <w:szCs w:val="21"/>
              </w:rPr>
            </w:pPr>
          </w:p>
        </w:tc>
        <w:tc>
          <w:tcPr>
            <w:tcW w:w="1067" w:type="dxa"/>
            <w:tcBorders>
              <w:top w:val="single" w:color="000000" w:sz="4" w:space="0"/>
              <w:left w:val="nil"/>
              <w:bottom w:val="single" w:color="000000" w:sz="4" w:space="0"/>
              <w:right w:val="single" w:color="000000" w:sz="4" w:space="0"/>
            </w:tcBorders>
            <w:vAlign w:val="center"/>
          </w:tcPr>
          <w:p w14:paraId="6C02F3C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（8-7）</w:t>
            </w:r>
          </w:p>
        </w:tc>
        <w:tc>
          <w:tcPr>
            <w:tcW w:w="773" w:type="dxa"/>
            <w:tcBorders>
              <w:top w:val="single" w:color="000000" w:sz="4" w:space="0"/>
              <w:left w:val="nil"/>
              <w:bottom w:val="single" w:color="000000" w:sz="4" w:space="0"/>
              <w:right w:val="single" w:color="000000" w:sz="4" w:space="0"/>
            </w:tcBorders>
            <w:vAlign w:val="center"/>
          </w:tcPr>
          <w:p w14:paraId="0ABA94F6">
            <w:pPr>
              <w:widowControl/>
              <w:jc w:val="center"/>
              <w:rPr>
                <w:rFonts w:hint="eastAsia" w:ascii="宋体" w:hAnsi="宋体" w:eastAsia="宋体" w:cs="宋体"/>
                <w:color w:val="auto"/>
                <w:sz w:val="21"/>
                <w:szCs w:val="21"/>
              </w:rPr>
            </w:pPr>
          </w:p>
        </w:tc>
        <w:tc>
          <w:tcPr>
            <w:tcW w:w="1193" w:type="dxa"/>
            <w:tcBorders>
              <w:top w:val="single" w:color="000000" w:sz="4" w:space="0"/>
              <w:left w:val="nil"/>
              <w:bottom w:val="single" w:color="000000" w:sz="4" w:space="0"/>
              <w:right w:val="single" w:color="000000" w:sz="4" w:space="0"/>
            </w:tcBorders>
            <w:vAlign w:val="center"/>
          </w:tcPr>
          <w:p w14:paraId="13747F4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（6-5）</w:t>
            </w:r>
          </w:p>
        </w:tc>
        <w:tc>
          <w:tcPr>
            <w:tcW w:w="714" w:type="dxa"/>
            <w:tcBorders>
              <w:top w:val="single" w:color="000000" w:sz="4" w:space="0"/>
              <w:left w:val="nil"/>
              <w:bottom w:val="single" w:color="000000" w:sz="4" w:space="0"/>
              <w:right w:val="single" w:color="000000" w:sz="4" w:space="0"/>
            </w:tcBorders>
            <w:vAlign w:val="center"/>
          </w:tcPr>
          <w:p w14:paraId="306B3CC1">
            <w:pPr>
              <w:widowControl/>
              <w:jc w:val="center"/>
              <w:rPr>
                <w:rFonts w:hint="eastAsia" w:ascii="宋体" w:hAnsi="宋体" w:eastAsia="宋体" w:cs="宋体"/>
                <w:color w:val="auto"/>
                <w:sz w:val="21"/>
                <w:szCs w:val="21"/>
              </w:rPr>
            </w:pPr>
          </w:p>
        </w:tc>
        <w:tc>
          <w:tcPr>
            <w:tcW w:w="761" w:type="dxa"/>
            <w:tcBorders>
              <w:top w:val="single" w:color="000000" w:sz="4" w:space="0"/>
              <w:left w:val="nil"/>
              <w:bottom w:val="single" w:color="000000" w:sz="4" w:space="0"/>
              <w:right w:val="single" w:color="000000" w:sz="4" w:space="0"/>
            </w:tcBorders>
            <w:vAlign w:val="center"/>
          </w:tcPr>
          <w:p w14:paraId="449AA6A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708" w:type="dxa"/>
            <w:tcBorders>
              <w:top w:val="single" w:color="000000" w:sz="4" w:space="0"/>
              <w:left w:val="nil"/>
              <w:bottom w:val="single" w:color="000000" w:sz="4" w:space="0"/>
              <w:right w:val="single" w:color="000000" w:sz="4" w:space="0"/>
            </w:tcBorders>
            <w:vAlign w:val="center"/>
          </w:tcPr>
          <w:p w14:paraId="5FAD4059">
            <w:pPr>
              <w:widowControl/>
              <w:jc w:val="center"/>
              <w:rPr>
                <w:rFonts w:hint="eastAsia" w:ascii="宋体" w:hAnsi="宋体" w:eastAsia="宋体" w:cs="宋体"/>
                <w:color w:val="auto"/>
                <w:sz w:val="21"/>
                <w:szCs w:val="21"/>
              </w:rPr>
            </w:pPr>
          </w:p>
        </w:tc>
      </w:tr>
      <w:tr w14:paraId="12A06462">
        <w:tblPrEx>
          <w:tblCellMar>
            <w:top w:w="0" w:type="dxa"/>
            <w:left w:w="108" w:type="dxa"/>
            <w:bottom w:w="0" w:type="dxa"/>
            <w:right w:w="108" w:type="dxa"/>
          </w:tblCellMar>
        </w:tblPrEx>
        <w:trPr>
          <w:trHeight w:val="23"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AFF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导游服务</w:t>
            </w:r>
          </w:p>
          <w:p w14:paraId="0A1451B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（10分）</w:t>
            </w:r>
          </w:p>
        </w:tc>
        <w:tc>
          <w:tcPr>
            <w:tcW w:w="1064" w:type="dxa"/>
            <w:tcBorders>
              <w:top w:val="single" w:color="000000" w:sz="4" w:space="0"/>
              <w:left w:val="nil"/>
              <w:bottom w:val="single" w:color="000000" w:sz="4" w:space="0"/>
              <w:right w:val="single" w:color="000000" w:sz="4" w:space="0"/>
            </w:tcBorders>
            <w:vAlign w:val="center"/>
          </w:tcPr>
          <w:p w14:paraId="12CD326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（10-9）</w:t>
            </w:r>
          </w:p>
        </w:tc>
        <w:tc>
          <w:tcPr>
            <w:tcW w:w="1040" w:type="dxa"/>
            <w:tcBorders>
              <w:top w:val="single" w:color="000000" w:sz="4" w:space="0"/>
              <w:left w:val="nil"/>
              <w:bottom w:val="single" w:color="000000" w:sz="4" w:space="0"/>
              <w:right w:val="single" w:color="000000" w:sz="4" w:space="0"/>
            </w:tcBorders>
            <w:vAlign w:val="center"/>
          </w:tcPr>
          <w:p w14:paraId="049FFFB1">
            <w:pPr>
              <w:widowControl/>
              <w:jc w:val="center"/>
              <w:rPr>
                <w:rFonts w:hint="eastAsia" w:ascii="宋体" w:hAnsi="宋体" w:eastAsia="宋体" w:cs="宋体"/>
                <w:color w:val="auto"/>
                <w:sz w:val="21"/>
                <w:szCs w:val="21"/>
              </w:rPr>
            </w:pPr>
          </w:p>
        </w:tc>
        <w:tc>
          <w:tcPr>
            <w:tcW w:w="1067" w:type="dxa"/>
            <w:tcBorders>
              <w:top w:val="single" w:color="000000" w:sz="4" w:space="0"/>
              <w:left w:val="nil"/>
              <w:bottom w:val="single" w:color="000000" w:sz="4" w:space="0"/>
              <w:right w:val="single" w:color="000000" w:sz="4" w:space="0"/>
            </w:tcBorders>
            <w:vAlign w:val="center"/>
          </w:tcPr>
          <w:p w14:paraId="63223C9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（8-7）</w:t>
            </w:r>
          </w:p>
        </w:tc>
        <w:tc>
          <w:tcPr>
            <w:tcW w:w="773" w:type="dxa"/>
            <w:tcBorders>
              <w:top w:val="single" w:color="000000" w:sz="4" w:space="0"/>
              <w:left w:val="nil"/>
              <w:bottom w:val="single" w:color="000000" w:sz="4" w:space="0"/>
              <w:right w:val="single" w:color="000000" w:sz="4" w:space="0"/>
            </w:tcBorders>
            <w:vAlign w:val="center"/>
          </w:tcPr>
          <w:p w14:paraId="1A0FA733">
            <w:pPr>
              <w:widowControl/>
              <w:jc w:val="center"/>
              <w:rPr>
                <w:rFonts w:hint="eastAsia" w:ascii="宋体" w:hAnsi="宋体" w:eastAsia="宋体" w:cs="宋体"/>
                <w:color w:val="auto"/>
                <w:sz w:val="21"/>
                <w:szCs w:val="21"/>
              </w:rPr>
            </w:pPr>
          </w:p>
        </w:tc>
        <w:tc>
          <w:tcPr>
            <w:tcW w:w="1193" w:type="dxa"/>
            <w:tcBorders>
              <w:top w:val="single" w:color="000000" w:sz="4" w:space="0"/>
              <w:left w:val="nil"/>
              <w:bottom w:val="single" w:color="000000" w:sz="4" w:space="0"/>
              <w:right w:val="single" w:color="000000" w:sz="4" w:space="0"/>
            </w:tcBorders>
            <w:vAlign w:val="center"/>
          </w:tcPr>
          <w:p w14:paraId="0E5E98A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（6-5）</w:t>
            </w:r>
          </w:p>
        </w:tc>
        <w:tc>
          <w:tcPr>
            <w:tcW w:w="714" w:type="dxa"/>
            <w:tcBorders>
              <w:top w:val="single" w:color="000000" w:sz="4" w:space="0"/>
              <w:left w:val="nil"/>
              <w:bottom w:val="single" w:color="000000" w:sz="4" w:space="0"/>
              <w:right w:val="single" w:color="000000" w:sz="4" w:space="0"/>
            </w:tcBorders>
            <w:vAlign w:val="center"/>
          </w:tcPr>
          <w:p w14:paraId="18800E56">
            <w:pPr>
              <w:widowControl/>
              <w:jc w:val="center"/>
              <w:rPr>
                <w:rFonts w:hint="eastAsia" w:ascii="宋体" w:hAnsi="宋体" w:eastAsia="宋体" w:cs="宋体"/>
                <w:color w:val="auto"/>
                <w:sz w:val="21"/>
                <w:szCs w:val="21"/>
              </w:rPr>
            </w:pPr>
          </w:p>
        </w:tc>
        <w:tc>
          <w:tcPr>
            <w:tcW w:w="761" w:type="dxa"/>
            <w:tcBorders>
              <w:top w:val="single" w:color="000000" w:sz="4" w:space="0"/>
              <w:left w:val="nil"/>
              <w:bottom w:val="single" w:color="000000" w:sz="4" w:space="0"/>
              <w:right w:val="single" w:color="000000" w:sz="4" w:space="0"/>
            </w:tcBorders>
            <w:vAlign w:val="center"/>
          </w:tcPr>
          <w:p w14:paraId="063E3FF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708" w:type="dxa"/>
            <w:tcBorders>
              <w:top w:val="single" w:color="000000" w:sz="4" w:space="0"/>
              <w:left w:val="nil"/>
              <w:bottom w:val="single" w:color="000000" w:sz="4" w:space="0"/>
              <w:right w:val="single" w:color="000000" w:sz="4" w:space="0"/>
            </w:tcBorders>
            <w:vAlign w:val="center"/>
          </w:tcPr>
          <w:p w14:paraId="3645B9E4">
            <w:pPr>
              <w:widowControl/>
              <w:jc w:val="center"/>
              <w:rPr>
                <w:rFonts w:hint="eastAsia" w:ascii="宋体" w:hAnsi="宋体" w:eastAsia="宋体" w:cs="宋体"/>
                <w:color w:val="auto"/>
                <w:sz w:val="21"/>
                <w:szCs w:val="21"/>
              </w:rPr>
            </w:pPr>
          </w:p>
        </w:tc>
      </w:tr>
      <w:tr w14:paraId="2891B992">
        <w:tblPrEx>
          <w:tblCellMar>
            <w:top w:w="0" w:type="dxa"/>
            <w:left w:w="108" w:type="dxa"/>
            <w:bottom w:w="0" w:type="dxa"/>
            <w:right w:w="108" w:type="dxa"/>
          </w:tblCellMar>
        </w:tblPrEx>
        <w:trPr>
          <w:trHeight w:val="23"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520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安全措施</w:t>
            </w:r>
          </w:p>
          <w:p w14:paraId="3A357FE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（10分）</w:t>
            </w:r>
          </w:p>
        </w:tc>
        <w:tc>
          <w:tcPr>
            <w:tcW w:w="1064" w:type="dxa"/>
            <w:tcBorders>
              <w:top w:val="single" w:color="000000" w:sz="4" w:space="0"/>
              <w:left w:val="nil"/>
              <w:bottom w:val="single" w:color="000000" w:sz="4" w:space="0"/>
              <w:right w:val="single" w:color="000000" w:sz="4" w:space="0"/>
            </w:tcBorders>
            <w:vAlign w:val="center"/>
          </w:tcPr>
          <w:p w14:paraId="036A418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（10-9）</w:t>
            </w:r>
          </w:p>
        </w:tc>
        <w:tc>
          <w:tcPr>
            <w:tcW w:w="1040" w:type="dxa"/>
            <w:tcBorders>
              <w:top w:val="single" w:color="000000" w:sz="4" w:space="0"/>
              <w:left w:val="nil"/>
              <w:bottom w:val="single" w:color="000000" w:sz="4" w:space="0"/>
              <w:right w:val="single" w:color="000000" w:sz="4" w:space="0"/>
            </w:tcBorders>
            <w:vAlign w:val="center"/>
          </w:tcPr>
          <w:p w14:paraId="07DD846A">
            <w:pPr>
              <w:widowControl/>
              <w:jc w:val="center"/>
              <w:rPr>
                <w:rFonts w:hint="eastAsia" w:ascii="宋体" w:hAnsi="宋体" w:eastAsia="宋体" w:cs="宋体"/>
                <w:color w:val="auto"/>
                <w:sz w:val="21"/>
                <w:szCs w:val="21"/>
              </w:rPr>
            </w:pPr>
          </w:p>
        </w:tc>
        <w:tc>
          <w:tcPr>
            <w:tcW w:w="1067" w:type="dxa"/>
            <w:tcBorders>
              <w:top w:val="single" w:color="000000" w:sz="4" w:space="0"/>
              <w:left w:val="nil"/>
              <w:bottom w:val="single" w:color="000000" w:sz="4" w:space="0"/>
              <w:right w:val="single" w:color="000000" w:sz="4" w:space="0"/>
            </w:tcBorders>
            <w:vAlign w:val="center"/>
          </w:tcPr>
          <w:p w14:paraId="395FA7D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（8-7）</w:t>
            </w:r>
          </w:p>
        </w:tc>
        <w:tc>
          <w:tcPr>
            <w:tcW w:w="773" w:type="dxa"/>
            <w:tcBorders>
              <w:top w:val="single" w:color="000000" w:sz="4" w:space="0"/>
              <w:left w:val="nil"/>
              <w:bottom w:val="single" w:color="000000" w:sz="4" w:space="0"/>
              <w:right w:val="single" w:color="000000" w:sz="4" w:space="0"/>
            </w:tcBorders>
            <w:vAlign w:val="center"/>
          </w:tcPr>
          <w:p w14:paraId="037D5AE4">
            <w:pPr>
              <w:widowControl/>
              <w:jc w:val="center"/>
              <w:rPr>
                <w:rFonts w:hint="eastAsia" w:ascii="宋体" w:hAnsi="宋体" w:eastAsia="宋体" w:cs="宋体"/>
                <w:color w:val="auto"/>
                <w:sz w:val="21"/>
                <w:szCs w:val="21"/>
              </w:rPr>
            </w:pPr>
          </w:p>
        </w:tc>
        <w:tc>
          <w:tcPr>
            <w:tcW w:w="1193" w:type="dxa"/>
            <w:tcBorders>
              <w:top w:val="single" w:color="000000" w:sz="4" w:space="0"/>
              <w:left w:val="nil"/>
              <w:bottom w:val="single" w:color="000000" w:sz="4" w:space="0"/>
              <w:right w:val="single" w:color="000000" w:sz="4" w:space="0"/>
            </w:tcBorders>
            <w:vAlign w:val="center"/>
          </w:tcPr>
          <w:p w14:paraId="118EC70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（6-5）</w:t>
            </w:r>
          </w:p>
        </w:tc>
        <w:tc>
          <w:tcPr>
            <w:tcW w:w="714" w:type="dxa"/>
            <w:tcBorders>
              <w:top w:val="single" w:color="000000" w:sz="4" w:space="0"/>
              <w:left w:val="nil"/>
              <w:bottom w:val="single" w:color="000000" w:sz="4" w:space="0"/>
              <w:right w:val="single" w:color="000000" w:sz="4" w:space="0"/>
            </w:tcBorders>
            <w:vAlign w:val="center"/>
          </w:tcPr>
          <w:p w14:paraId="07B8156A">
            <w:pPr>
              <w:widowControl/>
              <w:jc w:val="center"/>
              <w:rPr>
                <w:rFonts w:hint="eastAsia" w:ascii="宋体" w:hAnsi="宋体" w:eastAsia="宋体" w:cs="宋体"/>
                <w:color w:val="auto"/>
                <w:sz w:val="21"/>
                <w:szCs w:val="21"/>
              </w:rPr>
            </w:pPr>
          </w:p>
        </w:tc>
        <w:tc>
          <w:tcPr>
            <w:tcW w:w="761" w:type="dxa"/>
            <w:tcBorders>
              <w:top w:val="single" w:color="000000" w:sz="4" w:space="0"/>
              <w:left w:val="nil"/>
              <w:bottom w:val="single" w:color="000000" w:sz="4" w:space="0"/>
              <w:right w:val="single" w:color="000000" w:sz="4" w:space="0"/>
            </w:tcBorders>
            <w:vAlign w:val="center"/>
          </w:tcPr>
          <w:p w14:paraId="31AB6D2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708" w:type="dxa"/>
            <w:tcBorders>
              <w:top w:val="single" w:color="000000" w:sz="4" w:space="0"/>
              <w:left w:val="nil"/>
              <w:bottom w:val="single" w:color="000000" w:sz="4" w:space="0"/>
              <w:right w:val="single" w:color="000000" w:sz="4" w:space="0"/>
            </w:tcBorders>
            <w:vAlign w:val="center"/>
          </w:tcPr>
          <w:p w14:paraId="5646605F">
            <w:pPr>
              <w:widowControl/>
              <w:jc w:val="center"/>
              <w:rPr>
                <w:rFonts w:hint="eastAsia" w:ascii="宋体" w:hAnsi="宋体" w:eastAsia="宋体" w:cs="宋体"/>
                <w:color w:val="auto"/>
                <w:sz w:val="21"/>
                <w:szCs w:val="21"/>
              </w:rPr>
            </w:pPr>
          </w:p>
        </w:tc>
      </w:tr>
      <w:tr w14:paraId="2F92F53A">
        <w:tblPrEx>
          <w:tblCellMar>
            <w:top w:w="0" w:type="dxa"/>
            <w:left w:w="108" w:type="dxa"/>
            <w:bottom w:w="0" w:type="dxa"/>
            <w:right w:w="108" w:type="dxa"/>
          </w:tblCellMar>
        </w:tblPrEx>
        <w:trPr>
          <w:trHeight w:val="23"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3A0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本团擅自降低疗休养方案标准</w:t>
            </w:r>
          </w:p>
        </w:tc>
        <w:tc>
          <w:tcPr>
            <w:tcW w:w="7320" w:type="dxa"/>
            <w:gridSpan w:val="8"/>
            <w:tcBorders>
              <w:top w:val="single" w:color="000000" w:sz="4" w:space="0"/>
              <w:left w:val="nil"/>
              <w:bottom w:val="single" w:color="000000" w:sz="4" w:space="0"/>
              <w:right w:val="single" w:color="000000" w:sz="4" w:space="0"/>
            </w:tcBorders>
            <w:vAlign w:val="center"/>
          </w:tcPr>
          <w:p w14:paraId="00D4315D">
            <w:pPr>
              <w:widowControl/>
              <w:rPr>
                <w:rFonts w:hint="eastAsia" w:ascii="宋体" w:hAnsi="宋体" w:eastAsia="宋体" w:cs="宋体"/>
                <w:color w:val="auto"/>
                <w:sz w:val="21"/>
                <w:szCs w:val="21"/>
              </w:rPr>
            </w:pPr>
            <w:r>
              <w:rPr>
                <w:rFonts w:hint="eastAsia" w:ascii="宋体" w:hAnsi="宋体" w:eastAsia="宋体" w:cs="宋体"/>
                <w:color w:val="auto"/>
                <w:sz w:val="21"/>
                <w:szCs w:val="21"/>
              </w:rPr>
              <w:t>否</w:t>
            </w:r>
            <w:r>
              <w:rPr>
                <w:rFonts w:hint="eastAsia" w:ascii="宋体" w:hAnsi="宋体" w:eastAsia="宋体" w:cs="宋体"/>
                <w:color w:val="auto"/>
                <w:sz w:val="21"/>
                <w:szCs w:val="21"/>
              </w:rPr>
              <w:sym w:font="Wingdings" w:char="00A8"/>
            </w:r>
            <w:r>
              <w:rPr>
                <w:rFonts w:hint="eastAsia" w:ascii="宋体" w:hAnsi="宋体" w:eastAsia="宋体" w:cs="宋体"/>
                <w:color w:val="auto"/>
                <w:sz w:val="21"/>
                <w:szCs w:val="21"/>
              </w:rPr>
              <w:t xml:space="preserve"> ；是</w:t>
            </w:r>
            <w:r>
              <w:rPr>
                <w:rFonts w:hint="eastAsia" w:ascii="宋体" w:hAnsi="宋体" w:eastAsia="宋体" w:cs="宋体"/>
                <w:color w:val="auto"/>
                <w:sz w:val="21"/>
                <w:szCs w:val="21"/>
              </w:rPr>
              <w:sym w:font="Wingdings" w:char="00A8"/>
            </w:r>
            <w:r>
              <w:rPr>
                <w:rFonts w:hint="eastAsia" w:ascii="宋体" w:hAnsi="宋体" w:eastAsia="宋体" w:cs="宋体"/>
                <w:color w:val="auto"/>
                <w:sz w:val="21"/>
                <w:szCs w:val="21"/>
              </w:rPr>
              <w:t xml:space="preserve"> ，具体表现：</w:t>
            </w:r>
          </w:p>
        </w:tc>
      </w:tr>
      <w:tr w14:paraId="26A35359">
        <w:tblPrEx>
          <w:tblCellMar>
            <w:top w:w="0" w:type="dxa"/>
            <w:left w:w="108" w:type="dxa"/>
            <w:bottom w:w="0" w:type="dxa"/>
            <w:right w:w="108" w:type="dxa"/>
          </w:tblCellMar>
        </w:tblPrEx>
        <w:trPr>
          <w:trHeight w:val="23" w:hRule="atLeast"/>
          <w:jc w:val="center"/>
        </w:trPr>
        <w:tc>
          <w:tcPr>
            <w:tcW w:w="1980" w:type="dxa"/>
            <w:tcBorders>
              <w:top w:val="single" w:color="000000" w:sz="4" w:space="0"/>
              <w:left w:val="single" w:color="000000" w:sz="4" w:space="0"/>
              <w:bottom w:val="single" w:color="000000" w:sz="4" w:space="0"/>
              <w:right w:val="single" w:color="000000" w:sz="4" w:space="0"/>
            </w:tcBorders>
            <w:vAlign w:val="center"/>
          </w:tcPr>
          <w:p w14:paraId="4B44DF7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合计得分</w:t>
            </w:r>
          </w:p>
        </w:tc>
        <w:tc>
          <w:tcPr>
            <w:tcW w:w="7320" w:type="dxa"/>
            <w:gridSpan w:val="8"/>
            <w:tcBorders>
              <w:top w:val="single" w:color="000000" w:sz="4" w:space="0"/>
              <w:left w:val="nil"/>
              <w:bottom w:val="single" w:color="000000" w:sz="4" w:space="0"/>
              <w:right w:val="single" w:color="000000" w:sz="4" w:space="0"/>
            </w:tcBorders>
            <w:vAlign w:val="center"/>
          </w:tcPr>
          <w:p w14:paraId="661CEDC7">
            <w:pPr>
              <w:widowControl/>
              <w:jc w:val="center"/>
              <w:rPr>
                <w:rFonts w:hint="eastAsia" w:ascii="宋体" w:hAnsi="宋体" w:eastAsia="宋体" w:cs="宋体"/>
                <w:color w:val="auto"/>
                <w:sz w:val="21"/>
                <w:szCs w:val="21"/>
              </w:rPr>
            </w:pPr>
          </w:p>
        </w:tc>
      </w:tr>
      <w:tr w14:paraId="168A4188">
        <w:tblPrEx>
          <w:tblCellMar>
            <w:top w:w="0" w:type="dxa"/>
            <w:left w:w="108" w:type="dxa"/>
            <w:bottom w:w="0" w:type="dxa"/>
            <w:right w:w="108" w:type="dxa"/>
          </w:tblCellMar>
        </w:tblPrEx>
        <w:trPr>
          <w:trHeight w:val="23" w:hRule="atLeast"/>
          <w:jc w:val="center"/>
        </w:trPr>
        <w:tc>
          <w:tcPr>
            <w:tcW w:w="9300" w:type="dxa"/>
            <w:gridSpan w:val="9"/>
            <w:tcBorders>
              <w:top w:val="single" w:color="000000" w:sz="4" w:space="0"/>
              <w:left w:val="single" w:color="000000" w:sz="4" w:space="0"/>
              <w:bottom w:val="single" w:color="000000" w:sz="4" w:space="0"/>
              <w:right w:val="single" w:color="000000" w:sz="4" w:space="0"/>
            </w:tcBorders>
          </w:tcPr>
          <w:p w14:paraId="139D1347">
            <w:pPr>
              <w:widowControl/>
              <w:spacing w:before="156"/>
              <w:rPr>
                <w:rFonts w:hint="eastAsia" w:ascii="宋体" w:hAnsi="宋体" w:eastAsia="宋体" w:cs="宋体"/>
                <w:color w:val="auto"/>
                <w:sz w:val="21"/>
                <w:szCs w:val="21"/>
              </w:rPr>
            </w:pPr>
            <w:r>
              <w:rPr>
                <w:rFonts w:hint="eastAsia" w:ascii="宋体" w:hAnsi="宋体" w:eastAsia="宋体" w:cs="宋体"/>
                <w:color w:val="auto"/>
                <w:sz w:val="21"/>
                <w:szCs w:val="21"/>
              </w:rPr>
              <w:t xml:space="preserve">对这次疗休养的总体评价及建议：    </w:t>
            </w:r>
          </w:p>
          <w:p w14:paraId="1F53B1C9">
            <w:pPr>
              <w:widowControl/>
              <w:spacing w:before="156"/>
              <w:rPr>
                <w:rFonts w:hint="eastAsia" w:ascii="宋体" w:hAnsi="宋体" w:eastAsia="宋体" w:cs="宋体"/>
                <w:color w:val="auto"/>
                <w:sz w:val="21"/>
                <w:szCs w:val="21"/>
              </w:rPr>
            </w:pPr>
          </w:p>
          <w:p w14:paraId="3D302AD9">
            <w:pPr>
              <w:widowControl/>
              <w:spacing w:before="156"/>
              <w:rPr>
                <w:rFonts w:hint="eastAsia" w:ascii="宋体" w:hAnsi="宋体" w:eastAsia="宋体" w:cs="宋体"/>
                <w:color w:val="auto"/>
                <w:sz w:val="21"/>
                <w:szCs w:val="21"/>
              </w:rPr>
            </w:pPr>
          </w:p>
          <w:p w14:paraId="1A4BCDB2">
            <w:pPr>
              <w:widowControl/>
              <w:spacing w:before="156"/>
              <w:rPr>
                <w:rFonts w:hint="eastAsia" w:ascii="宋体" w:hAnsi="宋体" w:eastAsia="宋体" w:cs="宋体"/>
                <w:color w:val="auto"/>
                <w:sz w:val="21"/>
                <w:szCs w:val="21"/>
              </w:rPr>
            </w:pPr>
          </w:p>
          <w:p w14:paraId="6A84162C">
            <w:pPr>
              <w:widowControl/>
              <w:spacing w:before="156"/>
              <w:rPr>
                <w:rFonts w:hint="eastAsia" w:ascii="宋体" w:hAnsi="宋体" w:eastAsia="宋体" w:cs="宋体"/>
                <w:color w:val="auto"/>
                <w:sz w:val="21"/>
                <w:szCs w:val="21"/>
              </w:rPr>
            </w:pPr>
            <w:r>
              <w:rPr>
                <w:rFonts w:hint="eastAsia" w:ascii="宋体" w:hAnsi="宋体" w:eastAsia="宋体" w:cs="宋体"/>
                <w:color w:val="auto"/>
                <w:sz w:val="21"/>
                <w:szCs w:val="21"/>
              </w:rPr>
              <w:t xml:space="preserve">签名：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联系电话 </w:t>
            </w:r>
          </w:p>
          <w:p w14:paraId="6270D6C9">
            <w:pPr>
              <w:widowControl/>
              <w:spacing w:before="156"/>
              <w:ind w:firstLine="6825" w:firstLineChars="3250"/>
              <w:jc w:val="right"/>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tc>
      </w:tr>
    </w:tbl>
    <w:p w14:paraId="5556DAAF">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p w14:paraId="02D033C8">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1.此表作为对乙方的评价依据，每批次疗休养完成后组织测评。由每批次疗休养人员评分。得分90分(含)以上为满意，80分（含）-90分为合格，80分以下为不合格。</w:t>
      </w:r>
    </w:p>
    <w:p w14:paraId="283E9070">
      <w:pPr>
        <w:numPr>
          <w:ilvl w:val="255"/>
          <w:numId w:val="0"/>
        </w:numPr>
        <w:spacing w:after="120" w:line="24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2.每批次考核得分</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每批次疗休养人员</w:t>
      </w:r>
      <w:r>
        <w:rPr>
          <w:rFonts w:hint="eastAsia" w:ascii="宋体" w:hAnsi="宋体" w:eastAsia="宋体" w:cs="宋体"/>
          <w:color w:val="auto"/>
          <w:sz w:val="22"/>
          <w:highlight w:val="none"/>
        </w:rPr>
        <w:t>合计得分均值。</w:t>
      </w:r>
    </w:p>
    <w:p w14:paraId="2E10ED7D">
      <w:pPr>
        <w:rPr>
          <w:rFonts w:hint="eastAsia" w:ascii="宋体" w:hAnsi="宋体" w:eastAsia="宋体" w:cs="宋体"/>
          <w:szCs w:val="21"/>
          <w:highlight w:val="none"/>
        </w:rPr>
      </w:pPr>
    </w:p>
    <w:p w14:paraId="7E7D18DD">
      <w:pPr>
        <w:keepNext/>
        <w:keepLines/>
        <w:snapToGrid w:val="0"/>
        <w:spacing w:before="0" w:after="0" w:line="240" w:lineRule="auto"/>
        <w:jc w:val="center"/>
        <w:outlineLvl w:val="9"/>
        <w:rPr>
          <w:rFonts w:hint="eastAsia" w:ascii="宋体" w:hAnsi="宋体" w:eastAsia="宋体" w:cs="宋体"/>
          <w:b/>
          <w:bCs/>
          <w:color w:val="auto"/>
          <w:sz w:val="28"/>
          <w:szCs w:val="28"/>
          <w:highlight w:val="none"/>
        </w:rPr>
      </w:pPr>
    </w:p>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14:paraId="60D58E34">
      <w:pPr>
        <w:spacing w:before="120" w:beforeLines="50" w:after="120" w:afterLines="50"/>
        <w:rPr>
          <w:rFonts w:hint="eastAsia" w:ascii="宋体" w:hAnsi="宋体" w:eastAsia="宋体" w:cs="宋体"/>
          <w:sz w:val="22"/>
          <w:highlight w:val="none"/>
        </w:rPr>
      </w:pPr>
    </w:p>
    <w:p w14:paraId="260B6056">
      <w:pPr>
        <w:rPr>
          <w:rFonts w:hint="eastAsia" w:ascii="宋体" w:hAnsi="宋体" w:eastAsia="宋体" w:cs="宋体"/>
          <w:sz w:val="22"/>
          <w:highlight w:val="none"/>
        </w:rPr>
      </w:pPr>
      <w:r>
        <w:rPr>
          <w:rFonts w:hint="eastAsia" w:ascii="宋体" w:hAnsi="宋体" w:eastAsia="宋体" w:cs="宋体"/>
          <w:sz w:val="22"/>
          <w:highlight w:val="none"/>
        </w:rPr>
        <w:br w:type="page"/>
      </w:r>
    </w:p>
    <w:p w14:paraId="3D6D8809">
      <w:pPr>
        <w:spacing w:before="120" w:beforeLines="50" w:after="120" w:afterLines="50"/>
        <w:rPr>
          <w:rFonts w:hint="eastAsia" w:ascii="宋体" w:hAnsi="宋体" w:eastAsia="宋体" w:cs="宋体"/>
          <w:sz w:val="22"/>
          <w:highlight w:val="none"/>
        </w:rPr>
      </w:pPr>
      <w:r>
        <w:rPr>
          <w:rFonts w:hint="eastAsia" w:ascii="宋体" w:hAnsi="宋体" w:eastAsia="宋体" w:cs="宋体"/>
          <w:sz w:val="22"/>
          <w:highlight w:val="none"/>
        </w:rPr>
        <w:t>（技术资信标封面，供参考）</w:t>
      </w:r>
    </w:p>
    <w:p w14:paraId="71D95755">
      <w:pPr>
        <w:spacing w:line="460" w:lineRule="exact"/>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14:paraId="71962C21">
      <w:pPr>
        <w:jc w:val="right"/>
        <w:rPr>
          <w:rFonts w:hint="eastAsia" w:ascii="宋体" w:hAnsi="宋体" w:eastAsia="宋体" w:cs="宋体"/>
          <w:szCs w:val="24"/>
          <w:highlight w:val="none"/>
        </w:rPr>
      </w:pPr>
    </w:p>
    <w:p w14:paraId="2DA3E895">
      <w:pPr>
        <w:rPr>
          <w:rFonts w:hint="eastAsia" w:ascii="宋体" w:hAnsi="宋体" w:eastAsia="宋体" w:cs="宋体"/>
          <w:szCs w:val="24"/>
          <w:highlight w:val="none"/>
        </w:rPr>
      </w:pPr>
    </w:p>
    <w:p w14:paraId="7974B1A1">
      <w:pPr>
        <w:ind w:left="480" w:hanging="480" w:hangingChars="200"/>
        <w:rPr>
          <w:rFonts w:hint="eastAsia" w:ascii="宋体" w:hAnsi="宋体" w:eastAsia="宋体" w:cs="宋体"/>
          <w:sz w:val="24"/>
          <w:szCs w:val="24"/>
          <w:highlight w:val="none"/>
        </w:rPr>
      </w:pPr>
    </w:p>
    <w:p w14:paraId="6323FF9B">
      <w:pPr>
        <w:rPr>
          <w:rFonts w:hint="eastAsia" w:ascii="宋体" w:hAnsi="宋体" w:eastAsia="宋体" w:cs="宋体"/>
          <w:szCs w:val="24"/>
          <w:highlight w:val="none"/>
        </w:rPr>
      </w:pPr>
    </w:p>
    <w:p w14:paraId="14F67C7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投标文件</w:t>
      </w:r>
    </w:p>
    <w:p w14:paraId="13EED663">
      <w:pPr>
        <w:rPr>
          <w:rFonts w:hint="eastAsia" w:ascii="宋体" w:hAnsi="宋体" w:eastAsia="宋体" w:cs="宋体"/>
          <w:sz w:val="28"/>
          <w:szCs w:val="28"/>
          <w:highlight w:val="none"/>
        </w:rPr>
      </w:pPr>
    </w:p>
    <w:p w14:paraId="782CDF84">
      <w:pPr>
        <w:rPr>
          <w:rFonts w:hint="eastAsia" w:ascii="宋体" w:hAnsi="宋体" w:eastAsia="宋体" w:cs="宋体"/>
          <w:sz w:val="28"/>
          <w:szCs w:val="28"/>
          <w:highlight w:val="none"/>
        </w:rPr>
      </w:pPr>
    </w:p>
    <w:p w14:paraId="2FD339D2">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62C4FDE8">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1080798D">
      <w:pPr>
        <w:rPr>
          <w:rFonts w:hint="eastAsia" w:ascii="宋体" w:hAnsi="宋体" w:eastAsia="宋体" w:cs="宋体"/>
          <w:sz w:val="28"/>
          <w:szCs w:val="28"/>
          <w:highlight w:val="none"/>
        </w:rPr>
      </w:pPr>
    </w:p>
    <w:p w14:paraId="7F6DADE8">
      <w:pPr>
        <w:rPr>
          <w:rFonts w:hint="eastAsia" w:ascii="宋体" w:hAnsi="宋体" w:eastAsia="宋体" w:cs="宋体"/>
          <w:sz w:val="28"/>
          <w:szCs w:val="28"/>
          <w:highlight w:val="none"/>
        </w:rPr>
      </w:pPr>
    </w:p>
    <w:p w14:paraId="4847B29D">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技 术 资 信 标</w:t>
      </w:r>
    </w:p>
    <w:p w14:paraId="5950732F">
      <w:pPr>
        <w:spacing w:line="480" w:lineRule="auto"/>
        <w:jc w:val="center"/>
        <w:rPr>
          <w:rFonts w:hint="eastAsia" w:ascii="宋体" w:hAnsi="宋体" w:eastAsia="宋体" w:cs="宋体"/>
          <w:sz w:val="44"/>
          <w:szCs w:val="44"/>
          <w:highlight w:val="none"/>
        </w:rPr>
      </w:pPr>
    </w:p>
    <w:p w14:paraId="3B2C27C3">
      <w:pPr>
        <w:spacing w:line="360" w:lineRule="auto"/>
        <w:rPr>
          <w:rFonts w:hint="eastAsia" w:ascii="宋体" w:hAnsi="宋体" w:eastAsia="宋体" w:cs="宋体"/>
          <w:szCs w:val="21"/>
          <w:highlight w:val="none"/>
        </w:rPr>
      </w:pPr>
    </w:p>
    <w:p w14:paraId="51AB8CA7">
      <w:pPr>
        <w:spacing w:line="360" w:lineRule="auto"/>
        <w:rPr>
          <w:rFonts w:hint="eastAsia" w:ascii="宋体" w:hAnsi="宋体" w:eastAsia="宋体" w:cs="宋体"/>
          <w:szCs w:val="21"/>
          <w:highlight w:val="none"/>
        </w:rPr>
      </w:pPr>
    </w:p>
    <w:p w14:paraId="06BFDF2D">
      <w:pPr>
        <w:autoSpaceDE w:val="0"/>
        <w:autoSpaceDN w:val="0"/>
        <w:adjustRightInd w:val="0"/>
        <w:spacing w:after="120"/>
        <w:ind w:firstLine="210" w:firstLineChars="100"/>
        <w:jc w:val="left"/>
        <w:rPr>
          <w:rFonts w:hint="eastAsia" w:ascii="宋体" w:hAnsi="宋体" w:eastAsia="宋体" w:cs="宋体"/>
          <w:szCs w:val="24"/>
          <w:highlight w:val="none"/>
        </w:rPr>
      </w:pPr>
    </w:p>
    <w:p w14:paraId="723F329D">
      <w:pPr>
        <w:spacing w:line="360" w:lineRule="auto"/>
        <w:rPr>
          <w:rFonts w:hint="eastAsia" w:ascii="宋体" w:hAnsi="宋体" w:eastAsia="宋体" w:cs="宋体"/>
          <w:szCs w:val="21"/>
          <w:highlight w:val="none"/>
        </w:rPr>
      </w:pPr>
    </w:p>
    <w:p w14:paraId="36978BB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（盖单位公章）</w:t>
      </w:r>
    </w:p>
    <w:p w14:paraId="7E8128E3">
      <w:pPr>
        <w:rPr>
          <w:rFonts w:hint="eastAsia" w:ascii="宋体" w:hAnsi="宋体" w:eastAsia="宋体" w:cs="宋体"/>
          <w:sz w:val="28"/>
          <w:szCs w:val="28"/>
          <w:highlight w:val="none"/>
          <w:u w:val="single"/>
        </w:rPr>
      </w:pPr>
    </w:p>
    <w:p w14:paraId="1D34F38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24A5D650">
      <w:pPr>
        <w:rPr>
          <w:rFonts w:hint="eastAsia" w:ascii="宋体" w:hAnsi="宋体" w:eastAsia="宋体" w:cs="宋体"/>
          <w:sz w:val="28"/>
          <w:szCs w:val="28"/>
          <w:highlight w:val="none"/>
        </w:rPr>
      </w:pPr>
    </w:p>
    <w:p w14:paraId="14D42F3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49584257">
      <w:pPr>
        <w:autoSpaceDE w:val="0"/>
        <w:autoSpaceDN w:val="0"/>
        <w:adjustRightInd w:val="0"/>
        <w:spacing w:after="120"/>
        <w:jc w:val="center"/>
        <w:rPr>
          <w:rFonts w:hint="eastAsia" w:ascii="宋体" w:hAnsi="宋体" w:eastAsia="宋体" w:cs="宋体"/>
          <w:b/>
          <w:bCs/>
          <w:sz w:val="52"/>
          <w:szCs w:val="52"/>
          <w:highlight w:val="none"/>
        </w:rPr>
      </w:pPr>
      <w:r>
        <w:rPr>
          <w:rFonts w:hint="eastAsia" w:ascii="宋体" w:hAnsi="宋体" w:eastAsia="宋体" w:cs="宋体"/>
          <w:szCs w:val="24"/>
          <w:highlight w:val="none"/>
        </w:rPr>
        <w:br w:type="page"/>
      </w:r>
    </w:p>
    <w:p w14:paraId="0E4AE295">
      <w:pPr>
        <w:spacing w:line="460" w:lineRule="exact"/>
        <w:jc w:val="center"/>
        <w:rPr>
          <w:rFonts w:hint="eastAsia" w:ascii="宋体" w:hAnsi="宋体" w:eastAsia="宋体" w:cs="宋体"/>
          <w:highlight w:val="none"/>
        </w:rPr>
      </w:pPr>
      <w:r>
        <w:rPr>
          <w:rFonts w:hint="eastAsia" w:ascii="宋体" w:hAnsi="宋体" w:eastAsia="宋体" w:cs="宋体"/>
          <w:b/>
          <w:bCs/>
          <w:sz w:val="30"/>
          <w:szCs w:val="30"/>
          <w:highlight w:val="none"/>
        </w:rPr>
        <w:t>评分索引表</w:t>
      </w:r>
    </w:p>
    <w:p w14:paraId="77702EFB">
      <w:pPr>
        <w:spacing w:line="460" w:lineRule="exact"/>
        <w:jc w:val="center"/>
        <w:rPr>
          <w:rFonts w:hint="eastAsia" w:ascii="宋体" w:hAnsi="宋体" w:eastAsia="宋体" w:cs="宋体"/>
          <w:b/>
          <w:bCs/>
          <w:sz w:val="30"/>
          <w:szCs w:val="30"/>
          <w:highlight w:val="none"/>
        </w:rPr>
      </w:pPr>
      <w:r>
        <w:rPr>
          <w:rFonts w:hint="eastAsia" w:ascii="宋体" w:hAnsi="宋体" w:eastAsia="宋体" w:cs="宋体"/>
          <w:highlight w:val="none"/>
        </w:rPr>
        <w:t xml:space="preserve">                     </w:t>
      </w:r>
    </w:p>
    <w:tbl>
      <w:tblPr>
        <w:tblStyle w:val="25"/>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14:paraId="1961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14:paraId="1DCF413D">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5144" w:type="dxa"/>
            <w:vAlign w:val="center"/>
          </w:tcPr>
          <w:p w14:paraId="62D540F1">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评分项目</w:t>
            </w:r>
          </w:p>
        </w:tc>
        <w:tc>
          <w:tcPr>
            <w:tcW w:w="2690" w:type="dxa"/>
            <w:vAlign w:val="center"/>
          </w:tcPr>
          <w:p w14:paraId="58D1B7BA">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查阅指引</w:t>
            </w:r>
          </w:p>
        </w:tc>
      </w:tr>
      <w:tr w14:paraId="1A7A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26C34AD1">
            <w:pPr>
              <w:spacing w:line="420" w:lineRule="exact"/>
              <w:jc w:val="center"/>
              <w:rPr>
                <w:rFonts w:hint="eastAsia" w:ascii="宋体" w:hAnsi="宋体" w:eastAsia="宋体" w:cs="宋体"/>
                <w:sz w:val="18"/>
                <w:szCs w:val="18"/>
                <w:highlight w:val="none"/>
              </w:rPr>
            </w:pPr>
          </w:p>
        </w:tc>
        <w:tc>
          <w:tcPr>
            <w:tcW w:w="5144" w:type="dxa"/>
            <w:vAlign w:val="center"/>
          </w:tcPr>
          <w:p w14:paraId="3026C790">
            <w:pPr>
              <w:spacing w:line="420" w:lineRule="exact"/>
              <w:jc w:val="center"/>
              <w:rPr>
                <w:rFonts w:hint="eastAsia" w:ascii="宋体" w:hAnsi="宋体" w:eastAsia="宋体" w:cs="宋体"/>
                <w:sz w:val="18"/>
                <w:szCs w:val="18"/>
                <w:highlight w:val="none"/>
              </w:rPr>
            </w:pPr>
          </w:p>
        </w:tc>
        <w:tc>
          <w:tcPr>
            <w:tcW w:w="2690" w:type="dxa"/>
            <w:vAlign w:val="center"/>
          </w:tcPr>
          <w:p w14:paraId="2A4C8A72">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7A6C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4870E389">
            <w:pPr>
              <w:spacing w:line="420" w:lineRule="exact"/>
              <w:jc w:val="center"/>
              <w:rPr>
                <w:rFonts w:hint="eastAsia" w:ascii="宋体" w:hAnsi="宋体" w:eastAsia="宋体" w:cs="宋体"/>
                <w:sz w:val="18"/>
                <w:szCs w:val="18"/>
                <w:highlight w:val="none"/>
              </w:rPr>
            </w:pPr>
          </w:p>
        </w:tc>
        <w:tc>
          <w:tcPr>
            <w:tcW w:w="5144" w:type="dxa"/>
            <w:vAlign w:val="center"/>
          </w:tcPr>
          <w:p w14:paraId="77924AC0">
            <w:pPr>
              <w:spacing w:line="420" w:lineRule="exact"/>
              <w:jc w:val="center"/>
              <w:rPr>
                <w:rFonts w:hint="eastAsia" w:ascii="宋体" w:hAnsi="宋体" w:eastAsia="宋体" w:cs="宋体"/>
                <w:sz w:val="18"/>
                <w:szCs w:val="18"/>
                <w:highlight w:val="none"/>
              </w:rPr>
            </w:pPr>
          </w:p>
        </w:tc>
        <w:tc>
          <w:tcPr>
            <w:tcW w:w="2690" w:type="dxa"/>
            <w:vAlign w:val="center"/>
          </w:tcPr>
          <w:p w14:paraId="79DC3B6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5189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54F811C7">
            <w:pPr>
              <w:spacing w:line="420" w:lineRule="exact"/>
              <w:jc w:val="center"/>
              <w:rPr>
                <w:rFonts w:hint="eastAsia" w:ascii="宋体" w:hAnsi="宋体" w:eastAsia="宋体" w:cs="宋体"/>
                <w:sz w:val="18"/>
                <w:szCs w:val="18"/>
                <w:highlight w:val="none"/>
              </w:rPr>
            </w:pPr>
          </w:p>
        </w:tc>
        <w:tc>
          <w:tcPr>
            <w:tcW w:w="5144" w:type="dxa"/>
            <w:vAlign w:val="center"/>
          </w:tcPr>
          <w:p w14:paraId="711AA305">
            <w:pPr>
              <w:spacing w:line="420" w:lineRule="exact"/>
              <w:jc w:val="center"/>
              <w:rPr>
                <w:rFonts w:hint="eastAsia" w:ascii="宋体" w:hAnsi="宋体" w:eastAsia="宋体" w:cs="宋体"/>
                <w:sz w:val="18"/>
                <w:szCs w:val="18"/>
                <w:highlight w:val="none"/>
              </w:rPr>
            </w:pPr>
          </w:p>
        </w:tc>
        <w:tc>
          <w:tcPr>
            <w:tcW w:w="2690" w:type="dxa"/>
            <w:vAlign w:val="center"/>
          </w:tcPr>
          <w:p w14:paraId="4DEA29B5">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2886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6E64BACC">
            <w:pPr>
              <w:spacing w:line="420" w:lineRule="exact"/>
              <w:jc w:val="center"/>
              <w:rPr>
                <w:rFonts w:hint="eastAsia" w:ascii="宋体" w:hAnsi="宋体" w:eastAsia="宋体" w:cs="宋体"/>
                <w:sz w:val="18"/>
                <w:szCs w:val="18"/>
                <w:highlight w:val="none"/>
              </w:rPr>
            </w:pPr>
          </w:p>
        </w:tc>
        <w:tc>
          <w:tcPr>
            <w:tcW w:w="5144" w:type="dxa"/>
            <w:vAlign w:val="center"/>
          </w:tcPr>
          <w:p w14:paraId="3FFA3ACA">
            <w:pPr>
              <w:spacing w:line="420" w:lineRule="exact"/>
              <w:jc w:val="center"/>
              <w:rPr>
                <w:rFonts w:hint="eastAsia" w:ascii="宋体" w:hAnsi="宋体" w:eastAsia="宋体" w:cs="宋体"/>
                <w:sz w:val="18"/>
                <w:szCs w:val="18"/>
                <w:highlight w:val="none"/>
              </w:rPr>
            </w:pPr>
          </w:p>
        </w:tc>
        <w:tc>
          <w:tcPr>
            <w:tcW w:w="2690" w:type="dxa"/>
            <w:vAlign w:val="center"/>
          </w:tcPr>
          <w:p w14:paraId="3479C258">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5E69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2D5D009B">
            <w:pPr>
              <w:spacing w:line="420" w:lineRule="exact"/>
              <w:jc w:val="center"/>
              <w:rPr>
                <w:rFonts w:hint="eastAsia" w:ascii="宋体" w:hAnsi="宋体" w:eastAsia="宋体" w:cs="宋体"/>
                <w:sz w:val="18"/>
                <w:szCs w:val="18"/>
                <w:highlight w:val="none"/>
              </w:rPr>
            </w:pPr>
          </w:p>
        </w:tc>
        <w:tc>
          <w:tcPr>
            <w:tcW w:w="5144" w:type="dxa"/>
            <w:vAlign w:val="center"/>
          </w:tcPr>
          <w:p w14:paraId="40CDA02C">
            <w:pPr>
              <w:spacing w:line="420" w:lineRule="exact"/>
              <w:jc w:val="center"/>
              <w:rPr>
                <w:rFonts w:hint="eastAsia" w:ascii="宋体" w:hAnsi="宋体" w:eastAsia="宋体" w:cs="宋体"/>
                <w:sz w:val="18"/>
                <w:szCs w:val="18"/>
                <w:highlight w:val="none"/>
              </w:rPr>
            </w:pPr>
          </w:p>
        </w:tc>
        <w:tc>
          <w:tcPr>
            <w:tcW w:w="2690" w:type="dxa"/>
            <w:vAlign w:val="center"/>
          </w:tcPr>
          <w:p w14:paraId="55F1522F">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5739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2E2376EE">
            <w:pPr>
              <w:spacing w:line="420" w:lineRule="exact"/>
              <w:jc w:val="center"/>
              <w:rPr>
                <w:rFonts w:hint="eastAsia" w:ascii="宋体" w:hAnsi="宋体" w:eastAsia="宋体" w:cs="宋体"/>
                <w:sz w:val="18"/>
                <w:szCs w:val="18"/>
                <w:highlight w:val="none"/>
              </w:rPr>
            </w:pPr>
          </w:p>
        </w:tc>
        <w:tc>
          <w:tcPr>
            <w:tcW w:w="5144" w:type="dxa"/>
            <w:vAlign w:val="center"/>
          </w:tcPr>
          <w:p w14:paraId="1B4C9843">
            <w:pPr>
              <w:spacing w:line="420" w:lineRule="exact"/>
              <w:jc w:val="center"/>
              <w:rPr>
                <w:rFonts w:hint="eastAsia" w:ascii="宋体" w:hAnsi="宋体" w:eastAsia="宋体" w:cs="宋体"/>
                <w:sz w:val="18"/>
                <w:szCs w:val="18"/>
                <w:highlight w:val="none"/>
              </w:rPr>
            </w:pPr>
          </w:p>
        </w:tc>
        <w:tc>
          <w:tcPr>
            <w:tcW w:w="2690" w:type="dxa"/>
            <w:vAlign w:val="center"/>
          </w:tcPr>
          <w:p w14:paraId="3CF38991">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27D7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0AD83B9D">
            <w:pPr>
              <w:spacing w:line="420" w:lineRule="exact"/>
              <w:jc w:val="center"/>
              <w:rPr>
                <w:rFonts w:hint="eastAsia" w:ascii="宋体" w:hAnsi="宋体" w:eastAsia="宋体" w:cs="宋体"/>
                <w:sz w:val="18"/>
                <w:szCs w:val="18"/>
                <w:highlight w:val="none"/>
              </w:rPr>
            </w:pPr>
          </w:p>
        </w:tc>
        <w:tc>
          <w:tcPr>
            <w:tcW w:w="5144" w:type="dxa"/>
            <w:vAlign w:val="center"/>
          </w:tcPr>
          <w:p w14:paraId="27E7E5B8">
            <w:pPr>
              <w:spacing w:line="420" w:lineRule="exact"/>
              <w:jc w:val="center"/>
              <w:rPr>
                <w:rFonts w:hint="eastAsia" w:ascii="宋体" w:hAnsi="宋体" w:eastAsia="宋体" w:cs="宋体"/>
                <w:sz w:val="18"/>
                <w:szCs w:val="18"/>
                <w:highlight w:val="none"/>
              </w:rPr>
            </w:pPr>
          </w:p>
        </w:tc>
        <w:tc>
          <w:tcPr>
            <w:tcW w:w="2690" w:type="dxa"/>
            <w:vAlign w:val="center"/>
          </w:tcPr>
          <w:p w14:paraId="22199595">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bl>
    <w:p w14:paraId="164362FC">
      <w:pPr>
        <w:spacing w:line="42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说明：</w:t>
      </w:r>
    </w:p>
    <w:p w14:paraId="68776043">
      <w:pPr>
        <w:pStyle w:val="55"/>
        <w:numPr>
          <w:ilvl w:val="0"/>
          <w:numId w:val="26"/>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建议此表放在技术资信标封面后第一页，方便评委打分时可以快速查阅到与评分项有关的内容。</w:t>
      </w:r>
    </w:p>
    <w:p w14:paraId="2851ABBC">
      <w:pPr>
        <w:pStyle w:val="55"/>
        <w:numPr>
          <w:ilvl w:val="0"/>
          <w:numId w:val="26"/>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格式可自拟。</w:t>
      </w:r>
    </w:p>
    <w:p w14:paraId="7AB2E8F3">
      <w:pPr>
        <w:rPr>
          <w:rFonts w:hint="eastAsia" w:ascii="宋体" w:hAnsi="宋体" w:eastAsia="宋体" w:cs="宋体"/>
          <w:snapToGrid w:val="0"/>
          <w:sz w:val="32"/>
          <w:szCs w:val="20"/>
          <w:highlight w:val="none"/>
        </w:rPr>
      </w:pPr>
    </w:p>
    <w:p w14:paraId="6CCA908C">
      <w:pPr>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br w:type="page"/>
      </w:r>
    </w:p>
    <w:p w14:paraId="55FE6630">
      <w:pPr>
        <w:jc w:val="center"/>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t>目录</w:t>
      </w:r>
    </w:p>
    <w:tbl>
      <w:tblPr>
        <w:tblStyle w:val="2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14:paraId="1275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284E30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14:paraId="705221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14:paraId="266F45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14:paraId="6519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7CF7A9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highlight w:val="none"/>
              </w:rPr>
            </w:pPr>
          </w:p>
        </w:tc>
        <w:tc>
          <w:tcPr>
            <w:tcW w:w="7122" w:type="dxa"/>
            <w:vAlign w:val="center"/>
          </w:tcPr>
          <w:p w14:paraId="28DF43E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rPr>
              <w:t>评分索引表</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针对评分细则，编制目录索引，注明评标细则项目所在投标文件页码，格式自拟</w:t>
            </w:r>
            <w:r>
              <w:rPr>
                <w:rFonts w:hint="eastAsia" w:ascii="宋体" w:hAnsi="宋体" w:eastAsia="宋体" w:cs="宋体"/>
                <w:sz w:val="18"/>
                <w:szCs w:val="18"/>
                <w:highlight w:val="none"/>
                <w:lang w:eastAsia="zh-CN"/>
              </w:rPr>
              <w:t>）</w:t>
            </w:r>
          </w:p>
        </w:tc>
        <w:tc>
          <w:tcPr>
            <w:tcW w:w="1105" w:type="dxa"/>
            <w:vAlign w:val="center"/>
          </w:tcPr>
          <w:p w14:paraId="6AD99D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highlight w:val="none"/>
              </w:rPr>
            </w:pPr>
          </w:p>
        </w:tc>
      </w:tr>
      <w:tr w14:paraId="252C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5CA5EA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19529AC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14:paraId="3FA66B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14:paraId="7CB3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0AEE83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578813C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14:paraId="2C71F3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14:paraId="5733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013436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4145378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14:paraId="1519BB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14:paraId="6466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429DFC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246F3A3C">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14:paraId="5C104A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p>
        </w:tc>
      </w:tr>
      <w:tr w14:paraId="1BCB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0575B9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p>
        </w:tc>
        <w:tc>
          <w:tcPr>
            <w:tcW w:w="7122" w:type="dxa"/>
            <w:vAlign w:val="center"/>
          </w:tcPr>
          <w:p w14:paraId="58027BD4">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14:paraId="482C7F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p>
        </w:tc>
      </w:tr>
      <w:tr w14:paraId="2D64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016E5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655D136C">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14:paraId="328565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p>
        </w:tc>
      </w:tr>
      <w:tr w14:paraId="0E58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2F1242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lang w:eastAsia="zh-CN"/>
              </w:rPr>
              <w:t>）</w:t>
            </w:r>
          </w:p>
        </w:tc>
        <w:tc>
          <w:tcPr>
            <w:tcW w:w="7122" w:type="dxa"/>
            <w:vAlign w:val="center"/>
          </w:tcPr>
          <w:p w14:paraId="43D75D30">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投标人具有的有效的《旅行社业务经营许可证》</w:t>
            </w:r>
            <w:r>
              <w:rPr>
                <w:rFonts w:hint="eastAsia" w:ascii="宋体" w:hAnsi="宋体" w:eastAsia="宋体" w:cs="宋体"/>
                <w:sz w:val="18"/>
                <w:szCs w:val="18"/>
                <w:highlight w:val="none"/>
                <w:u w:val="single"/>
                <w:lang w:eastAsia="zh-CN"/>
              </w:rPr>
              <w:t>（</w:t>
            </w:r>
            <w:r>
              <w:rPr>
                <w:rFonts w:hint="eastAsia" w:ascii="宋体" w:hAnsi="宋体" w:eastAsia="宋体" w:cs="宋体"/>
                <w:sz w:val="18"/>
                <w:szCs w:val="18"/>
                <w:highlight w:val="none"/>
                <w:u w:val="single"/>
                <w:lang w:val="en-US" w:eastAsia="zh-CN"/>
              </w:rPr>
              <w:t>复印件加盖单位公章</w:t>
            </w:r>
            <w:r>
              <w:rPr>
                <w:rFonts w:hint="eastAsia" w:ascii="宋体" w:hAnsi="宋体" w:eastAsia="宋体" w:cs="宋体"/>
                <w:sz w:val="18"/>
                <w:szCs w:val="18"/>
                <w:highlight w:val="none"/>
                <w:u w:val="single"/>
                <w:lang w:eastAsia="zh-CN"/>
              </w:rPr>
              <w:t>）</w:t>
            </w:r>
            <w:r>
              <w:rPr>
                <w:rFonts w:hint="eastAsia" w:ascii="宋体" w:hAnsi="宋体" w:eastAsia="宋体" w:cs="宋体"/>
                <w:sz w:val="18"/>
                <w:szCs w:val="18"/>
                <w:highlight w:val="none"/>
                <w:u w:val="single"/>
              </w:rPr>
              <w:t>；</w:t>
            </w:r>
          </w:p>
        </w:tc>
        <w:tc>
          <w:tcPr>
            <w:tcW w:w="1105" w:type="dxa"/>
            <w:vAlign w:val="center"/>
          </w:tcPr>
          <w:p w14:paraId="6FAD14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p>
        </w:tc>
      </w:tr>
      <w:tr w14:paraId="0B94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44255B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w:t>
            </w:r>
          </w:p>
        </w:tc>
        <w:tc>
          <w:tcPr>
            <w:tcW w:w="7122" w:type="dxa"/>
            <w:vAlign w:val="center"/>
          </w:tcPr>
          <w:p w14:paraId="74664081">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u w:val="single"/>
              </w:rPr>
              <w:t>投标声明书</w:t>
            </w:r>
          </w:p>
        </w:tc>
        <w:tc>
          <w:tcPr>
            <w:tcW w:w="1105" w:type="dxa"/>
            <w:vAlign w:val="center"/>
          </w:tcPr>
          <w:p w14:paraId="6B1288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14:paraId="03C4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5D3268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14:paraId="4298846B">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参加国企采购活动前三年内，在经营活动中没有重大违法记录。请在投标声明书中如实填写</w:t>
            </w:r>
            <w:r>
              <w:rPr>
                <w:rFonts w:hint="eastAsia" w:ascii="宋体" w:hAnsi="宋体" w:eastAsia="宋体" w:cs="宋体"/>
                <w:color w:val="auto"/>
                <w:sz w:val="18"/>
                <w:szCs w:val="18"/>
                <w:highlight w:val="none"/>
                <w:u w:val="single"/>
              </w:rPr>
              <w:t>（新成立不满三年的组织机构自成立之日起算）</w:t>
            </w:r>
          </w:p>
        </w:tc>
        <w:tc>
          <w:tcPr>
            <w:tcW w:w="1105" w:type="dxa"/>
            <w:vAlign w:val="center"/>
          </w:tcPr>
          <w:p w14:paraId="511689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p>
        </w:tc>
      </w:tr>
      <w:tr w14:paraId="6498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3DC293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14:paraId="65011D8D">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14:paraId="3F468A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p>
        </w:tc>
      </w:tr>
      <w:tr w14:paraId="1856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33F73A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shd w:val="clear" w:color="auto" w:fill="auto"/>
            <w:vAlign w:val="center"/>
          </w:tcPr>
          <w:p w14:paraId="0BC8E00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投标供应商履约能力、资信和信誉</w:t>
            </w:r>
            <w:r>
              <w:rPr>
                <w:rFonts w:hint="eastAsia" w:ascii="宋体" w:hAnsi="宋体" w:eastAsia="宋体" w:cs="宋体"/>
                <w:color w:val="auto"/>
                <w:sz w:val="18"/>
                <w:szCs w:val="18"/>
                <w:highlight w:val="none"/>
                <w:lang w:val="en-US" w:eastAsia="zh-CN"/>
              </w:rPr>
              <w:t>说明及相关资料</w:t>
            </w:r>
          </w:p>
        </w:tc>
        <w:tc>
          <w:tcPr>
            <w:tcW w:w="1105" w:type="dxa"/>
            <w:shd w:val="clear" w:color="auto" w:fill="auto"/>
            <w:vAlign w:val="center"/>
          </w:tcPr>
          <w:p w14:paraId="1BC736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auto"/>
                <w:kern w:val="2"/>
                <w:sz w:val="18"/>
                <w:szCs w:val="18"/>
                <w:highlight w:val="none"/>
                <w:lang w:val="en-US" w:eastAsia="zh-CN" w:bidi="ar-SA"/>
              </w:rPr>
            </w:pPr>
          </w:p>
        </w:tc>
      </w:tr>
      <w:tr w14:paraId="362D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631A88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shd w:val="clear" w:color="auto" w:fill="auto"/>
            <w:vAlign w:val="center"/>
          </w:tcPr>
          <w:p w14:paraId="295A587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投标供应商同类项目业绩</w:t>
            </w:r>
          </w:p>
        </w:tc>
        <w:tc>
          <w:tcPr>
            <w:tcW w:w="1105" w:type="dxa"/>
            <w:shd w:val="clear" w:color="auto" w:fill="auto"/>
            <w:vAlign w:val="center"/>
          </w:tcPr>
          <w:p w14:paraId="158311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附件</w:t>
            </w:r>
            <w:r>
              <w:rPr>
                <w:rFonts w:hint="eastAsia" w:ascii="宋体" w:hAnsi="宋体" w:eastAsia="宋体" w:cs="宋体"/>
                <w:bCs/>
                <w:color w:val="auto"/>
                <w:sz w:val="18"/>
                <w:szCs w:val="18"/>
                <w:highlight w:val="none"/>
                <w:lang w:val="en-US" w:eastAsia="zh-CN"/>
              </w:rPr>
              <w:t>五</w:t>
            </w:r>
          </w:p>
        </w:tc>
      </w:tr>
      <w:tr w14:paraId="0476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shd w:val="clear" w:color="auto" w:fill="auto"/>
            <w:vAlign w:val="center"/>
          </w:tcPr>
          <w:p w14:paraId="56A88C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shd w:val="clear" w:color="auto" w:fill="auto"/>
            <w:vAlign w:val="center"/>
          </w:tcPr>
          <w:p w14:paraId="24E89D6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投入本项目的项目实施负责人简历表</w:t>
            </w:r>
          </w:p>
        </w:tc>
        <w:tc>
          <w:tcPr>
            <w:tcW w:w="1105" w:type="dxa"/>
            <w:shd w:val="clear" w:color="auto" w:fill="auto"/>
            <w:vAlign w:val="center"/>
          </w:tcPr>
          <w:p w14:paraId="4088CE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附件六</w:t>
            </w:r>
          </w:p>
        </w:tc>
      </w:tr>
      <w:tr w14:paraId="4D56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shd w:val="clear" w:color="auto" w:fill="auto"/>
            <w:vAlign w:val="center"/>
          </w:tcPr>
          <w:p w14:paraId="6CEEE2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122" w:type="dxa"/>
            <w:shd w:val="clear" w:color="auto" w:fill="auto"/>
            <w:vAlign w:val="center"/>
          </w:tcPr>
          <w:p w14:paraId="5198DBF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投入本项目全程陪同导游</w:t>
            </w:r>
            <w:r>
              <w:rPr>
                <w:rFonts w:hint="eastAsia" w:ascii="宋体" w:hAnsi="宋体" w:eastAsia="宋体" w:cs="宋体"/>
                <w:color w:val="auto"/>
                <w:sz w:val="18"/>
                <w:szCs w:val="18"/>
                <w:highlight w:val="none"/>
                <w:lang w:val="en-US" w:eastAsia="zh-CN"/>
              </w:rPr>
              <w:t>情况</w:t>
            </w:r>
            <w:r>
              <w:rPr>
                <w:rFonts w:hint="eastAsia" w:ascii="宋体" w:hAnsi="宋体" w:eastAsia="宋体" w:cs="宋体"/>
                <w:color w:val="auto"/>
                <w:sz w:val="18"/>
                <w:szCs w:val="18"/>
                <w:highlight w:val="none"/>
              </w:rPr>
              <w:t>表</w:t>
            </w:r>
          </w:p>
        </w:tc>
        <w:tc>
          <w:tcPr>
            <w:tcW w:w="1105" w:type="dxa"/>
            <w:shd w:val="clear" w:color="auto" w:fill="auto"/>
            <w:vAlign w:val="center"/>
          </w:tcPr>
          <w:p w14:paraId="032252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附件七</w:t>
            </w:r>
          </w:p>
        </w:tc>
      </w:tr>
      <w:tr w14:paraId="5F12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shd w:val="clear" w:color="auto" w:fill="auto"/>
            <w:vAlign w:val="center"/>
          </w:tcPr>
          <w:p w14:paraId="7EC232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7122" w:type="dxa"/>
            <w:shd w:val="clear" w:color="auto" w:fill="auto"/>
            <w:vAlign w:val="center"/>
          </w:tcPr>
          <w:p w14:paraId="5B9F188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疗休养线路安排方案</w:t>
            </w:r>
          </w:p>
        </w:tc>
        <w:tc>
          <w:tcPr>
            <w:tcW w:w="1105" w:type="dxa"/>
            <w:shd w:val="clear" w:color="auto" w:fill="auto"/>
            <w:vAlign w:val="center"/>
          </w:tcPr>
          <w:p w14:paraId="0F1044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附件八</w:t>
            </w:r>
          </w:p>
        </w:tc>
      </w:tr>
      <w:tr w14:paraId="4E4E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shd w:val="clear" w:color="auto" w:fill="auto"/>
            <w:vAlign w:val="center"/>
          </w:tcPr>
          <w:p w14:paraId="1C38EB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7122" w:type="dxa"/>
            <w:shd w:val="clear" w:color="auto" w:fill="auto"/>
            <w:vAlign w:val="center"/>
          </w:tcPr>
          <w:p w14:paraId="1B2E30D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业主评价</w:t>
            </w:r>
          </w:p>
        </w:tc>
        <w:tc>
          <w:tcPr>
            <w:tcW w:w="1105" w:type="dxa"/>
            <w:shd w:val="clear" w:color="auto" w:fill="auto"/>
            <w:vAlign w:val="center"/>
          </w:tcPr>
          <w:p w14:paraId="58F562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auto"/>
                <w:sz w:val="18"/>
                <w:szCs w:val="18"/>
                <w:highlight w:val="none"/>
                <w:lang w:val="en-US" w:eastAsia="zh-CN"/>
              </w:rPr>
            </w:pPr>
          </w:p>
        </w:tc>
      </w:tr>
      <w:tr w14:paraId="2DE8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shd w:val="clear" w:color="auto" w:fill="auto"/>
            <w:vAlign w:val="center"/>
          </w:tcPr>
          <w:p w14:paraId="04A364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7122" w:type="dxa"/>
            <w:shd w:val="clear" w:color="auto" w:fill="auto"/>
            <w:vAlign w:val="center"/>
          </w:tcPr>
          <w:p w14:paraId="16137AE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sz w:val="18"/>
                <w:szCs w:val="18"/>
                <w:highlight w:val="none"/>
              </w:rPr>
              <w:t>景点安排</w:t>
            </w:r>
          </w:p>
        </w:tc>
        <w:tc>
          <w:tcPr>
            <w:tcW w:w="1105" w:type="dxa"/>
            <w:shd w:val="clear" w:color="auto" w:fill="auto"/>
            <w:vAlign w:val="center"/>
          </w:tcPr>
          <w:p w14:paraId="608943B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1A94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shd w:val="clear" w:color="auto" w:fill="auto"/>
            <w:vAlign w:val="center"/>
          </w:tcPr>
          <w:p w14:paraId="00EDA9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11</w:t>
            </w:r>
          </w:p>
        </w:tc>
        <w:tc>
          <w:tcPr>
            <w:tcW w:w="7122" w:type="dxa"/>
            <w:shd w:val="clear" w:color="auto" w:fill="auto"/>
            <w:vAlign w:val="center"/>
          </w:tcPr>
          <w:p w14:paraId="66FB54C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线路安排</w:t>
            </w:r>
          </w:p>
        </w:tc>
        <w:tc>
          <w:tcPr>
            <w:tcW w:w="1105" w:type="dxa"/>
            <w:shd w:val="clear" w:color="auto" w:fill="auto"/>
            <w:vAlign w:val="center"/>
          </w:tcPr>
          <w:p w14:paraId="6CDDF9F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1269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shd w:val="clear" w:color="auto" w:fill="auto"/>
            <w:vAlign w:val="center"/>
          </w:tcPr>
          <w:p w14:paraId="247D75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12</w:t>
            </w:r>
          </w:p>
        </w:tc>
        <w:tc>
          <w:tcPr>
            <w:tcW w:w="7122" w:type="dxa"/>
            <w:shd w:val="clear" w:color="auto" w:fill="auto"/>
            <w:vAlign w:val="center"/>
          </w:tcPr>
          <w:p w14:paraId="6E36ABB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sz w:val="18"/>
                <w:szCs w:val="18"/>
                <w:highlight w:val="none"/>
              </w:rPr>
              <w:t>酒店住宿安排</w:t>
            </w:r>
          </w:p>
        </w:tc>
        <w:tc>
          <w:tcPr>
            <w:tcW w:w="1105" w:type="dxa"/>
            <w:shd w:val="clear" w:color="auto" w:fill="auto"/>
            <w:vAlign w:val="center"/>
          </w:tcPr>
          <w:p w14:paraId="5779218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06F0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6A7FCF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13</w:t>
            </w:r>
          </w:p>
        </w:tc>
        <w:tc>
          <w:tcPr>
            <w:tcW w:w="0" w:type="auto"/>
            <w:shd w:val="clear" w:color="auto" w:fill="auto"/>
            <w:vAlign w:val="center"/>
          </w:tcPr>
          <w:p w14:paraId="1D06596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sz w:val="18"/>
                <w:szCs w:val="18"/>
                <w:highlight w:val="none"/>
              </w:rPr>
              <w:t>餐标</w:t>
            </w:r>
          </w:p>
        </w:tc>
        <w:tc>
          <w:tcPr>
            <w:tcW w:w="0" w:type="auto"/>
            <w:shd w:val="clear" w:color="auto" w:fill="auto"/>
            <w:vAlign w:val="center"/>
          </w:tcPr>
          <w:p w14:paraId="28A8CF5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2501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5A5592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14</w:t>
            </w:r>
          </w:p>
        </w:tc>
        <w:tc>
          <w:tcPr>
            <w:tcW w:w="0" w:type="auto"/>
            <w:shd w:val="clear" w:color="auto" w:fill="auto"/>
            <w:vAlign w:val="center"/>
          </w:tcPr>
          <w:p w14:paraId="777BCC3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旅游车安排方案</w:t>
            </w:r>
          </w:p>
        </w:tc>
        <w:tc>
          <w:tcPr>
            <w:tcW w:w="0" w:type="auto"/>
            <w:shd w:val="clear" w:color="auto" w:fill="auto"/>
            <w:vAlign w:val="center"/>
          </w:tcPr>
          <w:p w14:paraId="5C5BDFF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6A17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3F9824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15</w:t>
            </w:r>
          </w:p>
        </w:tc>
        <w:tc>
          <w:tcPr>
            <w:tcW w:w="0" w:type="auto"/>
            <w:shd w:val="clear" w:color="auto" w:fill="auto"/>
            <w:vAlign w:val="center"/>
          </w:tcPr>
          <w:p w14:paraId="2392F91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本地化服务能力</w:t>
            </w:r>
          </w:p>
        </w:tc>
        <w:tc>
          <w:tcPr>
            <w:tcW w:w="0" w:type="auto"/>
            <w:shd w:val="clear" w:color="auto" w:fill="auto"/>
            <w:vAlign w:val="center"/>
          </w:tcPr>
          <w:p w14:paraId="74E9965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27BE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11CDCC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16</w:t>
            </w:r>
          </w:p>
        </w:tc>
        <w:tc>
          <w:tcPr>
            <w:tcW w:w="0" w:type="auto"/>
            <w:shd w:val="clear" w:color="auto" w:fill="auto"/>
            <w:vAlign w:val="center"/>
          </w:tcPr>
          <w:p w14:paraId="38E845B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保险承诺</w:t>
            </w:r>
          </w:p>
        </w:tc>
        <w:tc>
          <w:tcPr>
            <w:tcW w:w="0" w:type="auto"/>
            <w:shd w:val="clear" w:color="auto" w:fill="auto"/>
            <w:vAlign w:val="center"/>
          </w:tcPr>
          <w:p w14:paraId="1D6C751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61E0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39199F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17</w:t>
            </w:r>
          </w:p>
        </w:tc>
        <w:tc>
          <w:tcPr>
            <w:tcW w:w="0" w:type="auto"/>
            <w:shd w:val="clear" w:color="auto" w:fill="auto"/>
            <w:vAlign w:val="center"/>
          </w:tcPr>
          <w:p w14:paraId="687AD78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服务相关承诺承诺</w:t>
            </w:r>
          </w:p>
        </w:tc>
        <w:tc>
          <w:tcPr>
            <w:tcW w:w="0" w:type="auto"/>
            <w:shd w:val="clear" w:color="auto" w:fill="auto"/>
            <w:vAlign w:val="center"/>
          </w:tcPr>
          <w:p w14:paraId="1E9DE3E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6C59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4AEE78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18</w:t>
            </w:r>
          </w:p>
        </w:tc>
        <w:tc>
          <w:tcPr>
            <w:tcW w:w="0" w:type="auto"/>
            <w:shd w:val="clear" w:color="auto" w:fill="auto"/>
            <w:vAlign w:val="center"/>
          </w:tcPr>
          <w:p w14:paraId="6E25FB2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安全预案、组织实施能力、投诉处理</w:t>
            </w:r>
            <w:r>
              <w:rPr>
                <w:rFonts w:hint="eastAsia" w:ascii="宋体" w:hAnsi="宋体" w:eastAsia="宋体" w:cs="宋体"/>
                <w:color w:val="auto"/>
                <w:sz w:val="18"/>
                <w:szCs w:val="18"/>
                <w:highlight w:val="none"/>
                <w:lang w:eastAsia="zh-CN"/>
              </w:rPr>
              <w:t>、后续计划方针</w:t>
            </w:r>
          </w:p>
        </w:tc>
        <w:tc>
          <w:tcPr>
            <w:tcW w:w="0" w:type="auto"/>
            <w:shd w:val="clear" w:color="auto" w:fill="auto"/>
            <w:vAlign w:val="center"/>
          </w:tcPr>
          <w:p w14:paraId="5285B23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3F15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6C3CE7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19</w:t>
            </w:r>
          </w:p>
        </w:tc>
        <w:tc>
          <w:tcPr>
            <w:tcW w:w="0" w:type="auto"/>
            <w:shd w:val="clear" w:color="auto" w:fill="auto"/>
            <w:vAlign w:val="center"/>
          </w:tcPr>
          <w:p w14:paraId="4BE1DCF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优惠条件</w:t>
            </w:r>
          </w:p>
        </w:tc>
        <w:tc>
          <w:tcPr>
            <w:tcW w:w="0" w:type="auto"/>
            <w:shd w:val="clear" w:color="auto" w:fill="auto"/>
            <w:vAlign w:val="center"/>
          </w:tcPr>
          <w:p w14:paraId="413BCA6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r w14:paraId="21C6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38846F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w:t>
            </w:r>
          </w:p>
        </w:tc>
        <w:tc>
          <w:tcPr>
            <w:tcW w:w="0" w:type="auto"/>
            <w:shd w:val="clear" w:color="auto" w:fill="auto"/>
            <w:vAlign w:val="center"/>
          </w:tcPr>
          <w:p w14:paraId="31B6BD78">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根据采购文件中的采购内容及要求以及技术资信评分项目，</w:t>
            </w:r>
            <w:r>
              <w:rPr>
                <w:rFonts w:hint="eastAsia" w:ascii="宋体" w:hAnsi="宋体" w:eastAsia="宋体" w:cs="宋体"/>
                <w:sz w:val="18"/>
                <w:szCs w:val="18"/>
                <w:highlight w:val="none"/>
                <w:lang w:val="en-US" w:eastAsia="zh-CN"/>
              </w:rPr>
              <w:t>投标人认为</w:t>
            </w:r>
            <w:r>
              <w:rPr>
                <w:rFonts w:hint="eastAsia" w:ascii="宋体" w:hAnsi="宋体" w:eastAsia="宋体" w:cs="宋体"/>
                <w:sz w:val="18"/>
                <w:szCs w:val="18"/>
                <w:highlight w:val="none"/>
              </w:rPr>
              <w:t>需要提供的</w:t>
            </w:r>
            <w:r>
              <w:rPr>
                <w:rFonts w:hint="eastAsia" w:ascii="宋体" w:hAnsi="宋体" w:eastAsia="宋体" w:cs="宋体"/>
                <w:sz w:val="18"/>
                <w:szCs w:val="18"/>
                <w:highlight w:val="none"/>
                <w:lang w:val="en-US" w:eastAsia="zh-CN"/>
              </w:rPr>
              <w:t>其他</w:t>
            </w:r>
            <w:r>
              <w:rPr>
                <w:rFonts w:hint="eastAsia" w:ascii="宋体" w:hAnsi="宋体" w:eastAsia="宋体" w:cs="宋体"/>
                <w:sz w:val="18"/>
                <w:szCs w:val="18"/>
                <w:highlight w:val="none"/>
              </w:rPr>
              <w:t>文件和资料</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格式自拟</w:t>
            </w:r>
            <w:r>
              <w:rPr>
                <w:rFonts w:hint="eastAsia" w:ascii="宋体" w:hAnsi="宋体" w:eastAsia="宋体" w:cs="宋体"/>
                <w:sz w:val="18"/>
                <w:szCs w:val="18"/>
                <w:highlight w:val="none"/>
                <w:lang w:eastAsia="zh-CN"/>
              </w:rPr>
              <w:t>）</w:t>
            </w:r>
          </w:p>
        </w:tc>
        <w:tc>
          <w:tcPr>
            <w:tcW w:w="0" w:type="auto"/>
            <w:shd w:val="clear" w:color="auto" w:fill="auto"/>
            <w:vAlign w:val="center"/>
          </w:tcPr>
          <w:p w14:paraId="3975568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8"/>
                <w:szCs w:val="18"/>
                <w:highlight w:val="none"/>
                <w:lang w:val="en-US" w:eastAsia="zh-CN" w:bidi="ar-SA"/>
              </w:rPr>
            </w:pPr>
          </w:p>
        </w:tc>
      </w:tr>
    </w:tbl>
    <w:p w14:paraId="012C6A44">
      <w:pPr>
        <w:pStyle w:val="3"/>
        <w:rPr>
          <w:rFonts w:hint="eastAsia" w:ascii="宋体" w:hAnsi="宋体" w:eastAsia="宋体" w:cs="宋体"/>
          <w:snapToGrid w:val="0"/>
          <w:sz w:val="32"/>
          <w:szCs w:val="20"/>
          <w:highlight w:val="none"/>
        </w:rPr>
      </w:pPr>
    </w:p>
    <w:p w14:paraId="4B05BC62">
      <w:pPr>
        <w:pStyle w:val="2"/>
        <w:rPr>
          <w:rFonts w:hint="eastAsia" w:ascii="宋体" w:hAnsi="宋体" w:eastAsia="宋体" w:cs="宋体"/>
          <w:snapToGrid w:val="0"/>
          <w:sz w:val="32"/>
          <w:szCs w:val="20"/>
          <w:highlight w:val="none"/>
        </w:rPr>
      </w:pPr>
    </w:p>
    <w:p w14:paraId="30BCBB75">
      <w:pPr>
        <w:pStyle w:val="21"/>
        <w:rPr>
          <w:rFonts w:hint="eastAsia" w:ascii="宋体" w:hAnsi="宋体" w:eastAsia="宋体" w:cs="宋体"/>
        </w:rPr>
      </w:pPr>
    </w:p>
    <w:p w14:paraId="77AC1F13">
      <w:pPr>
        <w:jc w:val="left"/>
        <w:rPr>
          <w:rFonts w:hint="eastAsia" w:ascii="宋体" w:hAnsi="宋体" w:eastAsia="宋体" w:cs="宋体"/>
          <w:highlight w:val="none"/>
        </w:rPr>
      </w:pPr>
    </w:p>
    <w:p w14:paraId="0C39DBF1">
      <w:pPr>
        <w:overflowPunct w:val="0"/>
        <w:spacing w:line="460" w:lineRule="exact"/>
        <w:rPr>
          <w:rFonts w:hint="eastAsia" w:ascii="宋体" w:hAnsi="宋体" w:eastAsia="宋体" w:cs="宋体"/>
          <w:b/>
          <w:bCs/>
          <w:sz w:val="22"/>
          <w:highlight w:val="none"/>
        </w:rPr>
      </w:pPr>
      <w:r>
        <w:rPr>
          <w:rFonts w:hint="eastAsia" w:ascii="宋体" w:hAnsi="宋体" w:eastAsia="宋体" w:cs="宋体"/>
          <w:b/>
          <w:bCs/>
          <w:sz w:val="22"/>
          <w:highlight w:val="none"/>
        </w:rPr>
        <w:br w:type="page"/>
      </w:r>
      <w:r>
        <w:rPr>
          <w:rFonts w:hint="eastAsia" w:ascii="宋体" w:hAnsi="宋体" w:eastAsia="宋体" w:cs="宋体"/>
          <w:b/>
          <w:bCs/>
          <w:sz w:val="22"/>
          <w:highlight w:val="none"/>
        </w:rPr>
        <w:t>附件一</w:t>
      </w:r>
    </w:p>
    <w:p w14:paraId="29B17E83">
      <w:pPr>
        <w:overflowPunct w:val="0"/>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 标 函</w:t>
      </w:r>
    </w:p>
    <w:p w14:paraId="53C23669">
      <w:pPr>
        <w:overflowPunct w:val="0"/>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温州市高速公路运营管理有限公司</w:t>
      </w:r>
      <w:r>
        <w:rPr>
          <w:rFonts w:hint="eastAsia" w:ascii="宋体" w:hAnsi="宋体" w:eastAsia="宋体" w:cs="宋体"/>
          <w:sz w:val="22"/>
          <w:highlight w:val="none"/>
        </w:rPr>
        <w:t>：</w:t>
      </w:r>
    </w:p>
    <w:p w14:paraId="014BA02E">
      <w:pPr>
        <w:overflowPunct w:val="0"/>
        <w:spacing w:line="4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根据贵方为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项目（</w:t>
      </w:r>
      <w:r>
        <w:rPr>
          <w:rFonts w:hint="eastAsia" w:ascii="宋体" w:hAnsi="宋体" w:eastAsia="宋体" w:cs="宋体"/>
          <w:sz w:val="22"/>
          <w:highlight w:val="none"/>
          <w:lang w:eastAsia="zh-CN"/>
        </w:rPr>
        <w:t>项目编号</w:t>
      </w:r>
      <w:r>
        <w:rPr>
          <w:rFonts w:hint="eastAsia" w:ascii="宋体" w:hAnsi="宋体" w:eastAsia="宋体" w:cs="宋体"/>
          <w:sz w:val="22"/>
          <w:highlight w:val="none"/>
        </w:rPr>
        <w:t>：</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rPr>
        <w:t xml:space="preserve"> </w:t>
      </w:r>
      <w:r>
        <w:rPr>
          <w:rFonts w:hint="eastAsia" w:ascii="宋体" w:hAnsi="宋体" w:eastAsia="宋体" w:cs="宋体"/>
          <w:sz w:val="22"/>
          <w:highlight w:val="none"/>
        </w:rPr>
        <w:t>）的投标邀请，我方</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名称）作为</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正式授权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（授权代表全名，职务）代表我方处理有关本投标的一切事宜。</w:t>
      </w:r>
    </w:p>
    <w:p w14:paraId="721B27B8">
      <w:pPr>
        <w:overflowPunct w:val="0"/>
        <w:adjustRightInd w:val="0"/>
        <w:spacing w:line="420" w:lineRule="exact"/>
        <w:ind w:firstLine="440"/>
        <w:textAlignment w:val="baseline"/>
        <w:rPr>
          <w:rFonts w:hint="eastAsia" w:ascii="宋体" w:hAnsi="宋体" w:eastAsia="宋体" w:cs="宋体"/>
          <w:kern w:val="0"/>
          <w:sz w:val="22"/>
          <w:szCs w:val="20"/>
          <w:highlight w:val="none"/>
        </w:rPr>
      </w:pPr>
      <w:r>
        <w:rPr>
          <w:rFonts w:hint="eastAsia" w:ascii="宋体" w:hAnsi="宋体" w:eastAsia="宋体" w:cs="宋体"/>
          <w:kern w:val="0"/>
          <w:sz w:val="22"/>
          <w:highlight w:val="none"/>
        </w:rPr>
        <w:t>在此提交的投标文件中，包括如下内</w:t>
      </w:r>
      <w:r>
        <w:rPr>
          <w:rFonts w:hint="eastAsia" w:ascii="宋体" w:hAnsi="宋体" w:eastAsia="宋体" w:cs="宋体"/>
          <w:kern w:val="0"/>
          <w:sz w:val="22"/>
          <w:szCs w:val="20"/>
          <w:highlight w:val="none"/>
        </w:rPr>
        <w:t>容，并已分别单独密封装袋：</w:t>
      </w:r>
    </w:p>
    <w:p w14:paraId="5E3CC979">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（—）按“</w:t>
      </w:r>
      <w:r>
        <w:rPr>
          <w:rFonts w:hint="eastAsia" w:ascii="宋体" w:hAnsi="宋体" w:eastAsia="宋体" w:cs="宋体"/>
          <w:sz w:val="22"/>
          <w:szCs w:val="24"/>
          <w:highlight w:val="none"/>
          <w:lang w:eastAsia="zh-CN"/>
        </w:rPr>
        <w:t>投标人</w:t>
      </w:r>
      <w:r>
        <w:rPr>
          <w:rFonts w:hint="eastAsia" w:ascii="宋体" w:hAnsi="宋体" w:eastAsia="宋体" w:cs="宋体"/>
          <w:sz w:val="22"/>
          <w:szCs w:val="24"/>
          <w:highlight w:val="none"/>
        </w:rPr>
        <w:t>须知”要求编制的投标文件技术标【正本一份，副本</w:t>
      </w:r>
      <w:r>
        <w:rPr>
          <w:rFonts w:hint="eastAsia" w:ascii="宋体" w:hAnsi="宋体" w:eastAsia="宋体" w:cs="宋体"/>
          <w:sz w:val="22"/>
          <w:szCs w:val="24"/>
          <w:highlight w:val="none"/>
          <w:lang w:val="en-US" w:eastAsia="zh-CN"/>
        </w:rPr>
        <w:t>六</w:t>
      </w:r>
      <w:r>
        <w:rPr>
          <w:rFonts w:hint="eastAsia" w:ascii="宋体" w:hAnsi="宋体" w:eastAsia="宋体" w:cs="宋体"/>
          <w:sz w:val="22"/>
          <w:szCs w:val="24"/>
          <w:highlight w:val="none"/>
        </w:rPr>
        <w:t>份】；</w:t>
      </w:r>
    </w:p>
    <w:p w14:paraId="347F1DAA">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（二）按“</w:t>
      </w:r>
      <w:r>
        <w:rPr>
          <w:rFonts w:hint="eastAsia" w:ascii="宋体" w:hAnsi="宋体" w:eastAsia="宋体" w:cs="宋体"/>
          <w:sz w:val="22"/>
          <w:szCs w:val="24"/>
          <w:highlight w:val="none"/>
          <w:lang w:eastAsia="zh-CN"/>
        </w:rPr>
        <w:t>投标人</w:t>
      </w:r>
      <w:r>
        <w:rPr>
          <w:rFonts w:hint="eastAsia" w:ascii="宋体" w:hAnsi="宋体" w:eastAsia="宋体" w:cs="宋体"/>
          <w:sz w:val="22"/>
          <w:szCs w:val="24"/>
          <w:highlight w:val="none"/>
        </w:rPr>
        <w:t>须知”要求编制的投标文件商务（报价）标【正本一份，副本</w:t>
      </w:r>
      <w:r>
        <w:rPr>
          <w:rFonts w:hint="eastAsia" w:ascii="宋体" w:hAnsi="宋体" w:eastAsia="宋体" w:cs="宋体"/>
          <w:sz w:val="22"/>
          <w:szCs w:val="24"/>
          <w:highlight w:val="none"/>
          <w:lang w:val="en-US" w:eastAsia="zh-CN"/>
        </w:rPr>
        <w:t>六</w:t>
      </w:r>
      <w:r>
        <w:rPr>
          <w:rFonts w:hint="eastAsia" w:ascii="宋体" w:hAnsi="宋体" w:eastAsia="宋体" w:cs="宋体"/>
          <w:sz w:val="22"/>
          <w:szCs w:val="24"/>
          <w:highlight w:val="none"/>
        </w:rPr>
        <w:t>份】</w:t>
      </w:r>
    </w:p>
    <w:p w14:paraId="1847FE56">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我方己完全明白采购文件的所有条款要求，并重申以下几点：</w:t>
      </w:r>
    </w:p>
    <w:p w14:paraId="18C45101">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（一）本投标文件的有效期自投标截止日起</w:t>
      </w:r>
      <w:r>
        <w:rPr>
          <w:rFonts w:hint="eastAsia" w:ascii="宋体" w:hAnsi="宋体" w:eastAsia="宋体" w:cs="宋体"/>
          <w:b/>
          <w:sz w:val="22"/>
          <w:szCs w:val="24"/>
          <w:highlight w:val="none"/>
          <w:u w:val="single"/>
        </w:rPr>
        <w:t xml:space="preserve"> 90 </w:t>
      </w:r>
      <w:r>
        <w:rPr>
          <w:rFonts w:hint="eastAsia" w:ascii="宋体" w:hAnsi="宋体" w:eastAsia="宋体" w:cs="宋体"/>
          <w:b/>
          <w:sz w:val="22"/>
          <w:szCs w:val="24"/>
          <w:highlight w:val="none"/>
        </w:rPr>
        <w:t>天内</w:t>
      </w:r>
      <w:r>
        <w:rPr>
          <w:rFonts w:hint="eastAsia" w:ascii="宋体" w:hAnsi="宋体" w:eastAsia="宋体" w:cs="宋体"/>
          <w:sz w:val="22"/>
          <w:szCs w:val="24"/>
          <w:highlight w:val="none"/>
        </w:rPr>
        <w:t>有效，如中标，有效期将延至合同终止日为止；</w:t>
      </w:r>
    </w:p>
    <w:p w14:paraId="08275F2C">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（二）我方已详细研究了采购文件的所有内容包括修改书（如有）和所有已提供的参考资料以及有关附件，我方完全理解并同意放弃在此方面提出含糊意见或误解的一切权力；</w:t>
      </w:r>
    </w:p>
    <w:p w14:paraId="38052A67">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（三）我方明白并愿意在规定的开标时间之后，</w:t>
      </w:r>
      <w:r>
        <w:rPr>
          <w:rFonts w:hint="eastAsia" w:ascii="宋体" w:hAnsi="宋体" w:eastAsia="宋体" w:cs="宋体"/>
          <w:sz w:val="22"/>
          <w:szCs w:val="24"/>
          <w:highlight w:val="none"/>
          <w:lang w:val="en-US" w:eastAsia="zh-CN"/>
        </w:rPr>
        <w:t>如我方出现投标人须知第三条第13.4款规定的情况之一的，我方</w:t>
      </w:r>
      <w:r>
        <w:rPr>
          <w:rFonts w:hint="eastAsia" w:ascii="宋体" w:hAnsi="宋体" w:eastAsia="宋体" w:cs="宋体"/>
          <w:sz w:val="22"/>
          <w:szCs w:val="24"/>
          <w:highlight w:val="none"/>
        </w:rPr>
        <w:t>投标保证金将被贵方没收；</w:t>
      </w:r>
    </w:p>
    <w:p w14:paraId="00709B1C">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）我方同意提供按照贵方可能要求的与投标有关的一切数据或资料；</w:t>
      </w:r>
    </w:p>
    <w:p w14:paraId="192EAD09">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五</w:t>
      </w:r>
      <w:r>
        <w:rPr>
          <w:rFonts w:hint="eastAsia" w:ascii="宋体" w:hAnsi="宋体" w:eastAsia="宋体" w:cs="宋体"/>
          <w:sz w:val="22"/>
          <w:szCs w:val="24"/>
          <w:highlight w:val="none"/>
        </w:rPr>
        <w:t>）我方理解贵方不一定接受最低报价。</w:t>
      </w:r>
    </w:p>
    <w:p w14:paraId="34F16CE4">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六</w:t>
      </w:r>
      <w:r>
        <w:rPr>
          <w:rFonts w:hint="eastAsia" w:ascii="宋体" w:hAnsi="宋体" w:eastAsia="宋体" w:cs="宋体"/>
          <w:sz w:val="22"/>
          <w:szCs w:val="24"/>
          <w:highlight w:val="none"/>
        </w:rPr>
        <w:t>）我方如果中标，将保证履行采购文件以及采购文件修改书（如有）中的全部责任和义务，按质、按量、按期完成《合同书》中的全部任务。</w:t>
      </w:r>
    </w:p>
    <w:p w14:paraId="4AB0F05C">
      <w:pPr>
        <w:overflowPunct w:val="0"/>
        <w:spacing w:line="420" w:lineRule="exact"/>
        <w:ind w:left="315"/>
        <w:rPr>
          <w:rFonts w:hint="eastAsia" w:ascii="宋体" w:hAnsi="宋体" w:eastAsia="宋体" w:cs="宋体"/>
          <w:sz w:val="22"/>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七</w:t>
      </w:r>
      <w:r>
        <w:rPr>
          <w:rFonts w:hint="eastAsia" w:ascii="宋体" w:hAnsi="宋体" w:eastAsia="宋体" w:cs="宋体"/>
          <w:sz w:val="22"/>
          <w:szCs w:val="24"/>
          <w:highlight w:val="none"/>
        </w:rPr>
        <w:t>）所有与本投标有关的函件请发往下列地址：</w:t>
      </w:r>
    </w:p>
    <w:p w14:paraId="28C532BE">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地址</w:t>
      </w:r>
      <w:r>
        <w:rPr>
          <w:rFonts w:hint="eastAsia" w:ascii="宋体" w:hAnsi="宋体" w:eastAsia="宋体" w:cs="宋体"/>
          <w:sz w:val="22"/>
          <w:highlight w:val="none"/>
          <w:u w:val="single"/>
        </w:rPr>
        <w:t xml:space="preserve">                           </w:t>
      </w:r>
    </w:p>
    <w:p w14:paraId="741DD7B1">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电话</w:t>
      </w:r>
      <w:r>
        <w:rPr>
          <w:rFonts w:hint="eastAsia" w:ascii="宋体" w:hAnsi="宋体" w:eastAsia="宋体" w:cs="宋体"/>
          <w:sz w:val="22"/>
          <w:highlight w:val="none"/>
          <w:u w:val="single"/>
        </w:rPr>
        <w:t xml:space="preserve">                           </w:t>
      </w:r>
    </w:p>
    <w:p w14:paraId="1DDDD8A3">
      <w:pPr>
        <w:overflowPunct w:val="0"/>
        <w:spacing w:line="420" w:lineRule="exact"/>
        <w:ind w:firstLine="435"/>
        <w:rPr>
          <w:rFonts w:hint="eastAsia" w:ascii="宋体" w:hAnsi="宋体" w:eastAsia="宋体" w:cs="宋体"/>
          <w:sz w:val="22"/>
          <w:highlight w:val="none"/>
          <w:u w:val="single"/>
        </w:rPr>
      </w:pPr>
      <w:r>
        <w:rPr>
          <w:rFonts w:hint="eastAsia" w:ascii="宋体" w:hAnsi="宋体" w:eastAsia="宋体" w:cs="宋体"/>
          <w:sz w:val="22"/>
          <w:highlight w:val="none"/>
        </w:rPr>
        <w:t xml:space="preserve">   传真</w:t>
      </w:r>
      <w:r>
        <w:rPr>
          <w:rFonts w:hint="eastAsia" w:ascii="宋体" w:hAnsi="宋体" w:eastAsia="宋体" w:cs="宋体"/>
          <w:sz w:val="22"/>
          <w:highlight w:val="none"/>
          <w:u w:val="single"/>
        </w:rPr>
        <w:t xml:space="preserve">                           </w:t>
      </w:r>
    </w:p>
    <w:p w14:paraId="2F34F745">
      <w:pPr>
        <w:overflowPunct w:val="0"/>
        <w:spacing w:line="420" w:lineRule="exact"/>
        <w:ind w:firstLine="770" w:firstLineChars="350"/>
        <w:rPr>
          <w:rFonts w:hint="eastAsia" w:ascii="宋体" w:hAnsi="宋体" w:eastAsia="宋体" w:cs="宋体"/>
          <w:sz w:val="22"/>
          <w:highlight w:val="none"/>
          <w:u w:val="single"/>
        </w:rPr>
      </w:pPr>
      <w:r>
        <w:rPr>
          <w:rFonts w:hint="eastAsia" w:ascii="宋体" w:hAnsi="宋体" w:eastAsia="宋体" w:cs="宋体"/>
          <w:sz w:val="22"/>
          <w:highlight w:val="none"/>
        </w:rPr>
        <w:t>电子邮件</w:t>
      </w:r>
      <w:r>
        <w:rPr>
          <w:rFonts w:hint="eastAsia" w:ascii="宋体" w:hAnsi="宋体" w:eastAsia="宋体" w:cs="宋体"/>
          <w:sz w:val="22"/>
          <w:highlight w:val="none"/>
          <w:u w:val="single"/>
        </w:rPr>
        <w:t xml:space="preserve">                       </w:t>
      </w:r>
    </w:p>
    <w:p w14:paraId="7307A199">
      <w:pPr>
        <w:spacing w:line="360" w:lineRule="auto"/>
        <w:rPr>
          <w:rFonts w:hint="eastAsia" w:ascii="宋体" w:hAnsi="宋体" w:eastAsia="宋体" w:cs="宋体"/>
          <w:bCs/>
          <w:sz w:val="22"/>
          <w:highlight w:val="none"/>
        </w:rPr>
      </w:pPr>
    </w:p>
    <w:p w14:paraId="773C5922">
      <w:pPr>
        <w:spacing w:line="360" w:lineRule="auto"/>
        <w:rPr>
          <w:rFonts w:hint="eastAsia" w:ascii="宋体" w:hAnsi="宋体" w:eastAsia="宋体" w:cs="宋体"/>
          <w:bCs/>
          <w:sz w:val="22"/>
          <w:highlight w:val="none"/>
        </w:rPr>
      </w:pPr>
      <w:r>
        <w:rPr>
          <w:rFonts w:hint="eastAsia" w:ascii="宋体" w:hAnsi="宋体" w:eastAsia="宋体" w:cs="宋体"/>
          <w:bCs/>
          <w:sz w:val="22"/>
          <w:highlight w:val="none"/>
        </w:rPr>
        <w:t>投标人全称（盖公章）：</w:t>
      </w:r>
    </w:p>
    <w:p w14:paraId="0A60D7BF">
      <w:pPr>
        <w:spacing w:line="360" w:lineRule="auto"/>
        <w:rPr>
          <w:rFonts w:hint="eastAsia" w:ascii="宋体" w:hAnsi="宋体" w:eastAsia="宋体" w:cs="宋体"/>
          <w:bCs/>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w:t>
      </w:r>
      <w:r>
        <w:rPr>
          <w:rFonts w:hint="eastAsia" w:ascii="宋体" w:hAnsi="宋体" w:eastAsia="宋体" w:cs="宋体"/>
          <w:bCs/>
          <w:sz w:val="22"/>
          <w:highlight w:val="none"/>
        </w:rPr>
        <w:t>（签字</w:t>
      </w:r>
      <w:r>
        <w:rPr>
          <w:rFonts w:hint="eastAsia" w:ascii="宋体" w:hAnsi="宋体" w:eastAsia="宋体" w:cs="宋体"/>
          <w:sz w:val="22"/>
          <w:highlight w:val="none"/>
        </w:rPr>
        <w:t>或盖章</w:t>
      </w:r>
      <w:r>
        <w:rPr>
          <w:rFonts w:hint="eastAsia" w:ascii="宋体" w:hAnsi="宋体" w:eastAsia="宋体" w:cs="宋体"/>
          <w:bCs/>
          <w:sz w:val="22"/>
          <w:highlight w:val="none"/>
        </w:rPr>
        <w:t>）：</w:t>
      </w:r>
    </w:p>
    <w:p w14:paraId="32DDEE93">
      <w:pPr>
        <w:spacing w:line="380" w:lineRule="exact"/>
        <w:rPr>
          <w:rFonts w:hint="eastAsia" w:ascii="宋体" w:hAnsi="宋体" w:eastAsia="宋体" w:cs="宋体"/>
          <w:bCs/>
          <w:sz w:val="22"/>
          <w:highlight w:val="none"/>
        </w:rPr>
      </w:pPr>
      <w:r>
        <w:rPr>
          <w:rFonts w:hint="eastAsia" w:ascii="宋体" w:hAnsi="宋体" w:eastAsia="宋体" w:cs="宋体"/>
          <w:bCs/>
          <w:sz w:val="22"/>
          <w:highlight w:val="none"/>
        </w:rPr>
        <w:t>日  期：</w:t>
      </w:r>
    </w:p>
    <w:p w14:paraId="5DC7A7A0">
      <w:pPr>
        <w:spacing w:line="380" w:lineRule="exact"/>
        <w:rPr>
          <w:rFonts w:hint="eastAsia" w:ascii="宋体" w:hAnsi="宋体" w:eastAsia="宋体" w:cs="宋体"/>
          <w:sz w:val="22"/>
          <w:highlight w:val="none"/>
        </w:rPr>
      </w:pPr>
      <w:r>
        <w:rPr>
          <w:rFonts w:hint="eastAsia" w:ascii="宋体" w:hAnsi="宋体" w:eastAsia="宋体" w:cs="宋体"/>
          <w:b/>
          <w:sz w:val="22"/>
          <w:highlight w:val="none"/>
          <w:u w:val="single"/>
        </w:rPr>
        <w:t>▲不提供投标函的投标文件将被视为未实质性响应采购文件。</w:t>
      </w:r>
    </w:p>
    <w:p w14:paraId="21A18EC5">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5C3D0523">
      <w:pPr>
        <w:tabs>
          <w:tab w:val="left" w:pos="900"/>
        </w:tabs>
        <w:rPr>
          <w:rFonts w:hint="eastAsia" w:ascii="宋体" w:hAnsi="宋体" w:eastAsia="宋体" w:cs="宋体"/>
          <w:sz w:val="22"/>
          <w:highlight w:val="none"/>
        </w:rPr>
      </w:pPr>
      <w:r>
        <w:rPr>
          <w:rFonts w:hint="eastAsia" w:ascii="宋体" w:hAnsi="宋体" w:eastAsia="宋体" w:cs="宋体"/>
          <w:b/>
          <w:sz w:val="24"/>
          <w:szCs w:val="24"/>
          <w:highlight w:val="none"/>
        </w:rPr>
        <w:t>附件二</w:t>
      </w:r>
    </w:p>
    <w:p w14:paraId="26A81906">
      <w:pPr>
        <w:spacing w:line="460" w:lineRule="exact"/>
        <w:ind w:firstLine="437"/>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技术规格、商务条款偏离表</w:t>
      </w:r>
    </w:p>
    <w:p w14:paraId="6A6061AC">
      <w:pPr>
        <w:spacing w:line="380" w:lineRule="exact"/>
        <w:rPr>
          <w:rFonts w:hint="eastAsia" w:ascii="宋体" w:hAnsi="宋体" w:eastAsia="宋体" w:cs="宋体"/>
          <w:b/>
          <w:bCs/>
          <w:sz w:val="22"/>
          <w:highlight w:val="none"/>
        </w:rPr>
      </w:pPr>
      <w:r>
        <w:rPr>
          <w:rFonts w:hint="eastAsia" w:ascii="宋体" w:hAnsi="宋体" w:eastAsia="宋体" w:cs="宋体"/>
          <w:b/>
          <w:bCs/>
          <w:sz w:val="22"/>
          <w:highlight w:val="none"/>
        </w:rPr>
        <w:t xml:space="preserve">项目名称：                          </w:t>
      </w:r>
      <w:r>
        <w:rPr>
          <w:rFonts w:hint="eastAsia" w:ascii="宋体" w:hAnsi="宋体" w:eastAsia="宋体" w:cs="宋体"/>
          <w:b/>
          <w:bCs/>
          <w:sz w:val="22"/>
          <w:highlight w:val="none"/>
          <w:lang w:eastAsia="zh-CN"/>
        </w:rPr>
        <w:t>项目编号</w:t>
      </w:r>
      <w:r>
        <w:rPr>
          <w:rFonts w:hint="eastAsia" w:ascii="宋体" w:hAnsi="宋体" w:eastAsia="宋体" w:cs="宋体"/>
          <w:b/>
          <w:bCs/>
          <w:sz w:val="22"/>
          <w:highlight w:val="none"/>
        </w:rPr>
        <w:t xml:space="preserve">：                  </w:t>
      </w:r>
    </w:p>
    <w:tbl>
      <w:tblPr>
        <w:tblStyle w:val="25"/>
        <w:tblW w:w="91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14:paraId="16F22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14:paraId="5B461918">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14:paraId="2564FD2F">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14:paraId="24201D7E">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Merge w:val="restart"/>
            <w:vAlign w:val="center"/>
          </w:tcPr>
          <w:p w14:paraId="58CF34A1">
            <w:pPr>
              <w:jc w:val="center"/>
              <w:rPr>
                <w:rFonts w:hint="eastAsia" w:ascii="宋体" w:hAnsi="宋体" w:eastAsia="宋体" w:cs="宋体"/>
                <w:sz w:val="22"/>
                <w:highlight w:val="none"/>
              </w:rPr>
            </w:pPr>
            <w:r>
              <w:rPr>
                <w:rFonts w:hint="eastAsia" w:ascii="宋体" w:hAnsi="宋体" w:eastAsia="宋体" w:cs="宋体"/>
                <w:sz w:val="22"/>
                <w:highlight w:val="none"/>
              </w:rPr>
              <w:t>正偏离或负偏离</w:t>
            </w:r>
          </w:p>
        </w:tc>
      </w:tr>
      <w:tr w14:paraId="449D5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14:paraId="75DF20E5">
            <w:pPr>
              <w:jc w:val="center"/>
              <w:rPr>
                <w:rFonts w:hint="eastAsia" w:ascii="宋体" w:hAnsi="宋体" w:eastAsia="宋体" w:cs="宋体"/>
                <w:sz w:val="22"/>
                <w:highlight w:val="none"/>
              </w:rPr>
            </w:pPr>
          </w:p>
        </w:tc>
        <w:tc>
          <w:tcPr>
            <w:tcW w:w="1115" w:type="dxa"/>
            <w:vAlign w:val="center"/>
          </w:tcPr>
          <w:p w14:paraId="306F1BBB">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14:paraId="3842278E">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210" w:type="dxa"/>
            <w:gridSpan w:val="2"/>
            <w:vAlign w:val="center"/>
          </w:tcPr>
          <w:p w14:paraId="7E8647DB">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23" w:type="dxa"/>
            <w:vAlign w:val="center"/>
          </w:tcPr>
          <w:p w14:paraId="6419ED6F">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实际响应的具体内容</w:t>
            </w:r>
          </w:p>
        </w:tc>
        <w:tc>
          <w:tcPr>
            <w:tcW w:w="1147" w:type="dxa"/>
            <w:vMerge w:val="continue"/>
            <w:vAlign w:val="center"/>
          </w:tcPr>
          <w:p w14:paraId="0BC424A4">
            <w:pPr>
              <w:autoSpaceDE w:val="0"/>
              <w:autoSpaceDN w:val="0"/>
              <w:adjustRightInd w:val="0"/>
              <w:jc w:val="center"/>
              <w:rPr>
                <w:rFonts w:hint="eastAsia" w:ascii="宋体" w:hAnsi="宋体" w:eastAsia="宋体" w:cs="宋体"/>
                <w:sz w:val="22"/>
                <w:highlight w:val="none"/>
              </w:rPr>
            </w:pPr>
          </w:p>
        </w:tc>
      </w:tr>
      <w:tr w14:paraId="4FB88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072428A1">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技  术  偏  离</w:t>
            </w:r>
          </w:p>
        </w:tc>
        <w:tc>
          <w:tcPr>
            <w:tcW w:w="1115" w:type="dxa"/>
            <w:vAlign w:val="center"/>
          </w:tcPr>
          <w:p w14:paraId="2EFC943B">
            <w:pPr>
              <w:jc w:val="center"/>
              <w:rPr>
                <w:rFonts w:hint="eastAsia" w:ascii="宋体" w:hAnsi="宋体" w:eastAsia="宋体" w:cs="宋体"/>
                <w:sz w:val="22"/>
                <w:highlight w:val="none"/>
              </w:rPr>
            </w:pPr>
          </w:p>
        </w:tc>
        <w:tc>
          <w:tcPr>
            <w:tcW w:w="2634" w:type="dxa"/>
            <w:vAlign w:val="center"/>
          </w:tcPr>
          <w:p w14:paraId="121361DB">
            <w:pPr>
              <w:jc w:val="center"/>
              <w:rPr>
                <w:rFonts w:hint="eastAsia" w:ascii="宋体" w:hAnsi="宋体" w:eastAsia="宋体" w:cs="宋体"/>
                <w:sz w:val="22"/>
                <w:highlight w:val="none"/>
              </w:rPr>
            </w:pPr>
          </w:p>
        </w:tc>
        <w:tc>
          <w:tcPr>
            <w:tcW w:w="1210" w:type="dxa"/>
            <w:gridSpan w:val="2"/>
            <w:vAlign w:val="center"/>
          </w:tcPr>
          <w:p w14:paraId="21CD5769">
            <w:pPr>
              <w:jc w:val="center"/>
              <w:rPr>
                <w:rFonts w:hint="eastAsia" w:ascii="宋体" w:hAnsi="宋体" w:eastAsia="宋体" w:cs="宋体"/>
                <w:sz w:val="22"/>
                <w:highlight w:val="none"/>
              </w:rPr>
            </w:pPr>
          </w:p>
        </w:tc>
        <w:tc>
          <w:tcPr>
            <w:tcW w:w="2323" w:type="dxa"/>
            <w:vAlign w:val="center"/>
          </w:tcPr>
          <w:p w14:paraId="43DD3534">
            <w:pPr>
              <w:jc w:val="center"/>
              <w:rPr>
                <w:rFonts w:hint="eastAsia" w:ascii="宋体" w:hAnsi="宋体" w:eastAsia="宋体" w:cs="宋体"/>
                <w:sz w:val="22"/>
                <w:highlight w:val="none"/>
              </w:rPr>
            </w:pPr>
          </w:p>
        </w:tc>
        <w:tc>
          <w:tcPr>
            <w:tcW w:w="1147" w:type="dxa"/>
            <w:vAlign w:val="center"/>
          </w:tcPr>
          <w:p w14:paraId="72CA6B89">
            <w:pPr>
              <w:jc w:val="center"/>
              <w:rPr>
                <w:rFonts w:hint="eastAsia" w:ascii="宋体" w:hAnsi="宋体" w:eastAsia="宋体" w:cs="宋体"/>
                <w:sz w:val="22"/>
                <w:highlight w:val="none"/>
              </w:rPr>
            </w:pPr>
          </w:p>
        </w:tc>
      </w:tr>
      <w:tr w14:paraId="63A1C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20466FAC">
            <w:pPr>
              <w:jc w:val="center"/>
              <w:rPr>
                <w:rFonts w:hint="eastAsia" w:ascii="宋体" w:hAnsi="宋体" w:eastAsia="宋体" w:cs="宋体"/>
                <w:sz w:val="22"/>
                <w:highlight w:val="none"/>
              </w:rPr>
            </w:pPr>
          </w:p>
        </w:tc>
        <w:tc>
          <w:tcPr>
            <w:tcW w:w="1115" w:type="dxa"/>
            <w:vAlign w:val="center"/>
          </w:tcPr>
          <w:p w14:paraId="22A53D39">
            <w:pPr>
              <w:jc w:val="center"/>
              <w:rPr>
                <w:rFonts w:hint="eastAsia" w:ascii="宋体" w:hAnsi="宋体" w:eastAsia="宋体" w:cs="宋体"/>
                <w:sz w:val="22"/>
                <w:highlight w:val="none"/>
              </w:rPr>
            </w:pPr>
          </w:p>
        </w:tc>
        <w:tc>
          <w:tcPr>
            <w:tcW w:w="2634" w:type="dxa"/>
            <w:vAlign w:val="center"/>
          </w:tcPr>
          <w:p w14:paraId="6920BF35">
            <w:pPr>
              <w:jc w:val="center"/>
              <w:rPr>
                <w:rFonts w:hint="eastAsia" w:ascii="宋体" w:hAnsi="宋体" w:eastAsia="宋体" w:cs="宋体"/>
                <w:sz w:val="22"/>
                <w:highlight w:val="none"/>
              </w:rPr>
            </w:pPr>
          </w:p>
        </w:tc>
        <w:tc>
          <w:tcPr>
            <w:tcW w:w="1210" w:type="dxa"/>
            <w:gridSpan w:val="2"/>
            <w:vAlign w:val="center"/>
          </w:tcPr>
          <w:p w14:paraId="1E61BC43">
            <w:pPr>
              <w:jc w:val="center"/>
              <w:rPr>
                <w:rFonts w:hint="eastAsia" w:ascii="宋体" w:hAnsi="宋体" w:eastAsia="宋体" w:cs="宋体"/>
                <w:sz w:val="22"/>
                <w:highlight w:val="none"/>
              </w:rPr>
            </w:pPr>
          </w:p>
        </w:tc>
        <w:tc>
          <w:tcPr>
            <w:tcW w:w="2323" w:type="dxa"/>
            <w:vAlign w:val="center"/>
          </w:tcPr>
          <w:p w14:paraId="0DA3DDE6">
            <w:pPr>
              <w:jc w:val="center"/>
              <w:rPr>
                <w:rFonts w:hint="eastAsia" w:ascii="宋体" w:hAnsi="宋体" w:eastAsia="宋体" w:cs="宋体"/>
                <w:sz w:val="22"/>
                <w:highlight w:val="none"/>
              </w:rPr>
            </w:pPr>
          </w:p>
        </w:tc>
        <w:tc>
          <w:tcPr>
            <w:tcW w:w="1147" w:type="dxa"/>
            <w:vAlign w:val="center"/>
          </w:tcPr>
          <w:p w14:paraId="242CAE73">
            <w:pPr>
              <w:jc w:val="center"/>
              <w:rPr>
                <w:rFonts w:hint="eastAsia" w:ascii="宋体" w:hAnsi="宋体" w:eastAsia="宋体" w:cs="宋体"/>
                <w:sz w:val="22"/>
                <w:highlight w:val="none"/>
              </w:rPr>
            </w:pPr>
          </w:p>
        </w:tc>
      </w:tr>
      <w:tr w14:paraId="49291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7FD3B6B4">
            <w:pPr>
              <w:jc w:val="center"/>
              <w:rPr>
                <w:rFonts w:hint="eastAsia" w:ascii="宋体" w:hAnsi="宋体" w:eastAsia="宋体" w:cs="宋体"/>
                <w:sz w:val="22"/>
                <w:highlight w:val="none"/>
              </w:rPr>
            </w:pPr>
          </w:p>
        </w:tc>
        <w:tc>
          <w:tcPr>
            <w:tcW w:w="1115" w:type="dxa"/>
            <w:vAlign w:val="center"/>
          </w:tcPr>
          <w:p w14:paraId="58A4D076">
            <w:pPr>
              <w:jc w:val="center"/>
              <w:rPr>
                <w:rFonts w:hint="eastAsia" w:ascii="宋体" w:hAnsi="宋体" w:eastAsia="宋体" w:cs="宋体"/>
                <w:sz w:val="22"/>
                <w:highlight w:val="none"/>
              </w:rPr>
            </w:pPr>
          </w:p>
        </w:tc>
        <w:tc>
          <w:tcPr>
            <w:tcW w:w="2634" w:type="dxa"/>
            <w:vAlign w:val="center"/>
          </w:tcPr>
          <w:p w14:paraId="105EA1B3">
            <w:pPr>
              <w:jc w:val="center"/>
              <w:rPr>
                <w:rFonts w:hint="eastAsia" w:ascii="宋体" w:hAnsi="宋体" w:eastAsia="宋体" w:cs="宋体"/>
                <w:sz w:val="22"/>
                <w:highlight w:val="none"/>
              </w:rPr>
            </w:pPr>
          </w:p>
        </w:tc>
        <w:tc>
          <w:tcPr>
            <w:tcW w:w="1210" w:type="dxa"/>
            <w:gridSpan w:val="2"/>
            <w:vAlign w:val="center"/>
          </w:tcPr>
          <w:p w14:paraId="1E84EF4F">
            <w:pPr>
              <w:jc w:val="center"/>
              <w:rPr>
                <w:rFonts w:hint="eastAsia" w:ascii="宋体" w:hAnsi="宋体" w:eastAsia="宋体" w:cs="宋体"/>
                <w:sz w:val="22"/>
                <w:highlight w:val="none"/>
              </w:rPr>
            </w:pPr>
          </w:p>
        </w:tc>
        <w:tc>
          <w:tcPr>
            <w:tcW w:w="2323" w:type="dxa"/>
            <w:vAlign w:val="center"/>
          </w:tcPr>
          <w:p w14:paraId="59028E52">
            <w:pPr>
              <w:jc w:val="center"/>
              <w:rPr>
                <w:rFonts w:hint="eastAsia" w:ascii="宋体" w:hAnsi="宋体" w:eastAsia="宋体" w:cs="宋体"/>
                <w:sz w:val="22"/>
                <w:highlight w:val="none"/>
              </w:rPr>
            </w:pPr>
          </w:p>
        </w:tc>
        <w:tc>
          <w:tcPr>
            <w:tcW w:w="1147" w:type="dxa"/>
            <w:vAlign w:val="center"/>
          </w:tcPr>
          <w:p w14:paraId="7FABFDF3">
            <w:pPr>
              <w:jc w:val="center"/>
              <w:rPr>
                <w:rFonts w:hint="eastAsia" w:ascii="宋体" w:hAnsi="宋体" w:eastAsia="宋体" w:cs="宋体"/>
                <w:sz w:val="22"/>
                <w:highlight w:val="none"/>
              </w:rPr>
            </w:pPr>
          </w:p>
        </w:tc>
      </w:tr>
      <w:tr w14:paraId="4A62F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29870641">
            <w:pPr>
              <w:jc w:val="center"/>
              <w:rPr>
                <w:rFonts w:hint="eastAsia" w:ascii="宋体" w:hAnsi="宋体" w:eastAsia="宋体" w:cs="宋体"/>
                <w:sz w:val="22"/>
                <w:highlight w:val="none"/>
              </w:rPr>
            </w:pPr>
          </w:p>
        </w:tc>
        <w:tc>
          <w:tcPr>
            <w:tcW w:w="1115" w:type="dxa"/>
            <w:vAlign w:val="center"/>
          </w:tcPr>
          <w:p w14:paraId="44901A15">
            <w:pPr>
              <w:jc w:val="center"/>
              <w:rPr>
                <w:rFonts w:hint="eastAsia" w:ascii="宋体" w:hAnsi="宋体" w:eastAsia="宋体" w:cs="宋体"/>
                <w:sz w:val="22"/>
                <w:highlight w:val="none"/>
              </w:rPr>
            </w:pPr>
          </w:p>
        </w:tc>
        <w:tc>
          <w:tcPr>
            <w:tcW w:w="2634" w:type="dxa"/>
            <w:vAlign w:val="center"/>
          </w:tcPr>
          <w:p w14:paraId="3000F557">
            <w:pPr>
              <w:jc w:val="center"/>
              <w:rPr>
                <w:rFonts w:hint="eastAsia" w:ascii="宋体" w:hAnsi="宋体" w:eastAsia="宋体" w:cs="宋体"/>
                <w:sz w:val="22"/>
                <w:highlight w:val="none"/>
              </w:rPr>
            </w:pPr>
          </w:p>
        </w:tc>
        <w:tc>
          <w:tcPr>
            <w:tcW w:w="1210" w:type="dxa"/>
            <w:gridSpan w:val="2"/>
            <w:vAlign w:val="center"/>
          </w:tcPr>
          <w:p w14:paraId="14F770CB">
            <w:pPr>
              <w:jc w:val="center"/>
              <w:rPr>
                <w:rFonts w:hint="eastAsia" w:ascii="宋体" w:hAnsi="宋体" w:eastAsia="宋体" w:cs="宋体"/>
                <w:sz w:val="22"/>
                <w:highlight w:val="none"/>
              </w:rPr>
            </w:pPr>
          </w:p>
        </w:tc>
        <w:tc>
          <w:tcPr>
            <w:tcW w:w="2323" w:type="dxa"/>
            <w:vAlign w:val="center"/>
          </w:tcPr>
          <w:p w14:paraId="339E6C41">
            <w:pPr>
              <w:jc w:val="center"/>
              <w:rPr>
                <w:rFonts w:hint="eastAsia" w:ascii="宋体" w:hAnsi="宋体" w:eastAsia="宋体" w:cs="宋体"/>
                <w:sz w:val="22"/>
                <w:highlight w:val="none"/>
              </w:rPr>
            </w:pPr>
          </w:p>
        </w:tc>
        <w:tc>
          <w:tcPr>
            <w:tcW w:w="1147" w:type="dxa"/>
            <w:vAlign w:val="center"/>
          </w:tcPr>
          <w:p w14:paraId="0DCFB0CF">
            <w:pPr>
              <w:jc w:val="center"/>
              <w:rPr>
                <w:rFonts w:hint="eastAsia" w:ascii="宋体" w:hAnsi="宋体" w:eastAsia="宋体" w:cs="宋体"/>
                <w:sz w:val="22"/>
                <w:highlight w:val="none"/>
              </w:rPr>
            </w:pPr>
          </w:p>
        </w:tc>
      </w:tr>
      <w:tr w14:paraId="6F9C0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0100DAB9">
            <w:pPr>
              <w:jc w:val="center"/>
              <w:rPr>
                <w:rFonts w:hint="eastAsia" w:ascii="宋体" w:hAnsi="宋体" w:eastAsia="宋体" w:cs="宋体"/>
                <w:sz w:val="22"/>
                <w:highlight w:val="none"/>
              </w:rPr>
            </w:pPr>
          </w:p>
        </w:tc>
        <w:tc>
          <w:tcPr>
            <w:tcW w:w="1115" w:type="dxa"/>
            <w:vAlign w:val="center"/>
          </w:tcPr>
          <w:p w14:paraId="713B5827">
            <w:pPr>
              <w:jc w:val="center"/>
              <w:rPr>
                <w:rFonts w:hint="eastAsia" w:ascii="宋体" w:hAnsi="宋体" w:eastAsia="宋体" w:cs="宋体"/>
                <w:sz w:val="22"/>
                <w:highlight w:val="none"/>
              </w:rPr>
            </w:pPr>
          </w:p>
        </w:tc>
        <w:tc>
          <w:tcPr>
            <w:tcW w:w="2634" w:type="dxa"/>
            <w:vAlign w:val="center"/>
          </w:tcPr>
          <w:p w14:paraId="5CBA2E11">
            <w:pPr>
              <w:jc w:val="center"/>
              <w:rPr>
                <w:rFonts w:hint="eastAsia" w:ascii="宋体" w:hAnsi="宋体" w:eastAsia="宋体" w:cs="宋体"/>
                <w:sz w:val="22"/>
                <w:highlight w:val="none"/>
              </w:rPr>
            </w:pPr>
          </w:p>
        </w:tc>
        <w:tc>
          <w:tcPr>
            <w:tcW w:w="1210" w:type="dxa"/>
            <w:gridSpan w:val="2"/>
            <w:vAlign w:val="center"/>
          </w:tcPr>
          <w:p w14:paraId="10680A0A">
            <w:pPr>
              <w:jc w:val="center"/>
              <w:rPr>
                <w:rFonts w:hint="eastAsia" w:ascii="宋体" w:hAnsi="宋体" w:eastAsia="宋体" w:cs="宋体"/>
                <w:sz w:val="22"/>
                <w:highlight w:val="none"/>
              </w:rPr>
            </w:pPr>
          </w:p>
        </w:tc>
        <w:tc>
          <w:tcPr>
            <w:tcW w:w="2323" w:type="dxa"/>
            <w:vAlign w:val="center"/>
          </w:tcPr>
          <w:p w14:paraId="147E971B">
            <w:pPr>
              <w:jc w:val="center"/>
              <w:rPr>
                <w:rFonts w:hint="eastAsia" w:ascii="宋体" w:hAnsi="宋体" w:eastAsia="宋体" w:cs="宋体"/>
                <w:sz w:val="22"/>
                <w:highlight w:val="none"/>
              </w:rPr>
            </w:pPr>
          </w:p>
        </w:tc>
        <w:tc>
          <w:tcPr>
            <w:tcW w:w="1147" w:type="dxa"/>
            <w:vAlign w:val="center"/>
          </w:tcPr>
          <w:p w14:paraId="29A5E704">
            <w:pPr>
              <w:jc w:val="center"/>
              <w:rPr>
                <w:rFonts w:hint="eastAsia" w:ascii="宋体" w:hAnsi="宋体" w:eastAsia="宋体" w:cs="宋体"/>
                <w:sz w:val="22"/>
                <w:highlight w:val="none"/>
              </w:rPr>
            </w:pPr>
          </w:p>
        </w:tc>
      </w:tr>
      <w:tr w14:paraId="61C56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63A6A6DA">
            <w:pPr>
              <w:jc w:val="center"/>
              <w:rPr>
                <w:rFonts w:hint="eastAsia" w:ascii="宋体" w:hAnsi="宋体" w:eastAsia="宋体" w:cs="宋体"/>
                <w:sz w:val="22"/>
                <w:highlight w:val="none"/>
              </w:rPr>
            </w:pPr>
          </w:p>
        </w:tc>
        <w:tc>
          <w:tcPr>
            <w:tcW w:w="1115" w:type="dxa"/>
            <w:vAlign w:val="center"/>
          </w:tcPr>
          <w:p w14:paraId="0AAA75F2">
            <w:pPr>
              <w:jc w:val="center"/>
              <w:rPr>
                <w:rFonts w:hint="eastAsia" w:ascii="宋体" w:hAnsi="宋体" w:eastAsia="宋体" w:cs="宋体"/>
                <w:sz w:val="22"/>
                <w:highlight w:val="none"/>
              </w:rPr>
            </w:pPr>
          </w:p>
        </w:tc>
        <w:tc>
          <w:tcPr>
            <w:tcW w:w="2634" w:type="dxa"/>
            <w:vAlign w:val="center"/>
          </w:tcPr>
          <w:p w14:paraId="7E688A4C">
            <w:pPr>
              <w:jc w:val="center"/>
              <w:rPr>
                <w:rFonts w:hint="eastAsia" w:ascii="宋体" w:hAnsi="宋体" w:eastAsia="宋体" w:cs="宋体"/>
                <w:sz w:val="22"/>
                <w:highlight w:val="none"/>
              </w:rPr>
            </w:pPr>
          </w:p>
        </w:tc>
        <w:tc>
          <w:tcPr>
            <w:tcW w:w="1210" w:type="dxa"/>
            <w:gridSpan w:val="2"/>
            <w:vAlign w:val="center"/>
          </w:tcPr>
          <w:p w14:paraId="00E26DE8">
            <w:pPr>
              <w:jc w:val="center"/>
              <w:rPr>
                <w:rFonts w:hint="eastAsia" w:ascii="宋体" w:hAnsi="宋体" w:eastAsia="宋体" w:cs="宋体"/>
                <w:sz w:val="22"/>
                <w:highlight w:val="none"/>
              </w:rPr>
            </w:pPr>
          </w:p>
        </w:tc>
        <w:tc>
          <w:tcPr>
            <w:tcW w:w="2323" w:type="dxa"/>
            <w:vAlign w:val="center"/>
          </w:tcPr>
          <w:p w14:paraId="018727AB">
            <w:pPr>
              <w:jc w:val="center"/>
              <w:rPr>
                <w:rFonts w:hint="eastAsia" w:ascii="宋体" w:hAnsi="宋体" w:eastAsia="宋体" w:cs="宋体"/>
                <w:sz w:val="22"/>
                <w:highlight w:val="none"/>
              </w:rPr>
            </w:pPr>
          </w:p>
        </w:tc>
        <w:tc>
          <w:tcPr>
            <w:tcW w:w="1147" w:type="dxa"/>
            <w:vAlign w:val="center"/>
          </w:tcPr>
          <w:p w14:paraId="451B9EDF">
            <w:pPr>
              <w:jc w:val="center"/>
              <w:rPr>
                <w:rFonts w:hint="eastAsia" w:ascii="宋体" w:hAnsi="宋体" w:eastAsia="宋体" w:cs="宋体"/>
                <w:sz w:val="22"/>
                <w:highlight w:val="none"/>
              </w:rPr>
            </w:pPr>
          </w:p>
        </w:tc>
      </w:tr>
      <w:tr w14:paraId="04A62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6DB5F5AD">
            <w:pPr>
              <w:jc w:val="center"/>
              <w:rPr>
                <w:rFonts w:hint="eastAsia" w:ascii="宋体" w:hAnsi="宋体" w:eastAsia="宋体" w:cs="宋体"/>
                <w:sz w:val="22"/>
                <w:highlight w:val="none"/>
              </w:rPr>
            </w:pPr>
          </w:p>
        </w:tc>
        <w:tc>
          <w:tcPr>
            <w:tcW w:w="1115" w:type="dxa"/>
            <w:vAlign w:val="center"/>
          </w:tcPr>
          <w:p w14:paraId="5E0A1052">
            <w:pPr>
              <w:jc w:val="center"/>
              <w:rPr>
                <w:rFonts w:hint="eastAsia" w:ascii="宋体" w:hAnsi="宋体" w:eastAsia="宋体" w:cs="宋体"/>
                <w:sz w:val="22"/>
                <w:highlight w:val="none"/>
              </w:rPr>
            </w:pPr>
          </w:p>
        </w:tc>
        <w:tc>
          <w:tcPr>
            <w:tcW w:w="2634" w:type="dxa"/>
            <w:vAlign w:val="center"/>
          </w:tcPr>
          <w:p w14:paraId="031C7638">
            <w:pPr>
              <w:jc w:val="center"/>
              <w:rPr>
                <w:rFonts w:hint="eastAsia" w:ascii="宋体" w:hAnsi="宋体" w:eastAsia="宋体" w:cs="宋体"/>
                <w:sz w:val="22"/>
                <w:highlight w:val="none"/>
              </w:rPr>
            </w:pPr>
          </w:p>
        </w:tc>
        <w:tc>
          <w:tcPr>
            <w:tcW w:w="1210" w:type="dxa"/>
            <w:gridSpan w:val="2"/>
            <w:vAlign w:val="center"/>
          </w:tcPr>
          <w:p w14:paraId="70C585FF">
            <w:pPr>
              <w:jc w:val="center"/>
              <w:rPr>
                <w:rFonts w:hint="eastAsia" w:ascii="宋体" w:hAnsi="宋体" w:eastAsia="宋体" w:cs="宋体"/>
                <w:sz w:val="22"/>
                <w:highlight w:val="none"/>
              </w:rPr>
            </w:pPr>
          </w:p>
        </w:tc>
        <w:tc>
          <w:tcPr>
            <w:tcW w:w="2323" w:type="dxa"/>
            <w:vAlign w:val="center"/>
          </w:tcPr>
          <w:p w14:paraId="47262619">
            <w:pPr>
              <w:jc w:val="center"/>
              <w:rPr>
                <w:rFonts w:hint="eastAsia" w:ascii="宋体" w:hAnsi="宋体" w:eastAsia="宋体" w:cs="宋体"/>
                <w:sz w:val="22"/>
                <w:highlight w:val="none"/>
              </w:rPr>
            </w:pPr>
          </w:p>
        </w:tc>
        <w:tc>
          <w:tcPr>
            <w:tcW w:w="1147" w:type="dxa"/>
            <w:vAlign w:val="center"/>
          </w:tcPr>
          <w:p w14:paraId="2B0B92F2">
            <w:pPr>
              <w:jc w:val="center"/>
              <w:rPr>
                <w:rFonts w:hint="eastAsia" w:ascii="宋体" w:hAnsi="宋体" w:eastAsia="宋体" w:cs="宋体"/>
                <w:sz w:val="22"/>
                <w:highlight w:val="none"/>
              </w:rPr>
            </w:pPr>
          </w:p>
        </w:tc>
      </w:tr>
      <w:tr w14:paraId="6F626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14:paraId="77699351">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14:paraId="5303B11A">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14:paraId="4A2B35D4">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Align w:val="center"/>
          </w:tcPr>
          <w:p w14:paraId="6DE5011A">
            <w:pPr>
              <w:jc w:val="center"/>
              <w:rPr>
                <w:rFonts w:hint="eastAsia" w:ascii="宋体" w:hAnsi="宋体" w:eastAsia="宋体" w:cs="宋体"/>
                <w:sz w:val="22"/>
                <w:highlight w:val="none"/>
              </w:rPr>
            </w:pPr>
          </w:p>
        </w:tc>
      </w:tr>
      <w:tr w14:paraId="62B09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14:paraId="1EAD3A54">
            <w:pPr>
              <w:jc w:val="center"/>
              <w:rPr>
                <w:rFonts w:hint="eastAsia" w:ascii="宋体" w:hAnsi="宋体" w:eastAsia="宋体" w:cs="宋体"/>
                <w:sz w:val="22"/>
                <w:highlight w:val="none"/>
              </w:rPr>
            </w:pPr>
          </w:p>
        </w:tc>
        <w:tc>
          <w:tcPr>
            <w:tcW w:w="1115" w:type="dxa"/>
            <w:vAlign w:val="center"/>
          </w:tcPr>
          <w:p w14:paraId="3B3FBD66">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14:paraId="35183A0A">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96" w:type="dxa"/>
            <w:vAlign w:val="center"/>
          </w:tcPr>
          <w:p w14:paraId="00A206AA">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37" w:type="dxa"/>
            <w:gridSpan w:val="2"/>
            <w:vAlign w:val="center"/>
          </w:tcPr>
          <w:p w14:paraId="73ABCB8C">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47" w:type="dxa"/>
            <w:vAlign w:val="center"/>
          </w:tcPr>
          <w:p w14:paraId="0DDBBC7D">
            <w:pPr>
              <w:autoSpaceDE w:val="0"/>
              <w:autoSpaceDN w:val="0"/>
              <w:adjustRightInd w:val="0"/>
              <w:jc w:val="center"/>
              <w:rPr>
                <w:rFonts w:hint="eastAsia" w:ascii="宋体" w:hAnsi="宋体" w:eastAsia="宋体" w:cs="宋体"/>
                <w:sz w:val="22"/>
                <w:highlight w:val="none"/>
              </w:rPr>
            </w:pPr>
          </w:p>
        </w:tc>
      </w:tr>
      <w:tr w14:paraId="27C51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4AE493FC">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商  务  偏  离</w:t>
            </w:r>
          </w:p>
        </w:tc>
        <w:tc>
          <w:tcPr>
            <w:tcW w:w="1115" w:type="dxa"/>
            <w:vAlign w:val="center"/>
          </w:tcPr>
          <w:p w14:paraId="49E13D4A">
            <w:pPr>
              <w:jc w:val="center"/>
              <w:rPr>
                <w:rFonts w:hint="eastAsia" w:ascii="宋体" w:hAnsi="宋体" w:eastAsia="宋体" w:cs="宋体"/>
                <w:sz w:val="22"/>
                <w:highlight w:val="none"/>
              </w:rPr>
            </w:pPr>
          </w:p>
        </w:tc>
        <w:tc>
          <w:tcPr>
            <w:tcW w:w="2634" w:type="dxa"/>
            <w:vAlign w:val="center"/>
          </w:tcPr>
          <w:p w14:paraId="5B86A7B0">
            <w:pPr>
              <w:jc w:val="center"/>
              <w:rPr>
                <w:rFonts w:hint="eastAsia" w:ascii="宋体" w:hAnsi="宋体" w:eastAsia="宋体" w:cs="宋体"/>
                <w:sz w:val="22"/>
                <w:highlight w:val="none"/>
              </w:rPr>
            </w:pPr>
          </w:p>
        </w:tc>
        <w:tc>
          <w:tcPr>
            <w:tcW w:w="1196" w:type="dxa"/>
            <w:vAlign w:val="center"/>
          </w:tcPr>
          <w:p w14:paraId="1917EC69">
            <w:pPr>
              <w:jc w:val="center"/>
              <w:rPr>
                <w:rFonts w:hint="eastAsia" w:ascii="宋体" w:hAnsi="宋体" w:eastAsia="宋体" w:cs="宋体"/>
                <w:sz w:val="22"/>
                <w:highlight w:val="none"/>
              </w:rPr>
            </w:pPr>
          </w:p>
        </w:tc>
        <w:tc>
          <w:tcPr>
            <w:tcW w:w="2337" w:type="dxa"/>
            <w:gridSpan w:val="2"/>
            <w:vAlign w:val="center"/>
          </w:tcPr>
          <w:p w14:paraId="0ED776AA">
            <w:pPr>
              <w:jc w:val="center"/>
              <w:rPr>
                <w:rFonts w:hint="eastAsia" w:ascii="宋体" w:hAnsi="宋体" w:eastAsia="宋体" w:cs="宋体"/>
                <w:sz w:val="22"/>
                <w:highlight w:val="none"/>
              </w:rPr>
            </w:pPr>
          </w:p>
        </w:tc>
        <w:tc>
          <w:tcPr>
            <w:tcW w:w="1147" w:type="dxa"/>
            <w:vAlign w:val="center"/>
          </w:tcPr>
          <w:p w14:paraId="423C6002">
            <w:pPr>
              <w:jc w:val="center"/>
              <w:rPr>
                <w:rFonts w:hint="eastAsia" w:ascii="宋体" w:hAnsi="宋体" w:eastAsia="宋体" w:cs="宋体"/>
                <w:sz w:val="22"/>
                <w:highlight w:val="none"/>
              </w:rPr>
            </w:pPr>
          </w:p>
        </w:tc>
      </w:tr>
      <w:tr w14:paraId="3C1DE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69CC37BE">
            <w:pPr>
              <w:jc w:val="center"/>
              <w:rPr>
                <w:rFonts w:hint="eastAsia" w:ascii="宋体" w:hAnsi="宋体" w:eastAsia="宋体" w:cs="宋体"/>
                <w:sz w:val="22"/>
                <w:highlight w:val="none"/>
              </w:rPr>
            </w:pPr>
          </w:p>
        </w:tc>
        <w:tc>
          <w:tcPr>
            <w:tcW w:w="1115" w:type="dxa"/>
            <w:vAlign w:val="center"/>
          </w:tcPr>
          <w:p w14:paraId="63D2FAB4">
            <w:pPr>
              <w:jc w:val="center"/>
              <w:rPr>
                <w:rFonts w:hint="eastAsia" w:ascii="宋体" w:hAnsi="宋体" w:eastAsia="宋体" w:cs="宋体"/>
                <w:sz w:val="22"/>
                <w:highlight w:val="none"/>
              </w:rPr>
            </w:pPr>
          </w:p>
        </w:tc>
        <w:tc>
          <w:tcPr>
            <w:tcW w:w="2634" w:type="dxa"/>
            <w:vAlign w:val="center"/>
          </w:tcPr>
          <w:p w14:paraId="1DF75B1A">
            <w:pPr>
              <w:jc w:val="center"/>
              <w:rPr>
                <w:rFonts w:hint="eastAsia" w:ascii="宋体" w:hAnsi="宋体" w:eastAsia="宋体" w:cs="宋体"/>
                <w:sz w:val="22"/>
                <w:highlight w:val="none"/>
              </w:rPr>
            </w:pPr>
          </w:p>
        </w:tc>
        <w:tc>
          <w:tcPr>
            <w:tcW w:w="1196" w:type="dxa"/>
            <w:vAlign w:val="center"/>
          </w:tcPr>
          <w:p w14:paraId="5DE33A79">
            <w:pPr>
              <w:jc w:val="center"/>
              <w:rPr>
                <w:rFonts w:hint="eastAsia" w:ascii="宋体" w:hAnsi="宋体" w:eastAsia="宋体" w:cs="宋体"/>
                <w:sz w:val="22"/>
                <w:highlight w:val="none"/>
              </w:rPr>
            </w:pPr>
          </w:p>
        </w:tc>
        <w:tc>
          <w:tcPr>
            <w:tcW w:w="2337" w:type="dxa"/>
            <w:gridSpan w:val="2"/>
            <w:vAlign w:val="center"/>
          </w:tcPr>
          <w:p w14:paraId="3C64C048">
            <w:pPr>
              <w:jc w:val="center"/>
              <w:rPr>
                <w:rFonts w:hint="eastAsia" w:ascii="宋体" w:hAnsi="宋体" w:eastAsia="宋体" w:cs="宋体"/>
                <w:sz w:val="22"/>
                <w:highlight w:val="none"/>
              </w:rPr>
            </w:pPr>
          </w:p>
        </w:tc>
        <w:tc>
          <w:tcPr>
            <w:tcW w:w="1147" w:type="dxa"/>
            <w:vAlign w:val="center"/>
          </w:tcPr>
          <w:p w14:paraId="3DE18FC5">
            <w:pPr>
              <w:jc w:val="center"/>
              <w:rPr>
                <w:rFonts w:hint="eastAsia" w:ascii="宋体" w:hAnsi="宋体" w:eastAsia="宋体" w:cs="宋体"/>
                <w:sz w:val="22"/>
                <w:highlight w:val="none"/>
              </w:rPr>
            </w:pPr>
          </w:p>
        </w:tc>
      </w:tr>
      <w:tr w14:paraId="238F8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1CA8300E">
            <w:pPr>
              <w:jc w:val="center"/>
              <w:rPr>
                <w:rFonts w:hint="eastAsia" w:ascii="宋体" w:hAnsi="宋体" w:eastAsia="宋体" w:cs="宋体"/>
                <w:sz w:val="22"/>
                <w:highlight w:val="none"/>
              </w:rPr>
            </w:pPr>
          </w:p>
        </w:tc>
        <w:tc>
          <w:tcPr>
            <w:tcW w:w="1115" w:type="dxa"/>
            <w:vAlign w:val="center"/>
          </w:tcPr>
          <w:p w14:paraId="3B25E7FD">
            <w:pPr>
              <w:jc w:val="center"/>
              <w:rPr>
                <w:rFonts w:hint="eastAsia" w:ascii="宋体" w:hAnsi="宋体" w:eastAsia="宋体" w:cs="宋体"/>
                <w:sz w:val="22"/>
                <w:highlight w:val="none"/>
              </w:rPr>
            </w:pPr>
          </w:p>
        </w:tc>
        <w:tc>
          <w:tcPr>
            <w:tcW w:w="2634" w:type="dxa"/>
            <w:vAlign w:val="center"/>
          </w:tcPr>
          <w:p w14:paraId="6A43F041">
            <w:pPr>
              <w:jc w:val="center"/>
              <w:rPr>
                <w:rFonts w:hint="eastAsia" w:ascii="宋体" w:hAnsi="宋体" w:eastAsia="宋体" w:cs="宋体"/>
                <w:sz w:val="22"/>
                <w:highlight w:val="none"/>
              </w:rPr>
            </w:pPr>
          </w:p>
        </w:tc>
        <w:tc>
          <w:tcPr>
            <w:tcW w:w="1196" w:type="dxa"/>
            <w:vAlign w:val="center"/>
          </w:tcPr>
          <w:p w14:paraId="292E8742">
            <w:pPr>
              <w:jc w:val="center"/>
              <w:rPr>
                <w:rFonts w:hint="eastAsia" w:ascii="宋体" w:hAnsi="宋体" w:eastAsia="宋体" w:cs="宋体"/>
                <w:sz w:val="22"/>
                <w:highlight w:val="none"/>
              </w:rPr>
            </w:pPr>
          </w:p>
        </w:tc>
        <w:tc>
          <w:tcPr>
            <w:tcW w:w="2337" w:type="dxa"/>
            <w:gridSpan w:val="2"/>
            <w:vAlign w:val="center"/>
          </w:tcPr>
          <w:p w14:paraId="0D9D2B42">
            <w:pPr>
              <w:jc w:val="center"/>
              <w:rPr>
                <w:rFonts w:hint="eastAsia" w:ascii="宋体" w:hAnsi="宋体" w:eastAsia="宋体" w:cs="宋体"/>
                <w:sz w:val="22"/>
                <w:highlight w:val="none"/>
              </w:rPr>
            </w:pPr>
          </w:p>
        </w:tc>
        <w:tc>
          <w:tcPr>
            <w:tcW w:w="1147" w:type="dxa"/>
            <w:vAlign w:val="center"/>
          </w:tcPr>
          <w:p w14:paraId="4C2F2D6B">
            <w:pPr>
              <w:jc w:val="center"/>
              <w:rPr>
                <w:rFonts w:hint="eastAsia" w:ascii="宋体" w:hAnsi="宋体" w:eastAsia="宋体" w:cs="宋体"/>
                <w:sz w:val="22"/>
                <w:highlight w:val="none"/>
              </w:rPr>
            </w:pPr>
          </w:p>
        </w:tc>
      </w:tr>
      <w:tr w14:paraId="324C1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4B339300">
            <w:pPr>
              <w:jc w:val="center"/>
              <w:rPr>
                <w:rFonts w:hint="eastAsia" w:ascii="宋体" w:hAnsi="宋体" w:eastAsia="宋体" w:cs="宋体"/>
                <w:sz w:val="22"/>
                <w:highlight w:val="none"/>
              </w:rPr>
            </w:pPr>
          </w:p>
        </w:tc>
        <w:tc>
          <w:tcPr>
            <w:tcW w:w="1115" w:type="dxa"/>
            <w:vAlign w:val="center"/>
          </w:tcPr>
          <w:p w14:paraId="4FE7195E">
            <w:pPr>
              <w:jc w:val="center"/>
              <w:rPr>
                <w:rFonts w:hint="eastAsia" w:ascii="宋体" w:hAnsi="宋体" w:eastAsia="宋体" w:cs="宋体"/>
                <w:sz w:val="22"/>
                <w:highlight w:val="none"/>
              </w:rPr>
            </w:pPr>
          </w:p>
        </w:tc>
        <w:tc>
          <w:tcPr>
            <w:tcW w:w="2634" w:type="dxa"/>
            <w:vAlign w:val="center"/>
          </w:tcPr>
          <w:p w14:paraId="6127D3C5">
            <w:pPr>
              <w:jc w:val="center"/>
              <w:rPr>
                <w:rFonts w:hint="eastAsia" w:ascii="宋体" w:hAnsi="宋体" w:eastAsia="宋体" w:cs="宋体"/>
                <w:sz w:val="22"/>
                <w:highlight w:val="none"/>
              </w:rPr>
            </w:pPr>
          </w:p>
        </w:tc>
        <w:tc>
          <w:tcPr>
            <w:tcW w:w="1196" w:type="dxa"/>
            <w:vAlign w:val="center"/>
          </w:tcPr>
          <w:p w14:paraId="30BEC5A0">
            <w:pPr>
              <w:jc w:val="center"/>
              <w:rPr>
                <w:rFonts w:hint="eastAsia" w:ascii="宋体" w:hAnsi="宋体" w:eastAsia="宋体" w:cs="宋体"/>
                <w:sz w:val="22"/>
                <w:highlight w:val="none"/>
              </w:rPr>
            </w:pPr>
          </w:p>
        </w:tc>
        <w:tc>
          <w:tcPr>
            <w:tcW w:w="2337" w:type="dxa"/>
            <w:gridSpan w:val="2"/>
            <w:vAlign w:val="center"/>
          </w:tcPr>
          <w:p w14:paraId="2362515F">
            <w:pPr>
              <w:jc w:val="center"/>
              <w:rPr>
                <w:rFonts w:hint="eastAsia" w:ascii="宋体" w:hAnsi="宋体" w:eastAsia="宋体" w:cs="宋体"/>
                <w:sz w:val="22"/>
                <w:highlight w:val="none"/>
              </w:rPr>
            </w:pPr>
          </w:p>
        </w:tc>
        <w:tc>
          <w:tcPr>
            <w:tcW w:w="1147" w:type="dxa"/>
            <w:vAlign w:val="center"/>
          </w:tcPr>
          <w:p w14:paraId="334995A0">
            <w:pPr>
              <w:jc w:val="center"/>
              <w:rPr>
                <w:rFonts w:hint="eastAsia" w:ascii="宋体" w:hAnsi="宋体" w:eastAsia="宋体" w:cs="宋体"/>
                <w:sz w:val="22"/>
                <w:highlight w:val="none"/>
              </w:rPr>
            </w:pPr>
          </w:p>
        </w:tc>
      </w:tr>
      <w:tr w14:paraId="6915E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58518336">
            <w:pPr>
              <w:jc w:val="center"/>
              <w:rPr>
                <w:rFonts w:hint="eastAsia" w:ascii="宋体" w:hAnsi="宋体" w:eastAsia="宋体" w:cs="宋体"/>
                <w:sz w:val="22"/>
                <w:highlight w:val="none"/>
              </w:rPr>
            </w:pPr>
          </w:p>
        </w:tc>
        <w:tc>
          <w:tcPr>
            <w:tcW w:w="1115" w:type="dxa"/>
            <w:vAlign w:val="center"/>
          </w:tcPr>
          <w:p w14:paraId="7FA790E4">
            <w:pPr>
              <w:jc w:val="center"/>
              <w:rPr>
                <w:rFonts w:hint="eastAsia" w:ascii="宋体" w:hAnsi="宋体" w:eastAsia="宋体" w:cs="宋体"/>
                <w:sz w:val="22"/>
                <w:highlight w:val="none"/>
              </w:rPr>
            </w:pPr>
          </w:p>
        </w:tc>
        <w:tc>
          <w:tcPr>
            <w:tcW w:w="2634" w:type="dxa"/>
            <w:vAlign w:val="center"/>
          </w:tcPr>
          <w:p w14:paraId="17BF3DE6">
            <w:pPr>
              <w:jc w:val="center"/>
              <w:rPr>
                <w:rFonts w:hint="eastAsia" w:ascii="宋体" w:hAnsi="宋体" w:eastAsia="宋体" w:cs="宋体"/>
                <w:sz w:val="22"/>
                <w:highlight w:val="none"/>
              </w:rPr>
            </w:pPr>
          </w:p>
        </w:tc>
        <w:tc>
          <w:tcPr>
            <w:tcW w:w="1196" w:type="dxa"/>
            <w:vAlign w:val="center"/>
          </w:tcPr>
          <w:p w14:paraId="56BA8556">
            <w:pPr>
              <w:jc w:val="center"/>
              <w:rPr>
                <w:rFonts w:hint="eastAsia" w:ascii="宋体" w:hAnsi="宋体" w:eastAsia="宋体" w:cs="宋体"/>
                <w:sz w:val="22"/>
                <w:highlight w:val="none"/>
              </w:rPr>
            </w:pPr>
          </w:p>
        </w:tc>
        <w:tc>
          <w:tcPr>
            <w:tcW w:w="2337" w:type="dxa"/>
            <w:gridSpan w:val="2"/>
            <w:vAlign w:val="center"/>
          </w:tcPr>
          <w:p w14:paraId="764A57AC">
            <w:pPr>
              <w:jc w:val="center"/>
              <w:rPr>
                <w:rFonts w:hint="eastAsia" w:ascii="宋体" w:hAnsi="宋体" w:eastAsia="宋体" w:cs="宋体"/>
                <w:sz w:val="22"/>
                <w:highlight w:val="none"/>
              </w:rPr>
            </w:pPr>
          </w:p>
        </w:tc>
        <w:tc>
          <w:tcPr>
            <w:tcW w:w="1147" w:type="dxa"/>
            <w:vAlign w:val="center"/>
          </w:tcPr>
          <w:p w14:paraId="4E44E30B">
            <w:pPr>
              <w:jc w:val="center"/>
              <w:rPr>
                <w:rFonts w:hint="eastAsia" w:ascii="宋体" w:hAnsi="宋体" w:eastAsia="宋体" w:cs="宋体"/>
                <w:sz w:val="22"/>
                <w:highlight w:val="none"/>
              </w:rPr>
            </w:pPr>
          </w:p>
        </w:tc>
      </w:tr>
      <w:tr w14:paraId="55BEC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13BC2318">
            <w:pPr>
              <w:jc w:val="center"/>
              <w:rPr>
                <w:rFonts w:hint="eastAsia" w:ascii="宋体" w:hAnsi="宋体" w:eastAsia="宋体" w:cs="宋体"/>
                <w:sz w:val="22"/>
                <w:highlight w:val="none"/>
              </w:rPr>
            </w:pPr>
          </w:p>
        </w:tc>
        <w:tc>
          <w:tcPr>
            <w:tcW w:w="1115" w:type="dxa"/>
            <w:vAlign w:val="center"/>
          </w:tcPr>
          <w:p w14:paraId="6D664213">
            <w:pPr>
              <w:jc w:val="center"/>
              <w:rPr>
                <w:rFonts w:hint="eastAsia" w:ascii="宋体" w:hAnsi="宋体" w:eastAsia="宋体" w:cs="宋体"/>
                <w:sz w:val="22"/>
                <w:highlight w:val="none"/>
              </w:rPr>
            </w:pPr>
          </w:p>
        </w:tc>
        <w:tc>
          <w:tcPr>
            <w:tcW w:w="2634" w:type="dxa"/>
            <w:vAlign w:val="center"/>
          </w:tcPr>
          <w:p w14:paraId="6508F097">
            <w:pPr>
              <w:jc w:val="center"/>
              <w:rPr>
                <w:rFonts w:hint="eastAsia" w:ascii="宋体" w:hAnsi="宋体" w:eastAsia="宋体" w:cs="宋体"/>
                <w:sz w:val="22"/>
                <w:highlight w:val="none"/>
              </w:rPr>
            </w:pPr>
          </w:p>
        </w:tc>
        <w:tc>
          <w:tcPr>
            <w:tcW w:w="1196" w:type="dxa"/>
            <w:vAlign w:val="center"/>
          </w:tcPr>
          <w:p w14:paraId="4ABA4A35">
            <w:pPr>
              <w:jc w:val="center"/>
              <w:rPr>
                <w:rFonts w:hint="eastAsia" w:ascii="宋体" w:hAnsi="宋体" w:eastAsia="宋体" w:cs="宋体"/>
                <w:sz w:val="22"/>
                <w:highlight w:val="none"/>
              </w:rPr>
            </w:pPr>
          </w:p>
        </w:tc>
        <w:tc>
          <w:tcPr>
            <w:tcW w:w="2337" w:type="dxa"/>
            <w:gridSpan w:val="2"/>
            <w:vAlign w:val="center"/>
          </w:tcPr>
          <w:p w14:paraId="75008971">
            <w:pPr>
              <w:jc w:val="center"/>
              <w:rPr>
                <w:rFonts w:hint="eastAsia" w:ascii="宋体" w:hAnsi="宋体" w:eastAsia="宋体" w:cs="宋体"/>
                <w:sz w:val="22"/>
                <w:highlight w:val="none"/>
              </w:rPr>
            </w:pPr>
          </w:p>
        </w:tc>
        <w:tc>
          <w:tcPr>
            <w:tcW w:w="1147" w:type="dxa"/>
            <w:vAlign w:val="center"/>
          </w:tcPr>
          <w:p w14:paraId="16C8828F">
            <w:pPr>
              <w:jc w:val="center"/>
              <w:rPr>
                <w:rFonts w:hint="eastAsia" w:ascii="宋体" w:hAnsi="宋体" w:eastAsia="宋体" w:cs="宋体"/>
                <w:sz w:val="22"/>
                <w:highlight w:val="none"/>
              </w:rPr>
            </w:pPr>
          </w:p>
        </w:tc>
      </w:tr>
      <w:tr w14:paraId="746DF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28A2A001">
            <w:pPr>
              <w:jc w:val="center"/>
              <w:rPr>
                <w:rFonts w:hint="eastAsia" w:ascii="宋体" w:hAnsi="宋体" w:eastAsia="宋体" w:cs="宋体"/>
                <w:sz w:val="22"/>
                <w:highlight w:val="none"/>
              </w:rPr>
            </w:pPr>
          </w:p>
        </w:tc>
        <w:tc>
          <w:tcPr>
            <w:tcW w:w="1115" w:type="dxa"/>
            <w:vAlign w:val="center"/>
          </w:tcPr>
          <w:p w14:paraId="50912585">
            <w:pPr>
              <w:jc w:val="center"/>
              <w:rPr>
                <w:rFonts w:hint="eastAsia" w:ascii="宋体" w:hAnsi="宋体" w:eastAsia="宋体" w:cs="宋体"/>
                <w:sz w:val="22"/>
                <w:highlight w:val="none"/>
              </w:rPr>
            </w:pPr>
          </w:p>
        </w:tc>
        <w:tc>
          <w:tcPr>
            <w:tcW w:w="2634" w:type="dxa"/>
            <w:vAlign w:val="center"/>
          </w:tcPr>
          <w:p w14:paraId="686FBE49">
            <w:pPr>
              <w:jc w:val="center"/>
              <w:rPr>
                <w:rFonts w:hint="eastAsia" w:ascii="宋体" w:hAnsi="宋体" w:eastAsia="宋体" w:cs="宋体"/>
                <w:sz w:val="22"/>
                <w:highlight w:val="none"/>
              </w:rPr>
            </w:pPr>
          </w:p>
        </w:tc>
        <w:tc>
          <w:tcPr>
            <w:tcW w:w="1196" w:type="dxa"/>
            <w:vAlign w:val="center"/>
          </w:tcPr>
          <w:p w14:paraId="482924DF">
            <w:pPr>
              <w:jc w:val="center"/>
              <w:rPr>
                <w:rFonts w:hint="eastAsia" w:ascii="宋体" w:hAnsi="宋体" w:eastAsia="宋体" w:cs="宋体"/>
                <w:sz w:val="22"/>
                <w:highlight w:val="none"/>
              </w:rPr>
            </w:pPr>
          </w:p>
        </w:tc>
        <w:tc>
          <w:tcPr>
            <w:tcW w:w="2337" w:type="dxa"/>
            <w:gridSpan w:val="2"/>
            <w:vAlign w:val="center"/>
          </w:tcPr>
          <w:p w14:paraId="08D984CF">
            <w:pPr>
              <w:jc w:val="center"/>
              <w:rPr>
                <w:rFonts w:hint="eastAsia" w:ascii="宋体" w:hAnsi="宋体" w:eastAsia="宋体" w:cs="宋体"/>
                <w:sz w:val="22"/>
                <w:highlight w:val="none"/>
              </w:rPr>
            </w:pPr>
          </w:p>
        </w:tc>
        <w:tc>
          <w:tcPr>
            <w:tcW w:w="1147" w:type="dxa"/>
            <w:vAlign w:val="center"/>
          </w:tcPr>
          <w:p w14:paraId="42DEFCE2">
            <w:pPr>
              <w:jc w:val="center"/>
              <w:rPr>
                <w:rFonts w:hint="eastAsia" w:ascii="宋体" w:hAnsi="宋体" w:eastAsia="宋体" w:cs="宋体"/>
                <w:sz w:val="22"/>
                <w:highlight w:val="none"/>
              </w:rPr>
            </w:pPr>
          </w:p>
        </w:tc>
      </w:tr>
    </w:tbl>
    <w:p w14:paraId="651A01C7">
      <w:pPr>
        <w:rPr>
          <w:rFonts w:hint="eastAsia" w:ascii="宋体" w:hAnsi="宋体" w:eastAsia="宋体" w:cs="宋体"/>
          <w:szCs w:val="21"/>
          <w:highlight w:val="none"/>
        </w:rPr>
      </w:pPr>
      <w:r>
        <w:rPr>
          <w:rFonts w:hint="eastAsia" w:ascii="宋体" w:hAnsi="宋体" w:eastAsia="宋体" w:cs="宋体"/>
          <w:szCs w:val="21"/>
          <w:highlight w:val="none"/>
        </w:rPr>
        <w:t>注：1、此表可扩展使用。</w:t>
      </w:r>
    </w:p>
    <w:p w14:paraId="246DD92C">
      <w:pPr>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如有偏离，必须在偏离表中进行详细对比说明并注明正偏离和负偏离，如不说明偏离情况，视为完全响应采购文件要求无偏离</w:t>
      </w:r>
      <w:r>
        <w:rPr>
          <w:rFonts w:hint="eastAsia" w:ascii="宋体" w:hAnsi="宋体" w:eastAsia="宋体" w:cs="宋体"/>
          <w:b/>
          <w:color w:val="auto"/>
          <w:sz w:val="21"/>
          <w:szCs w:val="21"/>
          <w:highlight w:val="none"/>
        </w:rPr>
        <w:t>。</w:t>
      </w:r>
    </w:p>
    <w:p w14:paraId="5786450C">
      <w:pPr>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lang w:val="en-US" w:eastAsia="zh-CN"/>
        </w:rPr>
        <w:t>3</w:t>
      </w:r>
      <w:r>
        <w:rPr>
          <w:rFonts w:hint="eastAsia" w:ascii="宋体" w:hAnsi="宋体" w:eastAsia="宋体" w:cs="宋体"/>
          <w:b/>
          <w:color w:val="auto"/>
          <w:szCs w:val="21"/>
          <w:highlight w:val="none"/>
          <w:u w:val="single"/>
        </w:rPr>
        <w:t>、▲不提供“技术规格、商务条款偏离表”的投标文件将被视为未实质性响应采购文件。</w:t>
      </w:r>
    </w:p>
    <w:p w14:paraId="34BBE391">
      <w:pPr>
        <w:ind w:firstLine="422" w:firstLineChars="200"/>
        <w:rPr>
          <w:rFonts w:hint="eastAsia" w:ascii="宋体" w:hAnsi="宋体" w:eastAsia="宋体" w:cs="宋体"/>
          <w:szCs w:val="21"/>
          <w:highlight w:val="none"/>
        </w:rPr>
      </w:pP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、▲如果投标文件其他地方描述与本表不一致，评标委员会评标时没有发现的，原则上以有利于采购人的解释为准。</w:t>
      </w:r>
    </w:p>
    <w:p w14:paraId="6B263B20">
      <w:pPr>
        <w:spacing w:line="240" w:lineRule="auto"/>
        <w:ind w:firstLine="442" w:firstLineChars="200"/>
        <w:rPr>
          <w:rFonts w:hint="eastAsia" w:ascii="宋体" w:hAnsi="宋体" w:eastAsia="宋体" w:cs="宋体"/>
          <w:b/>
          <w:sz w:val="22"/>
          <w:highlight w:val="none"/>
        </w:rPr>
      </w:pPr>
    </w:p>
    <w:p w14:paraId="42B89ED2">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4FDB59C4">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2D87733E">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14:paraId="3BCA0EB7">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附件三</w:t>
      </w:r>
    </w:p>
    <w:p w14:paraId="00C5237A">
      <w:pPr>
        <w:spacing w:line="460" w:lineRule="exact"/>
        <w:jc w:val="center"/>
        <w:rPr>
          <w:rFonts w:hint="eastAsia" w:ascii="宋体" w:hAnsi="宋体" w:eastAsia="宋体" w:cs="宋体"/>
          <w:b/>
          <w:sz w:val="28"/>
          <w:szCs w:val="28"/>
          <w:highlight w:val="none"/>
        </w:rPr>
      </w:pPr>
      <w:r>
        <w:rPr>
          <w:rFonts w:hint="eastAsia" w:ascii="宋体" w:hAnsi="宋体" w:eastAsia="宋体" w:cs="宋体"/>
          <w:b/>
          <w:bCs/>
          <w:sz w:val="28"/>
          <w:szCs w:val="28"/>
          <w:highlight w:val="none"/>
        </w:rPr>
        <w:t>资格证明文件</w:t>
      </w:r>
    </w:p>
    <w:p w14:paraId="124B6073">
      <w:pPr>
        <w:tabs>
          <w:tab w:val="left" w:pos="0"/>
          <w:tab w:val="left" w:pos="420"/>
        </w:tabs>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授权书</w:t>
      </w:r>
    </w:p>
    <w:p w14:paraId="2133F97D">
      <w:pPr>
        <w:spacing w:line="420" w:lineRule="exact"/>
        <w:jc w:val="center"/>
        <w:rPr>
          <w:rFonts w:hint="eastAsia" w:ascii="宋体" w:hAnsi="宋体" w:eastAsia="宋体" w:cs="宋体"/>
          <w:sz w:val="22"/>
          <w:highlight w:val="none"/>
        </w:rPr>
      </w:pPr>
      <w:r>
        <w:rPr>
          <w:rFonts w:hint="eastAsia" w:ascii="宋体" w:hAnsi="宋体" w:eastAsia="宋体" w:cs="宋体"/>
          <w:sz w:val="22"/>
          <w:highlight w:val="none"/>
        </w:rPr>
        <w:t>（授权代表参加投标时提供）</w:t>
      </w:r>
    </w:p>
    <w:p w14:paraId="50E1F3AA">
      <w:pPr>
        <w:spacing w:line="420" w:lineRule="exact"/>
        <w:rPr>
          <w:rFonts w:hint="eastAsia" w:ascii="宋体" w:hAnsi="宋体" w:eastAsia="宋体" w:cs="宋体"/>
          <w:sz w:val="22"/>
          <w:highlight w:val="none"/>
          <w:lang w:eastAsia="zh-CN"/>
        </w:rPr>
      </w:pPr>
    </w:p>
    <w:p w14:paraId="16A98D99">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温州市高速公路运营管理有限公司</w:t>
      </w:r>
      <w:r>
        <w:rPr>
          <w:rFonts w:hint="eastAsia" w:ascii="宋体" w:hAnsi="宋体" w:eastAsia="宋体" w:cs="宋体"/>
          <w:sz w:val="22"/>
          <w:highlight w:val="none"/>
        </w:rPr>
        <w:t>：</w:t>
      </w:r>
    </w:p>
    <w:p w14:paraId="4EAA33B6">
      <w:pPr>
        <w:spacing w:line="460" w:lineRule="exact"/>
        <w:rPr>
          <w:rFonts w:hint="eastAsia" w:ascii="宋体" w:hAnsi="宋体" w:eastAsia="宋体" w:cs="宋体"/>
          <w:sz w:val="22"/>
          <w:highlight w:val="none"/>
        </w:rPr>
      </w:pPr>
    </w:p>
    <w:p w14:paraId="3C836A1E">
      <w:pPr>
        <w:spacing w:line="460" w:lineRule="exact"/>
        <w:ind w:firstLine="550" w:firstLineChars="25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（投标人全称）</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（全权代表姓名）为全权代表，参加贵处组织的（采购项目名称、编号）的采购活动，全权代表我方处理采购活动中的一切事宜。</w:t>
      </w:r>
    </w:p>
    <w:p w14:paraId="31FEB5A4">
      <w:pPr>
        <w:spacing w:line="460" w:lineRule="exact"/>
        <w:ind w:firstLine="2955"/>
        <w:rPr>
          <w:rFonts w:hint="eastAsia" w:ascii="宋体" w:hAnsi="宋体" w:eastAsia="宋体" w:cs="宋体"/>
          <w:sz w:val="22"/>
          <w:highlight w:val="none"/>
        </w:rPr>
      </w:pPr>
    </w:p>
    <w:p w14:paraId="3110F4D5">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 xml:space="preserve"> (签字或盖章)：</w:t>
      </w:r>
    </w:p>
    <w:p w14:paraId="01CFE096">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投标人全称（公章）：</w:t>
      </w:r>
    </w:p>
    <w:p w14:paraId="79670785">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14:paraId="71D00F67">
      <w:pPr>
        <w:spacing w:line="460" w:lineRule="exact"/>
        <w:rPr>
          <w:rFonts w:hint="eastAsia" w:ascii="宋体" w:hAnsi="宋体" w:eastAsia="宋体" w:cs="宋体"/>
          <w:sz w:val="22"/>
          <w:highlight w:val="none"/>
        </w:rPr>
      </w:pPr>
      <w:r>
        <w:rPr>
          <w:rFonts w:hint="eastAsia" w:ascii="宋体" w:hAnsi="宋体" w:eastAsia="宋体" w:cs="宋体"/>
          <w:sz w:val="22"/>
          <w:highlight w:val="none"/>
        </w:rPr>
        <w:t>附：</w:t>
      </w:r>
    </w:p>
    <w:p w14:paraId="09CAF068">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授权代表姓名：</w:t>
      </w:r>
    </w:p>
    <w:p w14:paraId="5BCAEC34">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职务：</w:t>
      </w:r>
    </w:p>
    <w:p w14:paraId="5BF936B1">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详细通讯地址：</w:t>
      </w:r>
    </w:p>
    <w:p w14:paraId="04CEDF65">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电话：</w:t>
      </w:r>
    </w:p>
    <w:p w14:paraId="389B7F0E">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传真：</w:t>
      </w:r>
    </w:p>
    <w:p w14:paraId="45C94C90">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邮政编码:</w:t>
      </w:r>
    </w:p>
    <w:p w14:paraId="71FF434C">
      <w:pPr>
        <w:spacing w:line="460" w:lineRule="exact"/>
        <w:rPr>
          <w:rFonts w:hint="eastAsia" w:ascii="宋体" w:hAnsi="宋体" w:eastAsia="宋体" w:cs="宋体"/>
          <w:bCs/>
          <w:sz w:val="22"/>
          <w:highlight w:val="none"/>
        </w:rPr>
      </w:pPr>
    </w:p>
    <w:tbl>
      <w:tblPr>
        <w:tblStyle w:val="25"/>
        <w:tblW w:w="4280" w:type="dxa"/>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14:paraId="4A3B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14:paraId="0B858F7E">
            <w:pPr>
              <w:spacing w:line="3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投标人代表身份证复印件</w:t>
            </w:r>
          </w:p>
          <w:p w14:paraId="4683798E">
            <w:pPr>
              <w:spacing w:line="380" w:lineRule="exact"/>
              <w:jc w:val="center"/>
              <w:rPr>
                <w:rFonts w:hint="eastAsia" w:ascii="宋体" w:hAnsi="宋体" w:eastAsia="宋体" w:cs="宋体"/>
                <w:bCs/>
                <w:sz w:val="28"/>
                <w:szCs w:val="24"/>
                <w:highlight w:val="none"/>
              </w:rPr>
            </w:pPr>
          </w:p>
        </w:tc>
      </w:tr>
    </w:tbl>
    <w:p w14:paraId="02D09E36">
      <w:pPr>
        <w:spacing w:line="400" w:lineRule="exact"/>
        <w:ind w:firstLine="140" w:firstLineChars="64"/>
        <w:rPr>
          <w:rFonts w:hint="eastAsia" w:ascii="宋体" w:hAnsi="宋体" w:eastAsia="宋体" w:cs="宋体"/>
          <w:sz w:val="22"/>
          <w:szCs w:val="24"/>
          <w:highlight w:val="none"/>
        </w:rPr>
      </w:pPr>
    </w:p>
    <w:p w14:paraId="5B4F0903">
      <w:pPr>
        <w:widowControl/>
        <w:spacing w:line="480" w:lineRule="atLeast"/>
        <w:jc w:val="center"/>
        <w:rPr>
          <w:rFonts w:hint="eastAsia" w:ascii="宋体" w:hAnsi="宋体" w:eastAsia="宋体" w:cs="宋体"/>
          <w:bCs/>
          <w:kern w:val="0"/>
          <w:sz w:val="32"/>
          <w:szCs w:val="32"/>
          <w:highlight w:val="none"/>
        </w:rPr>
      </w:pPr>
      <w:r>
        <w:rPr>
          <w:rFonts w:hint="eastAsia" w:ascii="宋体" w:hAnsi="宋体" w:eastAsia="宋体" w:cs="宋体"/>
          <w:sz w:val="22"/>
          <w:szCs w:val="24"/>
          <w:highlight w:val="none"/>
        </w:rPr>
        <w:br w:type="page"/>
      </w:r>
      <w:r>
        <w:rPr>
          <w:rFonts w:hint="eastAsia" w:ascii="宋体" w:hAnsi="宋体" w:eastAsia="宋体" w:cs="宋体"/>
          <w:bCs/>
          <w:kern w:val="0"/>
          <w:sz w:val="32"/>
          <w:szCs w:val="32"/>
          <w:highlight w:val="none"/>
          <w:lang w:eastAsia="zh-CN"/>
        </w:rPr>
        <w:t>法定代表人</w:t>
      </w:r>
      <w:r>
        <w:rPr>
          <w:rFonts w:hint="eastAsia" w:ascii="宋体" w:hAnsi="宋体" w:eastAsia="宋体" w:cs="宋体"/>
          <w:bCs/>
          <w:kern w:val="0"/>
          <w:sz w:val="32"/>
          <w:szCs w:val="32"/>
          <w:highlight w:val="none"/>
        </w:rPr>
        <w:t>资格证明书</w:t>
      </w:r>
    </w:p>
    <w:p w14:paraId="339E6FA7">
      <w:pPr>
        <w:widowControl/>
        <w:spacing w:line="480" w:lineRule="atLeast"/>
        <w:jc w:val="center"/>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（如</w:t>
      </w:r>
      <w:r>
        <w:rPr>
          <w:rFonts w:hint="eastAsia" w:ascii="宋体" w:hAnsi="宋体" w:eastAsia="宋体" w:cs="宋体"/>
          <w:bCs/>
          <w:kern w:val="0"/>
          <w:sz w:val="28"/>
          <w:szCs w:val="28"/>
          <w:highlight w:val="none"/>
          <w:lang w:eastAsia="zh-CN"/>
        </w:rPr>
        <w:t>法定代表人</w:t>
      </w:r>
      <w:r>
        <w:rPr>
          <w:rFonts w:hint="eastAsia" w:ascii="宋体" w:hAnsi="宋体" w:eastAsia="宋体" w:cs="宋体"/>
          <w:bCs/>
          <w:kern w:val="0"/>
          <w:sz w:val="28"/>
          <w:szCs w:val="28"/>
          <w:highlight w:val="none"/>
        </w:rPr>
        <w:t>参加投标时提供）</w:t>
      </w:r>
    </w:p>
    <w:p w14:paraId="77173863">
      <w:pPr>
        <w:widowControl/>
        <w:spacing w:line="360" w:lineRule="auto"/>
        <w:rPr>
          <w:rFonts w:hint="eastAsia" w:ascii="宋体" w:hAnsi="宋体" w:eastAsia="宋体" w:cs="宋体"/>
          <w:sz w:val="24"/>
          <w:szCs w:val="24"/>
          <w:highlight w:val="none"/>
          <w:u w:val="single"/>
        </w:rPr>
      </w:pPr>
    </w:p>
    <w:p w14:paraId="525E4813">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温州市高速公路运营管理有限公司</w:t>
      </w:r>
      <w:r>
        <w:rPr>
          <w:rFonts w:hint="eastAsia" w:ascii="宋体" w:hAnsi="宋体" w:eastAsia="宋体" w:cs="宋体"/>
          <w:sz w:val="22"/>
          <w:highlight w:val="none"/>
        </w:rPr>
        <w:t>：</w:t>
      </w:r>
    </w:p>
    <w:p w14:paraId="03E7C247">
      <w:pPr>
        <w:widowControl/>
        <w:spacing w:line="360" w:lineRule="auto"/>
        <w:ind w:left="420" w:firstLine="473"/>
        <w:jc w:val="left"/>
        <w:rPr>
          <w:rFonts w:hint="eastAsia" w:ascii="宋体" w:hAnsi="宋体" w:eastAsia="宋体" w:cs="宋体"/>
          <w:kern w:val="0"/>
          <w:sz w:val="24"/>
          <w:szCs w:val="24"/>
          <w:highlight w:val="none"/>
        </w:rPr>
      </w:pPr>
    </w:p>
    <w:p w14:paraId="332813EA">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p>
    <w:p w14:paraId="35185425">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p>
    <w:p w14:paraId="10D08E44">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姓名：          性别：           年龄：            职务：        </w:t>
      </w:r>
    </w:p>
    <w:p w14:paraId="08275DEB">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本人系</w:t>
      </w:r>
      <w:r>
        <w:rPr>
          <w:rFonts w:hint="eastAsia" w:ascii="宋体" w:hAnsi="宋体" w:eastAsia="宋体" w:cs="宋体"/>
          <w:kern w:val="0"/>
          <w:sz w:val="24"/>
          <w:szCs w:val="24"/>
          <w:highlight w:val="none"/>
          <w:u w:val="single"/>
        </w:rPr>
        <w:t xml:space="preserve">       &lt;投标人名称&gt;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。为你单位组织的</w:t>
      </w:r>
      <w:r>
        <w:rPr>
          <w:rFonts w:hint="eastAsia" w:ascii="宋体" w:hAnsi="宋体" w:eastAsia="宋体" w:cs="宋体"/>
          <w:kern w:val="0"/>
          <w:sz w:val="24"/>
          <w:szCs w:val="24"/>
          <w:highlight w:val="none"/>
          <w:lang w:eastAsia="zh-CN"/>
        </w:rPr>
        <w:t>项目编号</w:t>
      </w:r>
      <w:r>
        <w:rPr>
          <w:rFonts w:hint="eastAsia" w:ascii="宋体" w:hAnsi="宋体" w:eastAsia="宋体" w:cs="宋体"/>
          <w:kern w:val="0"/>
          <w:sz w:val="24"/>
          <w:szCs w:val="24"/>
          <w:highlight w:val="none"/>
        </w:rPr>
        <w:t>为</w:t>
      </w:r>
      <w:r>
        <w:rPr>
          <w:rFonts w:hint="eastAsia" w:ascii="宋体" w:hAnsi="宋体" w:eastAsia="宋体" w:cs="宋体"/>
          <w:b/>
          <w:bCs/>
          <w:spacing w:val="20"/>
          <w:kern w:val="0"/>
          <w:sz w:val="24"/>
          <w:szCs w:val="24"/>
          <w:highlight w:val="none"/>
          <w:u w:val="single"/>
        </w:rPr>
        <w:t xml:space="preserve">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采购项目，签署上述项目的投标文件、进行合同谈判、签署合同和处理与之有关的一切事务。</w:t>
      </w:r>
    </w:p>
    <w:p w14:paraId="5135C0D1">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14:paraId="3E0E7F80">
      <w:pPr>
        <w:widowControl/>
        <w:spacing w:line="360" w:lineRule="auto"/>
        <w:ind w:left="-540" w:firstLine="540"/>
        <w:jc w:val="center"/>
        <w:rPr>
          <w:rFonts w:hint="eastAsia" w:ascii="宋体" w:hAnsi="宋体" w:eastAsia="宋体" w:cs="宋体"/>
          <w:b/>
          <w:bCs/>
          <w:kern w:val="0"/>
          <w:sz w:val="24"/>
          <w:szCs w:val="24"/>
          <w:highlight w:val="none"/>
        </w:rPr>
      </w:pPr>
    </w:p>
    <w:p w14:paraId="55226AAE">
      <w:pPr>
        <w:widowControl/>
        <w:spacing w:line="360" w:lineRule="auto"/>
        <w:ind w:left="-540" w:firstLine="540"/>
        <w:jc w:val="center"/>
        <w:rPr>
          <w:rFonts w:hint="eastAsia" w:ascii="宋体" w:hAnsi="宋体" w:eastAsia="宋体" w:cs="宋体"/>
          <w:b/>
          <w:bCs/>
          <w:kern w:val="0"/>
          <w:sz w:val="24"/>
          <w:szCs w:val="24"/>
          <w:highlight w:val="none"/>
        </w:rPr>
      </w:pPr>
    </w:p>
    <w:p w14:paraId="681E4FA2">
      <w:pPr>
        <w:widowControl/>
        <w:spacing w:line="360" w:lineRule="auto"/>
        <w:ind w:left="-540" w:firstLine="54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（※此处请粘贴</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身份证复印件※）</w:t>
      </w:r>
    </w:p>
    <w:p w14:paraId="08AB3AD4">
      <w:pPr>
        <w:widowControl/>
        <w:spacing w:line="480" w:lineRule="auto"/>
        <w:ind w:left="420" w:firstLine="473"/>
        <w:jc w:val="left"/>
        <w:rPr>
          <w:rFonts w:hint="eastAsia" w:ascii="宋体" w:hAnsi="宋体" w:eastAsia="宋体" w:cs="宋体"/>
          <w:kern w:val="0"/>
          <w:sz w:val="24"/>
          <w:szCs w:val="24"/>
          <w:highlight w:val="none"/>
        </w:rPr>
      </w:pPr>
    </w:p>
    <w:p w14:paraId="4E37DF50">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投标人名称（加盖公章）：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14:paraId="309AE7A8">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（签字</w:t>
      </w:r>
      <w:r>
        <w:rPr>
          <w:rFonts w:hint="eastAsia" w:ascii="宋体" w:hAnsi="宋体" w:eastAsia="宋体" w:cs="宋体"/>
          <w:sz w:val="22"/>
          <w:highlight w:val="none"/>
        </w:rPr>
        <w:t>或盖章</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p>
    <w:p w14:paraId="2C006D6A">
      <w:pPr>
        <w:widowControl/>
        <w:snapToGrid w:val="0"/>
        <w:spacing w:before="60" w:line="480" w:lineRule="auto"/>
        <w:ind w:firstLine="189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签署日期： </w:t>
      </w:r>
    </w:p>
    <w:p w14:paraId="5A4E3EAC">
      <w:pPr>
        <w:widowControl/>
        <w:rPr>
          <w:rFonts w:hint="eastAsia" w:ascii="宋体" w:hAnsi="宋体" w:eastAsia="宋体" w:cs="宋体"/>
          <w:kern w:val="0"/>
          <w:szCs w:val="21"/>
          <w:highlight w:val="none"/>
        </w:rPr>
      </w:pPr>
    </w:p>
    <w:p w14:paraId="27312DB8">
      <w:pPr>
        <w:widowControl/>
        <w:rPr>
          <w:rFonts w:hint="eastAsia" w:ascii="宋体" w:hAnsi="宋体" w:eastAsia="宋体" w:cs="宋体"/>
          <w:kern w:val="0"/>
          <w:szCs w:val="21"/>
          <w:highlight w:val="none"/>
        </w:rPr>
      </w:pPr>
    </w:p>
    <w:p w14:paraId="4FFBFF35">
      <w:pPr>
        <w:widowControl/>
        <w:spacing w:line="480" w:lineRule="atLeast"/>
        <w:jc w:val="center"/>
        <w:rPr>
          <w:rFonts w:hint="eastAsia" w:ascii="宋体" w:hAnsi="宋体" w:eastAsia="宋体" w:cs="宋体"/>
          <w:b/>
          <w:bCs/>
          <w:kern w:val="0"/>
          <w:sz w:val="24"/>
          <w:szCs w:val="24"/>
          <w:highlight w:val="none"/>
        </w:rPr>
      </w:pPr>
    </w:p>
    <w:p w14:paraId="5DFA73D3">
      <w:pPr>
        <w:spacing w:line="46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说明：</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参加本采购项目投标的，仅须提供此证明书。</w:t>
      </w:r>
    </w:p>
    <w:p w14:paraId="3F7CEB95">
      <w:pPr>
        <w:spacing w:line="460" w:lineRule="exact"/>
        <w:jc w:val="center"/>
        <w:rPr>
          <w:rFonts w:hint="eastAsia" w:ascii="宋体" w:hAnsi="宋体" w:eastAsia="宋体" w:cs="宋体"/>
          <w:b/>
          <w:bCs/>
          <w:kern w:val="0"/>
          <w:sz w:val="24"/>
          <w:szCs w:val="24"/>
          <w:highlight w:val="none"/>
        </w:rPr>
      </w:pPr>
    </w:p>
    <w:p w14:paraId="760D8DA2">
      <w:pPr>
        <w:spacing w:line="460" w:lineRule="exact"/>
        <w:jc w:val="center"/>
        <w:rPr>
          <w:rFonts w:hint="eastAsia" w:ascii="宋体" w:hAnsi="宋体" w:eastAsia="宋体" w:cs="宋体"/>
          <w:b/>
          <w:bCs/>
          <w:kern w:val="0"/>
          <w:sz w:val="24"/>
          <w:szCs w:val="24"/>
          <w:highlight w:val="none"/>
        </w:rPr>
      </w:pPr>
    </w:p>
    <w:p w14:paraId="458895A6">
      <w:pPr>
        <w:rPr>
          <w:rFonts w:hint="eastAsia" w:ascii="宋体" w:hAnsi="宋体" w:eastAsia="宋体" w:cs="宋体"/>
          <w:b/>
          <w:bCs/>
          <w:sz w:val="24"/>
          <w:szCs w:val="24"/>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企业法人有效营业执照（或法人登记证书）复印件加盖单位公章</w:t>
      </w:r>
    </w:p>
    <w:p w14:paraId="744D90BB">
      <w:pPr>
        <w:rPr>
          <w:rFonts w:hint="eastAsia" w:ascii="宋体" w:hAnsi="宋体" w:eastAsia="宋体" w:cs="宋体"/>
          <w:b/>
          <w:bCs/>
          <w:sz w:val="24"/>
          <w:szCs w:val="24"/>
          <w:highlight w:val="none"/>
        </w:rPr>
      </w:pPr>
    </w:p>
    <w:p w14:paraId="7E38E083">
      <w:pPr>
        <w:snapToGrid w:val="0"/>
        <w:spacing w:before="50" w:after="120" w:afterLines="50"/>
        <w:jc w:val="left"/>
        <w:rPr>
          <w:rFonts w:hint="eastAsia" w:ascii="宋体" w:hAnsi="宋体" w:eastAsia="宋体" w:cs="宋体"/>
          <w:b/>
          <w:sz w:val="24"/>
          <w:szCs w:val="24"/>
          <w:highlight w:val="none"/>
        </w:rPr>
      </w:pPr>
    </w:p>
    <w:p w14:paraId="4C891F43">
      <w:pPr>
        <w:snapToGrid w:val="0"/>
        <w:spacing w:before="50" w:after="120" w:afterLines="5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投标人</w:t>
      </w:r>
      <w:r>
        <w:rPr>
          <w:rFonts w:hint="eastAsia" w:ascii="宋体" w:hAnsi="宋体" w:eastAsia="宋体" w:cs="宋体"/>
          <w:b/>
          <w:sz w:val="24"/>
          <w:szCs w:val="24"/>
          <w:highlight w:val="none"/>
        </w:rPr>
        <w:t>具有</w:t>
      </w:r>
      <w:r>
        <w:rPr>
          <w:rFonts w:hint="eastAsia" w:ascii="宋体" w:hAnsi="宋体" w:eastAsia="宋体" w:cs="宋体"/>
          <w:b/>
          <w:sz w:val="24"/>
          <w:szCs w:val="24"/>
          <w:highlight w:val="none"/>
          <w:lang w:val="en-US" w:eastAsia="zh-CN"/>
        </w:rPr>
        <w:t>的</w:t>
      </w:r>
      <w:r>
        <w:rPr>
          <w:rFonts w:hint="eastAsia" w:ascii="宋体" w:hAnsi="宋体" w:eastAsia="宋体" w:cs="宋体"/>
          <w:b/>
          <w:sz w:val="24"/>
          <w:szCs w:val="24"/>
          <w:highlight w:val="none"/>
        </w:rPr>
        <w:t>公安部门颁发的有效的《旅行社业务经营许可证》；</w:t>
      </w:r>
    </w:p>
    <w:p w14:paraId="3C853AB9">
      <w:pPr>
        <w:snapToGrid w:val="0"/>
        <w:spacing w:before="50" w:after="120" w:afterLines="50"/>
        <w:jc w:val="left"/>
        <w:rPr>
          <w:rFonts w:hint="eastAsia" w:ascii="宋体" w:hAnsi="宋体" w:eastAsia="宋体" w:cs="宋体"/>
          <w:b/>
          <w:sz w:val="24"/>
          <w:szCs w:val="24"/>
          <w:highlight w:val="none"/>
        </w:rPr>
      </w:pPr>
    </w:p>
    <w:p w14:paraId="737B49B4">
      <w:pPr>
        <w:snapToGrid w:val="0"/>
        <w:spacing w:before="50" w:after="120" w:afterLines="5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以上证书若为复印件，须加盖投标人单位公章</w:t>
      </w: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附件四</w:t>
      </w:r>
    </w:p>
    <w:p w14:paraId="59E6D72B">
      <w:pPr>
        <w:snapToGrid w:val="0"/>
        <w:spacing w:before="120" w:beforeLines="50" w:after="50"/>
        <w:jc w:val="center"/>
        <w:rPr>
          <w:rFonts w:hint="eastAsia" w:ascii="宋体" w:hAnsi="宋体" w:eastAsia="宋体" w:cs="宋体"/>
          <w:b/>
          <w:sz w:val="24"/>
          <w:szCs w:val="20"/>
          <w:highlight w:val="none"/>
        </w:rPr>
      </w:pPr>
      <w:r>
        <w:rPr>
          <w:rFonts w:hint="eastAsia" w:ascii="宋体" w:hAnsi="宋体" w:eastAsia="宋体" w:cs="宋体"/>
          <w:b/>
          <w:sz w:val="30"/>
          <w:szCs w:val="24"/>
          <w:highlight w:val="none"/>
        </w:rPr>
        <w:t>（</w:t>
      </w:r>
      <w:r>
        <w:rPr>
          <w:rFonts w:hint="eastAsia" w:ascii="宋体" w:hAnsi="宋体" w:eastAsia="宋体" w:cs="宋体"/>
          <w:b/>
          <w:sz w:val="30"/>
          <w:szCs w:val="24"/>
          <w:highlight w:val="none"/>
          <w:lang w:val="en-US" w:eastAsia="zh-CN"/>
        </w:rPr>
        <w:t>3</w:t>
      </w:r>
      <w:r>
        <w:rPr>
          <w:rFonts w:hint="eastAsia" w:ascii="宋体" w:hAnsi="宋体" w:eastAsia="宋体" w:cs="宋体"/>
          <w:b/>
          <w:sz w:val="30"/>
          <w:szCs w:val="24"/>
          <w:highlight w:val="none"/>
        </w:rPr>
        <w:t>）投标声明书</w:t>
      </w:r>
    </w:p>
    <w:p w14:paraId="7E301468">
      <w:pPr>
        <w:snapToGrid w:val="0"/>
        <w:spacing w:before="120" w:beforeLines="50" w:after="50"/>
        <w:rPr>
          <w:rFonts w:hint="eastAsia" w:ascii="宋体" w:hAnsi="宋体" w:eastAsia="宋体" w:cs="宋体"/>
          <w:sz w:val="22"/>
          <w:highlight w:val="none"/>
        </w:rPr>
      </w:pPr>
    </w:p>
    <w:p w14:paraId="1C515169">
      <w:pPr>
        <w:snapToGrid w:val="0"/>
        <w:spacing w:before="120" w:beforeLines="50" w:after="50"/>
        <w:rPr>
          <w:rFonts w:hint="eastAsia" w:ascii="宋体" w:hAnsi="宋体" w:eastAsia="宋体" w:cs="宋体"/>
          <w:sz w:val="22"/>
          <w:highlight w:val="none"/>
        </w:rPr>
      </w:pPr>
      <w:r>
        <w:rPr>
          <w:rFonts w:hint="eastAsia" w:ascii="宋体" w:hAnsi="宋体" w:eastAsia="宋体" w:cs="宋体"/>
          <w:sz w:val="22"/>
          <w:highlight w:val="none"/>
        </w:rPr>
        <w:t>致：</w:t>
      </w:r>
      <w:r>
        <w:rPr>
          <w:rFonts w:hint="eastAsia" w:ascii="宋体" w:hAnsi="宋体" w:eastAsia="宋体" w:cs="宋体"/>
          <w:sz w:val="22"/>
          <w:highlight w:val="none"/>
          <w:lang w:eastAsia="zh-CN"/>
        </w:rPr>
        <w:t>温州市高速公路运营管理有限公司</w:t>
      </w:r>
      <w:r>
        <w:rPr>
          <w:rFonts w:hint="eastAsia" w:ascii="宋体" w:hAnsi="宋体" w:eastAsia="宋体" w:cs="宋体"/>
          <w:sz w:val="22"/>
          <w:highlight w:val="none"/>
        </w:rPr>
        <w:t>：</w:t>
      </w:r>
    </w:p>
    <w:p w14:paraId="56D68C23">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（投标人名称）系中华人民共和国合法企业/单位，经营地址</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14:paraId="6D0F9166">
      <w:pPr>
        <w:keepNext w:val="0"/>
        <w:keepLines w:val="0"/>
        <w:pageBreakBefore w:val="0"/>
        <w:widowControl w:val="0"/>
        <w:kinsoku/>
        <w:wordWrap w:val="0"/>
        <w:overflowPunct/>
        <w:topLinePunct w:val="0"/>
        <w:autoSpaceDE/>
        <w:autoSpaceDN/>
        <w:bidi w:val="0"/>
        <w:adjustRightInd/>
        <w:snapToGrid w:val="0"/>
        <w:spacing w:before="120" w:after="50" w:line="320" w:lineRule="exact"/>
        <w:ind w:firstLine="440" w:firstLineChars="200"/>
        <w:textAlignment w:val="auto"/>
        <w:rPr>
          <w:rFonts w:hint="eastAsia" w:ascii="宋体" w:hAnsi="宋体" w:eastAsia="宋体" w:cs="宋体"/>
          <w:sz w:val="22"/>
          <w:highlight w:val="none"/>
        </w:rPr>
      </w:pPr>
      <w:r>
        <w:rPr>
          <w:rFonts w:hint="eastAsia" w:ascii="宋体" w:hAnsi="宋体" w:eastAsia="宋体" w:cs="宋体"/>
          <w:sz w:val="22"/>
          <w:highlight w:val="none"/>
        </w:rPr>
        <w:t>我</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（姓名）系</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（投标人名称）的</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，我方愿意参加贵方组织的</w:t>
      </w:r>
      <w:r>
        <w:rPr>
          <w:rFonts w:hint="eastAsia" w:ascii="宋体" w:hAnsi="宋体" w:eastAsia="宋体" w:cs="宋体"/>
          <w:sz w:val="22"/>
          <w:highlight w:val="none"/>
          <w:u w:val="single"/>
        </w:rPr>
        <w:t xml:space="preserve">   （项目名称名称、项目编号）     </w:t>
      </w:r>
      <w:r>
        <w:rPr>
          <w:rFonts w:hint="eastAsia" w:ascii="宋体" w:hAnsi="宋体" w:eastAsia="宋体" w:cs="宋体"/>
          <w:sz w:val="22"/>
          <w:highlight w:val="none"/>
        </w:rPr>
        <w:t>项目的投标，为便于贵方公正、择优地确定中标人及其投标服务，我方就参加本次投标有关事项郑重声明如下：</w:t>
      </w:r>
    </w:p>
    <w:p w14:paraId="394D33B3">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1.本投标有效期自开标日起 ______日。</w:t>
      </w:r>
    </w:p>
    <w:p w14:paraId="6324503D">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2.我方向贵方提交的所有投标文件、资料都是准确的和真实的。</w:t>
      </w:r>
    </w:p>
    <w:p w14:paraId="65B9DD44">
      <w:pPr>
        <w:snapToGrid w:val="0"/>
        <w:spacing w:before="120" w:line="320" w:lineRule="exact"/>
        <w:ind w:firstLine="440" w:firstLineChars="200"/>
        <w:rPr>
          <w:rFonts w:hint="eastAsia" w:ascii="宋体" w:hAnsi="宋体" w:eastAsia="宋体" w:cs="宋体"/>
          <w:sz w:val="22"/>
          <w:highlight w:val="none"/>
          <w:lang w:eastAsia="zh-CN"/>
        </w:rPr>
      </w:pPr>
      <w:r>
        <w:rPr>
          <w:rFonts w:hint="eastAsia" w:ascii="宋体" w:hAnsi="宋体" w:eastAsia="宋体" w:cs="宋体"/>
          <w:sz w:val="22"/>
          <w:highlight w:val="none"/>
        </w:rPr>
        <w:t>3.我方不是采购人的附属机构</w:t>
      </w:r>
      <w:r>
        <w:rPr>
          <w:rFonts w:hint="eastAsia" w:ascii="宋体" w:hAnsi="宋体" w:eastAsia="宋体" w:cs="宋体"/>
          <w:sz w:val="22"/>
          <w:highlight w:val="none"/>
          <w:lang w:eastAsia="zh-CN"/>
        </w:rPr>
        <w:t>。</w:t>
      </w:r>
    </w:p>
    <w:p w14:paraId="011595DD">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rPr>
        <w:t>4.我方</w:t>
      </w:r>
      <w:r>
        <w:rPr>
          <w:rFonts w:hint="eastAsia" w:ascii="宋体" w:hAnsi="宋体" w:eastAsia="宋体" w:cs="宋体"/>
          <w:sz w:val="22"/>
          <w:highlight w:val="none"/>
          <w:lang w:val="en-US" w:eastAsia="zh-CN"/>
        </w:rPr>
        <w:t>未</w:t>
      </w:r>
      <w:r>
        <w:rPr>
          <w:rFonts w:hint="eastAsia" w:ascii="宋体" w:hAnsi="宋体" w:eastAsia="宋体" w:cs="宋体"/>
          <w:sz w:val="22"/>
          <w:highlight w:val="none"/>
        </w:rPr>
        <w:t>参加</w:t>
      </w:r>
      <w:r>
        <w:rPr>
          <w:rFonts w:hint="eastAsia" w:ascii="宋体" w:hAnsi="宋体" w:eastAsia="宋体" w:cs="宋体"/>
          <w:sz w:val="22"/>
          <w:highlight w:val="none"/>
          <w:lang w:val="en-US" w:eastAsia="zh-CN"/>
        </w:rPr>
        <w:t>过</w:t>
      </w:r>
      <w:r>
        <w:rPr>
          <w:rFonts w:hint="eastAsia" w:ascii="宋体" w:hAnsi="宋体" w:eastAsia="宋体" w:cs="宋体"/>
          <w:sz w:val="22"/>
          <w:highlight w:val="none"/>
        </w:rPr>
        <w:t>本采购项目的整体设计、规范编制或者项目管理、监理、检测等服务</w:t>
      </w:r>
      <w:r>
        <w:rPr>
          <w:rFonts w:hint="eastAsia" w:ascii="宋体" w:hAnsi="宋体" w:eastAsia="宋体" w:cs="宋体"/>
          <w:sz w:val="22"/>
          <w:highlight w:val="none"/>
          <w:lang w:val="en-US" w:eastAsia="zh-CN"/>
        </w:rPr>
        <w:t>工作。</w:t>
      </w:r>
    </w:p>
    <w:p w14:paraId="1C2700CA">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5.我</w:t>
      </w:r>
      <w:r>
        <w:rPr>
          <w:rFonts w:hint="eastAsia" w:ascii="宋体" w:hAnsi="宋体" w:eastAsia="宋体" w:cs="宋体"/>
          <w:kern w:val="0"/>
          <w:sz w:val="22"/>
          <w:highlight w:val="none"/>
        </w:rPr>
        <w:t>方</w:t>
      </w:r>
      <w:r>
        <w:rPr>
          <w:rFonts w:hint="eastAsia" w:ascii="宋体" w:hAnsi="宋体" w:eastAsia="宋体" w:cs="宋体"/>
          <w:sz w:val="22"/>
          <w:highlight w:val="none"/>
        </w:rPr>
        <w:t>单位</w:t>
      </w:r>
      <w:r>
        <w:rPr>
          <w:rFonts w:hint="eastAsia" w:ascii="宋体" w:hAnsi="宋体" w:eastAsia="宋体" w:cs="宋体"/>
          <w:kern w:val="0"/>
          <w:sz w:val="22"/>
          <w:highlight w:val="none"/>
        </w:rPr>
        <w:t>负责人同时为下列单位的负责人：</w:t>
      </w:r>
    </w:p>
    <w:p w14:paraId="3D288516">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14:paraId="7DFD143F">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kern w:val="0"/>
          <w:sz w:val="22"/>
          <w:highlight w:val="none"/>
        </w:rPr>
        <w:t>6</w:t>
      </w:r>
      <w:r>
        <w:rPr>
          <w:rFonts w:hint="eastAsia" w:ascii="宋体" w:hAnsi="宋体" w:eastAsia="宋体" w:cs="宋体"/>
          <w:sz w:val="22"/>
          <w:highlight w:val="none"/>
        </w:rPr>
        <w:t>.</w:t>
      </w:r>
      <w:r>
        <w:rPr>
          <w:rFonts w:hint="eastAsia" w:ascii="宋体" w:hAnsi="宋体" w:eastAsia="宋体" w:cs="宋体"/>
          <w:kern w:val="0"/>
          <w:sz w:val="22"/>
          <w:highlight w:val="none"/>
        </w:rPr>
        <w:t>我方直接控股的单位、由我方管理的单位，没有同时参加本</w:t>
      </w:r>
      <w:r>
        <w:rPr>
          <w:rFonts w:hint="eastAsia" w:ascii="宋体" w:hAnsi="宋体" w:eastAsia="宋体" w:cs="宋体"/>
          <w:sz w:val="22"/>
          <w:highlight w:val="none"/>
        </w:rPr>
        <w:t>合同项下</w:t>
      </w:r>
      <w:r>
        <w:rPr>
          <w:rFonts w:hint="eastAsia" w:ascii="宋体" w:hAnsi="宋体" w:eastAsia="宋体" w:cs="宋体"/>
          <w:kern w:val="0"/>
          <w:sz w:val="22"/>
          <w:highlight w:val="none"/>
        </w:rPr>
        <w:t>的投标。</w:t>
      </w:r>
    </w:p>
    <w:p w14:paraId="2438A81A">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7.我方委托授权人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（姓名）为我单位的正式在职职工，以我方的名义参加</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本项目的投标活动，</w:t>
      </w:r>
    </w:p>
    <w:p w14:paraId="72908B93">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8.我方此次向贵方提供的服务名称为：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14:paraId="53AB6F61">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9.我方</w:t>
      </w:r>
      <w:r>
        <w:rPr>
          <w:rFonts w:hint="eastAsia" w:ascii="宋体" w:hAnsi="宋体" w:eastAsia="宋体" w:cs="宋体"/>
          <w:kern w:val="0"/>
          <w:sz w:val="22"/>
          <w:highlight w:val="none"/>
        </w:rPr>
        <w:t>参加本次国企采购活动前三年内，在经营活动中的重大违法记录</w:t>
      </w:r>
      <w:r>
        <w:rPr>
          <w:rFonts w:hint="eastAsia" w:ascii="宋体" w:hAnsi="宋体" w:eastAsia="宋体" w:cs="宋体"/>
          <w:sz w:val="22"/>
          <w:highlight w:val="none"/>
        </w:rPr>
        <w:t>有：</w:t>
      </w:r>
    </w:p>
    <w:p w14:paraId="000B1DF9">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14:paraId="167257F1">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至本项目投标截止前，我方被列入“信用中国”网站(www.creditchina.gov.cn)“记录失信被执行人或重大税收违法案件当事人名单”记录名单情况：</w:t>
      </w:r>
    </w:p>
    <w:p w14:paraId="6DBFFB98">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14:paraId="0DC2A27B">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10.我方承诺具有良好的商业信誉和健全的财务会计制度，具有依法缴纳税收和社会保障资金的良好记录，具有履行本项目合同所必需的场地、设备和专业技术能力、售后保障等能力。如有虚假，采购人可取消我方任何资格（投标/中标/签订合同），我方对此无任何异议。</w:t>
      </w:r>
    </w:p>
    <w:p w14:paraId="208C65DE">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11.以上事项如有虚假或隐瞒，我方愿意承担一切后果，并不再寻求任何旨在减轻或免除法律责任的辩解。</w:t>
      </w:r>
    </w:p>
    <w:p w14:paraId="3F41E76E">
      <w:pPr>
        <w:snapToGrid w:val="0"/>
        <w:spacing w:before="120" w:beforeLines="50"/>
        <w:ind w:firstLine="200"/>
        <w:rPr>
          <w:rFonts w:hint="eastAsia" w:ascii="宋体" w:hAnsi="宋体" w:eastAsia="宋体" w:cs="宋体"/>
          <w:sz w:val="18"/>
          <w:szCs w:val="18"/>
          <w:highlight w:val="none"/>
        </w:rPr>
      </w:pPr>
    </w:p>
    <w:p w14:paraId="3A9BE482">
      <w:pPr>
        <w:snapToGrid w:val="0"/>
        <w:spacing w:before="120" w:beforeLines="50" w:line="360" w:lineRule="auto"/>
        <w:ind w:firstLine="200"/>
        <w:rPr>
          <w:rFonts w:hint="eastAsia" w:ascii="宋体" w:hAnsi="宋体" w:eastAsia="宋体" w:cs="宋体"/>
          <w:sz w:val="22"/>
          <w:highlight w:val="none"/>
          <w:u w:val="single"/>
        </w:rPr>
      </w:pPr>
      <w:r>
        <w:rPr>
          <w:rFonts w:hint="eastAsia" w:ascii="宋体" w:hAnsi="宋体" w:eastAsia="宋体" w:cs="宋体"/>
          <w:sz w:val="22"/>
          <w:highlight w:val="none"/>
        </w:rPr>
        <w:t>法定代表人或授权委托人：</w:t>
      </w:r>
      <w:r>
        <w:rPr>
          <w:rFonts w:hint="eastAsia" w:ascii="宋体" w:hAnsi="宋体" w:eastAsia="宋体" w:cs="宋体"/>
          <w:sz w:val="22"/>
          <w:highlight w:val="none"/>
          <w:u w:val="single"/>
        </w:rPr>
        <w:t xml:space="preserve">     （签字或盖章） </w:t>
      </w:r>
    </w:p>
    <w:p w14:paraId="25C25587">
      <w:pPr>
        <w:snapToGrid w:val="0"/>
        <w:spacing w:before="50" w:after="50" w:line="360" w:lineRule="auto"/>
        <w:ind w:firstLine="220" w:firstLineChars="100"/>
        <w:rPr>
          <w:rFonts w:hint="eastAsia" w:ascii="宋体" w:hAnsi="宋体" w:eastAsia="宋体" w:cs="宋体"/>
          <w:sz w:val="22"/>
          <w:highlight w:val="none"/>
          <w:u w:val="single"/>
        </w:rPr>
      </w:pPr>
      <w:r>
        <w:rPr>
          <w:rFonts w:hint="eastAsia" w:ascii="宋体" w:hAnsi="宋体" w:eastAsia="宋体" w:cs="宋体"/>
          <w:sz w:val="22"/>
          <w:highlight w:val="none"/>
        </w:rPr>
        <w:t>投标人全称：</w:t>
      </w:r>
      <w:r>
        <w:rPr>
          <w:rFonts w:hint="eastAsia" w:ascii="宋体" w:hAnsi="宋体" w:eastAsia="宋体" w:cs="宋体"/>
          <w:sz w:val="22"/>
          <w:highlight w:val="none"/>
          <w:u w:val="single"/>
        </w:rPr>
        <w:t xml:space="preserve">       （盖公章）           </w:t>
      </w:r>
    </w:p>
    <w:p w14:paraId="00F1A1AB">
      <w:pPr>
        <w:snapToGrid w:val="0"/>
        <w:spacing w:before="50" w:after="50" w:line="360" w:lineRule="auto"/>
        <w:ind w:firstLine="220" w:firstLineChars="100"/>
        <w:rPr>
          <w:rFonts w:hint="eastAsia" w:ascii="宋体" w:hAnsi="宋体" w:eastAsia="宋体" w:cs="宋体"/>
          <w:sz w:val="22"/>
          <w:szCs w:val="24"/>
          <w:highlight w:val="none"/>
          <w:lang w:eastAsia="zh-CN"/>
        </w:rPr>
      </w:pPr>
      <w:r>
        <w:rPr>
          <w:rFonts w:hint="eastAsia" w:ascii="宋体" w:hAnsi="宋体" w:eastAsia="宋体" w:cs="宋体"/>
          <w:sz w:val="22"/>
          <w:highlight w:val="none"/>
          <w:lang w:val="en-US" w:eastAsia="zh-CN"/>
        </w:rPr>
        <w:t>日期：</w:t>
      </w:r>
    </w:p>
    <w:p w14:paraId="3A1CEF1F">
      <w:pPr>
        <w:ind w:left="826" w:hanging="826" w:hangingChars="29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591F7977">
      <w:pPr>
        <w:spacing w:line="240" w:lineRule="auto"/>
        <w:ind w:firstLine="0"/>
        <w:jc w:val="both"/>
        <w:outlineLvl w:val="2"/>
        <w:rPr>
          <w:rFonts w:hint="eastAsia" w:ascii="宋体" w:hAnsi="宋体" w:eastAsia="宋体" w:cs="宋体"/>
          <w:b/>
          <w:bCs/>
          <w:color w:val="auto"/>
          <w:sz w:val="21"/>
          <w:szCs w:val="21"/>
          <w:highlight w:val="none"/>
          <w:lang w:val="en-US" w:eastAsia="zh-CN"/>
        </w:rPr>
      </w:pPr>
      <w:bookmarkStart w:id="196" w:name="_Toc2021"/>
      <w:bookmarkStart w:id="197" w:name="_Toc24325"/>
      <w:bookmarkStart w:id="198" w:name="_Toc27944"/>
      <w:r>
        <w:rPr>
          <w:rFonts w:hint="eastAsia" w:ascii="宋体" w:hAnsi="宋体" w:eastAsia="宋体" w:cs="宋体"/>
          <w:b/>
          <w:bCs/>
          <w:color w:val="auto"/>
          <w:sz w:val="21"/>
          <w:szCs w:val="21"/>
          <w:highlight w:val="none"/>
          <w:lang w:val="en-US" w:eastAsia="zh-CN"/>
        </w:rPr>
        <w:t>附件五</w:t>
      </w:r>
    </w:p>
    <w:bookmarkEnd w:id="196"/>
    <w:p w14:paraId="552B09FA">
      <w:pPr>
        <w:spacing w:line="560" w:lineRule="exact"/>
        <w:ind w:firstLine="0"/>
        <w:jc w:val="center"/>
        <w:outlineLvl w:val="2"/>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供应商同类项目业绩</w:t>
      </w:r>
      <w:bookmarkEnd w:id="197"/>
      <w:bookmarkEnd w:id="198"/>
    </w:p>
    <w:p w14:paraId="648D8556">
      <w:pPr>
        <w:spacing w:line="560" w:lineRule="exact"/>
        <w:rPr>
          <w:rFonts w:hint="eastAsia" w:ascii="宋体" w:hAnsi="宋体" w:eastAsia="宋体" w:cs="宋体"/>
          <w:b/>
          <w:bCs/>
          <w:color w:val="auto"/>
          <w:sz w:val="22"/>
          <w:szCs w:val="22"/>
          <w:highlight w:val="none"/>
          <w:lang w:val="en-US" w:eastAsia="zh-CN"/>
        </w:rPr>
      </w:pPr>
      <w:r>
        <w:rPr>
          <w:rFonts w:hint="eastAsia" w:ascii="宋体" w:hAnsi="宋体" w:eastAsia="宋体" w:cs="宋体"/>
          <w:b/>
          <w:color w:val="auto"/>
          <w:sz w:val="22"/>
          <w:szCs w:val="22"/>
          <w:highlight w:val="none"/>
        </w:rPr>
        <w:t>项目名称：                                 项目编号：</w:t>
      </w:r>
      <w:r>
        <w:rPr>
          <w:rFonts w:hint="eastAsia" w:ascii="宋体" w:hAnsi="宋体" w:eastAsia="宋体" w:cs="宋体"/>
          <w:b/>
          <w:color w:val="auto"/>
          <w:sz w:val="22"/>
          <w:szCs w:val="22"/>
          <w:highlight w:val="none"/>
          <w:lang w:val="en-US" w:eastAsia="zh-CN"/>
        </w:rPr>
        <w:t xml:space="preserve">       </w:t>
      </w:r>
    </w:p>
    <w:tbl>
      <w:tblPr>
        <w:tblStyle w:val="25"/>
        <w:tblW w:w="9852"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1809"/>
        <w:gridCol w:w="1809"/>
        <w:gridCol w:w="1471"/>
        <w:gridCol w:w="1179"/>
        <w:gridCol w:w="1286"/>
      </w:tblGrid>
      <w:tr w14:paraId="684C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2298" w:type="dxa"/>
            <w:tcBorders>
              <w:top w:val="single" w:color="auto" w:sz="12" w:space="0"/>
              <w:left w:val="single" w:color="auto" w:sz="12" w:space="0"/>
              <w:bottom w:val="single" w:color="auto" w:sz="4" w:space="0"/>
              <w:right w:val="single" w:color="auto" w:sz="4" w:space="0"/>
            </w:tcBorders>
            <w:noWrap/>
            <w:vAlign w:val="center"/>
          </w:tcPr>
          <w:p w14:paraId="4C5BBE20">
            <w:pPr>
              <w:autoSpaceDE w:val="0"/>
              <w:autoSpaceDN w:val="0"/>
              <w:adjustRightInd w:val="0"/>
              <w:jc w:val="center"/>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项目名称</w:t>
            </w:r>
          </w:p>
        </w:tc>
        <w:tc>
          <w:tcPr>
            <w:tcW w:w="1809" w:type="dxa"/>
            <w:tcBorders>
              <w:top w:val="single" w:color="auto" w:sz="12" w:space="0"/>
              <w:left w:val="single" w:color="auto" w:sz="4" w:space="0"/>
              <w:bottom w:val="single" w:color="auto" w:sz="4" w:space="0"/>
              <w:right w:val="single" w:color="auto" w:sz="4" w:space="0"/>
            </w:tcBorders>
            <w:noWrap/>
            <w:vAlign w:val="center"/>
          </w:tcPr>
          <w:p w14:paraId="58193F8F">
            <w:pPr>
              <w:autoSpaceDE w:val="0"/>
              <w:autoSpaceDN w:val="0"/>
              <w:adjustRightInd w:val="0"/>
              <w:jc w:val="center"/>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业主单位</w:t>
            </w:r>
          </w:p>
        </w:tc>
        <w:tc>
          <w:tcPr>
            <w:tcW w:w="1809" w:type="dxa"/>
            <w:tcBorders>
              <w:top w:val="single" w:color="auto" w:sz="12" w:space="0"/>
              <w:left w:val="single" w:color="auto" w:sz="4" w:space="0"/>
              <w:bottom w:val="single" w:color="auto" w:sz="4" w:space="0"/>
              <w:right w:val="single" w:color="auto" w:sz="4" w:space="0"/>
            </w:tcBorders>
            <w:noWrap/>
            <w:vAlign w:val="center"/>
          </w:tcPr>
          <w:p w14:paraId="06C837F0">
            <w:pPr>
              <w:autoSpaceDE w:val="0"/>
              <w:autoSpaceDN w:val="0"/>
              <w:adjustRightInd w:val="0"/>
              <w:jc w:val="center"/>
              <w:rPr>
                <w:rFonts w:hint="eastAsia" w:ascii="宋体" w:hAnsi="宋体" w:eastAsia="宋体" w:cs="宋体"/>
                <w:bCs/>
                <w:color w:val="auto"/>
                <w:sz w:val="22"/>
                <w:szCs w:val="22"/>
                <w:highlight w:val="none"/>
                <w:lang w:val="zh-CN"/>
              </w:rPr>
            </w:pPr>
            <w:r>
              <w:rPr>
                <w:rFonts w:hint="eastAsia" w:ascii="宋体" w:hAnsi="宋体" w:eastAsia="宋体" w:cs="宋体"/>
                <w:b w:val="0"/>
                <w:bCs w:val="0"/>
                <w:color w:val="auto"/>
                <w:sz w:val="21"/>
                <w:szCs w:val="21"/>
                <w:highlight w:val="none"/>
                <w:lang w:val="en-US" w:eastAsia="zh-CN"/>
              </w:rPr>
              <w:t>单位联系人及联系电话</w:t>
            </w:r>
          </w:p>
        </w:tc>
        <w:tc>
          <w:tcPr>
            <w:tcW w:w="1471" w:type="dxa"/>
            <w:tcBorders>
              <w:top w:val="single" w:color="auto" w:sz="12" w:space="0"/>
              <w:left w:val="single" w:color="auto" w:sz="4" w:space="0"/>
              <w:bottom w:val="single" w:color="auto" w:sz="4" w:space="0"/>
              <w:right w:val="single" w:color="auto" w:sz="4" w:space="0"/>
            </w:tcBorders>
            <w:noWrap/>
            <w:vAlign w:val="center"/>
          </w:tcPr>
          <w:p w14:paraId="1BAF79FF">
            <w:pPr>
              <w:autoSpaceDE w:val="0"/>
              <w:autoSpaceDN w:val="0"/>
              <w:adjustRightInd w:val="0"/>
              <w:jc w:val="center"/>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合同起止时间</w:t>
            </w:r>
          </w:p>
        </w:tc>
        <w:tc>
          <w:tcPr>
            <w:tcW w:w="1179" w:type="dxa"/>
            <w:tcBorders>
              <w:top w:val="single" w:color="auto" w:sz="12" w:space="0"/>
              <w:left w:val="single" w:color="auto" w:sz="4" w:space="0"/>
              <w:bottom w:val="single" w:color="auto" w:sz="4" w:space="0"/>
              <w:right w:val="single" w:color="auto" w:sz="4" w:space="0"/>
            </w:tcBorders>
            <w:noWrap/>
            <w:vAlign w:val="center"/>
          </w:tcPr>
          <w:p w14:paraId="5EDA5C9B">
            <w:pPr>
              <w:autoSpaceDE w:val="0"/>
              <w:autoSpaceDN w:val="0"/>
              <w:adjustRightInd w:val="0"/>
              <w:jc w:val="center"/>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合同金额</w:t>
            </w:r>
          </w:p>
          <w:p w14:paraId="1482C13C">
            <w:pPr>
              <w:autoSpaceDE w:val="0"/>
              <w:autoSpaceDN w:val="0"/>
              <w:adjustRightInd w:val="0"/>
              <w:jc w:val="center"/>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（万元）</w:t>
            </w:r>
          </w:p>
        </w:tc>
        <w:tc>
          <w:tcPr>
            <w:tcW w:w="1286" w:type="dxa"/>
            <w:tcBorders>
              <w:top w:val="single" w:color="auto" w:sz="12" w:space="0"/>
              <w:left w:val="single" w:color="auto" w:sz="4" w:space="0"/>
              <w:bottom w:val="single" w:color="auto" w:sz="4" w:space="0"/>
              <w:right w:val="single" w:color="auto" w:sz="12" w:space="0"/>
            </w:tcBorders>
            <w:noWrap/>
            <w:vAlign w:val="center"/>
          </w:tcPr>
          <w:p w14:paraId="0B5D1CA1">
            <w:pPr>
              <w:autoSpaceDE w:val="0"/>
              <w:autoSpaceDN w:val="0"/>
              <w:adjustRightInd w:val="0"/>
              <w:jc w:val="center"/>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服务内容</w:t>
            </w:r>
          </w:p>
        </w:tc>
      </w:tr>
      <w:tr w14:paraId="4A92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298" w:type="dxa"/>
            <w:tcBorders>
              <w:top w:val="single" w:color="auto" w:sz="4" w:space="0"/>
              <w:left w:val="single" w:color="auto" w:sz="12" w:space="0"/>
              <w:bottom w:val="single" w:color="auto" w:sz="4" w:space="0"/>
              <w:right w:val="single" w:color="auto" w:sz="4" w:space="0"/>
            </w:tcBorders>
            <w:noWrap/>
          </w:tcPr>
          <w:p w14:paraId="763A1560">
            <w:pPr>
              <w:autoSpaceDE w:val="0"/>
              <w:autoSpaceDN w:val="0"/>
              <w:adjustRightInd w:val="0"/>
              <w:rPr>
                <w:rFonts w:hint="eastAsia" w:ascii="宋体" w:hAns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14:paraId="4216630A">
            <w:pPr>
              <w:autoSpaceDE w:val="0"/>
              <w:autoSpaceDN w:val="0"/>
              <w:adjustRightInd w:val="0"/>
              <w:rPr>
                <w:rFonts w:hint="eastAsia" w:ascii="宋体" w:hAns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14:paraId="51E57281">
            <w:pPr>
              <w:autoSpaceDE w:val="0"/>
              <w:autoSpaceDN w:val="0"/>
              <w:adjustRightInd w:val="0"/>
              <w:rPr>
                <w:rFonts w:hint="eastAsia" w:ascii="宋体" w:hAnsi="宋体" w:eastAsia="宋体" w:cs="宋体"/>
                <w:color w:val="auto"/>
                <w:sz w:val="22"/>
                <w:szCs w:val="22"/>
                <w:highlight w:val="none"/>
                <w:lang w:val="zh-CN"/>
              </w:rPr>
            </w:pPr>
          </w:p>
        </w:tc>
        <w:tc>
          <w:tcPr>
            <w:tcW w:w="1471" w:type="dxa"/>
            <w:tcBorders>
              <w:top w:val="single" w:color="auto" w:sz="4" w:space="0"/>
              <w:left w:val="single" w:color="auto" w:sz="4" w:space="0"/>
              <w:bottom w:val="single" w:color="auto" w:sz="4" w:space="0"/>
              <w:right w:val="single" w:color="auto" w:sz="4" w:space="0"/>
            </w:tcBorders>
            <w:noWrap/>
          </w:tcPr>
          <w:p w14:paraId="0E32668C">
            <w:pPr>
              <w:autoSpaceDE w:val="0"/>
              <w:autoSpaceDN w:val="0"/>
              <w:adjustRightInd w:val="0"/>
              <w:rPr>
                <w:rFonts w:hint="eastAsia" w:ascii="宋体" w:hAnsi="宋体" w:eastAsia="宋体" w:cs="宋体"/>
                <w:color w:val="auto"/>
                <w:sz w:val="22"/>
                <w:szCs w:val="22"/>
                <w:highlight w:val="none"/>
                <w:lang w:val="zh-CN"/>
              </w:rPr>
            </w:pPr>
          </w:p>
        </w:tc>
        <w:tc>
          <w:tcPr>
            <w:tcW w:w="1179" w:type="dxa"/>
            <w:tcBorders>
              <w:top w:val="single" w:color="auto" w:sz="4" w:space="0"/>
              <w:left w:val="single" w:color="auto" w:sz="4" w:space="0"/>
              <w:bottom w:val="single" w:color="auto" w:sz="4" w:space="0"/>
              <w:right w:val="single" w:color="auto" w:sz="4" w:space="0"/>
            </w:tcBorders>
            <w:noWrap/>
          </w:tcPr>
          <w:p w14:paraId="69D110DB">
            <w:pPr>
              <w:autoSpaceDE w:val="0"/>
              <w:autoSpaceDN w:val="0"/>
              <w:adjustRightInd w:val="0"/>
              <w:rPr>
                <w:rFonts w:hint="eastAsia" w:ascii="宋体" w:hAnsi="宋体" w:eastAsia="宋体" w:cs="宋体"/>
                <w:color w:val="auto"/>
                <w:sz w:val="22"/>
                <w:szCs w:val="22"/>
                <w:highlight w:val="none"/>
                <w:lang w:val="zh-CN"/>
              </w:rPr>
            </w:pPr>
          </w:p>
        </w:tc>
        <w:tc>
          <w:tcPr>
            <w:tcW w:w="1286" w:type="dxa"/>
            <w:tcBorders>
              <w:top w:val="single" w:color="auto" w:sz="4" w:space="0"/>
              <w:left w:val="single" w:color="auto" w:sz="4" w:space="0"/>
              <w:bottom w:val="single" w:color="auto" w:sz="4" w:space="0"/>
              <w:right w:val="single" w:color="auto" w:sz="12" w:space="0"/>
            </w:tcBorders>
            <w:noWrap/>
          </w:tcPr>
          <w:p w14:paraId="0586BC57">
            <w:pPr>
              <w:autoSpaceDE w:val="0"/>
              <w:autoSpaceDN w:val="0"/>
              <w:adjustRightInd w:val="0"/>
              <w:rPr>
                <w:rFonts w:hint="eastAsia" w:ascii="宋体" w:hAnsi="宋体" w:eastAsia="宋体" w:cs="宋体"/>
                <w:color w:val="auto"/>
                <w:sz w:val="22"/>
                <w:szCs w:val="22"/>
                <w:highlight w:val="none"/>
                <w:lang w:val="zh-CN"/>
              </w:rPr>
            </w:pPr>
          </w:p>
        </w:tc>
      </w:tr>
      <w:tr w14:paraId="60BC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298" w:type="dxa"/>
            <w:tcBorders>
              <w:top w:val="single" w:color="auto" w:sz="4" w:space="0"/>
              <w:left w:val="single" w:color="auto" w:sz="12" w:space="0"/>
              <w:bottom w:val="single" w:color="auto" w:sz="4" w:space="0"/>
              <w:right w:val="single" w:color="auto" w:sz="4" w:space="0"/>
            </w:tcBorders>
            <w:noWrap/>
          </w:tcPr>
          <w:p w14:paraId="1860EA4E">
            <w:pPr>
              <w:autoSpaceDE w:val="0"/>
              <w:autoSpaceDN w:val="0"/>
              <w:adjustRightInd w:val="0"/>
              <w:rPr>
                <w:rFonts w:hint="eastAsia" w:ascii="宋体" w:hAns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14:paraId="26C0BA53">
            <w:pPr>
              <w:autoSpaceDE w:val="0"/>
              <w:autoSpaceDN w:val="0"/>
              <w:adjustRightInd w:val="0"/>
              <w:rPr>
                <w:rFonts w:hint="eastAsia" w:ascii="宋体" w:hAns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14:paraId="1B0474E9">
            <w:pPr>
              <w:autoSpaceDE w:val="0"/>
              <w:autoSpaceDN w:val="0"/>
              <w:adjustRightInd w:val="0"/>
              <w:rPr>
                <w:rFonts w:hint="eastAsia" w:ascii="宋体" w:hAnsi="宋体" w:eastAsia="宋体" w:cs="宋体"/>
                <w:color w:val="auto"/>
                <w:sz w:val="22"/>
                <w:szCs w:val="22"/>
                <w:highlight w:val="none"/>
                <w:lang w:val="zh-CN"/>
              </w:rPr>
            </w:pPr>
          </w:p>
        </w:tc>
        <w:tc>
          <w:tcPr>
            <w:tcW w:w="1471" w:type="dxa"/>
            <w:tcBorders>
              <w:top w:val="single" w:color="auto" w:sz="4" w:space="0"/>
              <w:left w:val="single" w:color="auto" w:sz="4" w:space="0"/>
              <w:bottom w:val="single" w:color="auto" w:sz="4" w:space="0"/>
              <w:right w:val="single" w:color="auto" w:sz="4" w:space="0"/>
            </w:tcBorders>
            <w:noWrap/>
          </w:tcPr>
          <w:p w14:paraId="265FEDAC">
            <w:pPr>
              <w:autoSpaceDE w:val="0"/>
              <w:autoSpaceDN w:val="0"/>
              <w:adjustRightInd w:val="0"/>
              <w:rPr>
                <w:rFonts w:hint="eastAsia" w:ascii="宋体" w:hAnsi="宋体" w:eastAsia="宋体" w:cs="宋体"/>
                <w:color w:val="auto"/>
                <w:sz w:val="22"/>
                <w:szCs w:val="22"/>
                <w:highlight w:val="none"/>
                <w:lang w:val="zh-CN"/>
              </w:rPr>
            </w:pPr>
          </w:p>
        </w:tc>
        <w:tc>
          <w:tcPr>
            <w:tcW w:w="1179" w:type="dxa"/>
            <w:tcBorders>
              <w:top w:val="single" w:color="auto" w:sz="4" w:space="0"/>
              <w:left w:val="single" w:color="auto" w:sz="4" w:space="0"/>
              <w:bottom w:val="single" w:color="auto" w:sz="4" w:space="0"/>
              <w:right w:val="single" w:color="auto" w:sz="4" w:space="0"/>
            </w:tcBorders>
            <w:noWrap/>
          </w:tcPr>
          <w:p w14:paraId="54198706">
            <w:pPr>
              <w:autoSpaceDE w:val="0"/>
              <w:autoSpaceDN w:val="0"/>
              <w:adjustRightInd w:val="0"/>
              <w:rPr>
                <w:rFonts w:hint="eastAsia" w:ascii="宋体" w:hAnsi="宋体" w:eastAsia="宋体" w:cs="宋体"/>
                <w:color w:val="auto"/>
                <w:sz w:val="22"/>
                <w:szCs w:val="22"/>
                <w:highlight w:val="none"/>
                <w:lang w:val="zh-CN"/>
              </w:rPr>
            </w:pPr>
          </w:p>
        </w:tc>
        <w:tc>
          <w:tcPr>
            <w:tcW w:w="1286" w:type="dxa"/>
            <w:tcBorders>
              <w:top w:val="single" w:color="auto" w:sz="4" w:space="0"/>
              <w:left w:val="single" w:color="auto" w:sz="4" w:space="0"/>
              <w:bottom w:val="single" w:color="auto" w:sz="4" w:space="0"/>
              <w:right w:val="single" w:color="auto" w:sz="12" w:space="0"/>
            </w:tcBorders>
            <w:noWrap/>
          </w:tcPr>
          <w:p w14:paraId="7C1B87A3">
            <w:pPr>
              <w:autoSpaceDE w:val="0"/>
              <w:autoSpaceDN w:val="0"/>
              <w:adjustRightInd w:val="0"/>
              <w:rPr>
                <w:rFonts w:hint="eastAsia" w:ascii="宋体" w:hAnsi="宋体" w:eastAsia="宋体" w:cs="宋体"/>
                <w:color w:val="auto"/>
                <w:sz w:val="22"/>
                <w:szCs w:val="22"/>
                <w:highlight w:val="none"/>
                <w:lang w:val="zh-CN"/>
              </w:rPr>
            </w:pPr>
          </w:p>
        </w:tc>
      </w:tr>
      <w:tr w14:paraId="0055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298" w:type="dxa"/>
            <w:tcBorders>
              <w:top w:val="single" w:color="auto" w:sz="4" w:space="0"/>
              <w:left w:val="single" w:color="auto" w:sz="12" w:space="0"/>
              <w:bottom w:val="single" w:color="auto" w:sz="4" w:space="0"/>
              <w:right w:val="single" w:color="auto" w:sz="4" w:space="0"/>
            </w:tcBorders>
            <w:noWrap/>
          </w:tcPr>
          <w:p w14:paraId="3CC4FE4A">
            <w:pPr>
              <w:autoSpaceDE w:val="0"/>
              <w:autoSpaceDN w:val="0"/>
              <w:adjustRightInd w:val="0"/>
              <w:rPr>
                <w:rFonts w:hint="eastAsia" w:ascii="宋体" w:hAns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14:paraId="7C69CD9F">
            <w:pPr>
              <w:autoSpaceDE w:val="0"/>
              <w:autoSpaceDN w:val="0"/>
              <w:adjustRightInd w:val="0"/>
              <w:rPr>
                <w:rFonts w:hint="eastAsia" w:ascii="宋体" w:hAns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14:paraId="410AB023">
            <w:pPr>
              <w:autoSpaceDE w:val="0"/>
              <w:autoSpaceDN w:val="0"/>
              <w:adjustRightInd w:val="0"/>
              <w:rPr>
                <w:rFonts w:hint="eastAsia" w:ascii="宋体" w:hAnsi="宋体" w:eastAsia="宋体" w:cs="宋体"/>
                <w:color w:val="auto"/>
                <w:sz w:val="22"/>
                <w:szCs w:val="22"/>
                <w:highlight w:val="none"/>
                <w:lang w:val="zh-CN"/>
              </w:rPr>
            </w:pPr>
          </w:p>
        </w:tc>
        <w:tc>
          <w:tcPr>
            <w:tcW w:w="1471" w:type="dxa"/>
            <w:tcBorders>
              <w:top w:val="single" w:color="auto" w:sz="4" w:space="0"/>
              <w:left w:val="single" w:color="auto" w:sz="4" w:space="0"/>
              <w:bottom w:val="single" w:color="auto" w:sz="4" w:space="0"/>
              <w:right w:val="single" w:color="auto" w:sz="4" w:space="0"/>
            </w:tcBorders>
            <w:noWrap/>
          </w:tcPr>
          <w:p w14:paraId="04E3288D">
            <w:pPr>
              <w:autoSpaceDE w:val="0"/>
              <w:autoSpaceDN w:val="0"/>
              <w:adjustRightInd w:val="0"/>
              <w:rPr>
                <w:rFonts w:hint="eastAsia" w:ascii="宋体" w:hAnsi="宋体" w:eastAsia="宋体" w:cs="宋体"/>
                <w:color w:val="auto"/>
                <w:sz w:val="22"/>
                <w:szCs w:val="22"/>
                <w:highlight w:val="none"/>
                <w:lang w:val="zh-CN"/>
              </w:rPr>
            </w:pPr>
          </w:p>
        </w:tc>
        <w:tc>
          <w:tcPr>
            <w:tcW w:w="1179" w:type="dxa"/>
            <w:tcBorders>
              <w:top w:val="single" w:color="auto" w:sz="4" w:space="0"/>
              <w:left w:val="single" w:color="auto" w:sz="4" w:space="0"/>
              <w:bottom w:val="single" w:color="auto" w:sz="4" w:space="0"/>
              <w:right w:val="single" w:color="auto" w:sz="4" w:space="0"/>
            </w:tcBorders>
            <w:noWrap/>
          </w:tcPr>
          <w:p w14:paraId="75D1DD46">
            <w:pPr>
              <w:autoSpaceDE w:val="0"/>
              <w:autoSpaceDN w:val="0"/>
              <w:adjustRightInd w:val="0"/>
              <w:rPr>
                <w:rFonts w:hint="eastAsia" w:ascii="宋体" w:hAnsi="宋体" w:eastAsia="宋体" w:cs="宋体"/>
                <w:color w:val="auto"/>
                <w:sz w:val="22"/>
                <w:szCs w:val="22"/>
                <w:highlight w:val="none"/>
                <w:lang w:val="zh-CN"/>
              </w:rPr>
            </w:pPr>
          </w:p>
        </w:tc>
        <w:tc>
          <w:tcPr>
            <w:tcW w:w="1286" w:type="dxa"/>
            <w:tcBorders>
              <w:top w:val="single" w:color="auto" w:sz="4" w:space="0"/>
              <w:left w:val="single" w:color="auto" w:sz="4" w:space="0"/>
              <w:bottom w:val="single" w:color="auto" w:sz="4" w:space="0"/>
              <w:right w:val="single" w:color="auto" w:sz="12" w:space="0"/>
            </w:tcBorders>
            <w:noWrap/>
          </w:tcPr>
          <w:p w14:paraId="0C228BAD">
            <w:pPr>
              <w:autoSpaceDE w:val="0"/>
              <w:autoSpaceDN w:val="0"/>
              <w:adjustRightInd w:val="0"/>
              <w:rPr>
                <w:rFonts w:hint="eastAsia" w:ascii="宋体" w:hAnsi="宋体" w:eastAsia="宋体" w:cs="宋体"/>
                <w:color w:val="auto"/>
                <w:sz w:val="22"/>
                <w:szCs w:val="22"/>
                <w:highlight w:val="none"/>
                <w:lang w:val="zh-CN"/>
              </w:rPr>
            </w:pPr>
          </w:p>
        </w:tc>
      </w:tr>
      <w:tr w14:paraId="544C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298" w:type="dxa"/>
            <w:tcBorders>
              <w:top w:val="single" w:color="auto" w:sz="4" w:space="0"/>
              <w:left w:val="single" w:color="auto" w:sz="12" w:space="0"/>
              <w:bottom w:val="single" w:color="auto" w:sz="4" w:space="0"/>
              <w:right w:val="single" w:color="auto" w:sz="4" w:space="0"/>
            </w:tcBorders>
            <w:noWrap/>
          </w:tcPr>
          <w:p w14:paraId="068885AC">
            <w:pPr>
              <w:autoSpaceDE w:val="0"/>
              <w:autoSpaceDN w:val="0"/>
              <w:adjustRightInd w:val="0"/>
              <w:rPr>
                <w:rFonts w:hint="eastAsia" w:ascii="宋体" w:hAns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14:paraId="60E69264">
            <w:pPr>
              <w:autoSpaceDE w:val="0"/>
              <w:autoSpaceDN w:val="0"/>
              <w:adjustRightInd w:val="0"/>
              <w:rPr>
                <w:rFonts w:hint="eastAsia" w:ascii="宋体" w:hAns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14:paraId="73AA6562">
            <w:pPr>
              <w:autoSpaceDE w:val="0"/>
              <w:autoSpaceDN w:val="0"/>
              <w:adjustRightInd w:val="0"/>
              <w:rPr>
                <w:rFonts w:hint="eastAsia" w:ascii="宋体" w:hAnsi="宋体" w:eastAsia="宋体" w:cs="宋体"/>
                <w:color w:val="auto"/>
                <w:sz w:val="22"/>
                <w:szCs w:val="22"/>
                <w:highlight w:val="none"/>
                <w:lang w:val="zh-CN"/>
              </w:rPr>
            </w:pPr>
          </w:p>
        </w:tc>
        <w:tc>
          <w:tcPr>
            <w:tcW w:w="1471" w:type="dxa"/>
            <w:tcBorders>
              <w:top w:val="single" w:color="auto" w:sz="4" w:space="0"/>
              <w:left w:val="single" w:color="auto" w:sz="4" w:space="0"/>
              <w:bottom w:val="single" w:color="auto" w:sz="4" w:space="0"/>
              <w:right w:val="single" w:color="auto" w:sz="4" w:space="0"/>
            </w:tcBorders>
            <w:noWrap/>
          </w:tcPr>
          <w:p w14:paraId="33CD56B9">
            <w:pPr>
              <w:autoSpaceDE w:val="0"/>
              <w:autoSpaceDN w:val="0"/>
              <w:adjustRightInd w:val="0"/>
              <w:rPr>
                <w:rFonts w:hint="eastAsia" w:ascii="宋体" w:hAnsi="宋体" w:eastAsia="宋体" w:cs="宋体"/>
                <w:color w:val="auto"/>
                <w:sz w:val="22"/>
                <w:szCs w:val="22"/>
                <w:highlight w:val="none"/>
                <w:lang w:val="zh-CN"/>
              </w:rPr>
            </w:pPr>
          </w:p>
        </w:tc>
        <w:tc>
          <w:tcPr>
            <w:tcW w:w="1179" w:type="dxa"/>
            <w:tcBorders>
              <w:top w:val="single" w:color="auto" w:sz="4" w:space="0"/>
              <w:left w:val="single" w:color="auto" w:sz="4" w:space="0"/>
              <w:bottom w:val="single" w:color="auto" w:sz="4" w:space="0"/>
              <w:right w:val="single" w:color="auto" w:sz="4" w:space="0"/>
            </w:tcBorders>
            <w:noWrap/>
          </w:tcPr>
          <w:p w14:paraId="7A4F1D7B">
            <w:pPr>
              <w:autoSpaceDE w:val="0"/>
              <w:autoSpaceDN w:val="0"/>
              <w:adjustRightInd w:val="0"/>
              <w:rPr>
                <w:rFonts w:hint="eastAsia" w:ascii="宋体" w:hAnsi="宋体" w:eastAsia="宋体" w:cs="宋体"/>
                <w:color w:val="auto"/>
                <w:sz w:val="22"/>
                <w:szCs w:val="22"/>
                <w:highlight w:val="none"/>
                <w:lang w:val="zh-CN"/>
              </w:rPr>
            </w:pPr>
          </w:p>
        </w:tc>
        <w:tc>
          <w:tcPr>
            <w:tcW w:w="1286" w:type="dxa"/>
            <w:tcBorders>
              <w:top w:val="single" w:color="auto" w:sz="4" w:space="0"/>
              <w:left w:val="single" w:color="auto" w:sz="4" w:space="0"/>
              <w:bottom w:val="single" w:color="auto" w:sz="4" w:space="0"/>
              <w:right w:val="single" w:color="auto" w:sz="12" w:space="0"/>
            </w:tcBorders>
            <w:noWrap/>
          </w:tcPr>
          <w:p w14:paraId="38322DBA">
            <w:pPr>
              <w:autoSpaceDE w:val="0"/>
              <w:autoSpaceDN w:val="0"/>
              <w:adjustRightInd w:val="0"/>
              <w:rPr>
                <w:rFonts w:hint="eastAsia" w:ascii="宋体" w:hAnsi="宋体" w:eastAsia="宋体" w:cs="宋体"/>
                <w:color w:val="auto"/>
                <w:sz w:val="22"/>
                <w:szCs w:val="22"/>
                <w:highlight w:val="none"/>
                <w:lang w:val="zh-CN"/>
              </w:rPr>
            </w:pPr>
          </w:p>
        </w:tc>
      </w:tr>
      <w:tr w14:paraId="011A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298" w:type="dxa"/>
            <w:tcBorders>
              <w:top w:val="single" w:color="auto" w:sz="4" w:space="0"/>
              <w:left w:val="single" w:color="auto" w:sz="12" w:space="0"/>
              <w:bottom w:val="single" w:color="auto" w:sz="4" w:space="0"/>
              <w:right w:val="single" w:color="auto" w:sz="4" w:space="0"/>
            </w:tcBorders>
            <w:noWrap/>
          </w:tcPr>
          <w:p w14:paraId="03ACEBB0">
            <w:pPr>
              <w:autoSpaceDE w:val="0"/>
              <w:autoSpaceDN w:val="0"/>
              <w:adjustRightInd w:val="0"/>
              <w:rPr>
                <w:rFonts w:hint="eastAsia" w:ascii="宋体" w:hAns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14:paraId="6BCE4587">
            <w:pPr>
              <w:autoSpaceDE w:val="0"/>
              <w:autoSpaceDN w:val="0"/>
              <w:adjustRightInd w:val="0"/>
              <w:rPr>
                <w:rFonts w:hint="eastAsia" w:ascii="宋体" w:hAns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14:paraId="39D22480">
            <w:pPr>
              <w:autoSpaceDE w:val="0"/>
              <w:autoSpaceDN w:val="0"/>
              <w:adjustRightInd w:val="0"/>
              <w:rPr>
                <w:rFonts w:hint="eastAsia" w:ascii="宋体" w:hAnsi="宋体" w:eastAsia="宋体" w:cs="宋体"/>
                <w:color w:val="auto"/>
                <w:sz w:val="22"/>
                <w:szCs w:val="22"/>
                <w:highlight w:val="none"/>
                <w:lang w:val="zh-CN"/>
              </w:rPr>
            </w:pPr>
          </w:p>
        </w:tc>
        <w:tc>
          <w:tcPr>
            <w:tcW w:w="1471" w:type="dxa"/>
            <w:tcBorders>
              <w:top w:val="single" w:color="auto" w:sz="4" w:space="0"/>
              <w:left w:val="single" w:color="auto" w:sz="4" w:space="0"/>
              <w:bottom w:val="single" w:color="auto" w:sz="4" w:space="0"/>
              <w:right w:val="single" w:color="auto" w:sz="4" w:space="0"/>
            </w:tcBorders>
            <w:noWrap/>
          </w:tcPr>
          <w:p w14:paraId="36596095">
            <w:pPr>
              <w:autoSpaceDE w:val="0"/>
              <w:autoSpaceDN w:val="0"/>
              <w:adjustRightInd w:val="0"/>
              <w:rPr>
                <w:rFonts w:hint="eastAsia" w:ascii="宋体" w:hAnsi="宋体" w:eastAsia="宋体" w:cs="宋体"/>
                <w:color w:val="auto"/>
                <w:sz w:val="22"/>
                <w:szCs w:val="22"/>
                <w:highlight w:val="none"/>
                <w:lang w:val="zh-CN"/>
              </w:rPr>
            </w:pPr>
          </w:p>
        </w:tc>
        <w:tc>
          <w:tcPr>
            <w:tcW w:w="1179" w:type="dxa"/>
            <w:tcBorders>
              <w:top w:val="single" w:color="auto" w:sz="4" w:space="0"/>
              <w:left w:val="single" w:color="auto" w:sz="4" w:space="0"/>
              <w:bottom w:val="single" w:color="auto" w:sz="4" w:space="0"/>
              <w:right w:val="single" w:color="auto" w:sz="4" w:space="0"/>
            </w:tcBorders>
            <w:noWrap/>
          </w:tcPr>
          <w:p w14:paraId="7DA0CB90">
            <w:pPr>
              <w:autoSpaceDE w:val="0"/>
              <w:autoSpaceDN w:val="0"/>
              <w:adjustRightInd w:val="0"/>
              <w:rPr>
                <w:rFonts w:hint="eastAsia" w:ascii="宋体" w:hAnsi="宋体" w:eastAsia="宋体" w:cs="宋体"/>
                <w:color w:val="auto"/>
                <w:sz w:val="22"/>
                <w:szCs w:val="22"/>
                <w:highlight w:val="none"/>
                <w:lang w:val="zh-CN"/>
              </w:rPr>
            </w:pPr>
          </w:p>
        </w:tc>
        <w:tc>
          <w:tcPr>
            <w:tcW w:w="1286" w:type="dxa"/>
            <w:tcBorders>
              <w:top w:val="single" w:color="auto" w:sz="4" w:space="0"/>
              <w:left w:val="single" w:color="auto" w:sz="4" w:space="0"/>
              <w:bottom w:val="single" w:color="auto" w:sz="4" w:space="0"/>
              <w:right w:val="single" w:color="auto" w:sz="12" w:space="0"/>
            </w:tcBorders>
            <w:noWrap/>
          </w:tcPr>
          <w:p w14:paraId="1523B398">
            <w:pPr>
              <w:autoSpaceDE w:val="0"/>
              <w:autoSpaceDN w:val="0"/>
              <w:adjustRightInd w:val="0"/>
              <w:rPr>
                <w:rFonts w:hint="eastAsia" w:ascii="宋体" w:hAnsi="宋体" w:eastAsia="宋体" w:cs="宋体"/>
                <w:color w:val="auto"/>
                <w:sz w:val="22"/>
                <w:szCs w:val="22"/>
                <w:highlight w:val="none"/>
                <w:lang w:val="zh-CN"/>
              </w:rPr>
            </w:pPr>
          </w:p>
        </w:tc>
      </w:tr>
      <w:tr w14:paraId="718F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298" w:type="dxa"/>
            <w:tcBorders>
              <w:top w:val="single" w:color="auto" w:sz="4" w:space="0"/>
              <w:left w:val="single" w:color="auto" w:sz="12" w:space="0"/>
              <w:bottom w:val="single" w:color="auto" w:sz="4" w:space="0"/>
              <w:right w:val="single" w:color="auto" w:sz="4" w:space="0"/>
            </w:tcBorders>
            <w:noWrap/>
          </w:tcPr>
          <w:p w14:paraId="412FEE38">
            <w:pPr>
              <w:autoSpaceDE w:val="0"/>
              <w:autoSpaceDN w:val="0"/>
              <w:adjustRightInd w:val="0"/>
              <w:rPr>
                <w:rFonts w:hint="eastAsia" w:ascii="宋体" w:hAns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14:paraId="059FAF91">
            <w:pPr>
              <w:autoSpaceDE w:val="0"/>
              <w:autoSpaceDN w:val="0"/>
              <w:adjustRightInd w:val="0"/>
              <w:rPr>
                <w:rFonts w:hint="eastAsia" w:ascii="宋体" w:hAns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14:paraId="22187F82">
            <w:pPr>
              <w:autoSpaceDE w:val="0"/>
              <w:autoSpaceDN w:val="0"/>
              <w:adjustRightInd w:val="0"/>
              <w:rPr>
                <w:rFonts w:hint="eastAsia" w:ascii="宋体" w:hAnsi="宋体" w:eastAsia="宋体" w:cs="宋体"/>
                <w:color w:val="auto"/>
                <w:sz w:val="22"/>
                <w:szCs w:val="22"/>
                <w:highlight w:val="none"/>
                <w:lang w:val="zh-CN"/>
              </w:rPr>
            </w:pPr>
          </w:p>
        </w:tc>
        <w:tc>
          <w:tcPr>
            <w:tcW w:w="1471" w:type="dxa"/>
            <w:tcBorders>
              <w:top w:val="single" w:color="auto" w:sz="4" w:space="0"/>
              <w:left w:val="single" w:color="auto" w:sz="4" w:space="0"/>
              <w:bottom w:val="single" w:color="auto" w:sz="4" w:space="0"/>
              <w:right w:val="single" w:color="auto" w:sz="4" w:space="0"/>
            </w:tcBorders>
            <w:noWrap/>
          </w:tcPr>
          <w:p w14:paraId="36C7C34D">
            <w:pPr>
              <w:autoSpaceDE w:val="0"/>
              <w:autoSpaceDN w:val="0"/>
              <w:adjustRightInd w:val="0"/>
              <w:rPr>
                <w:rFonts w:hint="eastAsia" w:ascii="宋体" w:hAnsi="宋体" w:eastAsia="宋体" w:cs="宋体"/>
                <w:color w:val="auto"/>
                <w:sz w:val="22"/>
                <w:szCs w:val="22"/>
                <w:highlight w:val="none"/>
                <w:lang w:val="zh-CN"/>
              </w:rPr>
            </w:pPr>
          </w:p>
        </w:tc>
        <w:tc>
          <w:tcPr>
            <w:tcW w:w="1179" w:type="dxa"/>
            <w:tcBorders>
              <w:top w:val="single" w:color="auto" w:sz="4" w:space="0"/>
              <w:left w:val="single" w:color="auto" w:sz="4" w:space="0"/>
              <w:bottom w:val="single" w:color="auto" w:sz="4" w:space="0"/>
              <w:right w:val="single" w:color="auto" w:sz="4" w:space="0"/>
            </w:tcBorders>
            <w:noWrap/>
          </w:tcPr>
          <w:p w14:paraId="4E763257">
            <w:pPr>
              <w:autoSpaceDE w:val="0"/>
              <w:autoSpaceDN w:val="0"/>
              <w:adjustRightInd w:val="0"/>
              <w:rPr>
                <w:rFonts w:hint="eastAsia" w:ascii="宋体" w:hAnsi="宋体" w:eastAsia="宋体" w:cs="宋体"/>
                <w:color w:val="auto"/>
                <w:sz w:val="22"/>
                <w:szCs w:val="22"/>
                <w:highlight w:val="none"/>
                <w:lang w:val="zh-CN"/>
              </w:rPr>
            </w:pPr>
          </w:p>
        </w:tc>
        <w:tc>
          <w:tcPr>
            <w:tcW w:w="1286" w:type="dxa"/>
            <w:tcBorders>
              <w:top w:val="single" w:color="auto" w:sz="4" w:space="0"/>
              <w:left w:val="single" w:color="auto" w:sz="4" w:space="0"/>
              <w:bottom w:val="single" w:color="auto" w:sz="4" w:space="0"/>
              <w:right w:val="single" w:color="auto" w:sz="12" w:space="0"/>
            </w:tcBorders>
            <w:noWrap/>
          </w:tcPr>
          <w:p w14:paraId="1EB3FC95">
            <w:pPr>
              <w:autoSpaceDE w:val="0"/>
              <w:autoSpaceDN w:val="0"/>
              <w:adjustRightInd w:val="0"/>
              <w:rPr>
                <w:rFonts w:hint="eastAsia" w:ascii="宋体" w:hAnsi="宋体" w:eastAsia="宋体" w:cs="宋体"/>
                <w:color w:val="auto"/>
                <w:sz w:val="22"/>
                <w:szCs w:val="22"/>
                <w:highlight w:val="none"/>
                <w:lang w:val="zh-CN"/>
              </w:rPr>
            </w:pPr>
          </w:p>
        </w:tc>
      </w:tr>
      <w:tr w14:paraId="5175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298" w:type="dxa"/>
            <w:tcBorders>
              <w:top w:val="single" w:color="auto" w:sz="4" w:space="0"/>
              <w:left w:val="single" w:color="auto" w:sz="12" w:space="0"/>
              <w:bottom w:val="single" w:color="auto" w:sz="12" w:space="0"/>
              <w:right w:val="single" w:color="auto" w:sz="4" w:space="0"/>
            </w:tcBorders>
            <w:noWrap/>
          </w:tcPr>
          <w:p w14:paraId="3A83F384">
            <w:pPr>
              <w:autoSpaceDE w:val="0"/>
              <w:autoSpaceDN w:val="0"/>
              <w:adjustRightInd w:val="0"/>
              <w:rPr>
                <w:rFonts w:hint="eastAsia" w:ascii="宋体" w:hAns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12" w:space="0"/>
              <w:right w:val="single" w:color="auto" w:sz="4" w:space="0"/>
            </w:tcBorders>
            <w:noWrap/>
          </w:tcPr>
          <w:p w14:paraId="14E81DBE">
            <w:pPr>
              <w:autoSpaceDE w:val="0"/>
              <w:autoSpaceDN w:val="0"/>
              <w:adjustRightInd w:val="0"/>
              <w:rPr>
                <w:rFonts w:hint="eastAsia" w:ascii="宋体" w:hAns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12" w:space="0"/>
              <w:right w:val="single" w:color="auto" w:sz="4" w:space="0"/>
            </w:tcBorders>
            <w:noWrap/>
          </w:tcPr>
          <w:p w14:paraId="4D23A59A">
            <w:pPr>
              <w:autoSpaceDE w:val="0"/>
              <w:autoSpaceDN w:val="0"/>
              <w:adjustRightInd w:val="0"/>
              <w:rPr>
                <w:rFonts w:hint="eastAsia" w:ascii="宋体" w:hAnsi="宋体" w:eastAsia="宋体" w:cs="宋体"/>
                <w:color w:val="auto"/>
                <w:sz w:val="22"/>
                <w:szCs w:val="22"/>
                <w:highlight w:val="none"/>
                <w:lang w:val="zh-CN"/>
              </w:rPr>
            </w:pPr>
          </w:p>
        </w:tc>
        <w:tc>
          <w:tcPr>
            <w:tcW w:w="1471" w:type="dxa"/>
            <w:tcBorders>
              <w:top w:val="single" w:color="auto" w:sz="4" w:space="0"/>
              <w:left w:val="single" w:color="auto" w:sz="4" w:space="0"/>
              <w:bottom w:val="single" w:color="auto" w:sz="12" w:space="0"/>
              <w:right w:val="single" w:color="auto" w:sz="4" w:space="0"/>
            </w:tcBorders>
            <w:noWrap/>
          </w:tcPr>
          <w:p w14:paraId="5475F270">
            <w:pPr>
              <w:autoSpaceDE w:val="0"/>
              <w:autoSpaceDN w:val="0"/>
              <w:adjustRightInd w:val="0"/>
              <w:rPr>
                <w:rFonts w:hint="eastAsia" w:ascii="宋体" w:hAnsi="宋体" w:eastAsia="宋体" w:cs="宋体"/>
                <w:color w:val="auto"/>
                <w:sz w:val="22"/>
                <w:szCs w:val="22"/>
                <w:highlight w:val="none"/>
                <w:lang w:val="zh-CN"/>
              </w:rPr>
            </w:pPr>
          </w:p>
        </w:tc>
        <w:tc>
          <w:tcPr>
            <w:tcW w:w="1179" w:type="dxa"/>
            <w:tcBorders>
              <w:top w:val="single" w:color="auto" w:sz="4" w:space="0"/>
              <w:left w:val="single" w:color="auto" w:sz="4" w:space="0"/>
              <w:bottom w:val="single" w:color="auto" w:sz="12" w:space="0"/>
              <w:right w:val="single" w:color="auto" w:sz="4" w:space="0"/>
            </w:tcBorders>
            <w:noWrap/>
          </w:tcPr>
          <w:p w14:paraId="238E41FD">
            <w:pPr>
              <w:autoSpaceDE w:val="0"/>
              <w:autoSpaceDN w:val="0"/>
              <w:adjustRightInd w:val="0"/>
              <w:rPr>
                <w:rFonts w:hint="eastAsia" w:ascii="宋体" w:hAnsi="宋体" w:eastAsia="宋体" w:cs="宋体"/>
                <w:color w:val="auto"/>
                <w:sz w:val="22"/>
                <w:szCs w:val="22"/>
                <w:highlight w:val="none"/>
                <w:lang w:val="zh-CN"/>
              </w:rPr>
            </w:pPr>
          </w:p>
        </w:tc>
        <w:tc>
          <w:tcPr>
            <w:tcW w:w="1286" w:type="dxa"/>
            <w:tcBorders>
              <w:top w:val="single" w:color="auto" w:sz="4" w:space="0"/>
              <w:left w:val="single" w:color="auto" w:sz="4" w:space="0"/>
              <w:bottom w:val="single" w:color="auto" w:sz="12" w:space="0"/>
              <w:right w:val="single" w:color="auto" w:sz="12" w:space="0"/>
            </w:tcBorders>
            <w:noWrap/>
          </w:tcPr>
          <w:p w14:paraId="5EB3F6FE">
            <w:pPr>
              <w:autoSpaceDE w:val="0"/>
              <w:autoSpaceDN w:val="0"/>
              <w:adjustRightInd w:val="0"/>
              <w:rPr>
                <w:rFonts w:hint="eastAsia" w:ascii="宋体" w:hAnsi="宋体" w:eastAsia="宋体" w:cs="宋体"/>
                <w:color w:val="auto"/>
                <w:sz w:val="22"/>
                <w:szCs w:val="22"/>
                <w:highlight w:val="none"/>
                <w:lang w:val="zh-CN"/>
              </w:rPr>
            </w:pPr>
          </w:p>
        </w:tc>
      </w:tr>
    </w:tbl>
    <w:p w14:paraId="5AD3B2BF">
      <w:pPr>
        <w:snapToGrid w:val="0"/>
        <w:spacing w:before="120" w:beforeLines="50" w:line="360" w:lineRule="auto"/>
        <w:ind w:left="970" w:right="-21" w:rightChars="-10" w:hanging="970" w:hangingChars="44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附注：业绩证明应提供证明材料（按技术评分细则要求提供）。</w:t>
      </w:r>
    </w:p>
    <w:p w14:paraId="36B6AAD6">
      <w:pPr>
        <w:spacing w:line="480" w:lineRule="auto"/>
        <w:rPr>
          <w:rFonts w:hint="eastAsia" w:ascii="宋体" w:hAnsi="宋体" w:eastAsia="宋体" w:cs="宋体"/>
          <w:sz w:val="21"/>
          <w:szCs w:val="21"/>
          <w:highlight w:val="none"/>
        </w:rPr>
      </w:pPr>
    </w:p>
    <w:p w14:paraId="21B4A20C">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投标人全称（盖公章）：</w:t>
      </w:r>
    </w:p>
    <w:p w14:paraId="1D862343">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法定代表人</w:t>
      </w:r>
      <w:r>
        <w:rPr>
          <w:rFonts w:hint="eastAsia" w:ascii="宋体" w:hAnsi="宋体" w:eastAsia="宋体" w:cs="宋体"/>
          <w:bCs/>
          <w:color w:val="auto"/>
          <w:sz w:val="22"/>
          <w:szCs w:val="22"/>
          <w:highlight w:val="none"/>
        </w:rPr>
        <w:t>或授权代表（签字或盖章）：</w:t>
      </w:r>
    </w:p>
    <w:p w14:paraId="7F1B08BA">
      <w:pPr>
        <w:spacing w:line="460" w:lineRule="exact"/>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rPr>
        <w:t>日  期：</w:t>
      </w:r>
    </w:p>
    <w:p w14:paraId="0678C9A4">
      <w:pPr>
        <w:pStyle w:val="2"/>
        <w:rPr>
          <w:rFonts w:hint="eastAsia" w:ascii="宋体" w:hAnsi="宋体" w:eastAsia="宋体" w:cs="宋体"/>
          <w:b/>
          <w:bCs/>
          <w:color w:val="auto"/>
          <w:sz w:val="28"/>
          <w:szCs w:val="28"/>
          <w:highlight w:val="none"/>
          <w:lang w:val="zh-CN"/>
        </w:rPr>
      </w:pPr>
    </w:p>
    <w:p w14:paraId="35564201">
      <w:pPr>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14:paraId="6AAB18B3">
      <w:pPr>
        <w:spacing w:line="240" w:lineRule="auto"/>
        <w:jc w:val="both"/>
        <w:outlineLvl w:val="2"/>
        <w:rPr>
          <w:rFonts w:hint="eastAsia" w:ascii="宋体" w:hAnsi="宋体" w:eastAsia="宋体" w:cs="宋体"/>
          <w:b/>
          <w:color w:val="auto"/>
          <w:sz w:val="21"/>
          <w:szCs w:val="21"/>
          <w:highlight w:val="none"/>
          <w:lang w:val="en-US" w:eastAsia="zh-CN"/>
        </w:rPr>
      </w:pPr>
      <w:bookmarkStart w:id="199" w:name="_Toc30808"/>
      <w:bookmarkStart w:id="200" w:name="_Toc16173"/>
      <w:r>
        <w:rPr>
          <w:rFonts w:hint="eastAsia" w:ascii="宋体" w:hAnsi="宋体" w:eastAsia="宋体" w:cs="宋体"/>
          <w:b/>
          <w:color w:val="auto"/>
          <w:sz w:val="21"/>
          <w:szCs w:val="21"/>
          <w:highlight w:val="none"/>
          <w:lang w:val="en-US" w:eastAsia="zh-CN"/>
        </w:rPr>
        <w:t>附件六</w:t>
      </w:r>
    </w:p>
    <w:p w14:paraId="0421E224">
      <w:pPr>
        <w:spacing w:line="560" w:lineRule="exact"/>
        <w:jc w:val="center"/>
        <w:outlineLvl w:val="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投入本项目的项目实施负责人简历表</w:t>
      </w:r>
      <w:bookmarkEnd w:id="199"/>
      <w:bookmarkEnd w:id="200"/>
    </w:p>
    <w:p w14:paraId="74E3BA5A">
      <w:pPr>
        <w:pStyle w:val="13"/>
        <w:spacing w:line="400" w:lineRule="atLeast"/>
        <w:ind w:left="660" w:hanging="660" w:hangingChars="300"/>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项目名称：                                  项目编号：</w:t>
      </w:r>
    </w:p>
    <w:tbl>
      <w:tblPr>
        <w:tblStyle w:val="25"/>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45"/>
        <w:gridCol w:w="1822"/>
        <w:gridCol w:w="1587"/>
        <w:gridCol w:w="1726"/>
        <w:gridCol w:w="1449"/>
        <w:gridCol w:w="1588"/>
      </w:tblGrid>
      <w:tr w14:paraId="6DFF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648" w:type="dxa"/>
            <w:gridSpan w:val="7"/>
            <w:tcBorders>
              <w:top w:val="single" w:color="auto" w:sz="12" w:space="0"/>
              <w:left w:val="single" w:color="auto" w:sz="12" w:space="0"/>
              <w:bottom w:val="single" w:color="auto" w:sz="4" w:space="0"/>
              <w:right w:val="single" w:color="auto" w:sz="12" w:space="0"/>
            </w:tcBorders>
            <w:noWrap w:val="0"/>
            <w:vAlign w:val="center"/>
          </w:tcPr>
          <w:p w14:paraId="139EAD5E">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1、一般情况</w:t>
            </w:r>
          </w:p>
        </w:tc>
      </w:tr>
      <w:tr w14:paraId="34CC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14:paraId="0C587316">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姓   名</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5953FB3C">
            <w:pPr>
              <w:spacing w:line="360" w:lineRule="exact"/>
              <w:jc w:val="center"/>
              <w:rPr>
                <w:rFonts w:hint="eastAsia" w:ascii="宋体" w:hAnsi="宋体" w:eastAsia="宋体" w:cs="宋体"/>
                <w:color w:val="auto"/>
                <w:sz w:val="22"/>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2376C73">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年  龄</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0D686026">
            <w:pPr>
              <w:spacing w:line="360" w:lineRule="exact"/>
              <w:jc w:val="center"/>
              <w:rPr>
                <w:rFonts w:hint="eastAsia" w:ascii="宋体" w:hAnsi="宋体" w:eastAsia="宋体" w:cs="宋体"/>
                <w:color w:val="auto"/>
                <w:sz w:val="22"/>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F1750D2">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学  历</w:t>
            </w:r>
          </w:p>
        </w:tc>
        <w:tc>
          <w:tcPr>
            <w:tcW w:w="1588" w:type="dxa"/>
            <w:tcBorders>
              <w:top w:val="single" w:color="auto" w:sz="4" w:space="0"/>
              <w:left w:val="single" w:color="auto" w:sz="4" w:space="0"/>
              <w:bottom w:val="single" w:color="auto" w:sz="4" w:space="0"/>
              <w:right w:val="single" w:color="auto" w:sz="12" w:space="0"/>
            </w:tcBorders>
            <w:noWrap w:val="0"/>
            <w:vAlign w:val="center"/>
          </w:tcPr>
          <w:p w14:paraId="68F1726E">
            <w:pPr>
              <w:spacing w:line="360" w:lineRule="exact"/>
              <w:jc w:val="center"/>
              <w:rPr>
                <w:rFonts w:hint="eastAsia" w:ascii="宋体" w:hAnsi="宋体" w:eastAsia="宋体" w:cs="宋体"/>
                <w:color w:val="auto"/>
                <w:sz w:val="22"/>
                <w:highlight w:val="none"/>
              </w:rPr>
            </w:pPr>
          </w:p>
        </w:tc>
      </w:tr>
      <w:tr w14:paraId="433C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14:paraId="2B0503EA">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毕业学校</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2A3ABAF9">
            <w:pPr>
              <w:spacing w:line="360" w:lineRule="exact"/>
              <w:rPr>
                <w:rFonts w:hint="eastAsia" w:ascii="宋体" w:hAnsi="宋体" w:eastAsia="宋体" w:cs="宋体"/>
                <w:color w:val="auto"/>
                <w:sz w:val="22"/>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7229256">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专  业</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5A51CD6E">
            <w:pPr>
              <w:spacing w:line="360" w:lineRule="exact"/>
              <w:jc w:val="center"/>
              <w:rPr>
                <w:rFonts w:hint="eastAsia" w:ascii="宋体" w:hAnsi="宋体" w:eastAsia="宋体" w:cs="宋体"/>
                <w:color w:val="auto"/>
                <w:sz w:val="22"/>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38F1BA6">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职  务</w:t>
            </w:r>
          </w:p>
        </w:tc>
        <w:tc>
          <w:tcPr>
            <w:tcW w:w="1588" w:type="dxa"/>
            <w:tcBorders>
              <w:top w:val="single" w:color="auto" w:sz="4" w:space="0"/>
              <w:left w:val="single" w:color="auto" w:sz="4" w:space="0"/>
              <w:bottom w:val="single" w:color="auto" w:sz="4" w:space="0"/>
              <w:right w:val="single" w:color="auto" w:sz="12" w:space="0"/>
            </w:tcBorders>
            <w:noWrap w:val="0"/>
            <w:vAlign w:val="center"/>
          </w:tcPr>
          <w:p w14:paraId="36E0F8A3">
            <w:pPr>
              <w:spacing w:line="360" w:lineRule="exact"/>
              <w:jc w:val="center"/>
              <w:rPr>
                <w:rFonts w:hint="eastAsia" w:ascii="宋体" w:hAnsi="宋体" w:eastAsia="宋体" w:cs="宋体"/>
                <w:color w:val="auto"/>
                <w:sz w:val="22"/>
                <w:highlight w:val="none"/>
              </w:rPr>
            </w:pPr>
          </w:p>
        </w:tc>
      </w:tr>
      <w:tr w14:paraId="02BD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14:paraId="1C43A62C">
            <w:pPr>
              <w:spacing w:line="2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职  称</w:t>
            </w:r>
          </w:p>
          <w:p w14:paraId="1F07EE4D">
            <w:pPr>
              <w:spacing w:line="2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（或学位）</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0DFB836E">
            <w:pPr>
              <w:spacing w:line="360" w:lineRule="exact"/>
              <w:rPr>
                <w:rFonts w:hint="eastAsia" w:ascii="宋体" w:hAnsi="宋体" w:eastAsia="宋体" w:cs="宋体"/>
                <w:color w:val="auto"/>
                <w:sz w:val="22"/>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411293F">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拟任何职</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7F67E0DE">
            <w:pPr>
              <w:spacing w:line="360" w:lineRule="exact"/>
              <w:jc w:val="center"/>
              <w:rPr>
                <w:rFonts w:hint="eastAsia" w:ascii="宋体" w:hAnsi="宋体" w:eastAsia="宋体" w:cs="宋体"/>
                <w:color w:val="auto"/>
                <w:sz w:val="22"/>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461BE84">
            <w:pPr>
              <w:spacing w:line="2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参加工作</w:t>
            </w:r>
          </w:p>
          <w:p w14:paraId="198DAC0E">
            <w:pPr>
              <w:spacing w:line="2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时间</w:t>
            </w:r>
          </w:p>
        </w:tc>
        <w:tc>
          <w:tcPr>
            <w:tcW w:w="1588" w:type="dxa"/>
            <w:tcBorders>
              <w:top w:val="single" w:color="auto" w:sz="4" w:space="0"/>
              <w:left w:val="single" w:color="auto" w:sz="4" w:space="0"/>
              <w:bottom w:val="single" w:color="auto" w:sz="4" w:space="0"/>
              <w:right w:val="single" w:color="auto" w:sz="12" w:space="0"/>
            </w:tcBorders>
            <w:noWrap w:val="0"/>
            <w:vAlign w:val="center"/>
          </w:tcPr>
          <w:p w14:paraId="62DFAFAC">
            <w:pPr>
              <w:spacing w:line="360" w:lineRule="exact"/>
              <w:jc w:val="center"/>
              <w:rPr>
                <w:rFonts w:hint="eastAsia" w:ascii="宋体" w:hAnsi="宋体" w:eastAsia="宋体" w:cs="宋体"/>
                <w:color w:val="auto"/>
                <w:sz w:val="22"/>
                <w:highlight w:val="none"/>
              </w:rPr>
            </w:pPr>
          </w:p>
        </w:tc>
      </w:tr>
      <w:tr w14:paraId="1746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noWrap w:val="0"/>
            <w:vAlign w:val="center"/>
          </w:tcPr>
          <w:p w14:paraId="0BBC310C">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2、个人简历</w:t>
            </w:r>
          </w:p>
        </w:tc>
      </w:tr>
      <w:tr w14:paraId="0313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14:paraId="3FBF9F76">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时  间</w:t>
            </w:r>
          </w:p>
        </w:tc>
        <w:tc>
          <w:tcPr>
            <w:tcW w:w="8172" w:type="dxa"/>
            <w:gridSpan w:val="5"/>
            <w:tcBorders>
              <w:top w:val="single" w:color="auto" w:sz="4" w:space="0"/>
              <w:left w:val="single" w:color="auto" w:sz="4" w:space="0"/>
              <w:bottom w:val="single" w:color="auto" w:sz="4" w:space="0"/>
              <w:right w:val="single" w:color="auto" w:sz="12" w:space="0"/>
            </w:tcBorders>
            <w:noWrap w:val="0"/>
            <w:vAlign w:val="center"/>
          </w:tcPr>
          <w:p w14:paraId="433A94EB">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专业工作经历</w:t>
            </w:r>
          </w:p>
        </w:tc>
      </w:tr>
      <w:tr w14:paraId="18E3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14:paraId="7D8DD23E">
            <w:pPr>
              <w:spacing w:line="360" w:lineRule="exact"/>
              <w:rPr>
                <w:rFonts w:hint="eastAsia" w:ascii="宋体" w:hAnsi="宋体" w:eastAsia="宋体" w:cs="宋体"/>
                <w:color w:val="auto"/>
                <w:sz w:val="22"/>
                <w:highlight w:val="none"/>
              </w:rPr>
            </w:pPr>
          </w:p>
        </w:tc>
        <w:tc>
          <w:tcPr>
            <w:tcW w:w="8172" w:type="dxa"/>
            <w:gridSpan w:val="5"/>
            <w:tcBorders>
              <w:top w:val="single" w:color="auto" w:sz="4" w:space="0"/>
              <w:left w:val="single" w:color="auto" w:sz="4" w:space="0"/>
              <w:bottom w:val="single" w:color="auto" w:sz="4" w:space="0"/>
              <w:right w:val="single" w:color="auto" w:sz="12" w:space="0"/>
            </w:tcBorders>
            <w:noWrap w:val="0"/>
            <w:vAlign w:val="center"/>
          </w:tcPr>
          <w:p w14:paraId="4867202A">
            <w:pPr>
              <w:spacing w:line="360" w:lineRule="exact"/>
              <w:rPr>
                <w:rFonts w:hint="eastAsia" w:ascii="宋体" w:hAnsi="宋体" w:eastAsia="宋体" w:cs="宋体"/>
                <w:color w:val="auto"/>
                <w:sz w:val="22"/>
                <w:highlight w:val="none"/>
              </w:rPr>
            </w:pPr>
          </w:p>
        </w:tc>
      </w:tr>
      <w:tr w14:paraId="7530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14:paraId="70F53266">
            <w:pPr>
              <w:spacing w:line="360" w:lineRule="exact"/>
              <w:rPr>
                <w:rFonts w:hint="eastAsia" w:ascii="宋体" w:hAnsi="宋体" w:eastAsia="宋体" w:cs="宋体"/>
                <w:color w:val="auto"/>
                <w:sz w:val="22"/>
                <w:highlight w:val="none"/>
              </w:rPr>
            </w:pPr>
          </w:p>
        </w:tc>
        <w:tc>
          <w:tcPr>
            <w:tcW w:w="8172" w:type="dxa"/>
            <w:gridSpan w:val="5"/>
            <w:tcBorders>
              <w:top w:val="single" w:color="auto" w:sz="4" w:space="0"/>
              <w:left w:val="single" w:color="auto" w:sz="4" w:space="0"/>
              <w:bottom w:val="single" w:color="auto" w:sz="4" w:space="0"/>
              <w:right w:val="single" w:color="auto" w:sz="12" w:space="0"/>
            </w:tcBorders>
            <w:noWrap w:val="0"/>
            <w:vAlign w:val="center"/>
          </w:tcPr>
          <w:p w14:paraId="3FCDF8F2">
            <w:pPr>
              <w:spacing w:line="360" w:lineRule="exact"/>
              <w:rPr>
                <w:rFonts w:hint="eastAsia" w:ascii="宋体" w:hAnsi="宋体" w:eastAsia="宋体" w:cs="宋体"/>
                <w:color w:val="auto"/>
                <w:sz w:val="22"/>
                <w:highlight w:val="none"/>
              </w:rPr>
            </w:pPr>
          </w:p>
        </w:tc>
      </w:tr>
      <w:tr w14:paraId="7E62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noWrap w:val="0"/>
            <w:vAlign w:val="center"/>
          </w:tcPr>
          <w:p w14:paraId="32FF434C">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3、负责类似项目业绩</w:t>
            </w:r>
          </w:p>
        </w:tc>
      </w:tr>
      <w:tr w14:paraId="07A5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14:paraId="0DBD213A">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14:paraId="545C7CF2">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  目  名  称</w:t>
            </w: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14:paraId="0244FCF7">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该项目中任何职</w:t>
            </w:r>
          </w:p>
        </w:tc>
      </w:tr>
      <w:tr w14:paraId="6A66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14:paraId="48A63D11">
            <w:pPr>
              <w:spacing w:line="360" w:lineRule="exact"/>
              <w:rPr>
                <w:rFonts w:hint="eastAsia" w:ascii="宋体" w:hAnsi="宋体" w:eastAsia="宋体" w:cs="宋体"/>
                <w:color w:val="auto"/>
                <w:sz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14:paraId="0C1F2F0A">
            <w:pPr>
              <w:spacing w:line="360" w:lineRule="exact"/>
              <w:rPr>
                <w:rFonts w:hint="eastAsia" w:ascii="宋体" w:hAnsi="宋体" w:eastAsia="宋体" w:cs="宋体"/>
                <w:color w:val="auto"/>
                <w:sz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14:paraId="370AA5CD">
            <w:pPr>
              <w:spacing w:line="360" w:lineRule="exact"/>
              <w:rPr>
                <w:rFonts w:hint="eastAsia" w:ascii="宋体" w:hAnsi="宋体" w:eastAsia="宋体" w:cs="宋体"/>
                <w:color w:val="auto"/>
                <w:sz w:val="22"/>
                <w:highlight w:val="none"/>
              </w:rPr>
            </w:pPr>
          </w:p>
        </w:tc>
      </w:tr>
      <w:tr w14:paraId="49E5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14:paraId="6283A940">
            <w:pPr>
              <w:spacing w:line="360" w:lineRule="exact"/>
              <w:rPr>
                <w:rFonts w:hint="eastAsia" w:ascii="宋体" w:hAnsi="宋体" w:eastAsia="宋体" w:cs="宋体"/>
                <w:color w:val="auto"/>
                <w:sz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14:paraId="243EDEE5">
            <w:pPr>
              <w:spacing w:line="360" w:lineRule="exact"/>
              <w:rPr>
                <w:rFonts w:hint="eastAsia" w:ascii="宋体" w:hAnsi="宋体" w:eastAsia="宋体" w:cs="宋体"/>
                <w:color w:val="auto"/>
                <w:sz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14:paraId="6B0639AA">
            <w:pPr>
              <w:spacing w:line="360" w:lineRule="exact"/>
              <w:rPr>
                <w:rFonts w:hint="eastAsia" w:ascii="宋体" w:hAnsi="宋体" w:eastAsia="宋体" w:cs="宋体"/>
                <w:color w:val="auto"/>
                <w:sz w:val="22"/>
                <w:highlight w:val="none"/>
              </w:rPr>
            </w:pPr>
          </w:p>
        </w:tc>
      </w:tr>
      <w:tr w14:paraId="21A7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14:paraId="1EA7B180">
            <w:pPr>
              <w:spacing w:line="360" w:lineRule="exact"/>
              <w:rPr>
                <w:rFonts w:hint="eastAsia" w:ascii="宋体" w:hAnsi="宋体" w:eastAsia="宋体" w:cs="宋体"/>
                <w:color w:val="auto"/>
                <w:sz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14:paraId="5B98D7E2">
            <w:pPr>
              <w:spacing w:line="360" w:lineRule="exact"/>
              <w:rPr>
                <w:rFonts w:hint="eastAsia" w:ascii="宋体" w:hAnsi="宋体" w:eastAsia="宋体" w:cs="宋体"/>
                <w:color w:val="auto"/>
                <w:sz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14:paraId="1A52DB25">
            <w:pPr>
              <w:spacing w:line="360" w:lineRule="exact"/>
              <w:rPr>
                <w:rFonts w:hint="eastAsia" w:ascii="宋体" w:hAnsi="宋体" w:eastAsia="宋体" w:cs="宋体"/>
                <w:color w:val="auto"/>
                <w:sz w:val="22"/>
                <w:highlight w:val="none"/>
              </w:rPr>
            </w:pPr>
          </w:p>
        </w:tc>
      </w:tr>
      <w:tr w14:paraId="4DB1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14:paraId="565904C1">
            <w:pPr>
              <w:spacing w:line="360" w:lineRule="exact"/>
              <w:rPr>
                <w:rFonts w:hint="eastAsia" w:ascii="宋体" w:hAnsi="宋体" w:eastAsia="宋体" w:cs="宋体"/>
                <w:color w:val="auto"/>
                <w:sz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14:paraId="403D9E3D">
            <w:pPr>
              <w:spacing w:line="360" w:lineRule="exact"/>
              <w:rPr>
                <w:rFonts w:hint="eastAsia" w:ascii="宋体" w:hAnsi="宋体" w:eastAsia="宋体" w:cs="宋体"/>
                <w:color w:val="auto"/>
                <w:sz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14:paraId="57AF4F8D">
            <w:pPr>
              <w:spacing w:line="360" w:lineRule="exact"/>
              <w:rPr>
                <w:rFonts w:hint="eastAsia" w:ascii="宋体" w:hAnsi="宋体" w:eastAsia="宋体" w:cs="宋体"/>
                <w:color w:val="auto"/>
                <w:sz w:val="22"/>
                <w:highlight w:val="none"/>
              </w:rPr>
            </w:pPr>
          </w:p>
        </w:tc>
      </w:tr>
      <w:tr w14:paraId="3A3D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14:paraId="72C8EE9E">
            <w:pPr>
              <w:spacing w:line="360" w:lineRule="exact"/>
              <w:rPr>
                <w:rFonts w:hint="eastAsia" w:ascii="宋体" w:hAnsi="宋体" w:eastAsia="宋体" w:cs="宋体"/>
                <w:color w:val="auto"/>
                <w:sz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14:paraId="21280CCF">
            <w:pPr>
              <w:spacing w:line="360" w:lineRule="exact"/>
              <w:rPr>
                <w:rFonts w:hint="eastAsia" w:ascii="宋体" w:hAnsi="宋体" w:eastAsia="宋体" w:cs="宋体"/>
                <w:color w:val="auto"/>
                <w:sz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14:paraId="530EE936">
            <w:pPr>
              <w:spacing w:line="360" w:lineRule="exact"/>
              <w:rPr>
                <w:rFonts w:hint="eastAsia" w:ascii="宋体" w:hAnsi="宋体" w:eastAsia="宋体" w:cs="宋体"/>
                <w:color w:val="auto"/>
                <w:sz w:val="22"/>
                <w:highlight w:val="none"/>
              </w:rPr>
            </w:pPr>
          </w:p>
        </w:tc>
      </w:tr>
      <w:tr w14:paraId="6D7F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12" w:space="0"/>
              <w:right w:val="single" w:color="auto" w:sz="4" w:space="0"/>
            </w:tcBorders>
            <w:noWrap w:val="0"/>
            <w:vAlign w:val="center"/>
          </w:tcPr>
          <w:p w14:paraId="5484AE5B">
            <w:pPr>
              <w:spacing w:line="360" w:lineRule="exact"/>
              <w:rPr>
                <w:rFonts w:hint="eastAsia" w:ascii="宋体" w:hAnsi="宋体" w:eastAsia="宋体" w:cs="宋体"/>
                <w:color w:val="auto"/>
                <w:sz w:val="22"/>
                <w:highlight w:val="none"/>
              </w:rPr>
            </w:pPr>
          </w:p>
        </w:tc>
        <w:tc>
          <w:tcPr>
            <w:tcW w:w="5580" w:type="dxa"/>
            <w:gridSpan w:val="4"/>
            <w:tcBorders>
              <w:top w:val="single" w:color="auto" w:sz="4" w:space="0"/>
              <w:left w:val="single" w:color="auto" w:sz="4" w:space="0"/>
              <w:bottom w:val="single" w:color="auto" w:sz="12" w:space="0"/>
              <w:right w:val="single" w:color="auto" w:sz="4" w:space="0"/>
            </w:tcBorders>
            <w:noWrap w:val="0"/>
            <w:vAlign w:val="center"/>
          </w:tcPr>
          <w:p w14:paraId="6470118E">
            <w:pPr>
              <w:spacing w:line="360" w:lineRule="exact"/>
              <w:rPr>
                <w:rFonts w:hint="eastAsia" w:ascii="宋体" w:hAnsi="宋体" w:eastAsia="宋体" w:cs="宋体"/>
                <w:color w:val="auto"/>
                <w:sz w:val="22"/>
                <w:highlight w:val="none"/>
              </w:rPr>
            </w:pPr>
          </w:p>
        </w:tc>
        <w:tc>
          <w:tcPr>
            <w:tcW w:w="3037" w:type="dxa"/>
            <w:gridSpan w:val="2"/>
            <w:tcBorders>
              <w:top w:val="single" w:color="auto" w:sz="4" w:space="0"/>
              <w:left w:val="single" w:color="auto" w:sz="4" w:space="0"/>
              <w:bottom w:val="single" w:color="auto" w:sz="12" w:space="0"/>
              <w:right w:val="single" w:color="auto" w:sz="12" w:space="0"/>
            </w:tcBorders>
            <w:noWrap w:val="0"/>
            <w:vAlign w:val="center"/>
          </w:tcPr>
          <w:p w14:paraId="5B789630">
            <w:pPr>
              <w:spacing w:line="360" w:lineRule="exact"/>
              <w:rPr>
                <w:rFonts w:hint="eastAsia" w:ascii="宋体" w:hAnsi="宋体" w:eastAsia="宋体" w:cs="宋体"/>
                <w:color w:val="auto"/>
                <w:sz w:val="22"/>
                <w:highlight w:val="none"/>
              </w:rPr>
            </w:pPr>
          </w:p>
        </w:tc>
      </w:tr>
    </w:tbl>
    <w:p w14:paraId="574AEEAF">
      <w:pPr>
        <w:pStyle w:val="13"/>
        <w:spacing w:line="400" w:lineRule="atLeast"/>
        <w:ind w:left="660" w:hanging="660" w:hanging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附注：1.列入本表人员如要更换，需经采购人同意。擅自更换或不到位属违约行为。</w:t>
      </w:r>
    </w:p>
    <w:p w14:paraId="32DB1578">
      <w:pPr>
        <w:pStyle w:val="13"/>
        <w:spacing w:line="400" w:lineRule="atLeast"/>
        <w:ind w:left="660" w:hanging="660" w:hanging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2.提供项目负责人学历证书、职称证书、身份证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同类工作证明</w:t>
      </w:r>
      <w:r>
        <w:rPr>
          <w:rFonts w:hint="eastAsia" w:ascii="宋体" w:hAnsi="宋体" w:eastAsia="宋体" w:cs="宋体"/>
          <w:color w:val="auto"/>
          <w:sz w:val="22"/>
          <w:szCs w:val="22"/>
          <w:highlight w:val="none"/>
          <w:lang w:eastAsia="zh-CN"/>
        </w:rPr>
        <w:t>及社保</w:t>
      </w:r>
      <w:r>
        <w:rPr>
          <w:rFonts w:hint="eastAsia" w:ascii="宋体" w:hAnsi="宋体" w:eastAsia="宋体" w:cs="宋体"/>
          <w:color w:val="auto"/>
          <w:sz w:val="22"/>
          <w:szCs w:val="22"/>
          <w:highlight w:val="none"/>
        </w:rPr>
        <w:t>材料</w:t>
      </w:r>
      <w:r>
        <w:rPr>
          <w:rFonts w:hint="eastAsia" w:ascii="宋体" w:hAnsi="宋体" w:eastAsia="宋体" w:cs="宋体"/>
          <w:color w:val="auto"/>
          <w:sz w:val="22"/>
          <w:szCs w:val="22"/>
          <w:highlight w:val="none"/>
          <w:lang w:val="en-US" w:eastAsia="zh-CN"/>
        </w:rPr>
        <w:t>等复印件</w:t>
      </w:r>
      <w:r>
        <w:rPr>
          <w:rFonts w:hint="eastAsia" w:ascii="宋体" w:hAnsi="宋体" w:eastAsia="宋体" w:cs="宋体"/>
          <w:b w:val="0"/>
          <w:color w:val="auto"/>
          <w:sz w:val="22"/>
          <w:szCs w:val="22"/>
          <w:highlight w:val="none"/>
        </w:rPr>
        <w:t>加盖</w:t>
      </w:r>
      <w:r>
        <w:rPr>
          <w:rFonts w:hint="eastAsia" w:ascii="宋体" w:hAnsi="宋体" w:eastAsia="宋体" w:cs="宋体"/>
          <w:b w:val="0"/>
          <w:color w:val="auto"/>
          <w:sz w:val="22"/>
          <w:szCs w:val="22"/>
          <w:highlight w:val="none"/>
          <w:lang w:eastAsia="zh-CN"/>
        </w:rPr>
        <w:t>公章</w:t>
      </w:r>
      <w:r>
        <w:rPr>
          <w:rFonts w:hint="eastAsia" w:ascii="宋体" w:hAnsi="宋体" w:eastAsia="宋体" w:cs="宋体"/>
          <w:b w:val="0"/>
          <w:color w:val="auto"/>
          <w:sz w:val="22"/>
          <w:szCs w:val="22"/>
          <w:highlight w:val="none"/>
        </w:rPr>
        <w:t>。</w:t>
      </w:r>
    </w:p>
    <w:p w14:paraId="198EBABF">
      <w:pPr>
        <w:spacing w:line="460" w:lineRule="exact"/>
        <w:rPr>
          <w:rFonts w:hint="eastAsia" w:ascii="宋体" w:hAnsi="宋体" w:eastAsia="宋体" w:cs="宋体"/>
          <w:bCs/>
          <w:color w:val="auto"/>
          <w:sz w:val="22"/>
          <w:szCs w:val="22"/>
          <w:highlight w:val="none"/>
        </w:rPr>
      </w:pPr>
    </w:p>
    <w:p w14:paraId="24BB1BB9">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投标人全称（盖公章）：</w:t>
      </w:r>
    </w:p>
    <w:p w14:paraId="2A0B1BFD">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法定代表人</w:t>
      </w:r>
      <w:r>
        <w:rPr>
          <w:rFonts w:hint="eastAsia" w:ascii="宋体" w:hAnsi="宋体" w:eastAsia="宋体" w:cs="宋体"/>
          <w:bCs/>
          <w:color w:val="auto"/>
          <w:sz w:val="22"/>
          <w:szCs w:val="22"/>
          <w:highlight w:val="none"/>
        </w:rPr>
        <w:t>或授权代表（签字或盖章）：</w:t>
      </w:r>
    </w:p>
    <w:p w14:paraId="05D7B074">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w:t>
      </w:r>
      <w:r>
        <w:rPr>
          <w:rFonts w:hint="eastAsia" w:ascii="宋体" w:hAnsi="宋体" w:eastAsia="宋体" w:cs="宋体"/>
          <w:bCs/>
          <w:color w:val="auto"/>
          <w:sz w:val="22"/>
          <w:szCs w:val="22"/>
          <w:highlight w:val="none"/>
        </w:rPr>
        <w:br w:type="page"/>
      </w:r>
    </w:p>
    <w:p w14:paraId="44F06454">
      <w:pPr>
        <w:spacing w:line="240" w:lineRule="auto"/>
        <w:jc w:val="both"/>
        <w:outlineLvl w:val="2"/>
        <w:rPr>
          <w:rFonts w:hint="eastAsia" w:ascii="宋体" w:hAnsi="宋体" w:eastAsia="宋体" w:cs="宋体"/>
          <w:b/>
          <w:color w:val="auto"/>
          <w:sz w:val="21"/>
          <w:szCs w:val="21"/>
          <w:highlight w:val="none"/>
          <w:lang w:val="en-US" w:eastAsia="zh-CN"/>
        </w:rPr>
      </w:pPr>
      <w:bookmarkStart w:id="201" w:name="_Toc7707"/>
      <w:r>
        <w:rPr>
          <w:rFonts w:hint="eastAsia" w:ascii="宋体" w:hAnsi="宋体" w:eastAsia="宋体" w:cs="宋体"/>
          <w:b/>
          <w:color w:val="auto"/>
          <w:sz w:val="21"/>
          <w:szCs w:val="21"/>
          <w:highlight w:val="none"/>
          <w:lang w:val="en-US" w:eastAsia="zh-CN"/>
        </w:rPr>
        <w:t>附件七</w:t>
      </w:r>
    </w:p>
    <w:p w14:paraId="0694A501">
      <w:pPr>
        <w:spacing w:line="560" w:lineRule="exact"/>
        <w:jc w:val="center"/>
        <w:outlineLvl w:val="2"/>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投入本项目全程陪同导游</w:t>
      </w:r>
      <w:r>
        <w:rPr>
          <w:rFonts w:hint="eastAsia" w:ascii="宋体" w:hAnsi="宋体" w:eastAsia="宋体" w:cs="宋体"/>
          <w:b/>
          <w:bCs/>
          <w:color w:val="auto"/>
          <w:sz w:val="30"/>
          <w:szCs w:val="30"/>
          <w:highlight w:val="none"/>
          <w:lang w:val="en-US" w:eastAsia="zh-CN"/>
        </w:rPr>
        <w:t>情况</w:t>
      </w:r>
      <w:r>
        <w:rPr>
          <w:rFonts w:hint="eastAsia" w:ascii="宋体" w:hAnsi="宋体" w:eastAsia="宋体" w:cs="宋体"/>
          <w:b/>
          <w:bCs/>
          <w:color w:val="auto"/>
          <w:sz w:val="30"/>
          <w:szCs w:val="30"/>
          <w:highlight w:val="none"/>
        </w:rPr>
        <w:t>表</w:t>
      </w:r>
    </w:p>
    <w:p w14:paraId="2A8A6A2E">
      <w:pPr>
        <w:spacing w:line="360" w:lineRule="exact"/>
        <w:rPr>
          <w:rFonts w:hint="eastAsia" w:ascii="宋体" w:hAnsi="宋体" w:eastAsia="宋体" w:cs="宋体"/>
          <w:b/>
          <w:color w:val="auto"/>
          <w:sz w:val="30"/>
          <w:szCs w:val="30"/>
          <w:highlight w:val="none"/>
        </w:rPr>
      </w:pPr>
      <w:r>
        <w:rPr>
          <w:rFonts w:hint="eastAsia" w:ascii="宋体" w:hAnsi="宋体" w:eastAsia="宋体" w:cs="宋体"/>
          <w:b/>
          <w:color w:val="auto"/>
          <w:sz w:val="22"/>
          <w:szCs w:val="22"/>
          <w:highlight w:val="none"/>
        </w:rPr>
        <w:t>项目名称：                                  项目编号：</w:t>
      </w:r>
    </w:p>
    <w:tbl>
      <w:tblPr>
        <w:tblStyle w:val="25"/>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991"/>
        <w:gridCol w:w="1036"/>
        <w:gridCol w:w="670"/>
        <w:gridCol w:w="708"/>
        <w:gridCol w:w="1015"/>
        <w:gridCol w:w="977"/>
        <w:gridCol w:w="1098"/>
        <w:gridCol w:w="1098"/>
        <w:gridCol w:w="1098"/>
      </w:tblGrid>
      <w:tr w14:paraId="2EF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640" w:type="dxa"/>
            <w:noWrap w:val="0"/>
            <w:vAlign w:val="center"/>
          </w:tcPr>
          <w:p w14:paraId="16FA971E">
            <w:pPr>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991" w:type="dxa"/>
            <w:noWrap w:val="0"/>
            <w:vAlign w:val="center"/>
          </w:tcPr>
          <w:p w14:paraId="625700CB">
            <w:pPr>
              <w:jc w:val="center"/>
              <w:rPr>
                <w:rFonts w:hint="eastAsia" w:ascii="宋体" w:hAnsi="宋体" w:eastAsia="宋体" w:cs="宋体"/>
                <w:b/>
                <w:color w:val="auto"/>
                <w:highlight w:val="none"/>
              </w:rPr>
            </w:pPr>
            <w:r>
              <w:rPr>
                <w:rFonts w:hint="eastAsia" w:ascii="宋体" w:hAnsi="宋体" w:eastAsia="宋体" w:cs="宋体"/>
                <w:b/>
                <w:color w:val="auto"/>
                <w:highlight w:val="none"/>
              </w:rPr>
              <w:t>姓名</w:t>
            </w:r>
          </w:p>
        </w:tc>
        <w:tc>
          <w:tcPr>
            <w:tcW w:w="1036" w:type="dxa"/>
            <w:noWrap w:val="0"/>
            <w:vAlign w:val="center"/>
          </w:tcPr>
          <w:p w14:paraId="286D2B5A">
            <w:pPr>
              <w:jc w:val="center"/>
              <w:rPr>
                <w:rFonts w:hint="eastAsia" w:ascii="宋体" w:hAnsi="宋体" w:eastAsia="宋体" w:cs="宋体"/>
                <w:b/>
                <w:color w:val="auto"/>
                <w:highlight w:val="none"/>
              </w:rPr>
            </w:pPr>
            <w:r>
              <w:rPr>
                <w:rFonts w:hint="eastAsia" w:ascii="宋体" w:hAnsi="宋体" w:eastAsia="宋体" w:cs="宋体"/>
                <w:b/>
                <w:color w:val="auto"/>
                <w:highlight w:val="none"/>
              </w:rPr>
              <w:t>性别</w:t>
            </w:r>
          </w:p>
        </w:tc>
        <w:tc>
          <w:tcPr>
            <w:tcW w:w="670" w:type="dxa"/>
            <w:noWrap w:val="0"/>
            <w:vAlign w:val="center"/>
          </w:tcPr>
          <w:p w14:paraId="7A11BE08">
            <w:pPr>
              <w:jc w:val="center"/>
              <w:rPr>
                <w:rFonts w:hint="eastAsia" w:ascii="宋体" w:hAnsi="宋体" w:eastAsia="宋体" w:cs="宋体"/>
                <w:b/>
                <w:color w:val="auto"/>
                <w:highlight w:val="none"/>
              </w:rPr>
            </w:pPr>
            <w:r>
              <w:rPr>
                <w:rFonts w:hint="eastAsia" w:ascii="宋体" w:hAnsi="宋体" w:eastAsia="宋体" w:cs="宋体"/>
                <w:b/>
                <w:color w:val="auto"/>
                <w:highlight w:val="none"/>
              </w:rPr>
              <w:t>年龄</w:t>
            </w:r>
          </w:p>
        </w:tc>
        <w:tc>
          <w:tcPr>
            <w:tcW w:w="708" w:type="dxa"/>
            <w:noWrap w:val="0"/>
            <w:vAlign w:val="center"/>
          </w:tcPr>
          <w:p w14:paraId="7B7894C7">
            <w:pPr>
              <w:jc w:val="center"/>
              <w:rPr>
                <w:rFonts w:hint="eastAsia" w:ascii="宋体" w:hAnsi="宋体" w:eastAsia="宋体" w:cs="宋体"/>
                <w:b/>
                <w:color w:val="auto"/>
                <w:highlight w:val="none"/>
              </w:rPr>
            </w:pPr>
            <w:r>
              <w:rPr>
                <w:rFonts w:hint="eastAsia" w:ascii="宋体" w:hAnsi="宋体" w:eastAsia="宋体" w:cs="宋体"/>
                <w:b/>
                <w:color w:val="auto"/>
                <w:highlight w:val="none"/>
              </w:rPr>
              <w:t>学历</w:t>
            </w:r>
          </w:p>
        </w:tc>
        <w:tc>
          <w:tcPr>
            <w:tcW w:w="1015" w:type="dxa"/>
            <w:noWrap w:val="0"/>
            <w:vAlign w:val="center"/>
          </w:tcPr>
          <w:p w14:paraId="4A76DBA8">
            <w:pPr>
              <w:jc w:val="center"/>
              <w:rPr>
                <w:rFonts w:hint="eastAsia" w:ascii="宋体" w:hAnsi="宋体" w:eastAsia="宋体" w:cs="宋体"/>
                <w:b/>
                <w:color w:val="auto"/>
                <w:highlight w:val="none"/>
              </w:rPr>
            </w:pPr>
            <w:r>
              <w:rPr>
                <w:rFonts w:hint="eastAsia" w:ascii="宋体" w:hAnsi="宋体" w:eastAsia="宋体" w:cs="宋体"/>
                <w:b/>
                <w:color w:val="auto"/>
                <w:highlight w:val="none"/>
              </w:rPr>
              <w:t>专业</w:t>
            </w:r>
          </w:p>
        </w:tc>
        <w:tc>
          <w:tcPr>
            <w:tcW w:w="977" w:type="dxa"/>
            <w:noWrap w:val="0"/>
            <w:vAlign w:val="center"/>
          </w:tcPr>
          <w:p w14:paraId="13BD978D">
            <w:pPr>
              <w:jc w:val="center"/>
              <w:rPr>
                <w:rFonts w:hint="eastAsia" w:ascii="宋体" w:hAnsi="宋体" w:eastAsia="宋体" w:cs="宋体"/>
                <w:b/>
                <w:color w:val="auto"/>
                <w:highlight w:val="none"/>
              </w:rPr>
            </w:pPr>
            <w:r>
              <w:rPr>
                <w:rFonts w:hint="eastAsia" w:ascii="宋体" w:hAnsi="宋体" w:eastAsia="宋体" w:cs="宋体"/>
                <w:b/>
                <w:color w:val="auto"/>
                <w:highlight w:val="none"/>
              </w:rPr>
              <w:t>技术职称/资格</w:t>
            </w:r>
          </w:p>
        </w:tc>
        <w:tc>
          <w:tcPr>
            <w:tcW w:w="1098" w:type="dxa"/>
            <w:noWrap w:val="0"/>
            <w:vAlign w:val="center"/>
          </w:tcPr>
          <w:p w14:paraId="65A44EE7">
            <w:pPr>
              <w:jc w:val="center"/>
              <w:rPr>
                <w:rFonts w:hint="eastAsia" w:ascii="宋体" w:hAnsi="宋体" w:eastAsia="宋体" w:cs="宋体"/>
                <w:b/>
                <w:color w:val="auto"/>
                <w:highlight w:val="none"/>
              </w:rPr>
            </w:pPr>
            <w:r>
              <w:rPr>
                <w:rFonts w:hint="eastAsia" w:ascii="宋体" w:hAnsi="宋体" w:eastAsia="宋体" w:cs="宋体"/>
                <w:b/>
                <w:color w:val="auto"/>
                <w:highlight w:val="none"/>
                <w:lang w:eastAsia="zh-CN"/>
              </w:rPr>
              <w:t>导游</w:t>
            </w:r>
            <w:r>
              <w:rPr>
                <w:rFonts w:hint="eastAsia" w:ascii="宋体" w:hAnsi="宋体" w:eastAsia="宋体" w:cs="宋体"/>
                <w:b/>
                <w:color w:val="auto"/>
                <w:highlight w:val="none"/>
              </w:rPr>
              <w:t>年限</w:t>
            </w:r>
          </w:p>
        </w:tc>
        <w:tc>
          <w:tcPr>
            <w:tcW w:w="1098" w:type="dxa"/>
            <w:noWrap w:val="0"/>
            <w:vAlign w:val="center"/>
          </w:tcPr>
          <w:p w14:paraId="1627D951">
            <w:pPr>
              <w:jc w:val="center"/>
              <w:rPr>
                <w:rFonts w:hint="eastAsia" w:ascii="宋体" w:hAnsi="宋体" w:eastAsia="宋体" w:cs="宋体"/>
                <w:b/>
                <w:color w:val="auto"/>
                <w:highlight w:val="none"/>
              </w:rPr>
            </w:pPr>
            <w:r>
              <w:rPr>
                <w:rFonts w:hint="eastAsia" w:ascii="宋体" w:hAnsi="宋体" w:eastAsia="宋体" w:cs="宋体"/>
                <w:b/>
                <w:color w:val="auto"/>
                <w:highlight w:val="none"/>
              </w:rPr>
              <w:t>现任何职</w:t>
            </w:r>
          </w:p>
        </w:tc>
        <w:tc>
          <w:tcPr>
            <w:tcW w:w="1098" w:type="dxa"/>
            <w:noWrap w:val="0"/>
            <w:vAlign w:val="top"/>
          </w:tcPr>
          <w:p w14:paraId="7CFE31EE">
            <w:pPr>
              <w:jc w:val="center"/>
              <w:rPr>
                <w:rFonts w:hint="eastAsia" w:ascii="宋体" w:hAnsi="宋体" w:eastAsia="宋体" w:cs="宋体"/>
                <w:b/>
                <w:color w:val="auto"/>
                <w:highlight w:val="none"/>
              </w:rPr>
            </w:pPr>
            <w:r>
              <w:rPr>
                <w:rFonts w:hint="eastAsia" w:ascii="宋体" w:hAnsi="宋体" w:eastAsia="宋体" w:cs="宋体"/>
                <w:b/>
                <w:color w:val="auto"/>
                <w:highlight w:val="none"/>
              </w:rPr>
              <w:t>是否常驻（填：是或否）</w:t>
            </w:r>
          </w:p>
        </w:tc>
      </w:tr>
      <w:tr w14:paraId="0FAB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14:paraId="7889EDE2">
            <w:pPr>
              <w:spacing w:line="360" w:lineRule="exact"/>
              <w:jc w:val="center"/>
              <w:rPr>
                <w:rFonts w:hint="eastAsia" w:ascii="宋体" w:hAnsi="宋体" w:eastAsia="宋体" w:cs="宋体"/>
                <w:color w:val="auto"/>
                <w:sz w:val="24"/>
                <w:highlight w:val="none"/>
              </w:rPr>
            </w:pPr>
          </w:p>
        </w:tc>
        <w:tc>
          <w:tcPr>
            <w:tcW w:w="991" w:type="dxa"/>
            <w:noWrap w:val="0"/>
            <w:vAlign w:val="center"/>
          </w:tcPr>
          <w:p w14:paraId="4E248E08">
            <w:pPr>
              <w:spacing w:line="360" w:lineRule="exact"/>
              <w:jc w:val="center"/>
              <w:rPr>
                <w:rFonts w:hint="eastAsia" w:ascii="宋体" w:hAnsi="宋体" w:eastAsia="宋体" w:cs="宋体"/>
                <w:color w:val="auto"/>
                <w:sz w:val="24"/>
                <w:highlight w:val="none"/>
              </w:rPr>
            </w:pPr>
          </w:p>
        </w:tc>
        <w:tc>
          <w:tcPr>
            <w:tcW w:w="1036" w:type="dxa"/>
            <w:noWrap w:val="0"/>
            <w:vAlign w:val="center"/>
          </w:tcPr>
          <w:p w14:paraId="24FA3B58">
            <w:pPr>
              <w:spacing w:line="360" w:lineRule="exact"/>
              <w:jc w:val="center"/>
              <w:rPr>
                <w:rFonts w:hint="eastAsia" w:ascii="宋体" w:hAnsi="宋体" w:eastAsia="宋体" w:cs="宋体"/>
                <w:color w:val="auto"/>
                <w:sz w:val="24"/>
                <w:highlight w:val="none"/>
              </w:rPr>
            </w:pPr>
          </w:p>
        </w:tc>
        <w:tc>
          <w:tcPr>
            <w:tcW w:w="670" w:type="dxa"/>
            <w:noWrap w:val="0"/>
            <w:vAlign w:val="center"/>
          </w:tcPr>
          <w:p w14:paraId="2B84C654">
            <w:pPr>
              <w:spacing w:line="360" w:lineRule="exact"/>
              <w:jc w:val="center"/>
              <w:rPr>
                <w:rFonts w:hint="eastAsia" w:ascii="宋体" w:hAnsi="宋体" w:eastAsia="宋体" w:cs="宋体"/>
                <w:color w:val="auto"/>
                <w:sz w:val="24"/>
                <w:highlight w:val="none"/>
              </w:rPr>
            </w:pPr>
          </w:p>
        </w:tc>
        <w:tc>
          <w:tcPr>
            <w:tcW w:w="708" w:type="dxa"/>
            <w:noWrap w:val="0"/>
            <w:vAlign w:val="center"/>
          </w:tcPr>
          <w:p w14:paraId="6628F783">
            <w:pPr>
              <w:spacing w:line="360" w:lineRule="exact"/>
              <w:jc w:val="center"/>
              <w:rPr>
                <w:rFonts w:hint="eastAsia" w:ascii="宋体" w:hAnsi="宋体" w:eastAsia="宋体" w:cs="宋体"/>
                <w:color w:val="auto"/>
                <w:sz w:val="24"/>
                <w:highlight w:val="none"/>
              </w:rPr>
            </w:pPr>
          </w:p>
        </w:tc>
        <w:tc>
          <w:tcPr>
            <w:tcW w:w="1015" w:type="dxa"/>
            <w:noWrap w:val="0"/>
            <w:vAlign w:val="center"/>
          </w:tcPr>
          <w:p w14:paraId="1A76D7AD">
            <w:pPr>
              <w:spacing w:line="360" w:lineRule="exact"/>
              <w:jc w:val="center"/>
              <w:rPr>
                <w:rFonts w:hint="eastAsia" w:ascii="宋体" w:hAnsi="宋体" w:eastAsia="宋体" w:cs="宋体"/>
                <w:color w:val="auto"/>
                <w:sz w:val="24"/>
                <w:highlight w:val="none"/>
              </w:rPr>
            </w:pPr>
          </w:p>
        </w:tc>
        <w:tc>
          <w:tcPr>
            <w:tcW w:w="977" w:type="dxa"/>
            <w:noWrap w:val="0"/>
            <w:vAlign w:val="center"/>
          </w:tcPr>
          <w:p w14:paraId="0A1E36A2">
            <w:pPr>
              <w:spacing w:line="360" w:lineRule="exact"/>
              <w:jc w:val="center"/>
              <w:rPr>
                <w:rFonts w:hint="eastAsia" w:ascii="宋体" w:hAnsi="宋体" w:eastAsia="宋体" w:cs="宋体"/>
                <w:color w:val="auto"/>
                <w:sz w:val="24"/>
                <w:highlight w:val="none"/>
              </w:rPr>
            </w:pPr>
          </w:p>
        </w:tc>
        <w:tc>
          <w:tcPr>
            <w:tcW w:w="1098" w:type="dxa"/>
            <w:noWrap w:val="0"/>
            <w:vAlign w:val="center"/>
          </w:tcPr>
          <w:p w14:paraId="3B4FDB33">
            <w:pPr>
              <w:spacing w:line="360" w:lineRule="exact"/>
              <w:jc w:val="center"/>
              <w:rPr>
                <w:rFonts w:hint="eastAsia" w:ascii="宋体" w:hAnsi="宋体" w:eastAsia="宋体" w:cs="宋体"/>
                <w:color w:val="auto"/>
                <w:sz w:val="24"/>
                <w:highlight w:val="none"/>
              </w:rPr>
            </w:pPr>
          </w:p>
        </w:tc>
        <w:tc>
          <w:tcPr>
            <w:tcW w:w="1098" w:type="dxa"/>
            <w:noWrap w:val="0"/>
            <w:vAlign w:val="center"/>
          </w:tcPr>
          <w:p w14:paraId="31EF61BB">
            <w:pPr>
              <w:spacing w:line="360" w:lineRule="exact"/>
              <w:jc w:val="center"/>
              <w:rPr>
                <w:rFonts w:hint="eastAsia" w:ascii="宋体" w:hAnsi="宋体" w:eastAsia="宋体" w:cs="宋体"/>
                <w:color w:val="auto"/>
                <w:sz w:val="24"/>
                <w:highlight w:val="none"/>
              </w:rPr>
            </w:pPr>
          </w:p>
        </w:tc>
        <w:tc>
          <w:tcPr>
            <w:tcW w:w="1098" w:type="dxa"/>
            <w:noWrap w:val="0"/>
            <w:vAlign w:val="top"/>
          </w:tcPr>
          <w:p w14:paraId="414BBDE4">
            <w:pPr>
              <w:spacing w:line="360" w:lineRule="exact"/>
              <w:jc w:val="center"/>
              <w:rPr>
                <w:rFonts w:hint="eastAsia" w:ascii="宋体" w:hAnsi="宋体" w:eastAsia="宋体" w:cs="宋体"/>
                <w:color w:val="auto"/>
                <w:sz w:val="24"/>
                <w:highlight w:val="none"/>
              </w:rPr>
            </w:pPr>
          </w:p>
        </w:tc>
      </w:tr>
      <w:tr w14:paraId="4AB7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14:paraId="42572AF9">
            <w:pPr>
              <w:spacing w:line="360" w:lineRule="exact"/>
              <w:jc w:val="center"/>
              <w:rPr>
                <w:rFonts w:hint="eastAsia" w:ascii="宋体" w:hAnsi="宋体" w:eastAsia="宋体" w:cs="宋体"/>
                <w:color w:val="auto"/>
                <w:sz w:val="28"/>
                <w:highlight w:val="none"/>
              </w:rPr>
            </w:pPr>
          </w:p>
        </w:tc>
        <w:tc>
          <w:tcPr>
            <w:tcW w:w="991" w:type="dxa"/>
            <w:noWrap w:val="0"/>
            <w:vAlign w:val="center"/>
          </w:tcPr>
          <w:p w14:paraId="7E6AEA0C">
            <w:pPr>
              <w:spacing w:line="360" w:lineRule="exact"/>
              <w:jc w:val="center"/>
              <w:rPr>
                <w:rFonts w:hint="eastAsia" w:ascii="宋体" w:hAnsi="宋体" w:eastAsia="宋体" w:cs="宋体"/>
                <w:color w:val="auto"/>
                <w:sz w:val="28"/>
                <w:highlight w:val="none"/>
              </w:rPr>
            </w:pPr>
          </w:p>
        </w:tc>
        <w:tc>
          <w:tcPr>
            <w:tcW w:w="1036" w:type="dxa"/>
            <w:noWrap w:val="0"/>
            <w:vAlign w:val="center"/>
          </w:tcPr>
          <w:p w14:paraId="383C1503">
            <w:pPr>
              <w:spacing w:line="360" w:lineRule="exact"/>
              <w:jc w:val="center"/>
              <w:rPr>
                <w:rFonts w:hint="eastAsia" w:ascii="宋体" w:hAnsi="宋体" w:eastAsia="宋体" w:cs="宋体"/>
                <w:color w:val="auto"/>
                <w:sz w:val="28"/>
                <w:highlight w:val="none"/>
              </w:rPr>
            </w:pPr>
          </w:p>
        </w:tc>
        <w:tc>
          <w:tcPr>
            <w:tcW w:w="670" w:type="dxa"/>
            <w:noWrap w:val="0"/>
            <w:vAlign w:val="center"/>
          </w:tcPr>
          <w:p w14:paraId="5C227BEE">
            <w:pPr>
              <w:spacing w:line="360" w:lineRule="exact"/>
              <w:jc w:val="center"/>
              <w:rPr>
                <w:rFonts w:hint="eastAsia" w:ascii="宋体" w:hAnsi="宋体" w:eastAsia="宋体" w:cs="宋体"/>
                <w:color w:val="auto"/>
                <w:sz w:val="28"/>
                <w:highlight w:val="none"/>
              </w:rPr>
            </w:pPr>
          </w:p>
        </w:tc>
        <w:tc>
          <w:tcPr>
            <w:tcW w:w="708" w:type="dxa"/>
            <w:noWrap w:val="0"/>
            <w:vAlign w:val="center"/>
          </w:tcPr>
          <w:p w14:paraId="75A6EA8E">
            <w:pPr>
              <w:spacing w:line="360" w:lineRule="exact"/>
              <w:jc w:val="center"/>
              <w:rPr>
                <w:rFonts w:hint="eastAsia" w:ascii="宋体" w:hAnsi="宋体" w:eastAsia="宋体" w:cs="宋体"/>
                <w:color w:val="auto"/>
                <w:sz w:val="28"/>
                <w:highlight w:val="none"/>
              </w:rPr>
            </w:pPr>
          </w:p>
        </w:tc>
        <w:tc>
          <w:tcPr>
            <w:tcW w:w="1015" w:type="dxa"/>
            <w:noWrap w:val="0"/>
            <w:vAlign w:val="center"/>
          </w:tcPr>
          <w:p w14:paraId="16E458AC">
            <w:pPr>
              <w:spacing w:line="360" w:lineRule="exact"/>
              <w:jc w:val="center"/>
              <w:rPr>
                <w:rFonts w:hint="eastAsia" w:ascii="宋体" w:hAnsi="宋体" w:eastAsia="宋体" w:cs="宋体"/>
                <w:color w:val="auto"/>
                <w:sz w:val="28"/>
                <w:highlight w:val="none"/>
              </w:rPr>
            </w:pPr>
          </w:p>
        </w:tc>
        <w:tc>
          <w:tcPr>
            <w:tcW w:w="977" w:type="dxa"/>
            <w:noWrap w:val="0"/>
            <w:vAlign w:val="center"/>
          </w:tcPr>
          <w:p w14:paraId="2AEECF63">
            <w:pPr>
              <w:spacing w:line="360" w:lineRule="exact"/>
              <w:jc w:val="center"/>
              <w:rPr>
                <w:rFonts w:hint="eastAsia" w:ascii="宋体" w:hAnsi="宋体" w:eastAsia="宋体" w:cs="宋体"/>
                <w:color w:val="auto"/>
                <w:sz w:val="28"/>
                <w:highlight w:val="none"/>
              </w:rPr>
            </w:pPr>
          </w:p>
        </w:tc>
        <w:tc>
          <w:tcPr>
            <w:tcW w:w="1098" w:type="dxa"/>
            <w:noWrap w:val="0"/>
            <w:vAlign w:val="center"/>
          </w:tcPr>
          <w:p w14:paraId="3D99D5AB">
            <w:pPr>
              <w:spacing w:line="360" w:lineRule="exact"/>
              <w:jc w:val="center"/>
              <w:rPr>
                <w:rFonts w:hint="eastAsia" w:ascii="宋体" w:hAnsi="宋体" w:eastAsia="宋体" w:cs="宋体"/>
                <w:color w:val="auto"/>
                <w:sz w:val="28"/>
                <w:highlight w:val="none"/>
              </w:rPr>
            </w:pPr>
          </w:p>
        </w:tc>
        <w:tc>
          <w:tcPr>
            <w:tcW w:w="1098" w:type="dxa"/>
            <w:noWrap w:val="0"/>
            <w:vAlign w:val="center"/>
          </w:tcPr>
          <w:p w14:paraId="412C7F8C">
            <w:pPr>
              <w:spacing w:line="360" w:lineRule="exact"/>
              <w:jc w:val="center"/>
              <w:rPr>
                <w:rFonts w:hint="eastAsia" w:ascii="宋体" w:hAnsi="宋体" w:eastAsia="宋体" w:cs="宋体"/>
                <w:color w:val="auto"/>
                <w:sz w:val="28"/>
                <w:highlight w:val="none"/>
              </w:rPr>
            </w:pPr>
          </w:p>
        </w:tc>
        <w:tc>
          <w:tcPr>
            <w:tcW w:w="1098" w:type="dxa"/>
            <w:noWrap w:val="0"/>
            <w:vAlign w:val="top"/>
          </w:tcPr>
          <w:p w14:paraId="1D033B60">
            <w:pPr>
              <w:spacing w:line="360" w:lineRule="exact"/>
              <w:jc w:val="center"/>
              <w:rPr>
                <w:rFonts w:hint="eastAsia" w:ascii="宋体" w:hAnsi="宋体" w:eastAsia="宋体" w:cs="宋体"/>
                <w:color w:val="auto"/>
                <w:sz w:val="28"/>
                <w:highlight w:val="none"/>
              </w:rPr>
            </w:pPr>
          </w:p>
        </w:tc>
      </w:tr>
      <w:tr w14:paraId="26A4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14:paraId="2556C745">
            <w:pPr>
              <w:spacing w:line="360" w:lineRule="exact"/>
              <w:jc w:val="center"/>
              <w:rPr>
                <w:rFonts w:hint="eastAsia" w:ascii="宋体" w:hAnsi="宋体" w:eastAsia="宋体" w:cs="宋体"/>
                <w:color w:val="auto"/>
                <w:sz w:val="28"/>
                <w:highlight w:val="none"/>
              </w:rPr>
            </w:pPr>
          </w:p>
        </w:tc>
        <w:tc>
          <w:tcPr>
            <w:tcW w:w="991" w:type="dxa"/>
            <w:noWrap w:val="0"/>
            <w:vAlign w:val="center"/>
          </w:tcPr>
          <w:p w14:paraId="7208B623">
            <w:pPr>
              <w:spacing w:line="360" w:lineRule="exact"/>
              <w:jc w:val="center"/>
              <w:rPr>
                <w:rFonts w:hint="eastAsia" w:ascii="宋体" w:hAnsi="宋体" w:eastAsia="宋体" w:cs="宋体"/>
                <w:color w:val="auto"/>
                <w:sz w:val="28"/>
                <w:highlight w:val="none"/>
              </w:rPr>
            </w:pPr>
          </w:p>
        </w:tc>
        <w:tc>
          <w:tcPr>
            <w:tcW w:w="1036" w:type="dxa"/>
            <w:noWrap w:val="0"/>
            <w:vAlign w:val="center"/>
          </w:tcPr>
          <w:p w14:paraId="0AE50923">
            <w:pPr>
              <w:spacing w:line="360" w:lineRule="exact"/>
              <w:jc w:val="center"/>
              <w:rPr>
                <w:rFonts w:hint="eastAsia" w:ascii="宋体" w:hAnsi="宋体" w:eastAsia="宋体" w:cs="宋体"/>
                <w:color w:val="auto"/>
                <w:sz w:val="28"/>
                <w:highlight w:val="none"/>
              </w:rPr>
            </w:pPr>
          </w:p>
        </w:tc>
        <w:tc>
          <w:tcPr>
            <w:tcW w:w="670" w:type="dxa"/>
            <w:noWrap w:val="0"/>
            <w:vAlign w:val="center"/>
          </w:tcPr>
          <w:p w14:paraId="1DB59B47">
            <w:pPr>
              <w:spacing w:line="360" w:lineRule="exact"/>
              <w:jc w:val="center"/>
              <w:rPr>
                <w:rFonts w:hint="eastAsia" w:ascii="宋体" w:hAnsi="宋体" w:eastAsia="宋体" w:cs="宋体"/>
                <w:color w:val="auto"/>
                <w:sz w:val="28"/>
                <w:highlight w:val="none"/>
              </w:rPr>
            </w:pPr>
          </w:p>
        </w:tc>
        <w:tc>
          <w:tcPr>
            <w:tcW w:w="708" w:type="dxa"/>
            <w:noWrap w:val="0"/>
            <w:vAlign w:val="center"/>
          </w:tcPr>
          <w:p w14:paraId="6D5FA40E">
            <w:pPr>
              <w:spacing w:line="360" w:lineRule="exact"/>
              <w:jc w:val="center"/>
              <w:rPr>
                <w:rFonts w:hint="eastAsia" w:ascii="宋体" w:hAnsi="宋体" w:eastAsia="宋体" w:cs="宋体"/>
                <w:color w:val="auto"/>
                <w:sz w:val="28"/>
                <w:highlight w:val="none"/>
              </w:rPr>
            </w:pPr>
          </w:p>
        </w:tc>
        <w:tc>
          <w:tcPr>
            <w:tcW w:w="1015" w:type="dxa"/>
            <w:noWrap w:val="0"/>
            <w:vAlign w:val="center"/>
          </w:tcPr>
          <w:p w14:paraId="6F4A483A">
            <w:pPr>
              <w:spacing w:line="360" w:lineRule="exact"/>
              <w:jc w:val="center"/>
              <w:rPr>
                <w:rFonts w:hint="eastAsia" w:ascii="宋体" w:hAnsi="宋体" w:eastAsia="宋体" w:cs="宋体"/>
                <w:color w:val="auto"/>
                <w:sz w:val="28"/>
                <w:highlight w:val="none"/>
              </w:rPr>
            </w:pPr>
          </w:p>
        </w:tc>
        <w:tc>
          <w:tcPr>
            <w:tcW w:w="977" w:type="dxa"/>
            <w:noWrap w:val="0"/>
            <w:vAlign w:val="center"/>
          </w:tcPr>
          <w:p w14:paraId="446EB558">
            <w:pPr>
              <w:spacing w:line="360" w:lineRule="exact"/>
              <w:jc w:val="center"/>
              <w:rPr>
                <w:rFonts w:hint="eastAsia" w:ascii="宋体" w:hAnsi="宋体" w:eastAsia="宋体" w:cs="宋体"/>
                <w:color w:val="auto"/>
                <w:sz w:val="28"/>
                <w:highlight w:val="none"/>
              </w:rPr>
            </w:pPr>
          </w:p>
        </w:tc>
        <w:tc>
          <w:tcPr>
            <w:tcW w:w="1098" w:type="dxa"/>
            <w:noWrap w:val="0"/>
            <w:vAlign w:val="center"/>
          </w:tcPr>
          <w:p w14:paraId="5E196121">
            <w:pPr>
              <w:spacing w:line="360" w:lineRule="exact"/>
              <w:jc w:val="center"/>
              <w:rPr>
                <w:rFonts w:hint="eastAsia" w:ascii="宋体" w:hAnsi="宋体" w:eastAsia="宋体" w:cs="宋体"/>
                <w:color w:val="auto"/>
                <w:sz w:val="28"/>
                <w:highlight w:val="none"/>
              </w:rPr>
            </w:pPr>
          </w:p>
        </w:tc>
        <w:tc>
          <w:tcPr>
            <w:tcW w:w="1098" w:type="dxa"/>
            <w:noWrap w:val="0"/>
            <w:vAlign w:val="center"/>
          </w:tcPr>
          <w:p w14:paraId="6F43CAFA">
            <w:pPr>
              <w:spacing w:line="360" w:lineRule="exact"/>
              <w:jc w:val="center"/>
              <w:rPr>
                <w:rFonts w:hint="eastAsia" w:ascii="宋体" w:hAnsi="宋体" w:eastAsia="宋体" w:cs="宋体"/>
                <w:color w:val="auto"/>
                <w:sz w:val="28"/>
                <w:highlight w:val="none"/>
              </w:rPr>
            </w:pPr>
          </w:p>
        </w:tc>
        <w:tc>
          <w:tcPr>
            <w:tcW w:w="1098" w:type="dxa"/>
            <w:noWrap w:val="0"/>
            <w:vAlign w:val="top"/>
          </w:tcPr>
          <w:p w14:paraId="0CF05CAB">
            <w:pPr>
              <w:spacing w:line="360" w:lineRule="exact"/>
              <w:jc w:val="center"/>
              <w:rPr>
                <w:rFonts w:hint="eastAsia" w:ascii="宋体" w:hAnsi="宋体" w:eastAsia="宋体" w:cs="宋体"/>
                <w:color w:val="auto"/>
                <w:sz w:val="28"/>
                <w:highlight w:val="none"/>
              </w:rPr>
            </w:pPr>
          </w:p>
        </w:tc>
      </w:tr>
      <w:tr w14:paraId="011E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14:paraId="21C9249F">
            <w:pPr>
              <w:spacing w:line="360" w:lineRule="exact"/>
              <w:jc w:val="center"/>
              <w:rPr>
                <w:rFonts w:hint="eastAsia" w:ascii="宋体" w:hAnsi="宋体" w:eastAsia="宋体" w:cs="宋体"/>
                <w:color w:val="auto"/>
                <w:sz w:val="28"/>
                <w:highlight w:val="none"/>
              </w:rPr>
            </w:pPr>
          </w:p>
        </w:tc>
        <w:tc>
          <w:tcPr>
            <w:tcW w:w="991" w:type="dxa"/>
            <w:noWrap w:val="0"/>
            <w:vAlign w:val="center"/>
          </w:tcPr>
          <w:p w14:paraId="7EFC35CD">
            <w:pPr>
              <w:spacing w:line="360" w:lineRule="exact"/>
              <w:jc w:val="center"/>
              <w:rPr>
                <w:rFonts w:hint="eastAsia" w:ascii="宋体" w:hAnsi="宋体" w:eastAsia="宋体" w:cs="宋体"/>
                <w:color w:val="auto"/>
                <w:sz w:val="28"/>
                <w:highlight w:val="none"/>
              </w:rPr>
            </w:pPr>
          </w:p>
        </w:tc>
        <w:tc>
          <w:tcPr>
            <w:tcW w:w="1036" w:type="dxa"/>
            <w:noWrap w:val="0"/>
            <w:vAlign w:val="center"/>
          </w:tcPr>
          <w:p w14:paraId="25D79D2A">
            <w:pPr>
              <w:spacing w:line="360" w:lineRule="exact"/>
              <w:jc w:val="center"/>
              <w:rPr>
                <w:rFonts w:hint="eastAsia" w:ascii="宋体" w:hAnsi="宋体" w:eastAsia="宋体" w:cs="宋体"/>
                <w:color w:val="auto"/>
                <w:sz w:val="28"/>
                <w:highlight w:val="none"/>
              </w:rPr>
            </w:pPr>
          </w:p>
        </w:tc>
        <w:tc>
          <w:tcPr>
            <w:tcW w:w="670" w:type="dxa"/>
            <w:noWrap w:val="0"/>
            <w:vAlign w:val="center"/>
          </w:tcPr>
          <w:p w14:paraId="6F8309C6">
            <w:pPr>
              <w:spacing w:line="360" w:lineRule="exact"/>
              <w:jc w:val="center"/>
              <w:rPr>
                <w:rFonts w:hint="eastAsia" w:ascii="宋体" w:hAnsi="宋体" w:eastAsia="宋体" w:cs="宋体"/>
                <w:color w:val="auto"/>
                <w:sz w:val="28"/>
                <w:highlight w:val="none"/>
              </w:rPr>
            </w:pPr>
          </w:p>
        </w:tc>
        <w:tc>
          <w:tcPr>
            <w:tcW w:w="708" w:type="dxa"/>
            <w:noWrap w:val="0"/>
            <w:vAlign w:val="center"/>
          </w:tcPr>
          <w:p w14:paraId="7677C988">
            <w:pPr>
              <w:spacing w:line="360" w:lineRule="exact"/>
              <w:jc w:val="center"/>
              <w:rPr>
                <w:rFonts w:hint="eastAsia" w:ascii="宋体" w:hAnsi="宋体" w:eastAsia="宋体" w:cs="宋体"/>
                <w:color w:val="auto"/>
                <w:sz w:val="28"/>
                <w:highlight w:val="none"/>
              </w:rPr>
            </w:pPr>
          </w:p>
        </w:tc>
        <w:tc>
          <w:tcPr>
            <w:tcW w:w="1015" w:type="dxa"/>
            <w:noWrap w:val="0"/>
            <w:vAlign w:val="center"/>
          </w:tcPr>
          <w:p w14:paraId="5B4A4ED2">
            <w:pPr>
              <w:spacing w:line="360" w:lineRule="exact"/>
              <w:jc w:val="center"/>
              <w:rPr>
                <w:rFonts w:hint="eastAsia" w:ascii="宋体" w:hAnsi="宋体" w:eastAsia="宋体" w:cs="宋体"/>
                <w:color w:val="auto"/>
                <w:sz w:val="28"/>
                <w:highlight w:val="none"/>
              </w:rPr>
            </w:pPr>
          </w:p>
        </w:tc>
        <w:tc>
          <w:tcPr>
            <w:tcW w:w="977" w:type="dxa"/>
            <w:noWrap w:val="0"/>
            <w:vAlign w:val="center"/>
          </w:tcPr>
          <w:p w14:paraId="79B892BF">
            <w:pPr>
              <w:spacing w:line="360" w:lineRule="exact"/>
              <w:jc w:val="center"/>
              <w:rPr>
                <w:rFonts w:hint="eastAsia" w:ascii="宋体" w:hAnsi="宋体" w:eastAsia="宋体" w:cs="宋体"/>
                <w:color w:val="auto"/>
                <w:sz w:val="28"/>
                <w:highlight w:val="none"/>
              </w:rPr>
            </w:pPr>
          </w:p>
        </w:tc>
        <w:tc>
          <w:tcPr>
            <w:tcW w:w="1098" w:type="dxa"/>
            <w:noWrap w:val="0"/>
            <w:vAlign w:val="center"/>
          </w:tcPr>
          <w:p w14:paraId="30CA061A">
            <w:pPr>
              <w:spacing w:line="360" w:lineRule="exact"/>
              <w:jc w:val="center"/>
              <w:rPr>
                <w:rFonts w:hint="eastAsia" w:ascii="宋体" w:hAnsi="宋体" w:eastAsia="宋体" w:cs="宋体"/>
                <w:color w:val="auto"/>
                <w:sz w:val="28"/>
                <w:highlight w:val="none"/>
              </w:rPr>
            </w:pPr>
          </w:p>
        </w:tc>
        <w:tc>
          <w:tcPr>
            <w:tcW w:w="1098" w:type="dxa"/>
            <w:noWrap w:val="0"/>
            <w:vAlign w:val="center"/>
          </w:tcPr>
          <w:p w14:paraId="24AFAA61">
            <w:pPr>
              <w:spacing w:line="360" w:lineRule="exact"/>
              <w:jc w:val="center"/>
              <w:rPr>
                <w:rFonts w:hint="eastAsia" w:ascii="宋体" w:hAnsi="宋体" w:eastAsia="宋体" w:cs="宋体"/>
                <w:color w:val="auto"/>
                <w:sz w:val="28"/>
                <w:highlight w:val="none"/>
              </w:rPr>
            </w:pPr>
          </w:p>
        </w:tc>
        <w:tc>
          <w:tcPr>
            <w:tcW w:w="1098" w:type="dxa"/>
            <w:noWrap w:val="0"/>
            <w:vAlign w:val="top"/>
          </w:tcPr>
          <w:p w14:paraId="23C6318F">
            <w:pPr>
              <w:spacing w:line="360" w:lineRule="exact"/>
              <w:jc w:val="center"/>
              <w:rPr>
                <w:rFonts w:hint="eastAsia" w:ascii="宋体" w:hAnsi="宋体" w:eastAsia="宋体" w:cs="宋体"/>
                <w:color w:val="auto"/>
                <w:sz w:val="28"/>
                <w:highlight w:val="none"/>
              </w:rPr>
            </w:pPr>
          </w:p>
        </w:tc>
      </w:tr>
      <w:tr w14:paraId="159B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14:paraId="44ABC19D">
            <w:pPr>
              <w:spacing w:line="360" w:lineRule="exact"/>
              <w:jc w:val="center"/>
              <w:rPr>
                <w:rFonts w:hint="eastAsia" w:ascii="宋体" w:hAnsi="宋体" w:eastAsia="宋体" w:cs="宋体"/>
                <w:color w:val="auto"/>
                <w:sz w:val="28"/>
                <w:highlight w:val="none"/>
              </w:rPr>
            </w:pPr>
          </w:p>
        </w:tc>
        <w:tc>
          <w:tcPr>
            <w:tcW w:w="991" w:type="dxa"/>
            <w:noWrap w:val="0"/>
            <w:vAlign w:val="center"/>
          </w:tcPr>
          <w:p w14:paraId="3F0A781F">
            <w:pPr>
              <w:spacing w:line="360" w:lineRule="exact"/>
              <w:jc w:val="center"/>
              <w:rPr>
                <w:rFonts w:hint="eastAsia" w:ascii="宋体" w:hAnsi="宋体" w:eastAsia="宋体" w:cs="宋体"/>
                <w:color w:val="auto"/>
                <w:sz w:val="28"/>
                <w:highlight w:val="none"/>
              </w:rPr>
            </w:pPr>
          </w:p>
        </w:tc>
        <w:tc>
          <w:tcPr>
            <w:tcW w:w="1036" w:type="dxa"/>
            <w:noWrap w:val="0"/>
            <w:vAlign w:val="center"/>
          </w:tcPr>
          <w:p w14:paraId="1778B964">
            <w:pPr>
              <w:spacing w:line="360" w:lineRule="exact"/>
              <w:jc w:val="center"/>
              <w:rPr>
                <w:rFonts w:hint="eastAsia" w:ascii="宋体" w:hAnsi="宋体" w:eastAsia="宋体" w:cs="宋体"/>
                <w:color w:val="auto"/>
                <w:sz w:val="28"/>
                <w:highlight w:val="none"/>
              </w:rPr>
            </w:pPr>
          </w:p>
        </w:tc>
        <w:tc>
          <w:tcPr>
            <w:tcW w:w="670" w:type="dxa"/>
            <w:noWrap w:val="0"/>
            <w:vAlign w:val="center"/>
          </w:tcPr>
          <w:p w14:paraId="4963A9A7">
            <w:pPr>
              <w:spacing w:line="360" w:lineRule="exact"/>
              <w:jc w:val="center"/>
              <w:rPr>
                <w:rFonts w:hint="eastAsia" w:ascii="宋体" w:hAnsi="宋体" w:eastAsia="宋体" w:cs="宋体"/>
                <w:color w:val="auto"/>
                <w:sz w:val="28"/>
                <w:highlight w:val="none"/>
              </w:rPr>
            </w:pPr>
          </w:p>
        </w:tc>
        <w:tc>
          <w:tcPr>
            <w:tcW w:w="708" w:type="dxa"/>
            <w:noWrap w:val="0"/>
            <w:vAlign w:val="center"/>
          </w:tcPr>
          <w:p w14:paraId="58025DCF">
            <w:pPr>
              <w:spacing w:line="360" w:lineRule="exact"/>
              <w:jc w:val="center"/>
              <w:rPr>
                <w:rFonts w:hint="eastAsia" w:ascii="宋体" w:hAnsi="宋体" w:eastAsia="宋体" w:cs="宋体"/>
                <w:color w:val="auto"/>
                <w:sz w:val="28"/>
                <w:highlight w:val="none"/>
              </w:rPr>
            </w:pPr>
          </w:p>
        </w:tc>
        <w:tc>
          <w:tcPr>
            <w:tcW w:w="1015" w:type="dxa"/>
            <w:noWrap w:val="0"/>
            <w:vAlign w:val="center"/>
          </w:tcPr>
          <w:p w14:paraId="6B7B4F68">
            <w:pPr>
              <w:spacing w:line="360" w:lineRule="exact"/>
              <w:jc w:val="center"/>
              <w:rPr>
                <w:rFonts w:hint="eastAsia" w:ascii="宋体" w:hAnsi="宋体" w:eastAsia="宋体" w:cs="宋体"/>
                <w:color w:val="auto"/>
                <w:sz w:val="28"/>
                <w:highlight w:val="none"/>
              </w:rPr>
            </w:pPr>
          </w:p>
        </w:tc>
        <w:tc>
          <w:tcPr>
            <w:tcW w:w="977" w:type="dxa"/>
            <w:noWrap w:val="0"/>
            <w:vAlign w:val="center"/>
          </w:tcPr>
          <w:p w14:paraId="36D0C21E">
            <w:pPr>
              <w:spacing w:line="360" w:lineRule="exact"/>
              <w:jc w:val="center"/>
              <w:rPr>
                <w:rFonts w:hint="eastAsia" w:ascii="宋体" w:hAnsi="宋体" w:eastAsia="宋体" w:cs="宋体"/>
                <w:color w:val="auto"/>
                <w:sz w:val="28"/>
                <w:highlight w:val="none"/>
              </w:rPr>
            </w:pPr>
          </w:p>
        </w:tc>
        <w:tc>
          <w:tcPr>
            <w:tcW w:w="1098" w:type="dxa"/>
            <w:noWrap w:val="0"/>
            <w:vAlign w:val="center"/>
          </w:tcPr>
          <w:p w14:paraId="6890D632">
            <w:pPr>
              <w:spacing w:line="360" w:lineRule="exact"/>
              <w:jc w:val="center"/>
              <w:rPr>
                <w:rFonts w:hint="eastAsia" w:ascii="宋体" w:hAnsi="宋体" w:eastAsia="宋体" w:cs="宋体"/>
                <w:color w:val="auto"/>
                <w:sz w:val="28"/>
                <w:highlight w:val="none"/>
              </w:rPr>
            </w:pPr>
          </w:p>
        </w:tc>
        <w:tc>
          <w:tcPr>
            <w:tcW w:w="1098" w:type="dxa"/>
            <w:noWrap w:val="0"/>
            <w:vAlign w:val="center"/>
          </w:tcPr>
          <w:p w14:paraId="296EA793">
            <w:pPr>
              <w:spacing w:line="360" w:lineRule="exact"/>
              <w:jc w:val="center"/>
              <w:rPr>
                <w:rFonts w:hint="eastAsia" w:ascii="宋体" w:hAnsi="宋体" w:eastAsia="宋体" w:cs="宋体"/>
                <w:color w:val="auto"/>
                <w:sz w:val="28"/>
                <w:highlight w:val="none"/>
              </w:rPr>
            </w:pPr>
          </w:p>
        </w:tc>
        <w:tc>
          <w:tcPr>
            <w:tcW w:w="1098" w:type="dxa"/>
            <w:noWrap w:val="0"/>
            <w:vAlign w:val="top"/>
          </w:tcPr>
          <w:p w14:paraId="04FFED7A">
            <w:pPr>
              <w:spacing w:line="360" w:lineRule="exact"/>
              <w:jc w:val="center"/>
              <w:rPr>
                <w:rFonts w:hint="eastAsia" w:ascii="宋体" w:hAnsi="宋体" w:eastAsia="宋体" w:cs="宋体"/>
                <w:color w:val="auto"/>
                <w:sz w:val="28"/>
                <w:highlight w:val="none"/>
              </w:rPr>
            </w:pPr>
          </w:p>
        </w:tc>
      </w:tr>
      <w:tr w14:paraId="2BD1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14:paraId="668970B4">
            <w:pPr>
              <w:spacing w:line="360" w:lineRule="exact"/>
              <w:jc w:val="center"/>
              <w:rPr>
                <w:rFonts w:hint="eastAsia" w:ascii="宋体" w:hAnsi="宋体" w:eastAsia="宋体" w:cs="宋体"/>
                <w:color w:val="auto"/>
                <w:sz w:val="28"/>
                <w:highlight w:val="none"/>
              </w:rPr>
            </w:pPr>
          </w:p>
        </w:tc>
        <w:tc>
          <w:tcPr>
            <w:tcW w:w="991" w:type="dxa"/>
            <w:noWrap w:val="0"/>
            <w:vAlign w:val="center"/>
          </w:tcPr>
          <w:p w14:paraId="17D52D39">
            <w:pPr>
              <w:spacing w:line="360" w:lineRule="exact"/>
              <w:jc w:val="center"/>
              <w:rPr>
                <w:rFonts w:hint="eastAsia" w:ascii="宋体" w:hAnsi="宋体" w:eastAsia="宋体" w:cs="宋体"/>
                <w:color w:val="auto"/>
                <w:sz w:val="28"/>
                <w:highlight w:val="none"/>
              </w:rPr>
            </w:pPr>
          </w:p>
        </w:tc>
        <w:tc>
          <w:tcPr>
            <w:tcW w:w="1036" w:type="dxa"/>
            <w:noWrap w:val="0"/>
            <w:vAlign w:val="center"/>
          </w:tcPr>
          <w:p w14:paraId="099AEBC9">
            <w:pPr>
              <w:spacing w:line="360" w:lineRule="exact"/>
              <w:jc w:val="center"/>
              <w:rPr>
                <w:rFonts w:hint="eastAsia" w:ascii="宋体" w:hAnsi="宋体" w:eastAsia="宋体" w:cs="宋体"/>
                <w:color w:val="auto"/>
                <w:sz w:val="28"/>
                <w:highlight w:val="none"/>
              </w:rPr>
            </w:pPr>
          </w:p>
        </w:tc>
        <w:tc>
          <w:tcPr>
            <w:tcW w:w="670" w:type="dxa"/>
            <w:noWrap w:val="0"/>
            <w:vAlign w:val="center"/>
          </w:tcPr>
          <w:p w14:paraId="665BD0A5">
            <w:pPr>
              <w:spacing w:line="360" w:lineRule="exact"/>
              <w:jc w:val="center"/>
              <w:rPr>
                <w:rFonts w:hint="eastAsia" w:ascii="宋体" w:hAnsi="宋体" w:eastAsia="宋体" w:cs="宋体"/>
                <w:color w:val="auto"/>
                <w:sz w:val="28"/>
                <w:highlight w:val="none"/>
              </w:rPr>
            </w:pPr>
          </w:p>
        </w:tc>
        <w:tc>
          <w:tcPr>
            <w:tcW w:w="708" w:type="dxa"/>
            <w:noWrap w:val="0"/>
            <w:vAlign w:val="center"/>
          </w:tcPr>
          <w:p w14:paraId="3B9BE25A">
            <w:pPr>
              <w:spacing w:line="360" w:lineRule="exact"/>
              <w:jc w:val="center"/>
              <w:rPr>
                <w:rFonts w:hint="eastAsia" w:ascii="宋体" w:hAnsi="宋体" w:eastAsia="宋体" w:cs="宋体"/>
                <w:color w:val="auto"/>
                <w:sz w:val="28"/>
                <w:highlight w:val="none"/>
              </w:rPr>
            </w:pPr>
          </w:p>
        </w:tc>
        <w:tc>
          <w:tcPr>
            <w:tcW w:w="1015" w:type="dxa"/>
            <w:noWrap w:val="0"/>
            <w:vAlign w:val="center"/>
          </w:tcPr>
          <w:p w14:paraId="76C13440">
            <w:pPr>
              <w:spacing w:line="360" w:lineRule="exact"/>
              <w:jc w:val="center"/>
              <w:rPr>
                <w:rFonts w:hint="eastAsia" w:ascii="宋体" w:hAnsi="宋体" w:eastAsia="宋体" w:cs="宋体"/>
                <w:color w:val="auto"/>
                <w:sz w:val="28"/>
                <w:highlight w:val="none"/>
              </w:rPr>
            </w:pPr>
          </w:p>
        </w:tc>
        <w:tc>
          <w:tcPr>
            <w:tcW w:w="977" w:type="dxa"/>
            <w:noWrap w:val="0"/>
            <w:vAlign w:val="center"/>
          </w:tcPr>
          <w:p w14:paraId="54A98F33">
            <w:pPr>
              <w:spacing w:line="360" w:lineRule="exact"/>
              <w:jc w:val="center"/>
              <w:rPr>
                <w:rFonts w:hint="eastAsia" w:ascii="宋体" w:hAnsi="宋体" w:eastAsia="宋体" w:cs="宋体"/>
                <w:color w:val="auto"/>
                <w:sz w:val="28"/>
                <w:highlight w:val="none"/>
              </w:rPr>
            </w:pPr>
          </w:p>
        </w:tc>
        <w:tc>
          <w:tcPr>
            <w:tcW w:w="1098" w:type="dxa"/>
            <w:noWrap w:val="0"/>
            <w:vAlign w:val="center"/>
          </w:tcPr>
          <w:p w14:paraId="7F7CF25D">
            <w:pPr>
              <w:spacing w:line="360" w:lineRule="exact"/>
              <w:jc w:val="center"/>
              <w:rPr>
                <w:rFonts w:hint="eastAsia" w:ascii="宋体" w:hAnsi="宋体" w:eastAsia="宋体" w:cs="宋体"/>
                <w:color w:val="auto"/>
                <w:sz w:val="28"/>
                <w:highlight w:val="none"/>
              </w:rPr>
            </w:pPr>
          </w:p>
        </w:tc>
        <w:tc>
          <w:tcPr>
            <w:tcW w:w="1098" w:type="dxa"/>
            <w:noWrap w:val="0"/>
            <w:vAlign w:val="center"/>
          </w:tcPr>
          <w:p w14:paraId="65542155">
            <w:pPr>
              <w:spacing w:line="360" w:lineRule="exact"/>
              <w:jc w:val="center"/>
              <w:rPr>
                <w:rFonts w:hint="eastAsia" w:ascii="宋体" w:hAnsi="宋体" w:eastAsia="宋体" w:cs="宋体"/>
                <w:color w:val="auto"/>
                <w:sz w:val="28"/>
                <w:highlight w:val="none"/>
              </w:rPr>
            </w:pPr>
          </w:p>
        </w:tc>
        <w:tc>
          <w:tcPr>
            <w:tcW w:w="1098" w:type="dxa"/>
            <w:noWrap w:val="0"/>
            <w:vAlign w:val="top"/>
          </w:tcPr>
          <w:p w14:paraId="1A91D53A">
            <w:pPr>
              <w:spacing w:line="360" w:lineRule="exact"/>
              <w:jc w:val="center"/>
              <w:rPr>
                <w:rFonts w:hint="eastAsia" w:ascii="宋体" w:hAnsi="宋体" w:eastAsia="宋体" w:cs="宋体"/>
                <w:color w:val="auto"/>
                <w:sz w:val="28"/>
                <w:highlight w:val="none"/>
              </w:rPr>
            </w:pPr>
          </w:p>
        </w:tc>
      </w:tr>
      <w:tr w14:paraId="1BE9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14:paraId="59DAA865">
            <w:pPr>
              <w:spacing w:line="360" w:lineRule="exact"/>
              <w:jc w:val="center"/>
              <w:rPr>
                <w:rFonts w:hint="eastAsia" w:ascii="宋体" w:hAnsi="宋体" w:eastAsia="宋体" w:cs="宋体"/>
                <w:color w:val="auto"/>
                <w:sz w:val="28"/>
                <w:highlight w:val="none"/>
              </w:rPr>
            </w:pPr>
          </w:p>
        </w:tc>
        <w:tc>
          <w:tcPr>
            <w:tcW w:w="991" w:type="dxa"/>
            <w:noWrap w:val="0"/>
            <w:vAlign w:val="center"/>
          </w:tcPr>
          <w:p w14:paraId="535092C9">
            <w:pPr>
              <w:spacing w:line="360" w:lineRule="exact"/>
              <w:jc w:val="center"/>
              <w:rPr>
                <w:rFonts w:hint="eastAsia" w:ascii="宋体" w:hAnsi="宋体" w:eastAsia="宋体" w:cs="宋体"/>
                <w:color w:val="auto"/>
                <w:sz w:val="28"/>
                <w:highlight w:val="none"/>
              </w:rPr>
            </w:pPr>
          </w:p>
        </w:tc>
        <w:tc>
          <w:tcPr>
            <w:tcW w:w="1036" w:type="dxa"/>
            <w:noWrap w:val="0"/>
            <w:vAlign w:val="center"/>
          </w:tcPr>
          <w:p w14:paraId="069682D8">
            <w:pPr>
              <w:spacing w:line="360" w:lineRule="exact"/>
              <w:jc w:val="center"/>
              <w:rPr>
                <w:rFonts w:hint="eastAsia" w:ascii="宋体" w:hAnsi="宋体" w:eastAsia="宋体" w:cs="宋体"/>
                <w:color w:val="auto"/>
                <w:sz w:val="28"/>
                <w:highlight w:val="none"/>
              </w:rPr>
            </w:pPr>
          </w:p>
        </w:tc>
        <w:tc>
          <w:tcPr>
            <w:tcW w:w="670" w:type="dxa"/>
            <w:noWrap w:val="0"/>
            <w:vAlign w:val="center"/>
          </w:tcPr>
          <w:p w14:paraId="52034B9C">
            <w:pPr>
              <w:spacing w:line="360" w:lineRule="exact"/>
              <w:jc w:val="center"/>
              <w:rPr>
                <w:rFonts w:hint="eastAsia" w:ascii="宋体" w:hAnsi="宋体" w:eastAsia="宋体" w:cs="宋体"/>
                <w:color w:val="auto"/>
                <w:sz w:val="28"/>
                <w:highlight w:val="none"/>
              </w:rPr>
            </w:pPr>
          </w:p>
        </w:tc>
        <w:tc>
          <w:tcPr>
            <w:tcW w:w="708" w:type="dxa"/>
            <w:noWrap w:val="0"/>
            <w:vAlign w:val="center"/>
          </w:tcPr>
          <w:p w14:paraId="43B630B9">
            <w:pPr>
              <w:spacing w:line="360" w:lineRule="exact"/>
              <w:jc w:val="center"/>
              <w:rPr>
                <w:rFonts w:hint="eastAsia" w:ascii="宋体" w:hAnsi="宋体" w:eastAsia="宋体" w:cs="宋体"/>
                <w:color w:val="auto"/>
                <w:sz w:val="28"/>
                <w:highlight w:val="none"/>
              </w:rPr>
            </w:pPr>
          </w:p>
        </w:tc>
        <w:tc>
          <w:tcPr>
            <w:tcW w:w="1015" w:type="dxa"/>
            <w:noWrap w:val="0"/>
            <w:vAlign w:val="center"/>
          </w:tcPr>
          <w:p w14:paraId="0BE79D65">
            <w:pPr>
              <w:spacing w:line="360" w:lineRule="exact"/>
              <w:jc w:val="center"/>
              <w:rPr>
                <w:rFonts w:hint="eastAsia" w:ascii="宋体" w:hAnsi="宋体" w:eastAsia="宋体" w:cs="宋体"/>
                <w:color w:val="auto"/>
                <w:sz w:val="28"/>
                <w:highlight w:val="none"/>
              </w:rPr>
            </w:pPr>
          </w:p>
        </w:tc>
        <w:tc>
          <w:tcPr>
            <w:tcW w:w="977" w:type="dxa"/>
            <w:noWrap w:val="0"/>
            <w:vAlign w:val="center"/>
          </w:tcPr>
          <w:p w14:paraId="71E66209">
            <w:pPr>
              <w:spacing w:line="360" w:lineRule="exact"/>
              <w:jc w:val="center"/>
              <w:rPr>
                <w:rFonts w:hint="eastAsia" w:ascii="宋体" w:hAnsi="宋体" w:eastAsia="宋体" w:cs="宋体"/>
                <w:color w:val="auto"/>
                <w:sz w:val="28"/>
                <w:highlight w:val="none"/>
              </w:rPr>
            </w:pPr>
          </w:p>
        </w:tc>
        <w:tc>
          <w:tcPr>
            <w:tcW w:w="1098" w:type="dxa"/>
            <w:noWrap w:val="0"/>
            <w:vAlign w:val="center"/>
          </w:tcPr>
          <w:p w14:paraId="545E5BB2">
            <w:pPr>
              <w:spacing w:line="360" w:lineRule="exact"/>
              <w:jc w:val="center"/>
              <w:rPr>
                <w:rFonts w:hint="eastAsia" w:ascii="宋体" w:hAnsi="宋体" w:eastAsia="宋体" w:cs="宋体"/>
                <w:color w:val="auto"/>
                <w:sz w:val="28"/>
                <w:highlight w:val="none"/>
              </w:rPr>
            </w:pPr>
          </w:p>
        </w:tc>
        <w:tc>
          <w:tcPr>
            <w:tcW w:w="1098" w:type="dxa"/>
            <w:noWrap w:val="0"/>
            <w:vAlign w:val="center"/>
          </w:tcPr>
          <w:p w14:paraId="359A071D">
            <w:pPr>
              <w:spacing w:line="360" w:lineRule="exact"/>
              <w:jc w:val="center"/>
              <w:rPr>
                <w:rFonts w:hint="eastAsia" w:ascii="宋体" w:hAnsi="宋体" w:eastAsia="宋体" w:cs="宋体"/>
                <w:color w:val="auto"/>
                <w:sz w:val="28"/>
                <w:highlight w:val="none"/>
              </w:rPr>
            </w:pPr>
          </w:p>
        </w:tc>
        <w:tc>
          <w:tcPr>
            <w:tcW w:w="1098" w:type="dxa"/>
            <w:noWrap w:val="0"/>
            <w:vAlign w:val="top"/>
          </w:tcPr>
          <w:p w14:paraId="30D22202">
            <w:pPr>
              <w:spacing w:line="360" w:lineRule="exact"/>
              <w:jc w:val="center"/>
              <w:rPr>
                <w:rFonts w:hint="eastAsia" w:ascii="宋体" w:hAnsi="宋体" w:eastAsia="宋体" w:cs="宋体"/>
                <w:color w:val="auto"/>
                <w:sz w:val="28"/>
                <w:highlight w:val="none"/>
              </w:rPr>
            </w:pPr>
          </w:p>
        </w:tc>
      </w:tr>
      <w:tr w14:paraId="3DEE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14:paraId="45496D57">
            <w:pPr>
              <w:spacing w:line="360" w:lineRule="exact"/>
              <w:jc w:val="center"/>
              <w:rPr>
                <w:rFonts w:hint="eastAsia" w:ascii="宋体" w:hAnsi="宋体" w:eastAsia="宋体" w:cs="宋体"/>
                <w:color w:val="auto"/>
                <w:sz w:val="28"/>
                <w:highlight w:val="none"/>
              </w:rPr>
            </w:pPr>
          </w:p>
        </w:tc>
        <w:tc>
          <w:tcPr>
            <w:tcW w:w="991" w:type="dxa"/>
            <w:noWrap w:val="0"/>
            <w:vAlign w:val="center"/>
          </w:tcPr>
          <w:p w14:paraId="3CFD459E">
            <w:pPr>
              <w:spacing w:line="360" w:lineRule="exact"/>
              <w:jc w:val="center"/>
              <w:rPr>
                <w:rFonts w:hint="eastAsia" w:ascii="宋体" w:hAnsi="宋体" w:eastAsia="宋体" w:cs="宋体"/>
                <w:color w:val="auto"/>
                <w:sz w:val="28"/>
                <w:highlight w:val="none"/>
              </w:rPr>
            </w:pPr>
          </w:p>
        </w:tc>
        <w:tc>
          <w:tcPr>
            <w:tcW w:w="1036" w:type="dxa"/>
            <w:noWrap w:val="0"/>
            <w:vAlign w:val="center"/>
          </w:tcPr>
          <w:p w14:paraId="70D2F44C">
            <w:pPr>
              <w:spacing w:line="360" w:lineRule="exact"/>
              <w:jc w:val="center"/>
              <w:rPr>
                <w:rFonts w:hint="eastAsia" w:ascii="宋体" w:hAnsi="宋体" w:eastAsia="宋体" w:cs="宋体"/>
                <w:color w:val="auto"/>
                <w:sz w:val="28"/>
                <w:highlight w:val="none"/>
              </w:rPr>
            </w:pPr>
          </w:p>
        </w:tc>
        <w:tc>
          <w:tcPr>
            <w:tcW w:w="670" w:type="dxa"/>
            <w:noWrap w:val="0"/>
            <w:vAlign w:val="center"/>
          </w:tcPr>
          <w:p w14:paraId="4E800AAB">
            <w:pPr>
              <w:spacing w:line="360" w:lineRule="exact"/>
              <w:jc w:val="center"/>
              <w:rPr>
                <w:rFonts w:hint="eastAsia" w:ascii="宋体" w:hAnsi="宋体" w:eastAsia="宋体" w:cs="宋体"/>
                <w:color w:val="auto"/>
                <w:sz w:val="28"/>
                <w:highlight w:val="none"/>
              </w:rPr>
            </w:pPr>
          </w:p>
        </w:tc>
        <w:tc>
          <w:tcPr>
            <w:tcW w:w="708" w:type="dxa"/>
            <w:noWrap w:val="0"/>
            <w:vAlign w:val="center"/>
          </w:tcPr>
          <w:p w14:paraId="03B98348">
            <w:pPr>
              <w:spacing w:line="360" w:lineRule="exact"/>
              <w:jc w:val="center"/>
              <w:rPr>
                <w:rFonts w:hint="eastAsia" w:ascii="宋体" w:hAnsi="宋体" w:eastAsia="宋体" w:cs="宋体"/>
                <w:color w:val="auto"/>
                <w:sz w:val="28"/>
                <w:highlight w:val="none"/>
              </w:rPr>
            </w:pPr>
          </w:p>
        </w:tc>
        <w:tc>
          <w:tcPr>
            <w:tcW w:w="1015" w:type="dxa"/>
            <w:noWrap w:val="0"/>
            <w:vAlign w:val="center"/>
          </w:tcPr>
          <w:p w14:paraId="480319FC">
            <w:pPr>
              <w:spacing w:line="360" w:lineRule="exact"/>
              <w:jc w:val="center"/>
              <w:rPr>
                <w:rFonts w:hint="eastAsia" w:ascii="宋体" w:hAnsi="宋体" w:eastAsia="宋体" w:cs="宋体"/>
                <w:color w:val="auto"/>
                <w:sz w:val="28"/>
                <w:highlight w:val="none"/>
              </w:rPr>
            </w:pPr>
          </w:p>
        </w:tc>
        <w:tc>
          <w:tcPr>
            <w:tcW w:w="977" w:type="dxa"/>
            <w:noWrap w:val="0"/>
            <w:vAlign w:val="center"/>
          </w:tcPr>
          <w:p w14:paraId="226D677D">
            <w:pPr>
              <w:spacing w:line="360" w:lineRule="exact"/>
              <w:jc w:val="center"/>
              <w:rPr>
                <w:rFonts w:hint="eastAsia" w:ascii="宋体" w:hAnsi="宋体" w:eastAsia="宋体" w:cs="宋体"/>
                <w:color w:val="auto"/>
                <w:sz w:val="28"/>
                <w:highlight w:val="none"/>
              </w:rPr>
            </w:pPr>
          </w:p>
        </w:tc>
        <w:tc>
          <w:tcPr>
            <w:tcW w:w="1098" w:type="dxa"/>
            <w:noWrap w:val="0"/>
            <w:vAlign w:val="center"/>
          </w:tcPr>
          <w:p w14:paraId="2C7D87DE">
            <w:pPr>
              <w:spacing w:line="360" w:lineRule="exact"/>
              <w:jc w:val="center"/>
              <w:rPr>
                <w:rFonts w:hint="eastAsia" w:ascii="宋体" w:hAnsi="宋体" w:eastAsia="宋体" w:cs="宋体"/>
                <w:color w:val="auto"/>
                <w:sz w:val="28"/>
                <w:highlight w:val="none"/>
              </w:rPr>
            </w:pPr>
          </w:p>
        </w:tc>
        <w:tc>
          <w:tcPr>
            <w:tcW w:w="1098" w:type="dxa"/>
            <w:noWrap w:val="0"/>
            <w:vAlign w:val="center"/>
          </w:tcPr>
          <w:p w14:paraId="6752AA73">
            <w:pPr>
              <w:spacing w:line="360" w:lineRule="exact"/>
              <w:jc w:val="center"/>
              <w:rPr>
                <w:rFonts w:hint="eastAsia" w:ascii="宋体" w:hAnsi="宋体" w:eastAsia="宋体" w:cs="宋体"/>
                <w:color w:val="auto"/>
                <w:sz w:val="28"/>
                <w:highlight w:val="none"/>
              </w:rPr>
            </w:pPr>
          </w:p>
        </w:tc>
        <w:tc>
          <w:tcPr>
            <w:tcW w:w="1098" w:type="dxa"/>
            <w:noWrap w:val="0"/>
            <w:vAlign w:val="top"/>
          </w:tcPr>
          <w:p w14:paraId="6772B00B">
            <w:pPr>
              <w:spacing w:line="360" w:lineRule="exact"/>
              <w:jc w:val="center"/>
              <w:rPr>
                <w:rFonts w:hint="eastAsia" w:ascii="宋体" w:hAnsi="宋体" w:eastAsia="宋体" w:cs="宋体"/>
                <w:color w:val="auto"/>
                <w:sz w:val="28"/>
                <w:highlight w:val="none"/>
              </w:rPr>
            </w:pPr>
          </w:p>
        </w:tc>
      </w:tr>
      <w:tr w14:paraId="41EC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14:paraId="453BB123">
            <w:pPr>
              <w:spacing w:line="360" w:lineRule="exact"/>
              <w:jc w:val="center"/>
              <w:rPr>
                <w:rFonts w:hint="eastAsia" w:ascii="宋体" w:hAnsi="宋体" w:eastAsia="宋体" w:cs="宋体"/>
                <w:color w:val="auto"/>
                <w:sz w:val="28"/>
                <w:highlight w:val="none"/>
              </w:rPr>
            </w:pPr>
          </w:p>
        </w:tc>
        <w:tc>
          <w:tcPr>
            <w:tcW w:w="991" w:type="dxa"/>
            <w:noWrap w:val="0"/>
            <w:vAlign w:val="center"/>
          </w:tcPr>
          <w:p w14:paraId="0F457431">
            <w:pPr>
              <w:spacing w:line="360" w:lineRule="exact"/>
              <w:jc w:val="center"/>
              <w:rPr>
                <w:rFonts w:hint="eastAsia" w:ascii="宋体" w:hAnsi="宋体" w:eastAsia="宋体" w:cs="宋体"/>
                <w:color w:val="auto"/>
                <w:sz w:val="28"/>
                <w:highlight w:val="none"/>
              </w:rPr>
            </w:pPr>
          </w:p>
        </w:tc>
        <w:tc>
          <w:tcPr>
            <w:tcW w:w="1036" w:type="dxa"/>
            <w:noWrap w:val="0"/>
            <w:vAlign w:val="center"/>
          </w:tcPr>
          <w:p w14:paraId="728F07BD">
            <w:pPr>
              <w:spacing w:line="360" w:lineRule="exact"/>
              <w:jc w:val="center"/>
              <w:rPr>
                <w:rFonts w:hint="eastAsia" w:ascii="宋体" w:hAnsi="宋体" w:eastAsia="宋体" w:cs="宋体"/>
                <w:color w:val="auto"/>
                <w:sz w:val="28"/>
                <w:highlight w:val="none"/>
              </w:rPr>
            </w:pPr>
          </w:p>
        </w:tc>
        <w:tc>
          <w:tcPr>
            <w:tcW w:w="670" w:type="dxa"/>
            <w:noWrap w:val="0"/>
            <w:vAlign w:val="center"/>
          </w:tcPr>
          <w:p w14:paraId="54AC1DCD">
            <w:pPr>
              <w:spacing w:line="360" w:lineRule="exact"/>
              <w:jc w:val="center"/>
              <w:rPr>
                <w:rFonts w:hint="eastAsia" w:ascii="宋体" w:hAnsi="宋体" w:eastAsia="宋体" w:cs="宋体"/>
                <w:color w:val="auto"/>
                <w:sz w:val="28"/>
                <w:highlight w:val="none"/>
              </w:rPr>
            </w:pPr>
          </w:p>
        </w:tc>
        <w:tc>
          <w:tcPr>
            <w:tcW w:w="708" w:type="dxa"/>
            <w:noWrap w:val="0"/>
            <w:vAlign w:val="center"/>
          </w:tcPr>
          <w:p w14:paraId="2BFDDACB">
            <w:pPr>
              <w:spacing w:line="360" w:lineRule="exact"/>
              <w:jc w:val="center"/>
              <w:rPr>
                <w:rFonts w:hint="eastAsia" w:ascii="宋体" w:hAnsi="宋体" w:eastAsia="宋体" w:cs="宋体"/>
                <w:color w:val="auto"/>
                <w:sz w:val="28"/>
                <w:highlight w:val="none"/>
              </w:rPr>
            </w:pPr>
          </w:p>
        </w:tc>
        <w:tc>
          <w:tcPr>
            <w:tcW w:w="1015" w:type="dxa"/>
            <w:noWrap w:val="0"/>
            <w:vAlign w:val="center"/>
          </w:tcPr>
          <w:p w14:paraId="79949322">
            <w:pPr>
              <w:spacing w:line="360" w:lineRule="exact"/>
              <w:jc w:val="center"/>
              <w:rPr>
                <w:rFonts w:hint="eastAsia" w:ascii="宋体" w:hAnsi="宋体" w:eastAsia="宋体" w:cs="宋体"/>
                <w:color w:val="auto"/>
                <w:sz w:val="28"/>
                <w:highlight w:val="none"/>
              </w:rPr>
            </w:pPr>
          </w:p>
        </w:tc>
        <w:tc>
          <w:tcPr>
            <w:tcW w:w="977" w:type="dxa"/>
            <w:noWrap w:val="0"/>
            <w:vAlign w:val="center"/>
          </w:tcPr>
          <w:p w14:paraId="35FB7463">
            <w:pPr>
              <w:spacing w:line="360" w:lineRule="exact"/>
              <w:jc w:val="center"/>
              <w:rPr>
                <w:rFonts w:hint="eastAsia" w:ascii="宋体" w:hAnsi="宋体" w:eastAsia="宋体" w:cs="宋体"/>
                <w:color w:val="auto"/>
                <w:sz w:val="28"/>
                <w:highlight w:val="none"/>
              </w:rPr>
            </w:pPr>
          </w:p>
        </w:tc>
        <w:tc>
          <w:tcPr>
            <w:tcW w:w="1098" w:type="dxa"/>
            <w:noWrap w:val="0"/>
            <w:vAlign w:val="center"/>
          </w:tcPr>
          <w:p w14:paraId="67C6706C">
            <w:pPr>
              <w:spacing w:line="360" w:lineRule="exact"/>
              <w:jc w:val="center"/>
              <w:rPr>
                <w:rFonts w:hint="eastAsia" w:ascii="宋体" w:hAnsi="宋体" w:eastAsia="宋体" w:cs="宋体"/>
                <w:color w:val="auto"/>
                <w:sz w:val="28"/>
                <w:highlight w:val="none"/>
              </w:rPr>
            </w:pPr>
          </w:p>
        </w:tc>
        <w:tc>
          <w:tcPr>
            <w:tcW w:w="1098" w:type="dxa"/>
            <w:noWrap w:val="0"/>
            <w:vAlign w:val="center"/>
          </w:tcPr>
          <w:p w14:paraId="39F945BB">
            <w:pPr>
              <w:spacing w:line="360" w:lineRule="exact"/>
              <w:jc w:val="center"/>
              <w:rPr>
                <w:rFonts w:hint="eastAsia" w:ascii="宋体" w:hAnsi="宋体" w:eastAsia="宋体" w:cs="宋体"/>
                <w:color w:val="auto"/>
                <w:sz w:val="28"/>
                <w:highlight w:val="none"/>
              </w:rPr>
            </w:pPr>
          </w:p>
        </w:tc>
        <w:tc>
          <w:tcPr>
            <w:tcW w:w="1098" w:type="dxa"/>
            <w:noWrap w:val="0"/>
            <w:vAlign w:val="top"/>
          </w:tcPr>
          <w:p w14:paraId="1970C84B">
            <w:pPr>
              <w:spacing w:line="360" w:lineRule="exact"/>
              <w:jc w:val="center"/>
              <w:rPr>
                <w:rFonts w:hint="eastAsia" w:ascii="宋体" w:hAnsi="宋体" w:eastAsia="宋体" w:cs="宋体"/>
                <w:color w:val="auto"/>
                <w:sz w:val="28"/>
                <w:highlight w:val="none"/>
              </w:rPr>
            </w:pPr>
          </w:p>
        </w:tc>
      </w:tr>
      <w:tr w14:paraId="4749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14:paraId="2127C90B">
            <w:pPr>
              <w:spacing w:line="360" w:lineRule="exact"/>
              <w:jc w:val="center"/>
              <w:rPr>
                <w:rFonts w:hint="eastAsia" w:ascii="宋体" w:hAnsi="宋体" w:eastAsia="宋体" w:cs="宋体"/>
                <w:color w:val="auto"/>
                <w:sz w:val="28"/>
                <w:highlight w:val="none"/>
              </w:rPr>
            </w:pPr>
          </w:p>
        </w:tc>
        <w:tc>
          <w:tcPr>
            <w:tcW w:w="991" w:type="dxa"/>
            <w:noWrap w:val="0"/>
            <w:vAlign w:val="center"/>
          </w:tcPr>
          <w:p w14:paraId="3F111229">
            <w:pPr>
              <w:spacing w:line="360" w:lineRule="exact"/>
              <w:jc w:val="center"/>
              <w:rPr>
                <w:rFonts w:hint="eastAsia" w:ascii="宋体" w:hAnsi="宋体" w:eastAsia="宋体" w:cs="宋体"/>
                <w:color w:val="auto"/>
                <w:sz w:val="28"/>
                <w:highlight w:val="none"/>
              </w:rPr>
            </w:pPr>
          </w:p>
        </w:tc>
        <w:tc>
          <w:tcPr>
            <w:tcW w:w="1036" w:type="dxa"/>
            <w:noWrap w:val="0"/>
            <w:vAlign w:val="center"/>
          </w:tcPr>
          <w:p w14:paraId="40F9B7F9">
            <w:pPr>
              <w:spacing w:line="360" w:lineRule="exact"/>
              <w:jc w:val="center"/>
              <w:rPr>
                <w:rFonts w:hint="eastAsia" w:ascii="宋体" w:hAnsi="宋体" w:eastAsia="宋体" w:cs="宋体"/>
                <w:color w:val="auto"/>
                <w:sz w:val="28"/>
                <w:highlight w:val="none"/>
              </w:rPr>
            </w:pPr>
          </w:p>
        </w:tc>
        <w:tc>
          <w:tcPr>
            <w:tcW w:w="670" w:type="dxa"/>
            <w:noWrap w:val="0"/>
            <w:vAlign w:val="center"/>
          </w:tcPr>
          <w:p w14:paraId="3E5668A6">
            <w:pPr>
              <w:spacing w:line="360" w:lineRule="exact"/>
              <w:jc w:val="center"/>
              <w:rPr>
                <w:rFonts w:hint="eastAsia" w:ascii="宋体" w:hAnsi="宋体" w:eastAsia="宋体" w:cs="宋体"/>
                <w:color w:val="auto"/>
                <w:sz w:val="28"/>
                <w:highlight w:val="none"/>
              </w:rPr>
            </w:pPr>
          </w:p>
        </w:tc>
        <w:tc>
          <w:tcPr>
            <w:tcW w:w="708" w:type="dxa"/>
            <w:noWrap w:val="0"/>
            <w:vAlign w:val="center"/>
          </w:tcPr>
          <w:p w14:paraId="506DECEB">
            <w:pPr>
              <w:spacing w:line="360" w:lineRule="exact"/>
              <w:jc w:val="center"/>
              <w:rPr>
                <w:rFonts w:hint="eastAsia" w:ascii="宋体" w:hAnsi="宋体" w:eastAsia="宋体" w:cs="宋体"/>
                <w:color w:val="auto"/>
                <w:sz w:val="28"/>
                <w:highlight w:val="none"/>
              </w:rPr>
            </w:pPr>
          </w:p>
        </w:tc>
        <w:tc>
          <w:tcPr>
            <w:tcW w:w="1015" w:type="dxa"/>
            <w:noWrap w:val="0"/>
            <w:vAlign w:val="center"/>
          </w:tcPr>
          <w:p w14:paraId="1143ED39">
            <w:pPr>
              <w:spacing w:line="360" w:lineRule="exact"/>
              <w:jc w:val="center"/>
              <w:rPr>
                <w:rFonts w:hint="eastAsia" w:ascii="宋体" w:hAnsi="宋体" w:eastAsia="宋体" w:cs="宋体"/>
                <w:color w:val="auto"/>
                <w:sz w:val="28"/>
                <w:highlight w:val="none"/>
              </w:rPr>
            </w:pPr>
          </w:p>
        </w:tc>
        <w:tc>
          <w:tcPr>
            <w:tcW w:w="977" w:type="dxa"/>
            <w:noWrap w:val="0"/>
            <w:vAlign w:val="center"/>
          </w:tcPr>
          <w:p w14:paraId="5FEF10DD">
            <w:pPr>
              <w:spacing w:line="360" w:lineRule="exact"/>
              <w:jc w:val="center"/>
              <w:rPr>
                <w:rFonts w:hint="eastAsia" w:ascii="宋体" w:hAnsi="宋体" w:eastAsia="宋体" w:cs="宋体"/>
                <w:color w:val="auto"/>
                <w:sz w:val="28"/>
                <w:highlight w:val="none"/>
              </w:rPr>
            </w:pPr>
          </w:p>
        </w:tc>
        <w:tc>
          <w:tcPr>
            <w:tcW w:w="1098" w:type="dxa"/>
            <w:noWrap w:val="0"/>
            <w:vAlign w:val="center"/>
          </w:tcPr>
          <w:p w14:paraId="656487BF">
            <w:pPr>
              <w:spacing w:line="360" w:lineRule="exact"/>
              <w:jc w:val="center"/>
              <w:rPr>
                <w:rFonts w:hint="eastAsia" w:ascii="宋体" w:hAnsi="宋体" w:eastAsia="宋体" w:cs="宋体"/>
                <w:color w:val="auto"/>
                <w:sz w:val="28"/>
                <w:highlight w:val="none"/>
              </w:rPr>
            </w:pPr>
          </w:p>
        </w:tc>
        <w:tc>
          <w:tcPr>
            <w:tcW w:w="1098" w:type="dxa"/>
            <w:noWrap w:val="0"/>
            <w:vAlign w:val="center"/>
          </w:tcPr>
          <w:p w14:paraId="57CB4EE4">
            <w:pPr>
              <w:spacing w:line="360" w:lineRule="exact"/>
              <w:jc w:val="center"/>
              <w:rPr>
                <w:rFonts w:hint="eastAsia" w:ascii="宋体" w:hAnsi="宋体" w:eastAsia="宋体" w:cs="宋体"/>
                <w:color w:val="auto"/>
                <w:sz w:val="28"/>
                <w:highlight w:val="none"/>
              </w:rPr>
            </w:pPr>
          </w:p>
        </w:tc>
        <w:tc>
          <w:tcPr>
            <w:tcW w:w="1098" w:type="dxa"/>
            <w:noWrap w:val="0"/>
            <w:vAlign w:val="top"/>
          </w:tcPr>
          <w:p w14:paraId="34BD6181">
            <w:pPr>
              <w:spacing w:line="360" w:lineRule="exact"/>
              <w:jc w:val="center"/>
              <w:rPr>
                <w:rFonts w:hint="eastAsia" w:ascii="宋体" w:hAnsi="宋体" w:eastAsia="宋体" w:cs="宋体"/>
                <w:color w:val="auto"/>
                <w:sz w:val="28"/>
                <w:highlight w:val="none"/>
              </w:rPr>
            </w:pPr>
          </w:p>
        </w:tc>
      </w:tr>
      <w:tr w14:paraId="1FB2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14:paraId="137ADD26">
            <w:pPr>
              <w:spacing w:line="360" w:lineRule="exact"/>
              <w:jc w:val="center"/>
              <w:rPr>
                <w:rFonts w:hint="eastAsia" w:ascii="宋体" w:hAnsi="宋体" w:eastAsia="宋体" w:cs="宋体"/>
                <w:color w:val="auto"/>
                <w:sz w:val="28"/>
                <w:highlight w:val="none"/>
              </w:rPr>
            </w:pPr>
          </w:p>
        </w:tc>
        <w:tc>
          <w:tcPr>
            <w:tcW w:w="991" w:type="dxa"/>
            <w:noWrap w:val="0"/>
            <w:vAlign w:val="center"/>
          </w:tcPr>
          <w:p w14:paraId="48DA180A">
            <w:pPr>
              <w:spacing w:line="360" w:lineRule="exact"/>
              <w:jc w:val="center"/>
              <w:rPr>
                <w:rFonts w:hint="eastAsia" w:ascii="宋体" w:hAnsi="宋体" w:eastAsia="宋体" w:cs="宋体"/>
                <w:color w:val="auto"/>
                <w:sz w:val="28"/>
                <w:highlight w:val="none"/>
              </w:rPr>
            </w:pPr>
          </w:p>
        </w:tc>
        <w:tc>
          <w:tcPr>
            <w:tcW w:w="1036" w:type="dxa"/>
            <w:noWrap w:val="0"/>
            <w:vAlign w:val="center"/>
          </w:tcPr>
          <w:p w14:paraId="084120A4">
            <w:pPr>
              <w:spacing w:line="360" w:lineRule="exact"/>
              <w:jc w:val="center"/>
              <w:rPr>
                <w:rFonts w:hint="eastAsia" w:ascii="宋体" w:hAnsi="宋体" w:eastAsia="宋体" w:cs="宋体"/>
                <w:color w:val="auto"/>
                <w:sz w:val="28"/>
                <w:highlight w:val="none"/>
              </w:rPr>
            </w:pPr>
          </w:p>
        </w:tc>
        <w:tc>
          <w:tcPr>
            <w:tcW w:w="670" w:type="dxa"/>
            <w:noWrap w:val="0"/>
            <w:vAlign w:val="center"/>
          </w:tcPr>
          <w:p w14:paraId="32EB23E4">
            <w:pPr>
              <w:spacing w:line="360" w:lineRule="exact"/>
              <w:jc w:val="center"/>
              <w:rPr>
                <w:rFonts w:hint="eastAsia" w:ascii="宋体" w:hAnsi="宋体" w:eastAsia="宋体" w:cs="宋体"/>
                <w:color w:val="auto"/>
                <w:sz w:val="28"/>
                <w:highlight w:val="none"/>
              </w:rPr>
            </w:pPr>
          </w:p>
        </w:tc>
        <w:tc>
          <w:tcPr>
            <w:tcW w:w="708" w:type="dxa"/>
            <w:noWrap w:val="0"/>
            <w:vAlign w:val="center"/>
          </w:tcPr>
          <w:p w14:paraId="01D1AD06">
            <w:pPr>
              <w:spacing w:line="360" w:lineRule="exact"/>
              <w:jc w:val="center"/>
              <w:rPr>
                <w:rFonts w:hint="eastAsia" w:ascii="宋体" w:hAnsi="宋体" w:eastAsia="宋体" w:cs="宋体"/>
                <w:color w:val="auto"/>
                <w:sz w:val="28"/>
                <w:highlight w:val="none"/>
              </w:rPr>
            </w:pPr>
          </w:p>
        </w:tc>
        <w:tc>
          <w:tcPr>
            <w:tcW w:w="1015" w:type="dxa"/>
            <w:noWrap w:val="0"/>
            <w:vAlign w:val="center"/>
          </w:tcPr>
          <w:p w14:paraId="04058E58">
            <w:pPr>
              <w:spacing w:line="360" w:lineRule="exact"/>
              <w:jc w:val="center"/>
              <w:rPr>
                <w:rFonts w:hint="eastAsia" w:ascii="宋体" w:hAnsi="宋体" w:eastAsia="宋体" w:cs="宋体"/>
                <w:color w:val="auto"/>
                <w:sz w:val="28"/>
                <w:highlight w:val="none"/>
              </w:rPr>
            </w:pPr>
          </w:p>
        </w:tc>
        <w:tc>
          <w:tcPr>
            <w:tcW w:w="977" w:type="dxa"/>
            <w:noWrap w:val="0"/>
            <w:vAlign w:val="center"/>
          </w:tcPr>
          <w:p w14:paraId="1D7F1FD0">
            <w:pPr>
              <w:spacing w:line="360" w:lineRule="exact"/>
              <w:jc w:val="center"/>
              <w:rPr>
                <w:rFonts w:hint="eastAsia" w:ascii="宋体" w:hAnsi="宋体" w:eastAsia="宋体" w:cs="宋体"/>
                <w:color w:val="auto"/>
                <w:sz w:val="28"/>
                <w:highlight w:val="none"/>
              </w:rPr>
            </w:pPr>
          </w:p>
        </w:tc>
        <w:tc>
          <w:tcPr>
            <w:tcW w:w="1098" w:type="dxa"/>
            <w:noWrap w:val="0"/>
            <w:vAlign w:val="center"/>
          </w:tcPr>
          <w:p w14:paraId="604272B2">
            <w:pPr>
              <w:spacing w:line="360" w:lineRule="exact"/>
              <w:jc w:val="center"/>
              <w:rPr>
                <w:rFonts w:hint="eastAsia" w:ascii="宋体" w:hAnsi="宋体" w:eastAsia="宋体" w:cs="宋体"/>
                <w:color w:val="auto"/>
                <w:sz w:val="28"/>
                <w:highlight w:val="none"/>
              </w:rPr>
            </w:pPr>
          </w:p>
        </w:tc>
        <w:tc>
          <w:tcPr>
            <w:tcW w:w="1098" w:type="dxa"/>
            <w:noWrap w:val="0"/>
            <w:vAlign w:val="center"/>
          </w:tcPr>
          <w:p w14:paraId="00384076">
            <w:pPr>
              <w:spacing w:line="360" w:lineRule="exact"/>
              <w:jc w:val="center"/>
              <w:rPr>
                <w:rFonts w:hint="eastAsia" w:ascii="宋体" w:hAnsi="宋体" w:eastAsia="宋体" w:cs="宋体"/>
                <w:color w:val="auto"/>
                <w:sz w:val="28"/>
                <w:highlight w:val="none"/>
              </w:rPr>
            </w:pPr>
          </w:p>
        </w:tc>
        <w:tc>
          <w:tcPr>
            <w:tcW w:w="1098" w:type="dxa"/>
            <w:noWrap w:val="0"/>
            <w:vAlign w:val="top"/>
          </w:tcPr>
          <w:p w14:paraId="4B296C88">
            <w:pPr>
              <w:spacing w:line="360" w:lineRule="exact"/>
              <w:jc w:val="center"/>
              <w:rPr>
                <w:rFonts w:hint="eastAsia" w:ascii="宋体" w:hAnsi="宋体" w:eastAsia="宋体" w:cs="宋体"/>
                <w:color w:val="auto"/>
                <w:sz w:val="28"/>
                <w:highlight w:val="none"/>
              </w:rPr>
            </w:pPr>
          </w:p>
        </w:tc>
      </w:tr>
      <w:tr w14:paraId="3885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tcBorders>
              <w:bottom w:val="single" w:color="auto" w:sz="4" w:space="0"/>
            </w:tcBorders>
            <w:noWrap w:val="0"/>
            <w:vAlign w:val="center"/>
          </w:tcPr>
          <w:p w14:paraId="1824D110">
            <w:pPr>
              <w:spacing w:line="360" w:lineRule="exact"/>
              <w:jc w:val="center"/>
              <w:rPr>
                <w:rFonts w:hint="eastAsia" w:ascii="宋体" w:hAnsi="宋体" w:eastAsia="宋体" w:cs="宋体"/>
                <w:color w:val="auto"/>
                <w:sz w:val="28"/>
                <w:highlight w:val="none"/>
              </w:rPr>
            </w:pPr>
          </w:p>
        </w:tc>
        <w:tc>
          <w:tcPr>
            <w:tcW w:w="991" w:type="dxa"/>
            <w:tcBorders>
              <w:bottom w:val="single" w:color="auto" w:sz="4" w:space="0"/>
            </w:tcBorders>
            <w:noWrap w:val="0"/>
            <w:vAlign w:val="center"/>
          </w:tcPr>
          <w:p w14:paraId="6FDF11C8">
            <w:pPr>
              <w:spacing w:line="360" w:lineRule="exact"/>
              <w:jc w:val="center"/>
              <w:rPr>
                <w:rFonts w:hint="eastAsia" w:ascii="宋体" w:hAnsi="宋体" w:eastAsia="宋体" w:cs="宋体"/>
                <w:color w:val="auto"/>
                <w:sz w:val="28"/>
                <w:highlight w:val="none"/>
              </w:rPr>
            </w:pPr>
          </w:p>
        </w:tc>
        <w:tc>
          <w:tcPr>
            <w:tcW w:w="1036" w:type="dxa"/>
            <w:tcBorders>
              <w:bottom w:val="single" w:color="auto" w:sz="4" w:space="0"/>
            </w:tcBorders>
            <w:noWrap w:val="0"/>
            <w:vAlign w:val="center"/>
          </w:tcPr>
          <w:p w14:paraId="14126BCC">
            <w:pPr>
              <w:spacing w:line="360" w:lineRule="exact"/>
              <w:jc w:val="center"/>
              <w:rPr>
                <w:rFonts w:hint="eastAsia" w:ascii="宋体" w:hAnsi="宋体" w:eastAsia="宋体" w:cs="宋体"/>
                <w:color w:val="auto"/>
                <w:sz w:val="28"/>
                <w:highlight w:val="none"/>
              </w:rPr>
            </w:pPr>
          </w:p>
        </w:tc>
        <w:tc>
          <w:tcPr>
            <w:tcW w:w="670" w:type="dxa"/>
            <w:tcBorders>
              <w:bottom w:val="single" w:color="auto" w:sz="4" w:space="0"/>
            </w:tcBorders>
            <w:noWrap w:val="0"/>
            <w:vAlign w:val="center"/>
          </w:tcPr>
          <w:p w14:paraId="447FA800">
            <w:pPr>
              <w:spacing w:line="360" w:lineRule="exact"/>
              <w:jc w:val="center"/>
              <w:rPr>
                <w:rFonts w:hint="eastAsia" w:ascii="宋体" w:hAnsi="宋体" w:eastAsia="宋体" w:cs="宋体"/>
                <w:color w:val="auto"/>
                <w:sz w:val="28"/>
                <w:highlight w:val="none"/>
              </w:rPr>
            </w:pPr>
          </w:p>
        </w:tc>
        <w:tc>
          <w:tcPr>
            <w:tcW w:w="708" w:type="dxa"/>
            <w:tcBorders>
              <w:bottom w:val="single" w:color="auto" w:sz="4" w:space="0"/>
            </w:tcBorders>
            <w:noWrap w:val="0"/>
            <w:vAlign w:val="center"/>
          </w:tcPr>
          <w:p w14:paraId="3347E893">
            <w:pPr>
              <w:spacing w:line="360" w:lineRule="exact"/>
              <w:jc w:val="center"/>
              <w:rPr>
                <w:rFonts w:hint="eastAsia" w:ascii="宋体" w:hAnsi="宋体" w:eastAsia="宋体" w:cs="宋体"/>
                <w:color w:val="auto"/>
                <w:sz w:val="28"/>
                <w:highlight w:val="none"/>
              </w:rPr>
            </w:pPr>
          </w:p>
        </w:tc>
        <w:tc>
          <w:tcPr>
            <w:tcW w:w="1015" w:type="dxa"/>
            <w:tcBorders>
              <w:bottom w:val="single" w:color="auto" w:sz="4" w:space="0"/>
            </w:tcBorders>
            <w:noWrap w:val="0"/>
            <w:vAlign w:val="center"/>
          </w:tcPr>
          <w:p w14:paraId="5B9F97DD">
            <w:pPr>
              <w:spacing w:line="360" w:lineRule="exact"/>
              <w:jc w:val="center"/>
              <w:rPr>
                <w:rFonts w:hint="eastAsia" w:ascii="宋体" w:hAnsi="宋体" w:eastAsia="宋体" w:cs="宋体"/>
                <w:color w:val="auto"/>
                <w:sz w:val="28"/>
                <w:highlight w:val="none"/>
              </w:rPr>
            </w:pPr>
          </w:p>
        </w:tc>
        <w:tc>
          <w:tcPr>
            <w:tcW w:w="977" w:type="dxa"/>
            <w:tcBorders>
              <w:bottom w:val="single" w:color="auto" w:sz="4" w:space="0"/>
            </w:tcBorders>
            <w:noWrap w:val="0"/>
            <w:vAlign w:val="center"/>
          </w:tcPr>
          <w:p w14:paraId="69C21FB2">
            <w:pPr>
              <w:spacing w:line="360" w:lineRule="exact"/>
              <w:jc w:val="center"/>
              <w:rPr>
                <w:rFonts w:hint="eastAsia" w:ascii="宋体" w:hAnsi="宋体" w:eastAsia="宋体" w:cs="宋体"/>
                <w:color w:val="auto"/>
                <w:sz w:val="28"/>
                <w:highlight w:val="none"/>
              </w:rPr>
            </w:pPr>
          </w:p>
        </w:tc>
        <w:tc>
          <w:tcPr>
            <w:tcW w:w="1098" w:type="dxa"/>
            <w:tcBorders>
              <w:bottom w:val="single" w:color="auto" w:sz="4" w:space="0"/>
            </w:tcBorders>
            <w:noWrap w:val="0"/>
            <w:vAlign w:val="center"/>
          </w:tcPr>
          <w:p w14:paraId="01A88316">
            <w:pPr>
              <w:spacing w:line="360" w:lineRule="exact"/>
              <w:jc w:val="center"/>
              <w:rPr>
                <w:rFonts w:hint="eastAsia" w:ascii="宋体" w:hAnsi="宋体" w:eastAsia="宋体" w:cs="宋体"/>
                <w:color w:val="auto"/>
                <w:sz w:val="28"/>
                <w:highlight w:val="none"/>
              </w:rPr>
            </w:pPr>
          </w:p>
        </w:tc>
        <w:tc>
          <w:tcPr>
            <w:tcW w:w="1098" w:type="dxa"/>
            <w:tcBorders>
              <w:bottom w:val="single" w:color="auto" w:sz="4" w:space="0"/>
            </w:tcBorders>
            <w:noWrap w:val="0"/>
            <w:vAlign w:val="center"/>
          </w:tcPr>
          <w:p w14:paraId="1800476D">
            <w:pPr>
              <w:spacing w:line="360" w:lineRule="exact"/>
              <w:jc w:val="center"/>
              <w:rPr>
                <w:rFonts w:hint="eastAsia" w:ascii="宋体" w:hAnsi="宋体" w:eastAsia="宋体" w:cs="宋体"/>
                <w:color w:val="auto"/>
                <w:sz w:val="28"/>
                <w:highlight w:val="none"/>
              </w:rPr>
            </w:pPr>
          </w:p>
        </w:tc>
        <w:tc>
          <w:tcPr>
            <w:tcW w:w="1098" w:type="dxa"/>
            <w:tcBorders>
              <w:bottom w:val="single" w:color="auto" w:sz="4" w:space="0"/>
            </w:tcBorders>
            <w:noWrap w:val="0"/>
            <w:vAlign w:val="top"/>
          </w:tcPr>
          <w:p w14:paraId="7C4B407C">
            <w:pPr>
              <w:spacing w:line="360" w:lineRule="exact"/>
              <w:jc w:val="center"/>
              <w:rPr>
                <w:rFonts w:hint="eastAsia" w:ascii="宋体" w:hAnsi="宋体" w:eastAsia="宋体" w:cs="宋体"/>
                <w:color w:val="auto"/>
                <w:sz w:val="28"/>
                <w:highlight w:val="none"/>
              </w:rPr>
            </w:pPr>
          </w:p>
        </w:tc>
      </w:tr>
    </w:tbl>
    <w:p w14:paraId="1721B25D">
      <w:pPr>
        <w:spacing w:line="360" w:lineRule="exact"/>
        <w:ind w:left="883" w:hanging="883" w:hangingChars="4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 1、本表应附</w:t>
      </w:r>
      <w:r>
        <w:rPr>
          <w:rFonts w:hint="eastAsia" w:ascii="宋体" w:hAnsi="宋体" w:eastAsia="宋体" w:cs="宋体"/>
          <w:b/>
          <w:color w:val="auto"/>
          <w:sz w:val="22"/>
          <w:szCs w:val="22"/>
          <w:highlight w:val="none"/>
          <w:lang w:eastAsia="zh-CN"/>
        </w:rPr>
        <w:t>导游</w:t>
      </w:r>
      <w:r>
        <w:rPr>
          <w:rFonts w:hint="eastAsia" w:ascii="宋体" w:hAnsi="宋体" w:eastAsia="宋体" w:cs="宋体"/>
          <w:b/>
          <w:color w:val="auto"/>
          <w:sz w:val="22"/>
          <w:szCs w:val="22"/>
          <w:highlight w:val="none"/>
        </w:rPr>
        <w:t>证书、</w:t>
      </w:r>
      <w:r>
        <w:rPr>
          <w:rFonts w:hint="eastAsia" w:ascii="宋体" w:hAnsi="宋体" w:eastAsia="宋体" w:cs="宋体"/>
          <w:b/>
          <w:color w:val="auto"/>
          <w:sz w:val="22"/>
          <w:szCs w:val="22"/>
          <w:highlight w:val="none"/>
          <w:lang w:eastAsia="zh-CN"/>
        </w:rPr>
        <w:t>社保材料</w:t>
      </w:r>
      <w:r>
        <w:rPr>
          <w:rFonts w:hint="eastAsia" w:ascii="宋体" w:hAnsi="宋体" w:eastAsia="宋体" w:cs="宋体"/>
          <w:b/>
          <w:color w:val="auto"/>
          <w:sz w:val="22"/>
          <w:szCs w:val="22"/>
          <w:highlight w:val="none"/>
        </w:rPr>
        <w:t>、身份证等</w:t>
      </w:r>
      <w:r>
        <w:rPr>
          <w:rFonts w:hint="eastAsia" w:ascii="宋体" w:hAnsi="宋体" w:eastAsia="宋体" w:cs="宋体"/>
          <w:b/>
          <w:color w:val="auto"/>
          <w:sz w:val="22"/>
          <w:szCs w:val="22"/>
          <w:highlight w:val="none"/>
          <w:lang w:eastAsia="zh-CN"/>
        </w:rPr>
        <w:t>复印</w:t>
      </w:r>
      <w:r>
        <w:rPr>
          <w:rFonts w:hint="eastAsia" w:ascii="宋体" w:hAnsi="宋体" w:eastAsia="宋体" w:cs="宋体"/>
          <w:b/>
          <w:color w:val="auto"/>
          <w:sz w:val="22"/>
          <w:szCs w:val="22"/>
          <w:highlight w:val="none"/>
        </w:rPr>
        <w:t>件加盖</w:t>
      </w:r>
      <w:r>
        <w:rPr>
          <w:rFonts w:hint="eastAsia" w:ascii="宋体" w:hAnsi="宋体" w:eastAsia="宋体" w:cs="宋体"/>
          <w:b/>
          <w:color w:val="auto"/>
          <w:sz w:val="22"/>
          <w:szCs w:val="22"/>
          <w:highlight w:val="none"/>
          <w:lang w:eastAsia="zh-CN"/>
        </w:rPr>
        <w:t>公章</w:t>
      </w:r>
      <w:r>
        <w:rPr>
          <w:rFonts w:hint="eastAsia" w:ascii="宋体" w:hAnsi="宋体" w:eastAsia="宋体" w:cs="宋体"/>
          <w:b/>
          <w:color w:val="auto"/>
          <w:sz w:val="22"/>
          <w:szCs w:val="22"/>
          <w:highlight w:val="none"/>
        </w:rPr>
        <w:t>。</w:t>
      </w:r>
    </w:p>
    <w:p w14:paraId="4BBE248A">
      <w:pPr>
        <w:numPr>
          <w:ilvl w:val="-1"/>
          <w:numId w:val="0"/>
        </w:numPr>
        <w:spacing w:line="360" w:lineRule="exact"/>
        <w:ind w:left="560" w:leftChars="0" w:firstLine="0" w:firstLineChars="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此表仅提供了表格形式，可按此表格复制。</w:t>
      </w:r>
    </w:p>
    <w:p w14:paraId="51FB3099">
      <w:pPr>
        <w:numPr>
          <w:ilvl w:val="0"/>
          <w:numId w:val="0"/>
        </w:numPr>
        <w:spacing w:line="360" w:lineRule="exact"/>
        <w:ind w:left="560" w:leftChars="0" w:firstLine="0" w:firstLineChars="0"/>
        <w:rPr>
          <w:rFonts w:hint="eastAsia" w:ascii="宋体" w:hAnsi="宋体" w:eastAsia="宋体" w:cs="宋体"/>
          <w:color w:val="auto"/>
          <w:sz w:val="22"/>
          <w:highlight w:val="none"/>
        </w:rPr>
      </w:pPr>
      <w:r>
        <w:rPr>
          <w:rFonts w:hint="eastAsia" w:ascii="宋体" w:hAnsi="宋体" w:eastAsia="宋体" w:cs="宋体"/>
          <w:color w:val="auto"/>
          <w:sz w:val="22"/>
          <w:highlight w:val="none"/>
        </w:rPr>
        <w:t>3、本表所列人员作为专家评分的首要依据，未列入本表的人员将不予认可。</w:t>
      </w:r>
      <w:bookmarkEnd w:id="201"/>
    </w:p>
    <w:p w14:paraId="472F653C">
      <w:pPr>
        <w:spacing w:before="240" w:beforeLines="100" w:after="120" w:afterLines="50"/>
        <w:jc w:val="center"/>
        <w:rPr>
          <w:rFonts w:hint="eastAsia" w:ascii="宋体" w:hAnsi="宋体" w:eastAsia="宋体" w:cs="宋体"/>
          <w:b/>
          <w:bCs/>
          <w:color w:val="auto"/>
          <w:sz w:val="22"/>
          <w:szCs w:val="22"/>
          <w:highlight w:val="none"/>
        </w:rPr>
      </w:pPr>
    </w:p>
    <w:p w14:paraId="5B1FF4C8">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投标人全称（盖公章）：</w:t>
      </w:r>
    </w:p>
    <w:p w14:paraId="2A1CCB6F">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法定代表人或授权代表（签字或盖章）：</w:t>
      </w:r>
    </w:p>
    <w:p w14:paraId="46576775">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w:t>
      </w:r>
    </w:p>
    <w:p w14:paraId="45D1BFC6">
      <w:pPr>
        <w:spacing w:line="240" w:lineRule="auto"/>
        <w:jc w:val="both"/>
        <w:outlineLvl w:val="2"/>
        <w:rPr>
          <w:rFonts w:hint="eastAsia" w:ascii="宋体" w:hAnsi="宋体" w:eastAsia="宋体" w:cs="宋体"/>
          <w:b/>
          <w:bCs/>
          <w:color w:val="auto"/>
          <w:sz w:val="21"/>
          <w:szCs w:val="21"/>
          <w:highlight w:val="none"/>
          <w:lang w:val="en-US" w:eastAsia="zh-CN"/>
        </w:rPr>
        <w:sectPr>
          <w:headerReference r:id="rId3" w:type="default"/>
          <w:footerReference r:id="rId4" w:type="default"/>
          <w:pgSz w:w="11906" w:h="16838"/>
          <w:pgMar w:top="1474" w:right="1474" w:bottom="1417" w:left="1474" w:header="737" w:footer="737" w:gutter="0"/>
          <w:cols w:space="720" w:num="1"/>
          <w:docGrid w:linePitch="312" w:charSpace="0"/>
        </w:sectPr>
      </w:pPr>
    </w:p>
    <w:p w14:paraId="2A9E8296">
      <w:pPr>
        <w:spacing w:line="240" w:lineRule="auto"/>
        <w:jc w:val="both"/>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附件八</w:t>
      </w:r>
    </w:p>
    <w:p w14:paraId="7929232B">
      <w:pPr>
        <w:spacing w:line="560" w:lineRule="exact"/>
        <w:jc w:val="center"/>
        <w:outlineLvl w:val="2"/>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疗休养线路安排方案</w:t>
      </w:r>
    </w:p>
    <w:p w14:paraId="2B8DD8FE">
      <w:pPr>
        <w:spacing w:line="360" w:lineRule="exact"/>
        <w:rPr>
          <w:rFonts w:hint="eastAsia" w:ascii="宋体" w:hAnsi="宋体" w:eastAsia="宋体" w:cs="宋体"/>
          <w:b/>
          <w:bCs/>
          <w:color w:val="auto"/>
          <w:sz w:val="24"/>
          <w:highlight w:val="none"/>
          <w:lang w:eastAsia="zh-CN"/>
        </w:rPr>
      </w:pPr>
      <w:r>
        <w:rPr>
          <w:rFonts w:hint="eastAsia" w:ascii="宋体" w:hAnsi="宋体" w:eastAsia="宋体" w:cs="宋体"/>
          <w:b/>
          <w:color w:val="auto"/>
          <w:sz w:val="22"/>
          <w:szCs w:val="22"/>
          <w:highlight w:val="none"/>
        </w:rPr>
        <w:t xml:space="preserve">项目名称： </w:t>
      </w:r>
      <w:r>
        <w:rPr>
          <w:rFonts w:hint="eastAsia" w:ascii="宋体" w:hAnsi="宋体" w:eastAsia="宋体" w:cs="宋体"/>
          <w:b/>
          <w:color w:val="auto"/>
          <w:sz w:val="22"/>
          <w:szCs w:val="22"/>
          <w:highlight w:val="none"/>
          <w:lang w:val="en-US" w:eastAsia="zh-CN"/>
        </w:rPr>
        <w:t xml:space="preserve">                                     </w:t>
      </w:r>
      <w:r>
        <w:rPr>
          <w:rFonts w:hint="eastAsia" w:ascii="宋体" w:hAnsi="宋体" w:eastAsia="宋体" w:cs="宋体"/>
          <w:b/>
          <w:color w:val="auto"/>
          <w:sz w:val="22"/>
          <w:szCs w:val="22"/>
          <w:highlight w:val="none"/>
        </w:rPr>
        <w:t xml:space="preserve">       项目编号：</w:t>
      </w:r>
    </w:p>
    <w:tbl>
      <w:tblPr>
        <w:tblStyle w:val="26"/>
        <w:tblW w:w="14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697"/>
        <w:gridCol w:w="850"/>
        <w:gridCol w:w="867"/>
        <w:gridCol w:w="783"/>
        <w:gridCol w:w="800"/>
        <w:gridCol w:w="817"/>
        <w:gridCol w:w="700"/>
        <w:gridCol w:w="750"/>
        <w:gridCol w:w="767"/>
        <w:gridCol w:w="833"/>
        <w:gridCol w:w="800"/>
        <w:gridCol w:w="850"/>
        <w:gridCol w:w="800"/>
        <w:gridCol w:w="950"/>
        <w:gridCol w:w="950"/>
        <w:gridCol w:w="967"/>
        <w:gridCol w:w="937"/>
      </w:tblGrid>
      <w:tr w14:paraId="1A54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restart"/>
            <w:vAlign w:val="center"/>
          </w:tcPr>
          <w:p w14:paraId="3A1DE61D">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序号</w:t>
            </w:r>
          </w:p>
        </w:tc>
        <w:tc>
          <w:tcPr>
            <w:tcW w:w="697" w:type="dxa"/>
            <w:vMerge w:val="restart"/>
            <w:vAlign w:val="center"/>
          </w:tcPr>
          <w:p w14:paraId="51A38263">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目的地</w:t>
            </w:r>
          </w:p>
        </w:tc>
        <w:tc>
          <w:tcPr>
            <w:tcW w:w="850" w:type="dxa"/>
            <w:vMerge w:val="restart"/>
            <w:vAlign w:val="center"/>
          </w:tcPr>
          <w:p w14:paraId="484D5A55">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最低组团人数</w:t>
            </w:r>
          </w:p>
        </w:tc>
        <w:tc>
          <w:tcPr>
            <w:tcW w:w="1650" w:type="dxa"/>
            <w:gridSpan w:val="2"/>
            <w:vAlign w:val="center"/>
          </w:tcPr>
          <w:p w14:paraId="2634EF90">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车辆标准</w:t>
            </w:r>
          </w:p>
        </w:tc>
        <w:tc>
          <w:tcPr>
            <w:tcW w:w="2317" w:type="dxa"/>
            <w:gridSpan w:val="3"/>
            <w:vAlign w:val="center"/>
          </w:tcPr>
          <w:p w14:paraId="39A09FF7">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住宿标准</w:t>
            </w:r>
          </w:p>
        </w:tc>
        <w:tc>
          <w:tcPr>
            <w:tcW w:w="2350" w:type="dxa"/>
            <w:gridSpan w:val="3"/>
            <w:vAlign w:val="center"/>
          </w:tcPr>
          <w:p w14:paraId="039FED30">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用餐标准</w:t>
            </w:r>
          </w:p>
        </w:tc>
        <w:tc>
          <w:tcPr>
            <w:tcW w:w="1650" w:type="dxa"/>
            <w:gridSpan w:val="2"/>
            <w:vAlign w:val="center"/>
          </w:tcPr>
          <w:p w14:paraId="29A5D7E8">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导游服务</w:t>
            </w:r>
          </w:p>
        </w:tc>
        <w:tc>
          <w:tcPr>
            <w:tcW w:w="1750" w:type="dxa"/>
            <w:gridSpan w:val="2"/>
            <w:vAlign w:val="center"/>
          </w:tcPr>
          <w:p w14:paraId="570D1073">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景区</w:t>
            </w:r>
          </w:p>
        </w:tc>
        <w:tc>
          <w:tcPr>
            <w:tcW w:w="1917" w:type="dxa"/>
            <w:gridSpan w:val="2"/>
            <w:vAlign w:val="center"/>
          </w:tcPr>
          <w:p w14:paraId="3E663449">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保险</w:t>
            </w:r>
          </w:p>
        </w:tc>
        <w:tc>
          <w:tcPr>
            <w:tcW w:w="937" w:type="dxa"/>
            <w:vAlign w:val="center"/>
          </w:tcPr>
          <w:p w14:paraId="07F9B31B">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其他增值服务</w:t>
            </w:r>
          </w:p>
        </w:tc>
      </w:tr>
      <w:tr w14:paraId="4010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1DD037B8">
            <w:pPr>
              <w:jc w:val="center"/>
              <w:rPr>
                <w:rFonts w:hint="eastAsia" w:ascii="宋体" w:hAnsi="宋体" w:eastAsia="宋体" w:cs="宋体"/>
                <w:b/>
                <w:bCs/>
                <w:color w:val="auto"/>
                <w:sz w:val="22"/>
                <w:szCs w:val="22"/>
                <w:highlight w:val="none"/>
                <w:vertAlign w:val="baseline"/>
                <w:lang w:eastAsia="zh-CN"/>
              </w:rPr>
            </w:pPr>
          </w:p>
        </w:tc>
        <w:tc>
          <w:tcPr>
            <w:tcW w:w="697" w:type="dxa"/>
            <w:vMerge w:val="continue"/>
            <w:vAlign w:val="center"/>
          </w:tcPr>
          <w:p w14:paraId="6AFCFF3D">
            <w:pPr>
              <w:jc w:val="center"/>
              <w:rPr>
                <w:rFonts w:hint="eastAsia" w:ascii="宋体" w:hAnsi="宋体" w:eastAsia="宋体" w:cs="宋体"/>
                <w:b/>
                <w:bCs/>
                <w:color w:val="auto"/>
                <w:sz w:val="22"/>
                <w:szCs w:val="22"/>
                <w:highlight w:val="none"/>
                <w:vertAlign w:val="baseline"/>
                <w:lang w:eastAsia="zh-CN"/>
              </w:rPr>
            </w:pPr>
          </w:p>
        </w:tc>
        <w:tc>
          <w:tcPr>
            <w:tcW w:w="850" w:type="dxa"/>
            <w:vMerge w:val="continue"/>
            <w:vAlign w:val="center"/>
          </w:tcPr>
          <w:p w14:paraId="4774F15D">
            <w:pPr>
              <w:jc w:val="center"/>
              <w:rPr>
                <w:rFonts w:hint="eastAsia" w:ascii="宋体" w:hAnsi="宋体" w:eastAsia="宋体" w:cs="宋体"/>
                <w:b/>
                <w:bCs/>
                <w:color w:val="auto"/>
                <w:sz w:val="22"/>
                <w:szCs w:val="22"/>
                <w:highlight w:val="none"/>
                <w:vertAlign w:val="baseline"/>
                <w:lang w:eastAsia="zh-CN"/>
              </w:rPr>
            </w:pPr>
          </w:p>
        </w:tc>
        <w:tc>
          <w:tcPr>
            <w:tcW w:w="867" w:type="dxa"/>
            <w:vAlign w:val="center"/>
          </w:tcPr>
          <w:p w14:paraId="790C7A57">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车型</w:t>
            </w:r>
          </w:p>
        </w:tc>
        <w:tc>
          <w:tcPr>
            <w:tcW w:w="783" w:type="dxa"/>
            <w:vAlign w:val="center"/>
          </w:tcPr>
          <w:p w14:paraId="55B1DC4D">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车辆使用年限</w:t>
            </w:r>
          </w:p>
        </w:tc>
        <w:tc>
          <w:tcPr>
            <w:tcW w:w="800" w:type="dxa"/>
            <w:vAlign w:val="center"/>
          </w:tcPr>
          <w:p w14:paraId="0DE4C0F8">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酒店名称</w:t>
            </w:r>
          </w:p>
        </w:tc>
        <w:tc>
          <w:tcPr>
            <w:tcW w:w="817" w:type="dxa"/>
            <w:vAlign w:val="center"/>
          </w:tcPr>
          <w:p w14:paraId="0AE446CE">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酒店星级</w:t>
            </w:r>
          </w:p>
        </w:tc>
        <w:tc>
          <w:tcPr>
            <w:tcW w:w="700" w:type="dxa"/>
            <w:vAlign w:val="center"/>
          </w:tcPr>
          <w:p w14:paraId="57A93DFE">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携程评分</w:t>
            </w:r>
          </w:p>
        </w:tc>
        <w:tc>
          <w:tcPr>
            <w:tcW w:w="750" w:type="dxa"/>
            <w:vAlign w:val="center"/>
          </w:tcPr>
          <w:p w14:paraId="728B9240">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餐标</w:t>
            </w:r>
          </w:p>
        </w:tc>
        <w:tc>
          <w:tcPr>
            <w:tcW w:w="767" w:type="dxa"/>
            <w:vAlign w:val="center"/>
          </w:tcPr>
          <w:p w14:paraId="4F3F9CCB">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菜品数量</w:t>
            </w:r>
          </w:p>
        </w:tc>
        <w:tc>
          <w:tcPr>
            <w:tcW w:w="833" w:type="dxa"/>
            <w:vAlign w:val="center"/>
          </w:tcPr>
          <w:p w14:paraId="5218F473">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每桌人数</w:t>
            </w:r>
          </w:p>
        </w:tc>
        <w:tc>
          <w:tcPr>
            <w:tcW w:w="800" w:type="dxa"/>
            <w:vAlign w:val="center"/>
          </w:tcPr>
          <w:p w14:paraId="77CB0E0F">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导游星级</w:t>
            </w:r>
          </w:p>
        </w:tc>
        <w:tc>
          <w:tcPr>
            <w:tcW w:w="850" w:type="dxa"/>
            <w:vAlign w:val="center"/>
          </w:tcPr>
          <w:p w14:paraId="0F1A9482">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服务年限</w:t>
            </w:r>
          </w:p>
        </w:tc>
        <w:tc>
          <w:tcPr>
            <w:tcW w:w="800" w:type="dxa"/>
            <w:vAlign w:val="center"/>
          </w:tcPr>
          <w:p w14:paraId="70EA7F43">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景区数量</w:t>
            </w:r>
          </w:p>
        </w:tc>
        <w:tc>
          <w:tcPr>
            <w:tcW w:w="950" w:type="dxa"/>
            <w:vAlign w:val="center"/>
          </w:tcPr>
          <w:p w14:paraId="3EA6822B">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行程中是否有自付费项目</w:t>
            </w:r>
          </w:p>
        </w:tc>
        <w:tc>
          <w:tcPr>
            <w:tcW w:w="950" w:type="dxa"/>
            <w:vAlign w:val="center"/>
          </w:tcPr>
          <w:p w14:paraId="51E924FB">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旅行社责任险金保险额</w:t>
            </w:r>
          </w:p>
        </w:tc>
        <w:tc>
          <w:tcPr>
            <w:tcW w:w="967" w:type="dxa"/>
            <w:vAlign w:val="center"/>
          </w:tcPr>
          <w:p w14:paraId="04C40A99">
            <w:pPr>
              <w:jc w:val="center"/>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个人旅游意外险保险金额</w:t>
            </w:r>
          </w:p>
        </w:tc>
        <w:tc>
          <w:tcPr>
            <w:tcW w:w="937" w:type="dxa"/>
            <w:vAlign w:val="center"/>
          </w:tcPr>
          <w:p w14:paraId="5BE2B997">
            <w:pPr>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eastAsia="zh-CN"/>
              </w:rPr>
              <w:t>请注明其他增值</w:t>
            </w:r>
            <w:r>
              <w:rPr>
                <w:rFonts w:hint="eastAsia" w:ascii="宋体" w:hAnsi="宋体" w:eastAsia="宋体" w:cs="宋体"/>
                <w:b/>
                <w:bCs/>
                <w:color w:val="auto"/>
                <w:sz w:val="22"/>
                <w:szCs w:val="22"/>
                <w:highlight w:val="none"/>
                <w:vertAlign w:val="baseline"/>
                <w:lang w:val="en-US" w:eastAsia="zh-CN"/>
              </w:rPr>
              <w:t>服务</w:t>
            </w:r>
          </w:p>
        </w:tc>
      </w:tr>
      <w:tr w14:paraId="3DDA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8" w:type="dxa"/>
            <w:gridSpan w:val="18"/>
            <w:vAlign w:val="center"/>
          </w:tcPr>
          <w:p w14:paraId="0856E24F">
            <w:pPr>
              <w:jc w:val="center"/>
              <w:rPr>
                <w:rFonts w:hint="eastAsia" w:ascii="宋体" w:hAnsi="宋体" w:eastAsia="宋体" w:cs="宋体"/>
                <w:b/>
                <w:bCs/>
                <w:color w:val="auto"/>
                <w:sz w:val="24"/>
                <w:highlight w:val="none"/>
                <w:vertAlign w:val="baseline"/>
                <w:lang w:eastAsia="zh-CN"/>
              </w:rPr>
            </w:pPr>
            <w:r>
              <w:rPr>
                <w:rFonts w:hint="eastAsia" w:ascii="宋体" w:hAnsi="宋体" w:eastAsia="宋体" w:cs="宋体"/>
                <w:b/>
                <w:bCs/>
                <w:color w:val="auto"/>
                <w:sz w:val="24"/>
                <w:highlight w:val="none"/>
                <w:vertAlign w:val="baseline"/>
                <w:lang w:eastAsia="zh-CN"/>
              </w:rPr>
              <w:t>市域线路</w:t>
            </w:r>
          </w:p>
        </w:tc>
      </w:tr>
      <w:tr w14:paraId="58FB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0DEC99DB">
            <w:pPr>
              <w:jc w:val="center"/>
              <w:rPr>
                <w:rFonts w:hint="eastAsia"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1</w:t>
            </w:r>
          </w:p>
        </w:tc>
        <w:tc>
          <w:tcPr>
            <w:tcW w:w="697" w:type="dxa"/>
            <w:vAlign w:val="center"/>
          </w:tcPr>
          <w:p w14:paraId="7C446672">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2E2F2F41">
            <w:pPr>
              <w:jc w:val="center"/>
              <w:rPr>
                <w:rFonts w:hint="eastAsia" w:ascii="宋体" w:hAnsi="宋体" w:eastAsia="宋体" w:cs="宋体"/>
                <w:b/>
                <w:bCs/>
                <w:color w:val="auto"/>
                <w:sz w:val="24"/>
                <w:highlight w:val="none"/>
                <w:vertAlign w:val="baseline"/>
                <w:lang w:eastAsia="zh-CN"/>
              </w:rPr>
            </w:pPr>
          </w:p>
        </w:tc>
        <w:tc>
          <w:tcPr>
            <w:tcW w:w="867" w:type="dxa"/>
            <w:vAlign w:val="center"/>
          </w:tcPr>
          <w:p w14:paraId="4D4C7325">
            <w:pPr>
              <w:jc w:val="center"/>
              <w:rPr>
                <w:rFonts w:hint="eastAsia" w:ascii="宋体" w:hAnsi="宋体" w:eastAsia="宋体" w:cs="宋体"/>
                <w:b/>
                <w:bCs/>
                <w:color w:val="auto"/>
                <w:sz w:val="24"/>
                <w:highlight w:val="none"/>
                <w:vertAlign w:val="baseline"/>
                <w:lang w:eastAsia="zh-CN"/>
              </w:rPr>
            </w:pPr>
          </w:p>
        </w:tc>
        <w:tc>
          <w:tcPr>
            <w:tcW w:w="783" w:type="dxa"/>
            <w:vAlign w:val="center"/>
          </w:tcPr>
          <w:p w14:paraId="6A99CBFB">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6BB1CF0F">
            <w:pPr>
              <w:jc w:val="center"/>
              <w:rPr>
                <w:rFonts w:hint="eastAsia" w:ascii="宋体" w:hAnsi="宋体" w:eastAsia="宋体" w:cs="宋体"/>
                <w:b/>
                <w:bCs/>
                <w:color w:val="auto"/>
                <w:sz w:val="24"/>
                <w:highlight w:val="none"/>
                <w:vertAlign w:val="baseline"/>
                <w:lang w:eastAsia="zh-CN"/>
              </w:rPr>
            </w:pPr>
          </w:p>
        </w:tc>
        <w:tc>
          <w:tcPr>
            <w:tcW w:w="817" w:type="dxa"/>
            <w:vAlign w:val="center"/>
          </w:tcPr>
          <w:p w14:paraId="72281EEA">
            <w:pPr>
              <w:jc w:val="center"/>
              <w:rPr>
                <w:rFonts w:hint="eastAsia" w:ascii="宋体" w:hAnsi="宋体" w:eastAsia="宋体" w:cs="宋体"/>
                <w:b/>
                <w:bCs/>
                <w:color w:val="auto"/>
                <w:sz w:val="24"/>
                <w:highlight w:val="none"/>
                <w:vertAlign w:val="baseline"/>
                <w:lang w:eastAsia="zh-CN"/>
              </w:rPr>
            </w:pPr>
          </w:p>
        </w:tc>
        <w:tc>
          <w:tcPr>
            <w:tcW w:w="700" w:type="dxa"/>
            <w:vAlign w:val="center"/>
          </w:tcPr>
          <w:p w14:paraId="71D872B1">
            <w:pPr>
              <w:jc w:val="center"/>
              <w:rPr>
                <w:rFonts w:hint="eastAsia" w:ascii="宋体" w:hAnsi="宋体" w:eastAsia="宋体" w:cs="宋体"/>
                <w:b/>
                <w:bCs/>
                <w:color w:val="auto"/>
                <w:sz w:val="24"/>
                <w:highlight w:val="none"/>
                <w:vertAlign w:val="baseline"/>
                <w:lang w:eastAsia="zh-CN"/>
              </w:rPr>
            </w:pPr>
          </w:p>
        </w:tc>
        <w:tc>
          <w:tcPr>
            <w:tcW w:w="750" w:type="dxa"/>
            <w:vAlign w:val="center"/>
          </w:tcPr>
          <w:p w14:paraId="2B4BA31D">
            <w:pPr>
              <w:jc w:val="center"/>
              <w:rPr>
                <w:rFonts w:hint="eastAsia" w:ascii="宋体" w:hAnsi="宋体" w:eastAsia="宋体" w:cs="宋体"/>
                <w:b/>
                <w:bCs/>
                <w:color w:val="auto"/>
                <w:sz w:val="24"/>
                <w:highlight w:val="none"/>
                <w:vertAlign w:val="baseline"/>
                <w:lang w:eastAsia="zh-CN"/>
              </w:rPr>
            </w:pPr>
          </w:p>
        </w:tc>
        <w:tc>
          <w:tcPr>
            <w:tcW w:w="767" w:type="dxa"/>
            <w:vAlign w:val="center"/>
          </w:tcPr>
          <w:p w14:paraId="4A121E92">
            <w:pPr>
              <w:jc w:val="center"/>
              <w:rPr>
                <w:rFonts w:hint="eastAsia" w:ascii="宋体" w:hAnsi="宋体" w:eastAsia="宋体" w:cs="宋体"/>
                <w:b/>
                <w:bCs/>
                <w:color w:val="auto"/>
                <w:sz w:val="24"/>
                <w:highlight w:val="none"/>
                <w:vertAlign w:val="baseline"/>
                <w:lang w:eastAsia="zh-CN"/>
              </w:rPr>
            </w:pPr>
          </w:p>
        </w:tc>
        <w:tc>
          <w:tcPr>
            <w:tcW w:w="833" w:type="dxa"/>
            <w:vAlign w:val="center"/>
          </w:tcPr>
          <w:p w14:paraId="151FBFE2">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5D2C7E25">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6E3A2058">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7B9EA2E1">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1F734821">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553E0399">
            <w:pPr>
              <w:jc w:val="center"/>
              <w:rPr>
                <w:rFonts w:hint="eastAsia" w:ascii="宋体" w:hAnsi="宋体" w:eastAsia="宋体" w:cs="宋体"/>
                <w:b/>
                <w:bCs/>
                <w:color w:val="auto"/>
                <w:sz w:val="24"/>
                <w:highlight w:val="none"/>
                <w:vertAlign w:val="baseline"/>
                <w:lang w:eastAsia="zh-CN"/>
              </w:rPr>
            </w:pPr>
          </w:p>
        </w:tc>
        <w:tc>
          <w:tcPr>
            <w:tcW w:w="967" w:type="dxa"/>
            <w:vAlign w:val="center"/>
          </w:tcPr>
          <w:p w14:paraId="6AA00ADA">
            <w:pPr>
              <w:jc w:val="center"/>
              <w:rPr>
                <w:rFonts w:hint="eastAsia" w:ascii="宋体" w:hAnsi="宋体" w:eastAsia="宋体" w:cs="宋体"/>
                <w:b/>
                <w:bCs/>
                <w:color w:val="auto"/>
                <w:sz w:val="24"/>
                <w:highlight w:val="none"/>
                <w:vertAlign w:val="baseline"/>
                <w:lang w:eastAsia="zh-CN"/>
              </w:rPr>
            </w:pPr>
          </w:p>
        </w:tc>
        <w:tc>
          <w:tcPr>
            <w:tcW w:w="937" w:type="dxa"/>
            <w:vAlign w:val="center"/>
          </w:tcPr>
          <w:p w14:paraId="450F4B0D">
            <w:pPr>
              <w:jc w:val="center"/>
              <w:rPr>
                <w:rFonts w:hint="eastAsia" w:ascii="宋体" w:hAnsi="宋体" w:eastAsia="宋体" w:cs="宋体"/>
                <w:b/>
                <w:bCs/>
                <w:color w:val="auto"/>
                <w:sz w:val="24"/>
                <w:highlight w:val="none"/>
                <w:vertAlign w:val="baseline"/>
                <w:lang w:eastAsia="zh-CN"/>
              </w:rPr>
            </w:pPr>
          </w:p>
        </w:tc>
      </w:tr>
      <w:tr w14:paraId="34F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3C32BD73">
            <w:pPr>
              <w:jc w:val="center"/>
              <w:rPr>
                <w:rFonts w:hint="eastAsia"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2</w:t>
            </w:r>
          </w:p>
        </w:tc>
        <w:tc>
          <w:tcPr>
            <w:tcW w:w="697" w:type="dxa"/>
            <w:vAlign w:val="center"/>
          </w:tcPr>
          <w:p w14:paraId="51BC1AB7">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38B212FD">
            <w:pPr>
              <w:jc w:val="center"/>
              <w:rPr>
                <w:rFonts w:hint="eastAsia" w:ascii="宋体" w:hAnsi="宋体" w:eastAsia="宋体" w:cs="宋体"/>
                <w:b/>
                <w:bCs/>
                <w:color w:val="auto"/>
                <w:sz w:val="24"/>
                <w:highlight w:val="none"/>
                <w:vertAlign w:val="baseline"/>
                <w:lang w:eastAsia="zh-CN"/>
              </w:rPr>
            </w:pPr>
          </w:p>
        </w:tc>
        <w:tc>
          <w:tcPr>
            <w:tcW w:w="867" w:type="dxa"/>
            <w:vAlign w:val="center"/>
          </w:tcPr>
          <w:p w14:paraId="079839C3">
            <w:pPr>
              <w:jc w:val="center"/>
              <w:rPr>
                <w:rFonts w:hint="eastAsia" w:ascii="宋体" w:hAnsi="宋体" w:eastAsia="宋体" w:cs="宋体"/>
                <w:b/>
                <w:bCs/>
                <w:color w:val="auto"/>
                <w:sz w:val="24"/>
                <w:highlight w:val="none"/>
                <w:vertAlign w:val="baseline"/>
                <w:lang w:eastAsia="zh-CN"/>
              </w:rPr>
            </w:pPr>
          </w:p>
        </w:tc>
        <w:tc>
          <w:tcPr>
            <w:tcW w:w="783" w:type="dxa"/>
            <w:vAlign w:val="center"/>
          </w:tcPr>
          <w:p w14:paraId="020C3531">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136FF3C3">
            <w:pPr>
              <w:jc w:val="center"/>
              <w:rPr>
                <w:rFonts w:hint="eastAsia" w:ascii="宋体" w:hAnsi="宋体" w:eastAsia="宋体" w:cs="宋体"/>
                <w:b/>
                <w:bCs/>
                <w:color w:val="auto"/>
                <w:sz w:val="24"/>
                <w:highlight w:val="none"/>
                <w:vertAlign w:val="baseline"/>
                <w:lang w:eastAsia="zh-CN"/>
              </w:rPr>
            </w:pPr>
          </w:p>
        </w:tc>
        <w:tc>
          <w:tcPr>
            <w:tcW w:w="817" w:type="dxa"/>
            <w:vAlign w:val="center"/>
          </w:tcPr>
          <w:p w14:paraId="58DD931F">
            <w:pPr>
              <w:jc w:val="center"/>
              <w:rPr>
                <w:rFonts w:hint="eastAsia" w:ascii="宋体" w:hAnsi="宋体" w:eastAsia="宋体" w:cs="宋体"/>
                <w:b/>
                <w:bCs/>
                <w:color w:val="auto"/>
                <w:sz w:val="24"/>
                <w:highlight w:val="none"/>
                <w:vertAlign w:val="baseline"/>
                <w:lang w:eastAsia="zh-CN"/>
              </w:rPr>
            </w:pPr>
          </w:p>
        </w:tc>
        <w:tc>
          <w:tcPr>
            <w:tcW w:w="700" w:type="dxa"/>
            <w:vAlign w:val="center"/>
          </w:tcPr>
          <w:p w14:paraId="6C85F840">
            <w:pPr>
              <w:jc w:val="center"/>
              <w:rPr>
                <w:rFonts w:hint="eastAsia" w:ascii="宋体" w:hAnsi="宋体" w:eastAsia="宋体" w:cs="宋体"/>
                <w:b/>
                <w:bCs/>
                <w:color w:val="auto"/>
                <w:sz w:val="24"/>
                <w:highlight w:val="none"/>
                <w:vertAlign w:val="baseline"/>
                <w:lang w:eastAsia="zh-CN"/>
              </w:rPr>
            </w:pPr>
          </w:p>
        </w:tc>
        <w:tc>
          <w:tcPr>
            <w:tcW w:w="750" w:type="dxa"/>
            <w:vAlign w:val="center"/>
          </w:tcPr>
          <w:p w14:paraId="08028D49">
            <w:pPr>
              <w:jc w:val="center"/>
              <w:rPr>
                <w:rFonts w:hint="eastAsia" w:ascii="宋体" w:hAnsi="宋体" w:eastAsia="宋体" w:cs="宋体"/>
                <w:b/>
                <w:bCs/>
                <w:color w:val="auto"/>
                <w:sz w:val="24"/>
                <w:highlight w:val="none"/>
                <w:vertAlign w:val="baseline"/>
                <w:lang w:eastAsia="zh-CN"/>
              </w:rPr>
            </w:pPr>
          </w:p>
        </w:tc>
        <w:tc>
          <w:tcPr>
            <w:tcW w:w="767" w:type="dxa"/>
            <w:vAlign w:val="center"/>
          </w:tcPr>
          <w:p w14:paraId="4C727723">
            <w:pPr>
              <w:jc w:val="center"/>
              <w:rPr>
                <w:rFonts w:hint="eastAsia" w:ascii="宋体" w:hAnsi="宋体" w:eastAsia="宋体" w:cs="宋体"/>
                <w:b/>
                <w:bCs/>
                <w:color w:val="auto"/>
                <w:sz w:val="24"/>
                <w:highlight w:val="none"/>
                <w:vertAlign w:val="baseline"/>
                <w:lang w:eastAsia="zh-CN"/>
              </w:rPr>
            </w:pPr>
          </w:p>
        </w:tc>
        <w:tc>
          <w:tcPr>
            <w:tcW w:w="833" w:type="dxa"/>
            <w:vAlign w:val="center"/>
          </w:tcPr>
          <w:p w14:paraId="26637898">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4D985599">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06A765FA">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7E15C80E">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03036237">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42638C52">
            <w:pPr>
              <w:jc w:val="center"/>
              <w:rPr>
                <w:rFonts w:hint="eastAsia" w:ascii="宋体" w:hAnsi="宋体" w:eastAsia="宋体" w:cs="宋体"/>
                <w:b/>
                <w:bCs/>
                <w:color w:val="auto"/>
                <w:sz w:val="24"/>
                <w:highlight w:val="none"/>
                <w:vertAlign w:val="baseline"/>
                <w:lang w:eastAsia="zh-CN"/>
              </w:rPr>
            </w:pPr>
          </w:p>
        </w:tc>
        <w:tc>
          <w:tcPr>
            <w:tcW w:w="967" w:type="dxa"/>
            <w:vAlign w:val="center"/>
          </w:tcPr>
          <w:p w14:paraId="1D507CC8">
            <w:pPr>
              <w:jc w:val="center"/>
              <w:rPr>
                <w:rFonts w:hint="eastAsia" w:ascii="宋体" w:hAnsi="宋体" w:eastAsia="宋体" w:cs="宋体"/>
                <w:b/>
                <w:bCs/>
                <w:color w:val="auto"/>
                <w:sz w:val="24"/>
                <w:highlight w:val="none"/>
                <w:vertAlign w:val="baseline"/>
                <w:lang w:eastAsia="zh-CN"/>
              </w:rPr>
            </w:pPr>
          </w:p>
        </w:tc>
        <w:tc>
          <w:tcPr>
            <w:tcW w:w="937" w:type="dxa"/>
            <w:vAlign w:val="center"/>
          </w:tcPr>
          <w:p w14:paraId="3A622ECB">
            <w:pPr>
              <w:jc w:val="center"/>
              <w:rPr>
                <w:rFonts w:hint="eastAsia" w:ascii="宋体" w:hAnsi="宋体" w:eastAsia="宋体" w:cs="宋体"/>
                <w:b/>
                <w:bCs/>
                <w:color w:val="auto"/>
                <w:sz w:val="24"/>
                <w:highlight w:val="none"/>
                <w:vertAlign w:val="baseline"/>
                <w:lang w:eastAsia="zh-CN"/>
              </w:rPr>
            </w:pPr>
          </w:p>
        </w:tc>
      </w:tr>
      <w:tr w14:paraId="6930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09F2B6F7">
            <w:pPr>
              <w:jc w:val="center"/>
              <w:rPr>
                <w:rFonts w:hint="eastAsia"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3</w:t>
            </w:r>
          </w:p>
        </w:tc>
        <w:tc>
          <w:tcPr>
            <w:tcW w:w="697" w:type="dxa"/>
            <w:vAlign w:val="center"/>
          </w:tcPr>
          <w:p w14:paraId="31B07CDB">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1F5A9481">
            <w:pPr>
              <w:jc w:val="center"/>
              <w:rPr>
                <w:rFonts w:hint="eastAsia" w:ascii="宋体" w:hAnsi="宋体" w:eastAsia="宋体" w:cs="宋体"/>
                <w:b/>
                <w:bCs/>
                <w:color w:val="auto"/>
                <w:sz w:val="24"/>
                <w:highlight w:val="none"/>
                <w:vertAlign w:val="baseline"/>
                <w:lang w:eastAsia="zh-CN"/>
              </w:rPr>
            </w:pPr>
          </w:p>
        </w:tc>
        <w:tc>
          <w:tcPr>
            <w:tcW w:w="867" w:type="dxa"/>
            <w:vAlign w:val="center"/>
          </w:tcPr>
          <w:p w14:paraId="34E1252E">
            <w:pPr>
              <w:jc w:val="center"/>
              <w:rPr>
                <w:rFonts w:hint="eastAsia" w:ascii="宋体" w:hAnsi="宋体" w:eastAsia="宋体" w:cs="宋体"/>
                <w:b/>
                <w:bCs/>
                <w:color w:val="auto"/>
                <w:sz w:val="24"/>
                <w:highlight w:val="none"/>
                <w:vertAlign w:val="baseline"/>
                <w:lang w:eastAsia="zh-CN"/>
              </w:rPr>
            </w:pPr>
          </w:p>
        </w:tc>
        <w:tc>
          <w:tcPr>
            <w:tcW w:w="783" w:type="dxa"/>
            <w:vAlign w:val="center"/>
          </w:tcPr>
          <w:p w14:paraId="23C0B1F3">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5ECF86F0">
            <w:pPr>
              <w:jc w:val="center"/>
              <w:rPr>
                <w:rFonts w:hint="eastAsia" w:ascii="宋体" w:hAnsi="宋体" w:eastAsia="宋体" w:cs="宋体"/>
                <w:b/>
                <w:bCs/>
                <w:color w:val="auto"/>
                <w:sz w:val="24"/>
                <w:highlight w:val="none"/>
                <w:vertAlign w:val="baseline"/>
                <w:lang w:eastAsia="zh-CN"/>
              </w:rPr>
            </w:pPr>
          </w:p>
        </w:tc>
        <w:tc>
          <w:tcPr>
            <w:tcW w:w="817" w:type="dxa"/>
            <w:vAlign w:val="center"/>
          </w:tcPr>
          <w:p w14:paraId="32B355DD">
            <w:pPr>
              <w:jc w:val="center"/>
              <w:rPr>
                <w:rFonts w:hint="eastAsia" w:ascii="宋体" w:hAnsi="宋体" w:eastAsia="宋体" w:cs="宋体"/>
                <w:b/>
                <w:bCs/>
                <w:color w:val="auto"/>
                <w:sz w:val="24"/>
                <w:highlight w:val="none"/>
                <w:vertAlign w:val="baseline"/>
                <w:lang w:eastAsia="zh-CN"/>
              </w:rPr>
            </w:pPr>
          </w:p>
        </w:tc>
        <w:tc>
          <w:tcPr>
            <w:tcW w:w="700" w:type="dxa"/>
            <w:vAlign w:val="center"/>
          </w:tcPr>
          <w:p w14:paraId="28E06011">
            <w:pPr>
              <w:jc w:val="center"/>
              <w:rPr>
                <w:rFonts w:hint="eastAsia" w:ascii="宋体" w:hAnsi="宋体" w:eastAsia="宋体" w:cs="宋体"/>
                <w:b/>
                <w:bCs/>
                <w:color w:val="auto"/>
                <w:sz w:val="24"/>
                <w:highlight w:val="none"/>
                <w:vertAlign w:val="baseline"/>
                <w:lang w:eastAsia="zh-CN"/>
              </w:rPr>
            </w:pPr>
          </w:p>
        </w:tc>
        <w:tc>
          <w:tcPr>
            <w:tcW w:w="750" w:type="dxa"/>
            <w:vAlign w:val="center"/>
          </w:tcPr>
          <w:p w14:paraId="5E2AFC4C">
            <w:pPr>
              <w:jc w:val="center"/>
              <w:rPr>
                <w:rFonts w:hint="eastAsia" w:ascii="宋体" w:hAnsi="宋体" w:eastAsia="宋体" w:cs="宋体"/>
                <w:b/>
                <w:bCs/>
                <w:color w:val="auto"/>
                <w:sz w:val="24"/>
                <w:highlight w:val="none"/>
                <w:vertAlign w:val="baseline"/>
                <w:lang w:eastAsia="zh-CN"/>
              </w:rPr>
            </w:pPr>
          </w:p>
        </w:tc>
        <w:tc>
          <w:tcPr>
            <w:tcW w:w="767" w:type="dxa"/>
            <w:vAlign w:val="center"/>
          </w:tcPr>
          <w:p w14:paraId="0FD15A00">
            <w:pPr>
              <w:jc w:val="center"/>
              <w:rPr>
                <w:rFonts w:hint="eastAsia" w:ascii="宋体" w:hAnsi="宋体" w:eastAsia="宋体" w:cs="宋体"/>
                <w:b/>
                <w:bCs/>
                <w:color w:val="auto"/>
                <w:sz w:val="24"/>
                <w:highlight w:val="none"/>
                <w:vertAlign w:val="baseline"/>
                <w:lang w:eastAsia="zh-CN"/>
              </w:rPr>
            </w:pPr>
          </w:p>
        </w:tc>
        <w:tc>
          <w:tcPr>
            <w:tcW w:w="833" w:type="dxa"/>
            <w:vAlign w:val="center"/>
          </w:tcPr>
          <w:p w14:paraId="04893EB5">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22B3AC58">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7E747566">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4A6128E5">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414A43DC">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7A1D59E4">
            <w:pPr>
              <w:jc w:val="center"/>
              <w:rPr>
                <w:rFonts w:hint="eastAsia" w:ascii="宋体" w:hAnsi="宋体" w:eastAsia="宋体" w:cs="宋体"/>
                <w:b/>
                <w:bCs/>
                <w:color w:val="auto"/>
                <w:sz w:val="24"/>
                <w:highlight w:val="none"/>
                <w:vertAlign w:val="baseline"/>
                <w:lang w:eastAsia="zh-CN"/>
              </w:rPr>
            </w:pPr>
          </w:p>
        </w:tc>
        <w:tc>
          <w:tcPr>
            <w:tcW w:w="967" w:type="dxa"/>
            <w:vAlign w:val="center"/>
          </w:tcPr>
          <w:p w14:paraId="2216D8BA">
            <w:pPr>
              <w:jc w:val="center"/>
              <w:rPr>
                <w:rFonts w:hint="eastAsia" w:ascii="宋体" w:hAnsi="宋体" w:eastAsia="宋体" w:cs="宋体"/>
                <w:b/>
                <w:bCs/>
                <w:color w:val="auto"/>
                <w:sz w:val="24"/>
                <w:highlight w:val="none"/>
                <w:vertAlign w:val="baseline"/>
                <w:lang w:eastAsia="zh-CN"/>
              </w:rPr>
            </w:pPr>
          </w:p>
        </w:tc>
        <w:tc>
          <w:tcPr>
            <w:tcW w:w="937" w:type="dxa"/>
            <w:vAlign w:val="center"/>
          </w:tcPr>
          <w:p w14:paraId="067DA2AA">
            <w:pPr>
              <w:jc w:val="center"/>
              <w:rPr>
                <w:rFonts w:hint="eastAsia" w:ascii="宋体" w:hAnsi="宋体" w:eastAsia="宋体" w:cs="宋体"/>
                <w:b/>
                <w:bCs/>
                <w:color w:val="auto"/>
                <w:sz w:val="24"/>
                <w:highlight w:val="none"/>
                <w:vertAlign w:val="baseline"/>
                <w:lang w:eastAsia="zh-CN"/>
              </w:rPr>
            </w:pPr>
          </w:p>
        </w:tc>
      </w:tr>
      <w:tr w14:paraId="55E4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8" w:type="dxa"/>
            <w:gridSpan w:val="18"/>
            <w:vAlign w:val="center"/>
          </w:tcPr>
          <w:p w14:paraId="23C81FA2">
            <w:pPr>
              <w:jc w:val="center"/>
              <w:rPr>
                <w:rFonts w:hint="eastAsia" w:ascii="宋体" w:hAnsi="宋体" w:eastAsia="宋体" w:cs="宋体"/>
                <w:b/>
                <w:bCs/>
                <w:color w:val="auto"/>
                <w:sz w:val="24"/>
                <w:highlight w:val="none"/>
                <w:vertAlign w:val="baseline"/>
                <w:lang w:eastAsia="zh-CN"/>
              </w:rPr>
            </w:pPr>
            <w:r>
              <w:rPr>
                <w:rFonts w:hint="eastAsia" w:ascii="宋体" w:hAnsi="宋体" w:eastAsia="宋体" w:cs="宋体"/>
                <w:b/>
                <w:bCs/>
                <w:color w:val="auto"/>
                <w:sz w:val="24"/>
                <w:highlight w:val="none"/>
                <w:vertAlign w:val="baseline"/>
                <w:lang w:eastAsia="zh-CN"/>
              </w:rPr>
              <w:t>省内线路</w:t>
            </w:r>
          </w:p>
        </w:tc>
      </w:tr>
      <w:tr w14:paraId="4930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064FABE3">
            <w:pPr>
              <w:jc w:val="center"/>
              <w:rPr>
                <w:rFonts w:hint="eastAsia"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1</w:t>
            </w:r>
          </w:p>
        </w:tc>
        <w:tc>
          <w:tcPr>
            <w:tcW w:w="697" w:type="dxa"/>
            <w:vAlign w:val="center"/>
          </w:tcPr>
          <w:p w14:paraId="1AA98243">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3C1B370C">
            <w:pPr>
              <w:jc w:val="center"/>
              <w:rPr>
                <w:rFonts w:hint="eastAsia" w:ascii="宋体" w:hAnsi="宋体" w:eastAsia="宋体" w:cs="宋体"/>
                <w:b/>
                <w:bCs/>
                <w:color w:val="auto"/>
                <w:sz w:val="24"/>
                <w:highlight w:val="none"/>
                <w:vertAlign w:val="baseline"/>
                <w:lang w:eastAsia="zh-CN"/>
              </w:rPr>
            </w:pPr>
          </w:p>
        </w:tc>
        <w:tc>
          <w:tcPr>
            <w:tcW w:w="867" w:type="dxa"/>
            <w:vAlign w:val="center"/>
          </w:tcPr>
          <w:p w14:paraId="53AB9D9D">
            <w:pPr>
              <w:jc w:val="center"/>
              <w:rPr>
                <w:rFonts w:hint="eastAsia" w:ascii="宋体" w:hAnsi="宋体" w:eastAsia="宋体" w:cs="宋体"/>
                <w:b/>
                <w:bCs/>
                <w:color w:val="auto"/>
                <w:sz w:val="24"/>
                <w:highlight w:val="none"/>
                <w:vertAlign w:val="baseline"/>
                <w:lang w:eastAsia="zh-CN"/>
              </w:rPr>
            </w:pPr>
          </w:p>
        </w:tc>
        <w:tc>
          <w:tcPr>
            <w:tcW w:w="783" w:type="dxa"/>
            <w:vAlign w:val="center"/>
          </w:tcPr>
          <w:p w14:paraId="44901DE4">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0C324459">
            <w:pPr>
              <w:jc w:val="center"/>
              <w:rPr>
                <w:rFonts w:hint="eastAsia" w:ascii="宋体" w:hAnsi="宋体" w:eastAsia="宋体" w:cs="宋体"/>
                <w:b/>
                <w:bCs/>
                <w:color w:val="auto"/>
                <w:sz w:val="24"/>
                <w:highlight w:val="none"/>
                <w:vertAlign w:val="baseline"/>
                <w:lang w:eastAsia="zh-CN"/>
              </w:rPr>
            </w:pPr>
          </w:p>
        </w:tc>
        <w:tc>
          <w:tcPr>
            <w:tcW w:w="817" w:type="dxa"/>
            <w:vAlign w:val="center"/>
          </w:tcPr>
          <w:p w14:paraId="1FF3C71D">
            <w:pPr>
              <w:jc w:val="center"/>
              <w:rPr>
                <w:rFonts w:hint="eastAsia" w:ascii="宋体" w:hAnsi="宋体" w:eastAsia="宋体" w:cs="宋体"/>
                <w:b/>
                <w:bCs/>
                <w:color w:val="auto"/>
                <w:sz w:val="24"/>
                <w:highlight w:val="none"/>
                <w:vertAlign w:val="baseline"/>
                <w:lang w:eastAsia="zh-CN"/>
              </w:rPr>
            </w:pPr>
          </w:p>
        </w:tc>
        <w:tc>
          <w:tcPr>
            <w:tcW w:w="700" w:type="dxa"/>
            <w:vAlign w:val="center"/>
          </w:tcPr>
          <w:p w14:paraId="28C37575">
            <w:pPr>
              <w:jc w:val="center"/>
              <w:rPr>
                <w:rFonts w:hint="eastAsia" w:ascii="宋体" w:hAnsi="宋体" w:eastAsia="宋体" w:cs="宋体"/>
                <w:b/>
                <w:bCs/>
                <w:color w:val="auto"/>
                <w:sz w:val="24"/>
                <w:highlight w:val="none"/>
                <w:vertAlign w:val="baseline"/>
                <w:lang w:eastAsia="zh-CN"/>
              </w:rPr>
            </w:pPr>
          </w:p>
        </w:tc>
        <w:tc>
          <w:tcPr>
            <w:tcW w:w="750" w:type="dxa"/>
            <w:vAlign w:val="center"/>
          </w:tcPr>
          <w:p w14:paraId="6E03020A">
            <w:pPr>
              <w:jc w:val="center"/>
              <w:rPr>
                <w:rFonts w:hint="eastAsia" w:ascii="宋体" w:hAnsi="宋体" w:eastAsia="宋体" w:cs="宋体"/>
                <w:b/>
                <w:bCs/>
                <w:color w:val="auto"/>
                <w:sz w:val="24"/>
                <w:highlight w:val="none"/>
                <w:vertAlign w:val="baseline"/>
                <w:lang w:eastAsia="zh-CN"/>
              </w:rPr>
            </w:pPr>
          </w:p>
        </w:tc>
        <w:tc>
          <w:tcPr>
            <w:tcW w:w="767" w:type="dxa"/>
            <w:vAlign w:val="center"/>
          </w:tcPr>
          <w:p w14:paraId="0FBD49FC">
            <w:pPr>
              <w:jc w:val="center"/>
              <w:rPr>
                <w:rFonts w:hint="eastAsia" w:ascii="宋体" w:hAnsi="宋体" w:eastAsia="宋体" w:cs="宋体"/>
                <w:b/>
                <w:bCs/>
                <w:color w:val="auto"/>
                <w:sz w:val="24"/>
                <w:highlight w:val="none"/>
                <w:vertAlign w:val="baseline"/>
                <w:lang w:eastAsia="zh-CN"/>
              </w:rPr>
            </w:pPr>
          </w:p>
        </w:tc>
        <w:tc>
          <w:tcPr>
            <w:tcW w:w="833" w:type="dxa"/>
            <w:vAlign w:val="center"/>
          </w:tcPr>
          <w:p w14:paraId="03886A13">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45B2B9CD">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7837800C">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398B8807">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5F3255E9">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05D557E1">
            <w:pPr>
              <w:jc w:val="center"/>
              <w:rPr>
                <w:rFonts w:hint="eastAsia" w:ascii="宋体" w:hAnsi="宋体" w:eastAsia="宋体" w:cs="宋体"/>
                <w:b/>
                <w:bCs/>
                <w:color w:val="auto"/>
                <w:sz w:val="24"/>
                <w:highlight w:val="none"/>
                <w:vertAlign w:val="baseline"/>
                <w:lang w:eastAsia="zh-CN"/>
              </w:rPr>
            </w:pPr>
          </w:p>
        </w:tc>
        <w:tc>
          <w:tcPr>
            <w:tcW w:w="967" w:type="dxa"/>
            <w:vAlign w:val="center"/>
          </w:tcPr>
          <w:p w14:paraId="45BFE9D7">
            <w:pPr>
              <w:jc w:val="center"/>
              <w:rPr>
                <w:rFonts w:hint="eastAsia" w:ascii="宋体" w:hAnsi="宋体" w:eastAsia="宋体" w:cs="宋体"/>
                <w:b/>
                <w:bCs/>
                <w:color w:val="auto"/>
                <w:sz w:val="24"/>
                <w:highlight w:val="none"/>
                <w:vertAlign w:val="baseline"/>
                <w:lang w:eastAsia="zh-CN"/>
              </w:rPr>
            </w:pPr>
          </w:p>
        </w:tc>
        <w:tc>
          <w:tcPr>
            <w:tcW w:w="937" w:type="dxa"/>
            <w:vAlign w:val="center"/>
          </w:tcPr>
          <w:p w14:paraId="45B294E2">
            <w:pPr>
              <w:jc w:val="center"/>
              <w:rPr>
                <w:rFonts w:hint="eastAsia" w:ascii="宋体" w:hAnsi="宋体" w:eastAsia="宋体" w:cs="宋体"/>
                <w:b/>
                <w:bCs/>
                <w:color w:val="auto"/>
                <w:sz w:val="24"/>
                <w:highlight w:val="none"/>
                <w:vertAlign w:val="baseline"/>
                <w:lang w:eastAsia="zh-CN"/>
              </w:rPr>
            </w:pPr>
          </w:p>
        </w:tc>
      </w:tr>
      <w:tr w14:paraId="4F1C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568C3BA5">
            <w:pPr>
              <w:jc w:val="center"/>
              <w:rPr>
                <w:rFonts w:hint="eastAsia"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2</w:t>
            </w:r>
          </w:p>
        </w:tc>
        <w:tc>
          <w:tcPr>
            <w:tcW w:w="697" w:type="dxa"/>
            <w:vAlign w:val="center"/>
          </w:tcPr>
          <w:p w14:paraId="3938965C">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5B9DDB9F">
            <w:pPr>
              <w:jc w:val="center"/>
              <w:rPr>
                <w:rFonts w:hint="eastAsia" w:ascii="宋体" w:hAnsi="宋体" w:eastAsia="宋体" w:cs="宋体"/>
                <w:b/>
                <w:bCs/>
                <w:color w:val="auto"/>
                <w:sz w:val="24"/>
                <w:highlight w:val="none"/>
                <w:vertAlign w:val="baseline"/>
                <w:lang w:eastAsia="zh-CN"/>
              </w:rPr>
            </w:pPr>
          </w:p>
        </w:tc>
        <w:tc>
          <w:tcPr>
            <w:tcW w:w="867" w:type="dxa"/>
            <w:vAlign w:val="center"/>
          </w:tcPr>
          <w:p w14:paraId="5B12D19E">
            <w:pPr>
              <w:jc w:val="center"/>
              <w:rPr>
                <w:rFonts w:hint="eastAsia" w:ascii="宋体" w:hAnsi="宋体" w:eastAsia="宋体" w:cs="宋体"/>
                <w:b/>
                <w:bCs/>
                <w:color w:val="auto"/>
                <w:sz w:val="24"/>
                <w:highlight w:val="none"/>
                <w:vertAlign w:val="baseline"/>
                <w:lang w:eastAsia="zh-CN"/>
              </w:rPr>
            </w:pPr>
          </w:p>
        </w:tc>
        <w:tc>
          <w:tcPr>
            <w:tcW w:w="783" w:type="dxa"/>
            <w:vAlign w:val="center"/>
          </w:tcPr>
          <w:p w14:paraId="439E5340">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10C7A0AA">
            <w:pPr>
              <w:jc w:val="center"/>
              <w:rPr>
                <w:rFonts w:hint="eastAsia" w:ascii="宋体" w:hAnsi="宋体" w:eastAsia="宋体" w:cs="宋体"/>
                <w:b/>
                <w:bCs/>
                <w:color w:val="auto"/>
                <w:sz w:val="24"/>
                <w:highlight w:val="none"/>
                <w:vertAlign w:val="baseline"/>
                <w:lang w:eastAsia="zh-CN"/>
              </w:rPr>
            </w:pPr>
          </w:p>
        </w:tc>
        <w:tc>
          <w:tcPr>
            <w:tcW w:w="817" w:type="dxa"/>
            <w:vAlign w:val="center"/>
          </w:tcPr>
          <w:p w14:paraId="35783648">
            <w:pPr>
              <w:jc w:val="center"/>
              <w:rPr>
                <w:rFonts w:hint="eastAsia" w:ascii="宋体" w:hAnsi="宋体" w:eastAsia="宋体" w:cs="宋体"/>
                <w:b/>
                <w:bCs/>
                <w:color w:val="auto"/>
                <w:sz w:val="24"/>
                <w:highlight w:val="none"/>
                <w:vertAlign w:val="baseline"/>
                <w:lang w:eastAsia="zh-CN"/>
              </w:rPr>
            </w:pPr>
          </w:p>
        </w:tc>
        <w:tc>
          <w:tcPr>
            <w:tcW w:w="700" w:type="dxa"/>
            <w:vAlign w:val="center"/>
          </w:tcPr>
          <w:p w14:paraId="6904760E">
            <w:pPr>
              <w:jc w:val="center"/>
              <w:rPr>
                <w:rFonts w:hint="eastAsia" w:ascii="宋体" w:hAnsi="宋体" w:eastAsia="宋体" w:cs="宋体"/>
                <w:b/>
                <w:bCs/>
                <w:color w:val="auto"/>
                <w:sz w:val="24"/>
                <w:highlight w:val="none"/>
                <w:vertAlign w:val="baseline"/>
                <w:lang w:eastAsia="zh-CN"/>
              </w:rPr>
            </w:pPr>
          </w:p>
        </w:tc>
        <w:tc>
          <w:tcPr>
            <w:tcW w:w="750" w:type="dxa"/>
            <w:vAlign w:val="center"/>
          </w:tcPr>
          <w:p w14:paraId="0E46866A">
            <w:pPr>
              <w:jc w:val="center"/>
              <w:rPr>
                <w:rFonts w:hint="eastAsia" w:ascii="宋体" w:hAnsi="宋体" w:eastAsia="宋体" w:cs="宋体"/>
                <w:b/>
                <w:bCs/>
                <w:color w:val="auto"/>
                <w:sz w:val="24"/>
                <w:highlight w:val="none"/>
                <w:vertAlign w:val="baseline"/>
                <w:lang w:eastAsia="zh-CN"/>
              </w:rPr>
            </w:pPr>
          </w:p>
        </w:tc>
        <w:tc>
          <w:tcPr>
            <w:tcW w:w="767" w:type="dxa"/>
            <w:vAlign w:val="center"/>
          </w:tcPr>
          <w:p w14:paraId="3D0FC1EA">
            <w:pPr>
              <w:jc w:val="center"/>
              <w:rPr>
                <w:rFonts w:hint="eastAsia" w:ascii="宋体" w:hAnsi="宋体" w:eastAsia="宋体" w:cs="宋体"/>
                <w:b/>
                <w:bCs/>
                <w:color w:val="auto"/>
                <w:sz w:val="24"/>
                <w:highlight w:val="none"/>
                <w:vertAlign w:val="baseline"/>
                <w:lang w:eastAsia="zh-CN"/>
              </w:rPr>
            </w:pPr>
          </w:p>
        </w:tc>
        <w:tc>
          <w:tcPr>
            <w:tcW w:w="833" w:type="dxa"/>
            <w:vAlign w:val="center"/>
          </w:tcPr>
          <w:p w14:paraId="0BCEAEFC">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63E432EE">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344A7978">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08B1F847">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75503003">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6F8FA196">
            <w:pPr>
              <w:jc w:val="center"/>
              <w:rPr>
                <w:rFonts w:hint="eastAsia" w:ascii="宋体" w:hAnsi="宋体" w:eastAsia="宋体" w:cs="宋体"/>
                <w:b/>
                <w:bCs/>
                <w:color w:val="auto"/>
                <w:sz w:val="24"/>
                <w:highlight w:val="none"/>
                <w:vertAlign w:val="baseline"/>
                <w:lang w:eastAsia="zh-CN"/>
              </w:rPr>
            </w:pPr>
          </w:p>
        </w:tc>
        <w:tc>
          <w:tcPr>
            <w:tcW w:w="967" w:type="dxa"/>
            <w:vAlign w:val="center"/>
          </w:tcPr>
          <w:p w14:paraId="3314C53E">
            <w:pPr>
              <w:jc w:val="center"/>
              <w:rPr>
                <w:rFonts w:hint="eastAsia" w:ascii="宋体" w:hAnsi="宋体" w:eastAsia="宋体" w:cs="宋体"/>
                <w:b/>
                <w:bCs/>
                <w:color w:val="auto"/>
                <w:sz w:val="24"/>
                <w:highlight w:val="none"/>
                <w:vertAlign w:val="baseline"/>
                <w:lang w:eastAsia="zh-CN"/>
              </w:rPr>
            </w:pPr>
          </w:p>
        </w:tc>
        <w:tc>
          <w:tcPr>
            <w:tcW w:w="937" w:type="dxa"/>
            <w:vAlign w:val="center"/>
          </w:tcPr>
          <w:p w14:paraId="65A38277">
            <w:pPr>
              <w:jc w:val="center"/>
              <w:rPr>
                <w:rFonts w:hint="eastAsia" w:ascii="宋体" w:hAnsi="宋体" w:eastAsia="宋体" w:cs="宋体"/>
                <w:b/>
                <w:bCs/>
                <w:color w:val="auto"/>
                <w:sz w:val="24"/>
                <w:highlight w:val="none"/>
                <w:vertAlign w:val="baseline"/>
                <w:lang w:eastAsia="zh-CN"/>
              </w:rPr>
            </w:pPr>
          </w:p>
        </w:tc>
      </w:tr>
      <w:tr w14:paraId="12DD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4F3A6B24">
            <w:pPr>
              <w:jc w:val="center"/>
              <w:rPr>
                <w:rFonts w:hint="eastAsia"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3</w:t>
            </w:r>
          </w:p>
        </w:tc>
        <w:tc>
          <w:tcPr>
            <w:tcW w:w="697" w:type="dxa"/>
            <w:vAlign w:val="center"/>
          </w:tcPr>
          <w:p w14:paraId="0A4A3EBC">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58CD041D">
            <w:pPr>
              <w:jc w:val="center"/>
              <w:rPr>
                <w:rFonts w:hint="eastAsia" w:ascii="宋体" w:hAnsi="宋体" w:eastAsia="宋体" w:cs="宋体"/>
                <w:b/>
                <w:bCs/>
                <w:color w:val="auto"/>
                <w:sz w:val="24"/>
                <w:highlight w:val="none"/>
                <w:vertAlign w:val="baseline"/>
                <w:lang w:eastAsia="zh-CN"/>
              </w:rPr>
            </w:pPr>
          </w:p>
        </w:tc>
        <w:tc>
          <w:tcPr>
            <w:tcW w:w="867" w:type="dxa"/>
            <w:vAlign w:val="center"/>
          </w:tcPr>
          <w:p w14:paraId="38383BD7">
            <w:pPr>
              <w:jc w:val="center"/>
              <w:rPr>
                <w:rFonts w:hint="eastAsia" w:ascii="宋体" w:hAnsi="宋体" w:eastAsia="宋体" w:cs="宋体"/>
                <w:b/>
                <w:bCs/>
                <w:color w:val="auto"/>
                <w:sz w:val="24"/>
                <w:highlight w:val="none"/>
                <w:vertAlign w:val="baseline"/>
                <w:lang w:eastAsia="zh-CN"/>
              </w:rPr>
            </w:pPr>
          </w:p>
        </w:tc>
        <w:tc>
          <w:tcPr>
            <w:tcW w:w="783" w:type="dxa"/>
            <w:vAlign w:val="center"/>
          </w:tcPr>
          <w:p w14:paraId="2D6D9890">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1B8ADB84">
            <w:pPr>
              <w:jc w:val="center"/>
              <w:rPr>
                <w:rFonts w:hint="eastAsia" w:ascii="宋体" w:hAnsi="宋体" w:eastAsia="宋体" w:cs="宋体"/>
                <w:b/>
                <w:bCs/>
                <w:color w:val="auto"/>
                <w:sz w:val="24"/>
                <w:highlight w:val="none"/>
                <w:vertAlign w:val="baseline"/>
                <w:lang w:eastAsia="zh-CN"/>
              </w:rPr>
            </w:pPr>
          </w:p>
        </w:tc>
        <w:tc>
          <w:tcPr>
            <w:tcW w:w="817" w:type="dxa"/>
            <w:vAlign w:val="center"/>
          </w:tcPr>
          <w:p w14:paraId="3B4C5DCC">
            <w:pPr>
              <w:jc w:val="center"/>
              <w:rPr>
                <w:rFonts w:hint="eastAsia" w:ascii="宋体" w:hAnsi="宋体" w:eastAsia="宋体" w:cs="宋体"/>
                <w:b/>
                <w:bCs/>
                <w:color w:val="auto"/>
                <w:sz w:val="24"/>
                <w:highlight w:val="none"/>
                <w:vertAlign w:val="baseline"/>
                <w:lang w:eastAsia="zh-CN"/>
              </w:rPr>
            </w:pPr>
          </w:p>
        </w:tc>
        <w:tc>
          <w:tcPr>
            <w:tcW w:w="700" w:type="dxa"/>
            <w:vAlign w:val="center"/>
          </w:tcPr>
          <w:p w14:paraId="2B13CACF">
            <w:pPr>
              <w:jc w:val="center"/>
              <w:rPr>
                <w:rFonts w:hint="eastAsia" w:ascii="宋体" w:hAnsi="宋体" w:eastAsia="宋体" w:cs="宋体"/>
                <w:b/>
                <w:bCs/>
                <w:color w:val="auto"/>
                <w:sz w:val="24"/>
                <w:highlight w:val="none"/>
                <w:vertAlign w:val="baseline"/>
                <w:lang w:eastAsia="zh-CN"/>
              </w:rPr>
            </w:pPr>
          </w:p>
        </w:tc>
        <w:tc>
          <w:tcPr>
            <w:tcW w:w="750" w:type="dxa"/>
            <w:vAlign w:val="center"/>
          </w:tcPr>
          <w:p w14:paraId="7BFA80F0">
            <w:pPr>
              <w:jc w:val="center"/>
              <w:rPr>
                <w:rFonts w:hint="eastAsia" w:ascii="宋体" w:hAnsi="宋体" w:eastAsia="宋体" w:cs="宋体"/>
                <w:b/>
                <w:bCs/>
                <w:color w:val="auto"/>
                <w:sz w:val="24"/>
                <w:highlight w:val="none"/>
                <w:vertAlign w:val="baseline"/>
                <w:lang w:eastAsia="zh-CN"/>
              </w:rPr>
            </w:pPr>
          </w:p>
        </w:tc>
        <w:tc>
          <w:tcPr>
            <w:tcW w:w="767" w:type="dxa"/>
            <w:vAlign w:val="center"/>
          </w:tcPr>
          <w:p w14:paraId="6E67993B">
            <w:pPr>
              <w:jc w:val="center"/>
              <w:rPr>
                <w:rFonts w:hint="eastAsia" w:ascii="宋体" w:hAnsi="宋体" w:eastAsia="宋体" w:cs="宋体"/>
                <w:b/>
                <w:bCs/>
                <w:color w:val="auto"/>
                <w:sz w:val="24"/>
                <w:highlight w:val="none"/>
                <w:vertAlign w:val="baseline"/>
                <w:lang w:eastAsia="zh-CN"/>
              </w:rPr>
            </w:pPr>
          </w:p>
        </w:tc>
        <w:tc>
          <w:tcPr>
            <w:tcW w:w="833" w:type="dxa"/>
            <w:vAlign w:val="center"/>
          </w:tcPr>
          <w:p w14:paraId="42D9DE48">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2F411369">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110C456B">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42046D8C">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21F6174B">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7072E85F">
            <w:pPr>
              <w:jc w:val="center"/>
              <w:rPr>
                <w:rFonts w:hint="eastAsia" w:ascii="宋体" w:hAnsi="宋体" w:eastAsia="宋体" w:cs="宋体"/>
                <w:b/>
                <w:bCs/>
                <w:color w:val="auto"/>
                <w:sz w:val="24"/>
                <w:highlight w:val="none"/>
                <w:vertAlign w:val="baseline"/>
                <w:lang w:eastAsia="zh-CN"/>
              </w:rPr>
            </w:pPr>
          </w:p>
        </w:tc>
        <w:tc>
          <w:tcPr>
            <w:tcW w:w="967" w:type="dxa"/>
            <w:vAlign w:val="center"/>
          </w:tcPr>
          <w:p w14:paraId="62434797">
            <w:pPr>
              <w:jc w:val="center"/>
              <w:rPr>
                <w:rFonts w:hint="eastAsia" w:ascii="宋体" w:hAnsi="宋体" w:eastAsia="宋体" w:cs="宋体"/>
                <w:b/>
                <w:bCs/>
                <w:color w:val="auto"/>
                <w:sz w:val="24"/>
                <w:highlight w:val="none"/>
                <w:vertAlign w:val="baseline"/>
                <w:lang w:eastAsia="zh-CN"/>
              </w:rPr>
            </w:pPr>
          </w:p>
        </w:tc>
        <w:tc>
          <w:tcPr>
            <w:tcW w:w="937" w:type="dxa"/>
            <w:vAlign w:val="center"/>
          </w:tcPr>
          <w:p w14:paraId="3A598E1F">
            <w:pPr>
              <w:jc w:val="center"/>
              <w:rPr>
                <w:rFonts w:hint="eastAsia" w:ascii="宋体" w:hAnsi="宋体" w:eastAsia="宋体" w:cs="宋体"/>
                <w:b/>
                <w:bCs/>
                <w:color w:val="auto"/>
                <w:sz w:val="24"/>
                <w:highlight w:val="none"/>
                <w:vertAlign w:val="baseline"/>
                <w:lang w:eastAsia="zh-CN"/>
              </w:rPr>
            </w:pPr>
          </w:p>
        </w:tc>
      </w:tr>
      <w:tr w14:paraId="6504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8" w:type="dxa"/>
            <w:gridSpan w:val="18"/>
            <w:vAlign w:val="center"/>
          </w:tcPr>
          <w:p w14:paraId="75AE2F92">
            <w:pPr>
              <w:jc w:val="center"/>
              <w:rPr>
                <w:rFonts w:hint="eastAsia" w:ascii="宋体" w:hAnsi="宋体" w:eastAsia="宋体" w:cs="宋体"/>
                <w:b/>
                <w:bCs/>
                <w:color w:val="auto"/>
                <w:sz w:val="24"/>
                <w:highlight w:val="none"/>
                <w:vertAlign w:val="baseline"/>
                <w:lang w:eastAsia="zh-CN"/>
              </w:rPr>
            </w:pPr>
            <w:r>
              <w:rPr>
                <w:rFonts w:hint="eastAsia" w:ascii="宋体" w:hAnsi="宋体" w:eastAsia="宋体" w:cs="宋体"/>
                <w:b/>
                <w:bCs/>
                <w:color w:val="auto"/>
                <w:sz w:val="22"/>
                <w:highlight w:val="none"/>
                <w:u w:val="none"/>
                <w:lang w:eastAsia="zh-CN"/>
              </w:rPr>
              <w:t>省外</w:t>
            </w:r>
            <w:r>
              <w:rPr>
                <w:rFonts w:hint="eastAsia" w:ascii="宋体" w:hAnsi="宋体" w:eastAsia="宋体" w:cs="宋体"/>
                <w:b/>
                <w:bCs/>
                <w:color w:val="auto"/>
                <w:sz w:val="22"/>
                <w:highlight w:val="none"/>
                <w:u w:val="none"/>
              </w:rPr>
              <w:t>对口支援和国家生态旅游协作区、长三角区域</w:t>
            </w:r>
            <w:r>
              <w:rPr>
                <w:rFonts w:hint="eastAsia" w:ascii="宋体" w:hAnsi="宋体" w:eastAsia="宋体" w:cs="宋体"/>
                <w:b/>
                <w:bCs/>
                <w:color w:val="auto"/>
                <w:sz w:val="22"/>
                <w:highlight w:val="none"/>
              </w:rPr>
              <w:t>路</w:t>
            </w:r>
            <w:r>
              <w:rPr>
                <w:rFonts w:hint="eastAsia" w:ascii="宋体" w:hAnsi="宋体" w:eastAsia="宋体" w:cs="宋体"/>
                <w:b/>
                <w:color w:val="auto"/>
                <w:sz w:val="22"/>
                <w:highlight w:val="none"/>
              </w:rPr>
              <w:t>线</w:t>
            </w:r>
          </w:p>
        </w:tc>
      </w:tr>
      <w:tr w14:paraId="7270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07E6BB54">
            <w:pPr>
              <w:jc w:val="center"/>
              <w:rPr>
                <w:rFonts w:hint="eastAsia"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1</w:t>
            </w:r>
          </w:p>
        </w:tc>
        <w:tc>
          <w:tcPr>
            <w:tcW w:w="697" w:type="dxa"/>
            <w:vAlign w:val="center"/>
          </w:tcPr>
          <w:p w14:paraId="1E03A3CB">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49ED786B">
            <w:pPr>
              <w:jc w:val="center"/>
              <w:rPr>
                <w:rFonts w:hint="eastAsia" w:ascii="宋体" w:hAnsi="宋体" w:eastAsia="宋体" w:cs="宋体"/>
                <w:b/>
                <w:bCs/>
                <w:color w:val="auto"/>
                <w:sz w:val="24"/>
                <w:highlight w:val="none"/>
                <w:vertAlign w:val="baseline"/>
                <w:lang w:eastAsia="zh-CN"/>
              </w:rPr>
            </w:pPr>
          </w:p>
        </w:tc>
        <w:tc>
          <w:tcPr>
            <w:tcW w:w="867" w:type="dxa"/>
            <w:vAlign w:val="center"/>
          </w:tcPr>
          <w:p w14:paraId="7705A87D">
            <w:pPr>
              <w:jc w:val="center"/>
              <w:rPr>
                <w:rFonts w:hint="eastAsia" w:ascii="宋体" w:hAnsi="宋体" w:eastAsia="宋体" w:cs="宋体"/>
                <w:b/>
                <w:bCs/>
                <w:color w:val="auto"/>
                <w:sz w:val="24"/>
                <w:highlight w:val="none"/>
                <w:vertAlign w:val="baseline"/>
                <w:lang w:eastAsia="zh-CN"/>
              </w:rPr>
            </w:pPr>
          </w:p>
        </w:tc>
        <w:tc>
          <w:tcPr>
            <w:tcW w:w="783" w:type="dxa"/>
            <w:vAlign w:val="center"/>
          </w:tcPr>
          <w:p w14:paraId="487D2223">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5ED8552E">
            <w:pPr>
              <w:jc w:val="center"/>
              <w:rPr>
                <w:rFonts w:hint="eastAsia" w:ascii="宋体" w:hAnsi="宋体" w:eastAsia="宋体" w:cs="宋体"/>
                <w:b/>
                <w:bCs/>
                <w:color w:val="auto"/>
                <w:sz w:val="24"/>
                <w:highlight w:val="none"/>
                <w:vertAlign w:val="baseline"/>
                <w:lang w:eastAsia="zh-CN"/>
              </w:rPr>
            </w:pPr>
          </w:p>
        </w:tc>
        <w:tc>
          <w:tcPr>
            <w:tcW w:w="817" w:type="dxa"/>
            <w:vAlign w:val="center"/>
          </w:tcPr>
          <w:p w14:paraId="062E0D2F">
            <w:pPr>
              <w:jc w:val="center"/>
              <w:rPr>
                <w:rFonts w:hint="eastAsia" w:ascii="宋体" w:hAnsi="宋体" w:eastAsia="宋体" w:cs="宋体"/>
                <w:b/>
                <w:bCs/>
                <w:color w:val="auto"/>
                <w:sz w:val="24"/>
                <w:highlight w:val="none"/>
                <w:vertAlign w:val="baseline"/>
                <w:lang w:eastAsia="zh-CN"/>
              </w:rPr>
            </w:pPr>
          </w:p>
        </w:tc>
        <w:tc>
          <w:tcPr>
            <w:tcW w:w="700" w:type="dxa"/>
            <w:vAlign w:val="center"/>
          </w:tcPr>
          <w:p w14:paraId="27604F6E">
            <w:pPr>
              <w:jc w:val="center"/>
              <w:rPr>
                <w:rFonts w:hint="eastAsia" w:ascii="宋体" w:hAnsi="宋体" w:eastAsia="宋体" w:cs="宋体"/>
                <w:b/>
                <w:bCs/>
                <w:color w:val="auto"/>
                <w:sz w:val="24"/>
                <w:highlight w:val="none"/>
                <w:vertAlign w:val="baseline"/>
                <w:lang w:eastAsia="zh-CN"/>
              </w:rPr>
            </w:pPr>
          </w:p>
        </w:tc>
        <w:tc>
          <w:tcPr>
            <w:tcW w:w="750" w:type="dxa"/>
            <w:vAlign w:val="center"/>
          </w:tcPr>
          <w:p w14:paraId="706BC9A3">
            <w:pPr>
              <w:jc w:val="center"/>
              <w:rPr>
                <w:rFonts w:hint="eastAsia" w:ascii="宋体" w:hAnsi="宋体" w:eastAsia="宋体" w:cs="宋体"/>
                <w:b/>
                <w:bCs/>
                <w:color w:val="auto"/>
                <w:sz w:val="24"/>
                <w:highlight w:val="none"/>
                <w:vertAlign w:val="baseline"/>
                <w:lang w:eastAsia="zh-CN"/>
              </w:rPr>
            </w:pPr>
          </w:p>
        </w:tc>
        <w:tc>
          <w:tcPr>
            <w:tcW w:w="767" w:type="dxa"/>
            <w:vAlign w:val="center"/>
          </w:tcPr>
          <w:p w14:paraId="1E3A8A4C">
            <w:pPr>
              <w:jc w:val="center"/>
              <w:rPr>
                <w:rFonts w:hint="eastAsia" w:ascii="宋体" w:hAnsi="宋体" w:eastAsia="宋体" w:cs="宋体"/>
                <w:b/>
                <w:bCs/>
                <w:color w:val="auto"/>
                <w:sz w:val="24"/>
                <w:highlight w:val="none"/>
                <w:vertAlign w:val="baseline"/>
                <w:lang w:eastAsia="zh-CN"/>
              </w:rPr>
            </w:pPr>
          </w:p>
        </w:tc>
        <w:tc>
          <w:tcPr>
            <w:tcW w:w="833" w:type="dxa"/>
            <w:vAlign w:val="center"/>
          </w:tcPr>
          <w:p w14:paraId="025461F7">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18C75E0C">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2ED5334F">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54F7C164">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6EAF3DB4">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22652E2E">
            <w:pPr>
              <w:jc w:val="center"/>
              <w:rPr>
                <w:rFonts w:hint="eastAsia" w:ascii="宋体" w:hAnsi="宋体" w:eastAsia="宋体" w:cs="宋体"/>
                <w:b/>
                <w:bCs/>
                <w:color w:val="auto"/>
                <w:sz w:val="24"/>
                <w:highlight w:val="none"/>
                <w:vertAlign w:val="baseline"/>
                <w:lang w:eastAsia="zh-CN"/>
              </w:rPr>
            </w:pPr>
          </w:p>
        </w:tc>
        <w:tc>
          <w:tcPr>
            <w:tcW w:w="967" w:type="dxa"/>
            <w:vAlign w:val="center"/>
          </w:tcPr>
          <w:p w14:paraId="48A67DD5">
            <w:pPr>
              <w:jc w:val="center"/>
              <w:rPr>
                <w:rFonts w:hint="eastAsia" w:ascii="宋体" w:hAnsi="宋体" w:eastAsia="宋体" w:cs="宋体"/>
                <w:b/>
                <w:bCs/>
                <w:color w:val="auto"/>
                <w:sz w:val="24"/>
                <w:highlight w:val="none"/>
                <w:vertAlign w:val="baseline"/>
                <w:lang w:eastAsia="zh-CN"/>
              </w:rPr>
            </w:pPr>
          </w:p>
        </w:tc>
        <w:tc>
          <w:tcPr>
            <w:tcW w:w="937" w:type="dxa"/>
            <w:vAlign w:val="center"/>
          </w:tcPr>
          <w:p w14:paraId="43724D34">
            <w:pPr>
              <w:jc w:val="center"/>
              <w:rPr>
                <w:rFonts w:hint="eastAsia" w:ascii="宋体" w:hAnsi="宋体" w:eastAsia="宋体" w:cs="宋体"/>
                <w:b/>
                <w:bCs/>
                <w:color w:val="auto"/>
                <w:sz w:val="24"/>
                <w:highlight w:val="none"/>
                <w:vertAlign w:val="baseline"/>
                <w:lang w:eastAsia="zh-CN"/>
              </w:rPr>
            </w:pPr>
          </w:p>
        </w:tc>
      </w:tr>
      <w:tr w14:paraId="2420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189F631D">
            <w:pPr>
              <w:jc w:val="center"/>
              <w:rPr>
                <w:rFonts w:hint="eastAsia"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2</w:t>
            </w:r>
          </w:p>
        </w:tc>
        <w:tc>
          <w:tcPr>
            <w:tcW w:w="697" w:type="dxa"/>
            <w:vAlign w:val="center"/>
          </w:tcPr>
          <w:p w14:paraId="73B66D1F">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3755BAC8">
            <w:pPr>
              <w:jc w:val="center"/>
              <w:rPr>
                <w:rFonts w:hint="eastAsia" w:ascii="宋体" w:hAnsi="宋体" w:eastAsia="宋体" w:cs="宋体"/>
                <w:b/>
                <w:bCs/>
                <w:color w:val="auto"/>
                <w:sz w:val="24"/>
                <w:highlight w:val="none"/>
                <w:vertAlign w:val="baseline"/>
                <w:lang w:eastAsia="zh-CN"/>
              </w:rPr>
            </w:pPr>
          </w:p>
        </w:tc>
        <w:tc>
          <w:tcPr>
            <w:tcW w:w="867" w:type="dxa"/>
            <w:vAlign w:val="center"/>
          </w:tcPr>
          <w:p w14:paraId="6939B115">
            <w:pPr>
              <w:jc w:val="center"/>
              <w:rPr>
                <w:rFonts w:hint="eastAsia" w:ascii="宋体" w:hAnsi="宋体" w:eastAsia="宋体" w:cs="宋体"/>
                <w:b/>
                <w:bCs/>
                <w:color w:val="auto"/>
                <w:sz w:val="24"/>
                <w:highlight w:val="none"/>
                <w:vertAlign w:val="baseline"/>
                <w:lang w:eastAsia="zh-CN"/>
              </w:rPr>
            </w:pPr>
          </w:p>
        </w:tc>
        <w:tc>
          <w:tcPr>
            <w:tcW w:w="783" w:type="dxa"/>
            <w:vAlign w:val="center"/>
          </w:tcPr>
          <w:p w14:paraId="3D572F0C">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572EAA88">
            <w:pPr>
              <w:jc w:val="center"/>
              <w:rPr>
                <w:rFonts w:hint="eastAsia" w:ascii="宋体" w:hAnsi="宋体" w:eastAsia="宋体" w:cs="宋体"/>
                <w:b/>
                <w:bCs/>
                <w:color w:val="auto"/>
                <w:sz w:val="24"/>
                <w:highlight w:val="none"/>
                <w:vertAlign w:val="baseline"/>
                <w:lang w:eastAsia="zh-CN"/>
              </w:rPr>
            </w:pPr>
          </w:p>
        </w:tc>
        <w:tc>
          <w:tcPr>
            <w:tcW w:w="817" w:type="dxa"/>
            <w:vAlign w:val="center"/>
          </w:tcPr>
          <w:p w14:paraId="423AC87A">
            <w:pPr>
              <w:jc w:val="center"/>
              <w:rPr>
                <w:rFonts w:hint="eastAsia" w:ascii="宋体" w:hAnsi="宋体" w:eastAsia="宋体" w:cs="宋体"/>
                <w:b/>
                <w:bCs/>
                <w:color w:val="auto"/>
                <w:sz w:val="24"/>
                <w:highlight w:val="none"/>
                <w:vertAlign w:val="baseline"/>
                <w:lang w:eastAsia="zh-CN"/>
              </w:rPr>
            </w:pPr>
          </w:p>
        </w:tc>
        <w:tc>
          <w:tcPr>
            <w:tcW w:w="700" w:type="dxa"/>
            <w:vAlign w:val="center"/>
          </w:tcPr>
          <w:p w14:paraId="696FA83E">
            <w:pPr>
              <w:jc w:val="center"/>
              <w:rPr>
                <w:rFonts w:hint="eastAsia" w:ascii="宋体" w:hAnsi="宋体" w:eastAsia="宋体" w:cs="宋体"/>
                <w:b/>
                <w:bCs/>
                <w:color w:val="auto"/>
                <w:sz w:val="24"/>
                <w:highlight w:val="none"/>
                <w:vertAlign w:val="baseline"/>
                <w:lang w:eastAsia="zh-CN"/>
              </w:rPr>
            </w:pPr>
          </w:p>
        </w:tc>
        <w:tc>
          <w:tcPr>
            <w:tcW w:w="750" w:type="dxa"/>
            <w:vAlign w:val="center"/>
          </w:tcPr>
          <w:p w14:paraId="16A93D2C">
            <w:pPr>
              <w:jc w:val="center"/>
              <w:rPr>
                <w:rFonts w:hint="eastAsia" w:ascii="宋体" w:hAnsi="宋体" w:eastAsia="宋体" w:cs="宋体"/>
                <w:b/>
                <w:bCs/>
                <w:color w:val="auto"/>
                <w:sz w:val="24"/>
                <w:highlight w:val="none"/>
                <w:vertAlign w:val="baseline"/>
                <w:lang w:eastAsia="zh-CN"/>
              </w:rPr>
            </w:pPr>
          </w:p>
        </w:tc>
        <w:tc>
          <w:tcPr>
            <w:tcW w:w="767" w:type="dxa"/>
            <w:vAlign w:val="center"/>
          </w:tcPr>
          <w:p w14:paraId="4BDB83B5">
            <w:pPr>
              <w:jc w:val="center"/>
              <w:rPr>
                <w:rFonts w:hint="eastAsia" w:ascii="宋体" w:hAnsi="宋体" w:eastAsia="宋体" w:cs="宋体"/>
                <w:b/>
                <w:bCs/>
                <w:color w:val="auto"/>
                <w:sz w:val="24"/>
                <w:highlight w:val="none"/>
                <w:vertAlign w:val="baseline"/>
                <w:lang w:eastAsia="zh-CN"/>
              </w:rPr>
            </w:pPr>
          </w:p>
        </w:tc>
        <w:tc>
          <w:tcPr>
            <w:tcW w:w="833" w:type="dxa"/>
            <w:vAlign w:val="center"/>
          </w:tcPr>
          <w:p w14:paraId="5CB365B7">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29CD25FA">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0520FA86">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1C94C760">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61D909C7">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1B915BDD">
            <w:pPr>
              <w:jc w:val="center"/>
              <w:rPr>
                <w:rFonts w:hint="eastAsia" w:ascii="宋体" w:hAnsi="宋体" w:eastAsia="宋体" w:cs="宋体"/>
                <w:b/>
                <w:bCs/>
                <w:color w:val="auto"/>
                <w:sz w:val="24"/>
                <w:highlight w:val="none"/>
                <w:vertAlign w:val="baseline"/>
                <w:lang w:eastAsia="zh-CN"/>
              </w:rPr>
            </w:pPr>
          </w:p>
        </w:tc>
        <w:tc>
          <w:tcPr>
            <w:tcW w:w="967" w:type="dxa"/>
            <w:vAlign w:val="center"/>
          </w:tcPr>
          <w:p w14:paraId="3706471E">
            <w:pPr>
              <w:jc w:val="center"/>
              <w:rPr>
                <w:rFonts w:hint="eastAsia" w:ascii="宋体" w:hAnsi="宋体" w:eastAsia="宋体" w:cs="宋体"/>
                <w:b/>
                <w:bCs/>
                <w:color w:val="auto"/>
                <w:sz w:val="24"/>
                <w:highlight w:val="none"/>
                <w:vertAlign w:val="baseline"/>
                <w:lang w:eastAsia="zh-CN"/>
              </w:rPr>
            </w:pPr>
          </w:p>
        </w:tc>
        <w:tc>
          <w:tcPr>
            <w:tcW w:w="937" w:type="dxa"/>
            <w:vAlign w:val="center"/>
          </w:tcPr>
          <w:p w14:paraId="746A642E">
            <w:pPr>
              <w:jc w:val="center"/>
              <w:rPr>
                <w:rFonts w:hint="eastAsia" w:ascii="宋体" w:hAnsi="宋体" w:eastAsia="宋体" w:cs="宋体"/>
                <w:b/>
                <w:bCs/>
                <w:color w:val="auto"/>
                <w:sz w:val="24"/>
                <w:highlight w:val="none"/>
                <w:vertAlign w:val="baseline"/>
                <w:lang w:eastAsia="zh-CN"/>
              </w:rPr>
            </w:pPr>
          </w:p>
        </w:tc>
      </w:tr>
      <w:tr w14:paraId="3578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1F386480">
            <w:pPr>
              <w:jc w:val="center"/>
              <w:rPr>
                <w:rFonts w:hint="eastAsia"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3</w:t>
            </w:r>
          </w:p>
        </w:tc>
        <w:tc>
          <w:tcPr>
            <w:tcW w:w="697" w:type="dxa"/>
            <w:vAlign w:val="center"/>
          </w:tcPr>
          <w:p w14:paraId="163DCD52">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3938FC3F">
            <w:pPr>
              <w:jc w:val="center"/>
              <w:rPr>
                <w:rFonts w:hint="eastAsia" w:ascii="宋体" w:hAnsi="宋体" w:eastAsia="宋体" w:cs="宋体"/>
                <w:b/>
                <w:bCs/>
                <w:color w:val="auto"/>
                <w:sz w:val="24"/>
                <w:highlight w:val="none"/>
                <w:vertAlign w:val="baseline"/>
                <w:lang w:eastAsia="zh-CN"/>
              </w:rPr>
            </w:pPr>
          </w:p>
        </w:tc>
        <w:tc>
          <w:tcPr>
            <w:tcW w:w="867" w:type="dxa"/>
            <w:vAlign w:val="center"/>
          </w:tcPr>
          <w:p w14:paraId="3149BEDC">
            <w:pPr>
              <w:jc w:val="center"/>
              <w:rPr>
                <w:rFonts w:hint="eastAsia" w:ascii="宋体" w:hAnsi="宋体" w:eastAsia="宋体" w:cs="宋体"/>
                <w:b/>
                <w:bCs/>
                <w:color w:val="auto"/>
                <w:sz w:val="24"/>
                <w:highlight w:val="none"/>
                <w:vertAlign w:val="baseline"/>
                <w:lang w:eastAsia="zh-CN"/>
              </w:rPr>
            </w:pPr>
          </w:p>
        </w:tc>
        <w:tc>
          <w:tcPr>
            <w:tcW w:w="783" w:type="dxa"/>
            <w:vAlign w:val="center"/>
          </w:tcPr>
          <w:p w14:paraId="0BC10A0E">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2B54B6E0">
            <w:pPr>
              <w:jc w:val="center"/>
              <w:rPr>
                <w:rFonts w:hint="eastAsia" w:ascii="宋体" w:hAnsi="宋体" w:eastAsia="宋体" w:cs="宋体"/>
                <w:b/>
                <w:bCs/>
                <w:color w:val="auto"/>
                <w:sz w:val="24"/>
                <w:highlight w:val="none"/>
                <w:vertAlign w:val="baseline"/>
                <w:lang w:eastAsia="zh-CN"/>
              </w:rPr>
            </w:pPr>
          </w:p>
        </w:tc>
        <w:tc>
          <w:tcPr>
            <w:tcW w:w="817" w:type="dxa"/>
            <w:vAlign w:val="center"/>
          </w:tcPr>
          <w:p w14:paraId="2B6BA0DE">
            <w:pPr>
              <w:jc w:val="center"/>
              <w:rPr>
                <w:rFonts w:hint="eastAsia" w:ascii="宋体" w:hAnsi="宋体" w:eastAsia="宋体" w:cs="宋体"/>
                <w:b/>
                <w:bCs/>
                <w:color w:val="auto"/>
                <w:sz w:val="24"/>
                <w:highlight w:val="none"/>
                <w:vertAlign w:val="baseline"/>
                <w:lang w:eastAsia="zh-CN"/>
              </w:rPr>
            </w:pPr>
          </w:p>
        </w:tc>
        <w:tc>
          <w:tcPr>
            <w:tcW w:w="700" w:type="dxa"/>
            <w:vAlign w:val="center"/>
          </w:tcPr>
          <w:p w14:paraId="2A8F39D9">
            <w:pPr>
              <w:jc w:val="center"/>
              <w:rPr>
                <w:rFonts w:hint="eastAsia" w:ascii="宋体" w:hAnsi="宋体" w:eastAsia="宋体" w:cs="宋体"/>
                <w:b/>
                <w:bCs/>
                <w:color w:val="auto"/>
                <w:sz w:val="24"/>
                <w:highlight w:val="none"/>
                <w:vertAlign w:val="baseline"/>
                <w:lang w:eastAsia="zh-CN"/>
              </w:rPr>
            </w:pPr>
          </w:p>
        </w:tc>
        <w:tc>
          <w:tcPr>
            <w:tcW w:w="750" w:type="dxa"/>
            <w:vAlign w:val="center"/>
          </w:tcPr>
          <w:p w14:paraId="5CC53B95">
            <w:pPr>
              <w:jc w:val="center"/>
              <w:rPr>
                <w:rFonts w:hint="eastAsia" w:ascii="宋体" w:hAnsi="宋体" w:eastAsia="宋体" w:cs="宋体"/>
                <w:b/>
                <w:bCs/>
                <w:color w:val="auto"/>
                <w:sz w:val="24"/>
                <w:highlight w:val="none"/>
                <w:vertAlign w:val="baseline"/>
                <w:lang w:eastAsia="zh-CN"/>
              </w:rPr>
            </w:pPr>
          </w:p>
        </w:tc>
        <w:tc>
          <w:tcPr>
            <w:tcW w:w="767" w:type="dxa"/>
            <w:vAlign w:val="center"/>
          </w:tcPr>
          <w:p w14:paraId="2525D374">
            <w:pPr>
              <w:jc w:val="center"/>
              <w:rPr>
                <w:rFonts w:hint="eastAsia" w:ascii="宋体" w:hAnsi="宋体" w:eastAsia="宋体" w:cs="宋体"/>
                <w:b/>
                <w:bCs/>
                <w:color w:val="auto"/>
                <w:sz w:val="24"/>
                <w:highlight w:val="none"/>
                <w:vertAlign w:val="baseline"/>
                <w:lang w:eastAsia="zh-CN"/>
              </w:rPr>
            </w:pPr>
          </w:p>
        </w:tc>
        <w:tc>
          <w:tcPr>
            <w:tcW w:w="833" w:type="dxa"/>
            <w:vAlign w:val="center"/>
          </w:tcPr>
          <w:p w14:paraId="0C868668">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62B8831E">
            <w:pPr>
              <w:jc w:val="center"/>
              <w:rPr>
                <w:rFonts w:hint="eastAsia" w:ascii="宋体" w:hAnsi="宋体" w:eastAsia="宋体" w:cs="宋体"/>
                <w:b/>
                <w:bCs/>
                <w:color w:val="auto"/>
                <w:sz w:val="24"/>
                <w:highlight w:val="none"/>
                <w:vertAlign w:val="baseline"/>
                <w:lang w:eastAsia="zh-CN"/>
              </w:rPr>
            </w:pPr>
          </w:p>
        </w:tc>
        <w:tc>
          <w:tcPr>
            <w:tcW w:w="850" w:type="dxa"/>
            <w:vAlign w:val="center"/>
          </w:tcPr>
          <w:p w14:paraId="4A333C3C">
            <w:pPr>
              <w:jc w:val="center"/>
              <w:rPr>
                <w:rFonts w:hint="eastAsia" w:ascii="宋体" w:hAnsi="宋体" w:eastAsia="宋体" w:cs="宋体"/>
                <w:b/>
                <w:bCs/>
                <w:color w:val="auto"/>
                <w:sz w:val="24"/>
                <w:highlight w:val="none"/>
                <w:vertAlign w:val="baseline"/>
                <w:lang w:eastAsia="zh-CN"/>
              </w:rPr>
            </w:pPr>
          </w:p>
        </w:tc>
        <w:tc>
          <w:tcPr>
            <w:tcW w:w="800" w:type="dxa"/>
            <w:vAlign w:val="center"/>
          </w:tcPr>
          <w:p w14:paraId="26B11CC3">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5595B863">
            <w:pPr>
              <w:jc w:val="center"/>
              <w:rPr>
                <w:rFonts w:hint="eastAsia" w:ascii="宋体" w:hAnsi="宋体" w:eastAsia="宋体" w:cs="宋体"/>
                <w:b/>
                <w:bCs/>
                <w:color w:val="auto"/>
                <w:sz w:val="24"/>
                <w:highlight w:val="none"/>
                <w:vertAlign w:val="baseline"/>
                <w:lang w:eastAsia="zh-CN"/>
              </w:rPr>
            </w:pPr>
          </w:p>
        </w:tc>
        <w:tc>
          <w:tcPr>
            <w:tcW w:w="950" w:type="dxa"/>
            <w:vAlign w:val="center"/>
          </w:tcPr>
          <w:p w14:paraId="2CF0D53D">
            <w:pPr>
              <w:jc w:val="center"/>
              <w:rPr>
                <w:rFonts w:hint="eastAsia" w:ascii="宋体" w:hAnsi="宋体" w:eastAsia="宋体" w:cs="宋体"/>
                <w:b/>
                <w:bCs/>
                <w:color w:val="auto"/>
                <w:sz w:val="24"/>
                <w:highlight w:val="none"/>
                <w:vertAlign w:val="baseline"/>
                <w:lang w:eastAsia="zh-CN"/>
              </w:rPr>
            </w:pPr>
          </w:p>
        </w:tc>
        <w:tc>
          <w:tcPr>
            <w:tcW w:w="967" w:type="dxa"/>
            <w:vAlign w:val="center"/>
          </w:tcPr>
          <w:p w14:paraId="1A217DB8">
            <w:pPr>
              <w:jc w:val="center"/>
              <w:rPr>
                <w:rFonts w:hint="eastAsia" w:ascii="宋体" w:hAnsi="宋体" w:eastAsia="宋体" w:cs="宋体"/>
                <w:b/>
                <w:bCs/>
                <w:color w:val="auto"/>
                <w:sz w:val="24"/>
                <w:highlight w:val="none"/>
                <w:vertAlign w:val="baseline"/>
                <w:lang w:eastAsia="zh-CN"/>
              </w:rPr>
            </w:pPr>
          </w:p>
        </w:tc>
        <w:tc>
          <w:tcPr>
            <w:tcW w:w="937" w:type="dxa"/>
            <w:vAlign w:val="center"/>
          </w:tcPr>
          <w:p w14:paraId="596E07D2">
            <w:pPr>
              <w:jc w:val="center"/>
              <w:rPr>
                <w:rFonts w:hint="eastAsia" w:ascii="宋体" w:hAnsi="宋体" w:eastAsia="宋体" w:cs="宋体"/>
                <w:b/>
                <w:bCs/>
                <w:color w:val="auto"/>
                <w:sz w:val="24"/>
                <w:highlight w:val="none"/>
                <w:vertAlign w:val="baseline"/>
                <w:lang w:eastAsia="zh-CN"/>
              </w:rPr>
            </w:pPr>
          </w:p>
        </w:tc>
      </w:tr>
    </w:tbl>
    <w:p w14:paraId="367CC432">
      <w:pP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4"/>
          <w:highlight w:val="none"/>
          <w:lang w:eastAsia="zh-CN"/>
        </w:rPr>
        <w:t>说明：</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highlight w:val="none"/>
          <w:lang w:val="en-US" w:eastAsia="zh-CN"/>
        </w:rPr>
        <w:t>1、请各供应商根据表格内容填写各疗休养线路中的各项关键内容。</w:t>
      </w:r>
    </w:p>
    <w:p w14:paraId="672C750C">
      <w:pPr>
        <w:spacing w:line="240" w:lineRule="auto"/>
        <w:ind w:firstLine="840" w:firstLineChars="400"/>
        <w:rPr>
          <w:rFonts w:hint="eastAsia" w:ascii="宋体" w:hAnsi="宋体" w:eastAsia="宋体" w:cs="宋体"/>
          <w:b w:val="0"/>
          <w:bCs w:val="0"/>
          <w:color w:val="auto"/>
          <w:sz w:val="21"/>
          <w:szCs w:val="24"/>
          <w:highlight w:val="none"/>
        </w:rPr>
      </w:pP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sz w:val="21"/>
          <w:szCs w:val="24"/>
          <w:highlight w:val="none"/>
        </w:rPr>
        <w:t>本表可在不改变格式的情况下根据具体需要自行增减。</w:t>
      </w:r>
    </w:p>
    <w:p w14:paraId="712169CE">
      <w:pPr>
        <w:ind w:firstLine="840" w:firstLineChars="4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w:t>
      </w:r>
      <w:r>
        <w:rPr>
          <w:rFonts w:hint="eastAsia" w:ascii="宋体" w:hAnsi="宋体" w:eastAsia="宋体" w:cs="宋体"/>
          <w:b w:val="0"/>
          <w:bCs w:val="0"/>
          <w:color w:val="auto"/>
          <w:szCs w:val="21"/>
          <w:highlight w:val="none"/>
          <w:u w:val="single"/>
        </w:rPr>
        <w:t>▲此表</w:t>
      </w:r>
      <w:r>
        <w:rPr>
          <w:rFonts w:hint="eastAsia" w:ascii="宋体" w:hAnsi="宋体" w:eastAsia="宋体" w:cs="宋体"/>
          <w:b w:val="0"/>
          <w:bCs w:val="0"/>
          <w:color w:val="auto"/>
          <w:szCs w:val="21"/>
          <w:highlight w:val="none"/>
          <w:u w:val="single"/>
          <w:lang w:eastAsia="zh-CN"/>
        </w:rPr>
        <w:t>可</w:t>
      </w:r>
      <w:r>
        <w:rPr>
          <w:rFonts w:hint="eastAsia" w:ascii="宋体" w:hAnsi="宋体" w:eastAsia="宋体" w:cs="宋体"/>
          <w:b w:val="0"/>
          <w:bCs w:val="0"/>
          <w:color w:val="auto"/>
          <w:szCs w:val="21"/>
          <w:highlight w:val="none"/>
          <w:u w:val="single"/>
        </w:rPr>
        <w:t>自行增</w:t>
      </w:r>
      <w:r>
        <w:rPr>
          <w:rFonts w:hint="eastAsia" w:ascii="宋体" w:hAnsi="宋体" w:eastAsia="宋体" w:cs="宋体"/>
          <w:b w:val="0"/>
          <w:bCs w:val="0"/>
          <w:color w:val="auto"/>
          <w:szCs w:val="21"/>
          <w:highlight w:val="none"/>
          <w:u w:val="single"/>
          <w:lang w:eastAsia="zh-CN"/>
        </w:rPr>
        <w:t>加行</w:t>
      </w:r>
      <w:r>
        <w:rPr>
          <w:rFonts w:hint="eastAsia" w:ascii="宋体" w:hAnsi="宋体" w:eastAsia="宋体" w:cs="宋体"/>
          <w:b w:val="0"/>
          <w:bCs w:val="0"/>
          <w:color w:val="auto"/>
          <w:szCs w:val="21"/>
          <w:highlight w:val="none"/>
          <w:u w:val="single"/>
        </w:rPr>
        <w:t>，不提供此表格将被视为没有实质性响应</w:t>
      </w:r>
      <w:r>
        <w:rPr>
          <w:rFonts w:hint="eastAsia" w:ascii="宋体" w:hAnsi="宋体" w:eastAsia="宋体" w:cs="宋体"/>
          <w:b w:val="0"/>
          <w:bCs w:val="0"/>
          <w:color w:val="auto"/>
          <w:szCs w:val="21"/>
          <w:highlight w:val="none"/>
          <w:u w:val="single"/>
          <w:lang w:eastAsia="zh-CN"/>
        </w:rPr>
        <w:t>采购文件</w:t>
      </w:r>
      <w:r>
        <w:rPr>
          <w:rFonts w:hint="eastAsia" w:ascii="宋体" w:hAnsi="宋体" w:eastAsia="宋体" w:cs="宋体"/>
          <w:b w:val="0"/>
          <w:bCs w:val="0"/>
          <w:color w:val="auto"/>
          <w:szCs w:val="21"/>
          <w:highlight w:val="none"/>
          <w:u w:val="single"/>
        </w:rPr>
        <w:t>。</w:t>
      </w:r>
    </w:p>
    <w:p w14:paraId="19C993AC">
      <w:pPr>
        <w:rPr>
          <w:rFonts w:hint="eastAsia" w:ascii="宋体" w:hAnsi="宋体" w:eastAsia="宋体" w:cs="宋体"/>
          <w:color w:val="auto"/>
          <w:highlight w:val="none"/>
          <w:lang w:val="en-US" w:eastAsia="zh-CN"/>
        </w:rPr>
      </w:pPr>
    </w:p>
    <w:p w14:paraId="25080BA4">
      <w:pPr>
        <w:snapToGrid w:val="0"/>
        <w:spacing w:line="240" w:lineRule="auto"/>
        <w:ind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投标人全称（盖公章）：</w:t>
      </w:r>
    </w:p>
    <w:p w14:paraId="6A1ABECF">
      <w:pPr>
        <w:snapToGrid w:val="0"/>
        <w:spacing w:line="240" w:lineRule="auto"/>
        <w:ind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法定代表人或授权代表（签字或盖章）：</w:t>
      </w:r>
    </w:p>
    <w:p w14:paraId="4D12D641">
      <w:pPr>
        <w:snapToGrid w:val="0"/>
        <w:spacing w:line="240" w:lineRule="auto"/>
        <w:ind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日  期：</w:t>
      </w:r>
    </w:p>
    <w:p w14:paraId="1DC54298">
      <w:pPr>
        <w:pStyle w:val="24"/>
        <w:ind w:left="0" w:firstLine="0" w:firstLineChars="0"/>
        <w:rPr>
          <w:rFonts w:hint="eastAsia" w:ascii="宋体" w:hAnsi="宋体" w:eastAsia="宋体" w:cs="宋体"/>
          <w:sz w:val="22"/>
          <w:highlight w:val="none"/>
        </w:rPr>
      </w:pPr>
    </w:p>
    <w:p w14:paraId="6E55583E">
      <w:pPr>
        <w:pStyle w:val="2"/>
        <w:ind w:firstLine="0" w:firstLineChars="0"/>
        <w:rPr>
          <w:rFonts w:hint="eastAsia" w:ascii="宋体" w:hAnsi="宋体" w:eastAsia="宋体" w:cs="宋体"/>
          <w:b/>
          <w:bCs/>
          <w:sz w:val="28"/>
          <w:szCs w:val="28"/>
          <w:highlight w:val="none"/>
        </w:rPr>
        <w:sectPr>
          <w:pgSz w:w="16838" w:h="11906" w:orient="landscape"/>
          <w:pgMar w:top="1417" w:right="1474" w:bottom="1417" w:left="1417" w:header="737" w:footer="737" w:gutter="0"/>
          <w:cols w:space="0" w:num="1"/>
          <w:rtlGutter w:val="0"/>
          <w:docGrid w:linePitch="312" w:charSpace="0"/>
        </w:sectPr>
      </w:pPr>
    </w:p>
    <w:p w14:paraId="566E4DCC">
      <w:pPr>
        <w:spacing w:line="360" w:lineRule="auto"/>
        <w:jc w:val="left"/>
        <w:rPr>
          <w:rFonts w:hint="eastAsia" w:ascii="宋体" w:hAnsi="宋体" w:eastAsia="宋体" w:cs="宋体"/>
          <w:sz w:val="22"/>
          <w:highlight w:val="none"/>
        </w:rPr>
      </w:pPr>
      <w:r>
        <w:rPr>
          <w:rFonts w:hint="eastAsia" w:ascii="宋体" w:hAnsi="宋体" w:eastAsia="宋体" w:cs="宋体"/>
          <w:sz w:val="22"/>
          <w:highlight w:val="none"/>
        </w:rPr>
        <w:t>（商务（报价）标封面，供参考）</w:t>
      </w:r>
    </w:p>
    <w:p w14:paraId="204FD7C4">
      <w:pPr>
        <w:rPr>
          <w:rFonts w:hint="eastAsia" w:ascii="宋体" w:hAnsi="宋体" w:eastAsia="宋体" w:cs="宋体"/>
          <w:szCs w:val="24"/>
          <w:highlight w:val="none"/>
        </w:rPr>
      </w:pPr>
    </w:p>
    <w:p w14:paraId="0C4AC978">
      <w:pPr>
        <w:rPr>
          <w:rFonts w:hint="eastAsia" w:ascii="宋体" w:hAnsi="宋体" w:eastAsia="宋体" w:cs="宋体"/>
          <w:szCs w:val="24"/>
          <w:highlight w:val="none"/>
        </w:rPr>
      </w:pPr>
    </w:p>
    <w:p w14:paraId="60F09CED">
      <w:pPr>
        <w:ind w:left="562" w:hanging="562" w:hangingChars="200"/>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14:paraId="6B2EB5FF">
      <w:pPr>
        <w:ind w:left="562" w:hanging="562" w:hangingChars="200"/>
        <w:jc w:val="right"/>
        <w:rPr>
          <w:rFonts w:hint="eastAsia" w:ascii="宋体" w:hAnsi="宋体" w:eastAsia="宋体" w:cs="宋体"/>
          <w:b/>
          <w:bCs/>
          <w:sz w:val="28"/>
          <w:szCs w:val="28"/>
          <w:highlight w:val="none"/>
        </w:rPr>
      </w:pPr>
    </w:p>
    <w:p w14:paraId="774CC5B4">
      <w:pPr>
        <w:rPr>
          <w:rFonts w:hint="eastAsia" w:ascii="宋体" w:hAnsi="宋体" w:eastAsia="宋体" w:cs="宋体"/>
          <w:szCs w:val="24"/>
          <w:highlight w:val="none"/>
        </w:rPr>
      </w:pPr>
    </w:p>
    <w:p w14:paraId="0420EE55">
      <w:pPr>
        <w:ind w:left="480" w:hanging="480" w:hangingChars="200"/>
        <w:rPr>
          <w:rFonts w:hint="eastAsia" w:ascii="宋体" w:hAnsi="宋体" w:eastAsia="宋体" w:cs="宋体"/>
          <w:sz w:val="24"/>
          <w:szCs w:val="24"/>
          <w:highlight w:val="none"/>
        </w:rPr>
      </w:pPr>
    </w:p>
    <w:p w14:paraId="2C67762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投标文件</w:t>
      </w:r>
    </w:p>
    <w:p w14:paraId="1E534EF1">
      <w:pPr>
        <w:rPr>
          <w:rFonts w:hint="eastAsia" w:ascii="宋体" w:hAnsi="宋体" w:eastAsia="宋体" w:cs="宋体"/>
          <w:sz w:val="28"/>
          <w:szCs w:val="28"/>
          <w:highlight w:val="none"/>
        </w:rPr>
      </w:pPr>
    </w:p>
    <w:p w14:paraId="6C65C1A6">
      <w:pPr>
        <w:rPr>
          <w:rFonts w:hint="eastAsia" w:ascii="宋体" w:hAnsi="宋体" w:eastAsia="宋体" w:cs="宋体"/>
          <w:sz w:val="28"/>
          <w:szCs w:val="28"/>
          <w:highlight w:val="none"/>
        </w:rPr>
      </w:pPr>
    </w:p>
    <w:p w14:paraId="49F5B0D0">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56399A00">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3131505D">
      <w:pPr>
        <w:rPr>
          <w:rFonts w:hint="eastAsia" w:ascii="宋体" w:hAnsi="宋体" w:eastAsia="宋体" w:cs="宋体"/>
          <w:sz w:val="28"/>
          <w:szCs w:val="28"/>
          <w:highlight w:val="none"/>
        </w:rPr>
      </w:pPr>
    </w:p>
    <w:p w14:paraId="47AB6E98">
      <w:pPr>
        <w:rPr>
          <w:rFonts w:hint="eastAsia" w:ascii="宋体" w:hAnsi="宋体" w:eastAsia="宋体" w:cs="宋体"/>
          <w:sz w:val="28"/>
          <w:szCs w:val="28"/>
          <w:highlight w:val="none"/>
        </w:rPr>
      </w:pPr>
    </w:p>
    <w:p w14:paraId="0689B676">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商 务（报 价） 标</w:t>
      </w:r>
    </w:p>
    <w:p w14:paraId="44633092">
      <w:pPr>
        <w:spacing w:line="480" w:lineRule="auto"/>
        <w:jc w:val="center"/>
        <w:rPr>
          <w:rFonts w:hint="eastAsia" w:ascii="宋体" w:hAnsi="宋体" w:eastAsia="宋体" w:cs="宋体"/>
          <w:szCs w:val="21"/>
          <w:highlight w:val="none"/>
        </w:rPr>
      </w:pPr>
      <w:r>
        <w:rPr>
          <w:rFonts w:hint="eastAsia" w:ascii="宋体" w:hAnsi="宋体" w:eastAsia="宋体" w:cs="宋体"/>
          <w:sz w:val="44"/>
          <w:szCs w:val="44"/>
          <w:highlight w:val="none"/>
        </w:rPr>
        <w:t>（开标时启封）</w:t>
      </w:r>
    </w:p>
    <w:p w14:paraId="2C782242">
      <w:pPr>
        <w:spacing w:line="360" w:lineRule="auto"/>
        <w:rPr>
          <w:rFonts w:hint="eastAsia" w:ascii="宋体" w:hAnsi="宋体" w:eastAsia="宋体" w:cs="宋体"/>
          <w:szCs w:val="21"/>
          <w:highlight w:val="none"/>
        </w:rPr>
      </w:pPr>
    </w:p>
    <w:p w14:paraId="042158A1">
      <w:pPr>
        <w:spacing w:line="360" w:lineRule="auto"/>
        <w:rPr>
          <w:rFonts w:hint="eastAsia" w:ascii="宋体" w:hAnsi="宋体" w:eastAsia="宋体" w:cs="宋体"/>
          <w:szCs w:val="21"/>
          <w:highlight w:val="none"/>
        </w:rPr>
      </w:pPr>
    </w:p>
    <w:p w14:paraId="5834663E">
      <w:pPr>
        <w:spacing w:line="360" w:lineRule="auto"/>
        <w:rPr>
          <w:rFonts w:hint="eastAsia" w:ascii="宋体" w:hAnsi="宋体" w:eastAsia="宋体" w:cs="宋体"/>
          <w:szCs w:val="21"/>
          <w:highlight w:val="none"/>
        </w:rPr>
      </w:pPr>
    </w:p>
    <w:p w14:paraId="5196C6D2">
      <w:pPr>
        <w:spacing w:line="360" w:lineRule="auto"/>
        <w:rPr>
          <w:rFonts w:hint="eastAsia" w:ascii="宋体" w:hAnsi="宋体" w:eastAsia="宋体" w:cs="宋体"/>
          <w:szCs w:val="21"/>
          <w:highlight w:val="none"/>
        </w:rPr>
      </w:pPr>
    </w:p>
    <w:p w14:paraId="6E82239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71385504">
      <w:pPr>
        <w:rPr>
          <w:rFonts w:hint="eastAsia" w:ascii="宋体" w:hAnsi="宋体" w:eastAsia="宋体" w:cs="宋体"/>
          <w:sz w:val="28"/>
          <w:szCs w:val="28"/>
          <w:highlight w:val="none"/>
          <w:u w:val="single"/>
        </w:rPr>
      </w:pPr>
    </w:p>
    <w:p w14:paraId="666A55F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5C2CEC49">
      <w:pPr>
        <w:rPr>
          <w:rFonts w:hint="eastAsia" w:ascii="宋体" w:hAnsi="宋体" w:eastAsia="宋体" w:cs="宋体"/>
          <w:sz w:val="28"/>
          <w:szCs w:val="28"/>
          <w:highlight w:val="none"/>
        </w:rPr>
      </w:pPr>
    </w:p>
    <w:p w14:paraId="1CF19842">
      <w:pPr>
        <w:overflowPunct w:val="0"/>
        <w:spacing w:line="380" w:lineRule="exact"/>
        <w:ind w:firstLine="2738" w:firstLineChars="978"/>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2712632A">
      <w:pPr>
        <w:spacing w:line="380" w:lineRule="exact"/>
        <w:rPr>
          <w:rFonts w:hint="eastAsia" w:ascii="宋体" w:hAnsi="宋体" w:eastAsia="宋体" w:cs="宋体"/>
          <w:b/>
          <w:bCs/>
          <w:sz w:val="22"/>
          <w:highlight w:val="none"/>
          <w:lang w:val="en-US"/>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九</w:t>
      </w:r>
    </w:p>
    <w:p w14:paraId="1B60E122">
      <w:pPr>
        <w:pStyle w:val="3"/>
        <w:jc w:val="center"/>
        <w:rPr>
          <w:rFonts w:hint="eastAsia" w:ascii="宋体" w:hAnsi="宋体" w:eastAsia="宋体" w:cs="宋体"/>
          <w:sz w:val="30"/>
          <w:szCs w:val="30"/>
          <w:lang w:eastAsia="zh-CN"/>
        </w:rPr>
      </w:pPr>
      <w:r>
        <w:rPr>
          <w:rFonts w:hint="eastAsia" w:ascii="宋体" w:hAnsi="宋体" w:eastAsia="宋体" w:cs="宋体"/>
          <w:b/>
          <w:bCs/>
          <w:sz w:val="30"/>
          <w:szCs w:val="30"/>
          <w:highlight w:val="none"/>
        </w:rPr>
        <w:t>开标一览表</w:t>
      </w:r>
    </w:p>
    <w:p w14:paraId="7558F448">
      <w:pPr>
        <w:spacing w:line="380" w:lineRule="exact"/>
        <w:jc w:val="center"/>
        <w:rPr>
          <w:rFonts w:hint="eastAsia" w:ascii="宋体" w:hAnsi="宋体" w:eastAsia="宋体" w:cs="宋体"/>
          <w:bCs/>
          <w:sz w:val="28"/>
          <w:szCs w:val="24"/>
          <w:highlight w:val="none"/>
        </w:rPr>
      </w:pPr>
    </w:p>
    <w:p w14:paraId="4DF4021C">
      <w:pPr>
        <w:tabs>
          <w:tab w:val="left" w:pos="7890"/>
        </w:tabs>
        <w:spacing w:line="380" w:lineRule="exact"/>
        <w:ind w:right="349" w:rightChars="166"/>
        <w:rPr>
          <w:rFonts w:hint="eastAsia" w:ascii="宋体" w:hAnsi="宋体" w:eastAsia="宋体" w:cs="宋体"/>
          <w:sz w:val="22"/>
          <w:szCs w:val="24"/>
          <w:highlight w:val="none"/>
        </w:rPr>
      </w:pPr>
      <w:r>
        <w:rPr>
          <w:rFonts w:hint="eastAsia" w:ascii="宋体" w:hAnsi="宋体" w:eastAsia="宋体" w:cs="宋体"/>
          <w:sz w:val="22"/>
          <w:szCs w:val="24"/>
          <w:highlight w:val="none"/>
        </w:rPr>
        <w:t>项目编号：</w:t>
      </w:r>
    </w:p>
    <w:tbl>
      <w:tblPr>
        <w:tblStyle w:val="25"/>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1940"/>
        <w:gridCol w:w="2155"/>
        <w:gridCol w:w="1573"/>
        <w:gridCol w:w="1247"/>
      </w:tblGrid>
      <w:tr w14:paraId="68A1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2186" w:type="dxa"/>
            <w:tcBorders>
              <w:top w:val="single" w:color="auto" w:sz="4" w:space="0"/>
              <w:left w:val="single" w:color="auto" w:sz="4" w:space="0"/>
              <w:bottom w:val="single" w:color="auto" w:sz="4" w:space="0"/>
              <w:right w:val="single" w:color="auto" w:sz="4" w:space="0"/>
            </w:tcBorders>
            <w:noWrap/>
            <w:vAlign w:val="center"/>
          </w:tcPr>
          <w:p w14:paraId="7E007909">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项目名称</w:t>
            </w:r>
          </w:p>
        </w:tc>
        <w:tc>
          <w:tcPr>
            <w:tcW w:w="1940" w:type="dxa"/>
            <w:tcBorders>
              <w:top w:val="single" w:color="auto" w:sz="4" w:space="0"/>
              <w:left w:val="single" w:color="auto" w:sz="4" w:space="0"/>
              <w:bottom w:val="single" w:color="auto" w:sz="4" w:space="0"/>
              <w:right w:val="single" w:color="auto" w:sz="4" w:space="0"/>
            </w:tcBorders>
            <w:noWrap/>
            <w:vAlign w:val="center"/>
          </w:tcPr>
          <w:p w14:paraId="413EC66D">
            <w:pPr>
              <w:ind w:firstLine="0" w:firstLineChars="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服务内容</w:t>
            </w:r>
          </w:p>
        </w:tc>
        <w:tc>
          <w:tcPr>
            <w:tcW w:w="2155" w:type="dxa"/>
            <w:tcBorders>
              <w:top w:val="single" w:color="auto" w:sz="4" w:space="0"/>
              <w:left w:val="single" w:color="auto" w:sz="4" w:space="0"/>
              <w:bottom w:val="single" w:color="auto" w:sz="4" w:space="0"/>
              <w:right w:val="single" w:color="auto" w:sz="4" w:space="0"/>
            </w:tcBorders>
            <w:noWrap/>
            <w:vAlign w:val="center"/>
          </w:tcPr>
          <w:p w14:paraId="729E7594">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eastAsia="zh-CN"/>
              </w:rPr>
              <w:t>单人综合单价</w:t>
            </w:r>
          </w:p>
        </w:tc>
        <w:tc>
          <w:tcPr>
            <w:tcW w:w="1573" w:type="dxa"/>
            <w:tcBorders>
              <w:top w:val="single" w:color="auto" w:sz="4" w:space="0"/>
              <w:left w:val="single" w:color="auto" w:sz="4" w:space="0"/>
              <w:bottom w:val="single" w:color="auto" w:sz="4" w:space="0"/>
              <w:right w:val="single" w:color="auto" w:sz="4" w:space="0"/>
            </w:tcBorders>
            <w:noWrap/>
            <w:vAlign w:val="center"/>
          </w:tcPr>
          <w:p w14:paraId="7014D456">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1247" w:type="dxa"/>
            <w:tcBorders>
              <w:top w:val="single" w:color="auto" w:sz="4" w:space="0"/>
              <w:left w:val="single" w:color="auto" w:sz="4" w:space="0"/>
              <w:bottom w:val="single" w:color="auto" w:sz="4" w:space="0"/>
              <w:right w:val="single" w:color="auto" w:sz="4" w:space="0"/>
            </w:tcBorders>
            <w:noWrap/>
            <w:vAlign w:val="center"/>
          </w:tcPr>
          <w:p w14:paraId="6B9EF889">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服务期</w:t>
            </w:r>
          </w:p>
        </w:tc>
      </w:tr>
      <w:tr w14:paraId="4410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186" w:type="dxa"/>
            <w:tcBorders>
              <w:top w:val="single" w:color="auto" w:sz="4" w:space="0"/>
              <w:left w:val="single" w:color="auto" w:sz="4" w:space="0"/>
              <w:bottom w:val="single" w:color="auto" w:sz="4" w:space="0"/>
              <w:right w:val="single" w:color="auto" w:sz="4" w:space="0"/>
            </w:tcBorders>
            <w:noWrap/>
            <w:vAlign w:val="center"/>
          </w:tcPr>
          <w:p w14:paraId="53B6F10A">
            <w:pPr>
              <w:spacing w:line="320" w:lineRule="exact"/>
              <w:jc w:val="center"/>
              <w:rPr>
                <w:rFonts w:hint="eastAsia" w:ascii="宋体" w:hAnsi="宋体" w:eastAsia="宋体" w:cs="宋体"/>
                <w:b/>
                <w:color w:val="auto"/>
                <w:sz w:val="22"/>
                <w:szCs w:val="22"/>
                <w:highlight w:val="none"/>
                <w:lang w:val="en-US" w:eastAsia="zh-CN"/>
              </w:rPr>
            </w:pPr>
          </w:p>
        </w:tc>
        <w:tc>
          <w:tcPr>
            <w:tcW w:w="1940" w:type="dxa"/>
            <w:tcBorders>
              <w:top w:val="single" w:color="auto" w:sz="4" w:space="0"/>
              <w:left w:val="single" w:color="auto" w:sz="4" w:space="0"/>
              <w:bottom w:val="single" w:color="auto" w:sz="4" w:space="0"/>
              <w:right w:val="single" w:color="auto" w:sz="4" w:space="0"/>
            </w:tcBorders>
            <w:noWrap/>
            <w:vAlign w:val="center"/>
          </w:tcPr>
          <w:p w14:paraId="4FE3F5BF">
            <w:pPr>
              <w:spacing w:line="320" w:lineRule="exact"/>
              <w:jc w:val="center"/>
              <w:rPr>
                <w:rFonts w:hint="eastAsia" w:ascii="宋体" w:hAnsi="宋体" w:eastAsia="宋体" w:cs="宋体"/>
                <w:b/>
                <w:color w:val="auto"/>
                <w:sz w:val="22"/>
                <w:szCs w:val="22"/>
                <w:highlight w:val="none"/>
              </w:rPr>
            </w:pPr>
          </w:p>
        </w:tc>
        <w:tc>
          <w:tcPr>
            <w:tcW w:w="2155" w:type="dxa"/>
            <w:tcBorders>
              <w:top w:val="single" w:color="auto" w:sz="4" w:space="0"/>
              <w:left w:val="single" w:color="auto" w:sz="4" w:space="0"/>
              <w:bottom w:val="single" w:color="auto" w:sz="4" w:space="0"/>
              <w:right w:val="single" w:color="auto" w:sz="4" w:space="0"/>
            </w:tcBorders>
            <w:noWrap/>
            <w:vAlign w:val="center"/>
          </w:tcPr>
          <w:p w14:paraId="2E60C660">
            <w:pPr>
              <w:spacing w:line="320" w:lineRule="exact"/>
              <w:jc w:val="center"/>
              <w:rPr>
                <w:rFonts w:hint="eastAsia" w:ascii="宋体" w:hAnsi="宋体" w:eastAsia="宋体" w:cs="宋体"/>
                <w:b/>
                <w:bCs/>
                <w:color w:val="auto"/>
                <w:sz w:val="22"/>
                <w:szCs w:val="22"/>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8C1B7F5">
            <w:pPr>
              <w:spacing w:line="320" w:lineRule="exact"/>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899</w:t>
            </w:r>
            <w:r>
              <w:rPr>
                <w:rFonts w:hint="eastAsia" w:ascii="宋体" w:hAnsi="宋体" w:eastAsia="宋体" w:cs="宋体"/>
                <w:b/>
                <w:bCs/>
                <w:color w:val="auto"/>
                <w:sz w:val="22"/>
                <w:szCs w:val="22"/>
                <w:highlight w:val="none"/>
              </w:rPr>
              <w:t>人</w:t>
            </w:r>
          </w:p>
        </w:tc>
        <w:tc>
          <w:tcPr>
            <w:tcW w:w="1247" w:type="dxa"/>
            <w:tcBorders>
              <w:top w:val="single" w:color="auto" w:sz="4" w:space="0"/>
              <w:left w:val="single" w:color="auto" w:sz="4" w:space="0"/>
              <w:bottom w:val="single" w:color="auto" w:sz="4" w:space="0"/>
              <w:right w:val="single" w:color="auto" w:sz="4" w:space="0"/>
            </w:tcBorders>
            <w:noWrap/>
            <w:vAlign w:val="center"/>
          </w:tcPr>
          <w:p w14:paraId="2CBA68F3">
            <w:pPr>
              <w:spacing w:line="320" w:lineRule="exact"/>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壹年</w:t>
            </w:r>
          </w:p>
        </w:tc>
      </w:tr>
      <w:tr w14:paraId="1F35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9101" w:type="dxa"/>
            <w:gridSpan w:val="5"/>
            <w:tcBorders>
              <w:top w:val="single" w:color="auto" w:sz="4" w:space="0"/>
              <w:left w:val="single" w:color="auto" w:sz="4" w:space="0"/>
              <w:bottom w:val="single" w:color="auto" w:sz="4" w:space="0"/>
              <w:right w:val="single" w:color="auto" w:sz="4" w:space="0"/>
            </w:tcBorders>
            <w:noWrap/>
            <w:vAlign w:val="center"/>
          </w:tcPr>
          <w:p w14:paraId="221A67F9">
            <w:pPr>
              <w:spacing w:line="320" w:lineRule="exact"/>
              <w:jc w:val="left"/>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投标</w:t>
            </w:r>
            <w:r>
              <w:rPr>
                <w:rFonts w:hint="eastAsia" w:ascii="宋体" w:hAnsi="宋体" w:eastAsia="宋体" w:cs="宋体"/>
                <w:color w:val="auto"/>
                <w:highlight w:val="none"/>
                <w:lang w:eastAsia="zh-CN"/>
              </w:rPr>
              <w:t>总价</w:t>
            </w:r>
            <w:r>
              <w:rPr>
                <w:rFonts w:hint="eastAsia" w:ascii="宋体" w:hAnsi="宋体" w:eastAsia="宋体" w:cs="宋体"/>
                <w:color w:val="auto"/>
                <w:highlight w:val="none"/>
              </w:rPr>
              <w:t>报价（大写）：</w:t>
            </w:r>
            <w:r>
              <w:rPr>
                <w:rFonts w:hint="eastAsia" w:ascii="宋体" w:hAnsi="宋体" w:eastAsia="宋体" w:cs="宋体"/>
                <w:color w:val="auto"/>
                <w:highlight w:val="none"/>
                <w:u w:val="single"/>
                <w:lang w:val="en-US" w:eastAsia="zh-CN"/>
              </w:rPr>
              <w:t xml:space="preserve">             元整</w:t>
            </w:r>
          </w:p>
          <w:p w14:paraId="2DA35BF0">
            <w:pPr>
              <w:spacing w:line="320" w:lineRule="exact"/>
              <w:jc w:val="left"/>
              <w:rPr>
                <w:rFonts w:hint="eastAsia" w:ascii="宋体" w:hAnsi="宋体" w:eastAsia="宋体" w:cs="宋体"/>
                <w:color w:val="auto"/>
                <w:highlight w:val="none"/>
                <w:u w:val="single"/>
              </w:rPr>
            </w:pPr>
          </w:p>
          <w:p w14:paraId="493CACAD">
            <w:pPr>
              <w:spacing w:line="320" w:lineRule="exact"/>
              <w:ind w:firstLine="1680" w:firstLineChars="800"/>
              <w:jc w:val="left"/>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小写：</w:t>
            </w:r>
            <w:r>
              <w:rPr>
                <w:rFonts w:hint="eastAsia" w:ascii="宋体" w:hAnsi="宋体" w:eastAsia="宋体" w:cs="宋体"/>
                <w:color w:val="auto"/>
                <w:highlight w:val="none"/>
                <w:u w:val="single"/>
                <w:lang w:val="en-US" w:eastAsia="zh-CN"/>
              </w:rPr>
              <w:t xml:space="preserve">             元</w:t>
            </w:r>
          </w:p>
        </w:tc>
      </w:tr>
    </w:tbl>
    <w:p w14:paraId="27B6DDE5">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说明：</w:t>
      </w:r>
    </w:p>
    <w:p w14:paraId="562D8EC0">
      <w:pPr>
        <w:ind w:left="0" w:firstLine="0" w:firstLineChars="0"/>
        <w:rPr>
          <w:rFonts w:hint="default" w:ascii="宋体" w:hAnsi="宋体" w:eastAsia="宋体" w:cs="宋体"/>
          <w:sz w:val="22"/>
          <w:szCs w:val="24"/>
          <w:highlight w:val="none"/>
          <w:u w:val="single"/>
          <w:lang w:val="en-US" w:eastAsia="zh-CN"/>
        </w:rPr>
      </w:pPr>
      <w:r>
        <w:rPr>
          <w:rFonts w:hint="eastAsia" w:ascii="宋体" w:hAnsi="宋体" w:eastAsia="宋体" w:cs="宋体"/>
          <w:sz w:val="22"/>
          <w:szCs w:val="24"/>
          <w:highlight w:val="none"/>
        </w:rPr>
        <w:t>1、投标报价包含的内容详见投标人须知第12条规定。</w:t>
      </w:r>
      <w:r>
        <w:rPr>
          <w:rFonts w:hint="eastAsia" w:ascii="宋体" w:hAnsi="宋体" w:eastAsia="宋体" w:cs="宋体"/>
          <w:b/>
          <w:bCs/>
          <w:sz w:val="22"/>
          <w:szCs w:val="24"/>
          <w:highlight w:val="none"/>
          <w:u w:val="single"/>
        </w:rPr>
        <w:t>▲</w:t>
      </w:r>
      <w:r>
        <w:rPr>
          <w:rFonts w:hint="eastAsia" w:ascii="宋体" w:hAnsi="宋体" w:eastAsia="宋体" w:cs="宋体"/>
          <w:b/>
          <w:bCs/>
          <w:sz w:val="22"/>
          <w:szCs w:val="24"/>
          <w:highlight w:val="none"/>
          <w:u w:val="single"/>
          <w:lang w:val="en-US" w:eastAsia="zh-CN"/>
        </w:rPr>
        <w:t>采购文件中规定的综合单价报价是指旅游线路中金额为3000元部分的单价报价（超出单价部分费用按采购文件规定由参加疗休养人员承担，乙方自行向参加疗休养人员收取）</w:t>
      </w:r>
      <w:r>
        <w:rPr>
          <w:rFonts w:hint="eastAsia" w:ascii="宋体" w:hAnsi="宋体" w:eastAsia="宋体" w:cs="宋体"/>
          <w:sz w:val="22"/>
          <w:szCs w:val="24"/>
          <w:highlight w:val="none"/>
          <w:u w:val="single"/>
          <w:lang w:val="en-US" w:eastAsia="zh-CN"/>
        </w:rPr>
        <w:t>。</w:t>
      </w:r>
      <w:r>
        <w:rPr>
          <w:rFonts w:hint="eastAsia" w:ascii="宋体" w:hAnsi="宋体" w:eastAsia="宋体" w:cs="宋体"/>
          <w:b/>
          <w:bCs/>
          <w:sz w:val="22"/>
          <w:szCs w:val="24"/>
          <w:highlight w:val="none"/>
          <w:u w:val="single"/>
        </w:rPr>
        <w:t>单人综合单价超过3000元/人或</w:t>
      </w:r>
      <w:r>
        <w:rPr>
          <w:rFonts w:hint="eastAsia" w:ascii="宋体" w:hAnsi="宋体" w:eastAsia="宋体" w:cs="宋体"/>
          <w:b/>
          <w:bCs/>
          <w:sz w:val="22"/>
          <w:szCs w:val="24"/>
          <w:highlight w:val="none"/>
          <w:u w:val="single"/>
          <w:lang w:val="en-US" w:eastAsia="zh-CN"/>
        </w:rPr>
        <w:t>投标</w:t>
      </w:r>
      <w:r>
        <w:rPr>
          <w:rFonts w:hint="eastAsia" w:ascii="宋体" w:hAnsi="宋体" w:eastAsia="宋体" w:cs="宋体"/>
          <w:b/>
          <w:bCs/>
          <w:sz w:val="22"/>
          <w:szCs w:val="24"/>
          <w:highlight w:val="none"/>
          <w:u w:val="single"/>
        </w:rPr>
        <w:t>总</w:t>
      </w:r>
      <w:r>
        <w:rPr>
          <w:rFonts w:hint="eastAsia" w:ascii="宋体" w:hAnsi="宋体" w:eastAsia="宋体" w:cs="宋体"/>
          <w:b/>
          <w:bCs/>
          <w:sz w:val="22"/>
          <w:szCs w:val="24"/>
          <w:highlight w:val="none"/>
          <w:u w:val="single"/>
          <w:lang w:val="en-US" w:eastAsia="zh-CN"/>
        </w:rPr>
        <w:t>报</w:t>
      </w:r>
      <w:r>
        <w:rPr>
          <w:rFonts w:hint="eastAsia" w:ascii="宋体" w:hAnsi="宋体" w:eastAsia="宋体" w:cs="宋体"/>
          <w:b/>
          <w:bCs/>
          <w:sz w:val="22"/>
          <w:szCs w:val="24"/>
          <w:highlight w:val="none"/>
          <w:u w:val="single"/>
        </w:rPr>
        <w:t>价超过269.7万元的按无效标处理</w:t>
      </w:r>
      <w:r>
        <w:rPr>
          <w:rFonts w:hint="eastAsia" w:ascii="宋体" w:hAnsi="宋体" w:eastAsia="宋体" w:cs="宋体"/>
          <w:sz w:val="22"/>
          <w:szCs w:val="24"/>
          <w:highlight w:val="none"/>
        </w:rPr>
        <w:t>。</w:t>
      </w:r>
    </w:p>
    <w:p w14:paraId="056455C1">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u w:val="single"/>
          <w:lang w:val="en-US" w:eastAsia="zh-CN"/>
        </w:rPr>
        <w:t>2</w:t>
      </w:r>
      <w:r>
        <w:rPr>
          <w:rFonts w:hint="eastAsia" w:ascii="宋体" w:hAnsi="宋体" w:eastAsia="宋体" w:cs="宋体"/>
          <w:sz w:val="22"/>
          <w:szCs w:val="24"/>
          <w:highlight w:val="none"/>
          <w:u w:val="single"/>
        </w:rPr>
        <w:t>、▲不提供此表格将被视为没有满足采购文件的实质性要求</w:t>
      </w:r>
      <w:r>
        <w:rPr>
          <w:rFonts w:hint="eastAsia" w:ascii="宋体" w:hAnsi="宋体" w:eastAsia="宋体" w:cs="宋体"/>
          <w:sz w:val="22"/>
          <w:szCs w:val="24"/>
          <w:highlight w:val="none"/>
        </w:rPr>
        <w:t>。</w:t>
      </w:r>
    </w:p>
    <w:p w14:paraId="3C64CD16">
      <w:pPr>
        <w:spacing w:after="120"/>
        <w:jc w:val="left"/>
        <w:textAlignment w:val="baseline"/>
        <w:rPr>
          <w:rFonts w:hint="eastAsia" w:ascii="宋体" w:hAnsi="宋体" w:eastAsia="宋体" w:cs="宋体"/>
          <w:szCs w:val="24"/>
          <w:highlight w:val="none"/>
        </w:rPr>
      </w:pPr>
      <w:r>
        <w:rPr>
          <w:rFonts w:hint="eastAsia" w:ascii="宋体" w:hAnsi="宋体" w:eastAsia="宋体" w:cs="宋体"/>
          <w:sz w:val="22"/>
          <w:szCs w:val="24"/>
          <w:highlight w:val="none"/>
          <w:u w:val="single"/>
          <w:lang w:val="en-US" w:eastAsia="zh-CN"/>
        </w:rPr>
        <w:t>3</w:t>
      </w:r>
      <w:r>
        <w:rPr>
          <w:rFonts w:hint="eastAsia" w:ascii="宋体" w:hAnsi="宋体" w:eastAsia="宋体" w:cs="宋体"/>
          <w:sz w:val="22"/>
          <w:szCs w:val="24"/>
          <w:highlight w:val="none"/>
          <w:u w:val="single"/>
        </w:rPr>
        <w:t>、▲以上报价不得出现在技术标中</w:t>
      </w:r>
      <w:r>
        <w:rPr>
          <w:rFonts w:hint="eastAsia" w:ascii="宋体" w:hAnsi="宋体" w:eastAsia="宋体" w:cs="宋体"/>
          <w:sz w:val="22"/>
          <w:szCs w:val="24"/>
          <w:highlight w:val="none"/>
        </w:rPr>
        <w:t>。</w:t>
      </w:r>
    </w:p>
    <w:p w14:paraId="441CD04C">
      <w:pPr>
        <w:spacing w:line="380" w:lineRule="exact"/>
        <w:rPr>
          <w:rFonts w:hint="eastAsia" w:ascii="宋体" w:hAnsi="宋体" w:eastAsia="宋体" w:cs="宋体"/>
          <w:b/>
          <w:bCs/>
          <w:sz w:val="22"/>
          <w:highlight w:val="none"/>
          <w:u w:val="single"/>
        </w:rPr>
      </w:pPr>
    </w:p>
    <w:p w14:paraId="168DBA80">
      <w:pPr>
        <w:spacing w:line="380" w:lineRule="exact"/>
        <w:rPr>
          <w:rFonts w:hint="eastAsia" w:ascii="宋体" w:hAnsi="宋体" w:eastAsia="宋体" w:cs="宋体"/>
          <w:sz w:val="22"/>
          <w:szCs w:val="24"/>
          <w:highlight w:val="none"/>
        </w:rPr>
      </w:pPr>
    </w:p>
    <w:p w14:paraId="5EA5E433">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3760554B">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581943C0">
      <w:pPr>
        <w:rPr>
          <w:rFonts w:hint="eastAsia" w:ascii="宋体" w:hAnsi="宋体" w:eastAsia="宋体" w:cs="宋体"/>
          <w:sz w:val="22"/>
          <w:highlight w:val="none"/>
        </w:rPr>
      </w:pPr>
      <w:r>
        <w:rPr>
          <w:rFonts w:hint="eastAsia" w:ascii="宋体" w:hAnsi="宋体" w:eastAsia="宋体" w:cs="宋体"/>
          <w:sz w:val="22"/>
          <w:highlight w:val="none"/>
        </w:rPr>
        <w:t>日  期：</w:t>
      </w:r>
    </w:p>
    <w:p w14:paraId="1B7E5AED">
      <w:pPr>
        <w:spacing w:line="380" w:lineRule="exact"/>
        <w:rPr>
          <w:rFonts w:hint="eastAsia" w:ascii="宋体" w:hAnsi="宋体" w:eastAsia="宋体" w:cs="宋体"/>
          <w:b/>
          <w:bCs/>
          <w:sz w:val="22"/>
          <w:highlight w:val="none"/>
          <w:lang w:val="en-US" w:eastAsia="zh-CN"/>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十</w:t>
      </w:r>
    </w:p>
    <w:p w14:paraId="56EAD1DB">
      <w:pPr>
        <w:spacing w:line="460" w:lineRule="exact"/>
        <w:jc w:val="center"/>
        <w:rPr>
          <w:rFonts w:hint="eastAsia" w:ascii="宋体" w:hAnsi="宋体" w:eastAsia="宋体" w:cs="宋体"/>
          <w:b/>
          <w:bCs/>
          <w:i/>
          <w:iCs/>
          <w:snapToGrid w:val="0"/>
          <w:color w:val="0000FF"/>
          <w:kern w:val="0"/>
          <w:sz w:val="30"/>
          <w:szCs w:val="30"/>
          <w:highlight w:val="none"/>
          <w:u w:val="single"/>
          <w:lang w:val="en-US" w:eastAsia="zh-CN" w:bidi="ar-SA"/>
        </w:rPr>
      </w:pPr>
      <w:r>
        <w:rPr>
          <w:rFonts w:hint="eastAsia" w:ascii="宋体" w:hAnsi="宋体" w:eastAsia="宋体" w:cs="宋体"/>
          <w:b/>
          <w:bCs/>
          <w:sz w:val="30"/>
          <w:szCs w:val="30"/>
          <w:highlight w:val="none"/>
        </w:rPr>
        <w:t>投标分项报价表</w:t>
      </w:r>
    </w:p>
    <w:p w14:paraId="6F35D75A">
      <w:pPr>
        <w:spacing w:line="380" w:lineRule="exact"/>
        <w:ind w:firstLine="331" w:firstLineChars="150"/>
        <w:rPr>
          <w:rFonts w:hint="eastAsia" w:ascii="宋体" w:hAnsi="宋体" w:eastAsia="宋体" w:cs="宋体"/>
          <w:b/>
          <w:bCs/>
          <w:sz w:val="22"/>
          <w:highlight w:val="none"/>
        </w:rPr>
      </w:pPr>
      <w:bookmarkStart w:id="202" w:name="_Toc262105510"/>
      <w:bookmarkStart w:id="203" w:name="_Toc262049425"/>
      <w:bookmarkStart w:id="204" w:name="_Toc249758871"/>
      <w:bookmarkStart w:id="205" w:name="_Toc448846626"/>
      <w:bookmarkStart w:id="206" w:name="_Toc249758721"/>
    </w:p>
    <w:p w14:paraId="1729B7AA">
      <w:pPr>
        <w:spacing w:line="380" w:lineRule="exact"/>
        <w:rPr>
          <w:rFonts w:hint="eastAsia" w:ascii="宋体" w:hAnsi="宋体" w:eastAsia="宋体" w:cs="宋体"/>
          <w:b/>
          <w:bCs/>
          <w:sz w:val="22"/>
          <w:highlight w:val="none"/>
        </w:rPr>
      </w:pPr>
      <w:r>
        <w:rPr>
          <w:rFonts w:hint="eastAsia" w:ascii="宋体" w:hAnsi="宋体" w:eastAsia="宋体" w:cs="宋体"/>
          <w:b/>
          <w:bCs/>
          <w:sz w:val="22"/>
          <w:highlight w:val="none"/>
          <w:lang w:val="en-US" w:eastAsia="zh-CN"/>
        </w:rPr>
        <w:t>项目</w:t>
      </w:r>
      <w:r>
        <w:rPr>
          <w:rFonts w:hint="eastAsia" w:ascii="宋体" w:hAnsi="宋体" w:eastAsia="宋体" w:cs="宋体"/>
          <w:b/>
          <w:bCs/>
          <w:sz w:val="22"/>
          <w:highlight w:val="none"/>
        </w:rPr>
        <w:t xml:space="preserve">名称： </w:t>
      </w:r>
      <w:r>
        <w:rPr>
          <w:rFonts w:hint="eastAsia" w:ascii="宋体" w:hAnsi="宋体" w:eastAsia="宋体" w:cs="宋体"/>
          <w:sz w:val="22"/>
          <w:highlight w:val="none"/>
        </w:rPr>
        <w:t xml:space="preserve">                              </w:t>
      </w:r>
      <w:r>
        <w:rPr>
          <w:rFonts w:hint="eastAsia" w:ascii="宋体" w:hAnsi="宋体" w:eastAsia="宋体" w:cs="宋体"/>
          <w:b/>
          <w:bCs/>
          <w:sz w:val="22"/>
          <w:highlight w:val="none"/>
        </w:rPr>
        <w:t xml:space="preserve"> </w:t>
      </w:r>
      <w:r>
        <w:rPr>
          <w:rFonts w:hint="eastAsia" w:ascii="宋体" w:hAnsi="宋体" w:eastAsia="宋体" w:cs="宋体"/>
          <w:b/>
          <w:bCs/>
          <w:sz w:val="22"/>
          <w:highlight w:val="none"/>
          <w:lang w:val="en-US" w:eastAsia="zh-CN"/>
        </w:rPr>
        <w:t>项目</w:t>
      </w:r>
      <w:r>
        <w:rPr>
          <w:rFonts w:hint="eastAsia" w:ascii="宋体" w:hAnsi="宋体" w:eastAsia="宋体" w:cs="宋体"/>
          <w:b/>
          <w:bCs/>
          <w:sz w:val="22"/>
          <w:highlight w:val="none"/>
        </w:rPr>
        <w:t>编号：</w:t>
      </w:r>
    </w:p>
    <w:tbl>
      <w:tblPr>
        <w:tblStyle w:val="25"/>
        <w:tblW w:w="907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6"/>
        <w:gridCol w:w="4018"/>
        <w:gridCol w:w="3524"/>
        <w:gridCol w:w="773"/>
      </w:tblGrid>
      <w:tr w14:paraId="6D303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9071" w:type="dxa"/>
            <w:gridSpan w:val="4"/>
            <w:tcBorders>
              <w:top w:val="single" w:color="auto" w:sz="4" w:space="0"/>
              <w:left w:val="single" w:color="auto" w:sz="4" w:space="0"/>
              <w:bottom w:val="single" w:color="auto" w:sz="4" w:space="0"/>
              <w:right w:val="single" w:color="auto" w:sz="4" w:space="0"/>
            </w:tcBorders>
            <w:noWrap w:val="0"/>
            <w:vAlign w:val="center"/>
          </w:tcPr>
          <w:p w14:paraId="3AF64A09">
            <w:pPr>
              <w:tabs>
                <w:tab w:val="left" w:pos="1418"/>
              </w:tabs>
              <w:snapToGrid w:val="0"/>
              <w:spacing w:line="340" w:lineRule="exact"/>
              <w:jc w:val="center"/>
              <w:rPr>
                <w:rFonts w:hint="eastAsia" w:ascii="宋体" w:hAnsi="宋体" w:eastAsia="宋体" w:cs="宋体"/>
                <w:b/>
                <w:color w:val="auto"/>
                <w:spacing w:val="20"/>
                <w:sz w:val="22"/>
                <w:highlight w:val="none"/>
              </w:rPr>
            </w:pPr>
            <w:r>
              <w:rPr>
                <w:rFonts w:hint="eastAsia" w:ascii="宋体" w:hAnsi="宋体" w:eastAsia="宋体" w:cs="宋体"/>
                <w:b/>
                <w:color w:val="auto"/>
                <w:sz w:val="22"/>
                <w:highlight w:val="none"/>
                <w:lang w:eastAsia="zh-CN"/>
              </w:rPr>
              <w:t>市域</w:t>
            </w:r>
            <w:r>
              <w:rPr>
                <w:rFonts w:hint="eastAsia" w:ascii="宋体" w:hAnsi="宋体" w:eastAsia="宋体" w:cs="宋体"/>
                <w:b/>
                <w:color w:val="auto"/>
                <w:sz w:val="22"/>
                <w:highlight w:val="none"/>
              </w:rPr>
              <w:t>路线</w:t>
            </w:r>
          </w:p>
        </w:tc>
      </w:tr>
      <w:tr w14:paraId="75C11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1584FA0C">
            <w:pPr>
              <w:tabs>
                <w:tab w:val="left" w:pos="1418"/>
              </w:tabs>
              <w:snapToGrid w:val="0"/>
              <w:spacing w:line="340" w:lineRule="exact"/>
              <w:jc w:val="center"/>
              <w:rPr>
                <w:rFonts w:hint="eastAsia" w:ascii="宋体" w:hAnsi="宋体" w:eastAsia="宋体" w:cs="宋体"/>
                <w:b/>
                <w:color w:val="auto"/>
                <w:spacing w:val="20"/>
                <w:sz w:val="22"/>
                <w:highlight w:val="none"/>
              </w:rPr>
            </w:pPr>
            <w:r>
              <w:rPr>
                <w:rFonts w:hint="eastAsia" w:ascii="宋体" w:hAnsi="宋体" w:eastAsia="宋体" w:cs="宋体"/>
                <w:b/>
                <w:color w:val="auto"/>
                <w:sz w:val="22"/>
                <w:highlight w:val="none"/>
              </w:rPr>
              <w:t>序号</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16D2799F">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费用名称</w:t>
            </w:r>
          </w:p>
        </w:tc>
        <w:tc>
          <w:tcPr>
            <w:tcW w:w="3524" w:type="dxa"/>
            <w:tcBorders>
              <w:top w:val="single" w:color="auto" w:sz="4" w:space="0"/>
              <w:left w:val="single" w:color="auto" w:sz="4" w:space="0"/>
              <w:bottom w:val="single" w:color="auto" w:sz="4" w:space="0"/>
              <w:right w:val="single" w:color="auto" w:sz="4" w:space="0"/>
            </w:tcBorders>
            <w:noWrap w:val="0"/>
            <w:vAlign w:val="center"/>
          </w:tcPr>
          <w:p w14:paraId="1947B558">
            <w:pPr>
              <w:tabs>
                <w:tab w:val="left" w:pos="1418"/>
              </w:tabs>
              <w:snapToGrid w:val="0"/>
              <w:spacing w:line="340" w:lineRule="exact"/>
              <w:jc w:val="center"/>
              <w:rPr>
                <w:rFonts w:hint="eastAsia" w:ascii="宋体" w:hAnsi="宋体" w:eastAsia="宋体" w:cs="宋体"/>
                <w:b/>
                <w:color w:val="auto"/>
                <w:spacing w:val="20"/>
                <w:sz w:val="22"/>
                <w:highlight w:val="none"/>
              </w:rPr>
            </w:pPr>
            <w:r>
              <w:rPr>
                <w:rFonts w:hint="eastAsia" w:ascii="宋体" w:hAnsi="宋体" w:eastAsia="宋体" w:cs="宋体"/>
                <w:b/>
                <w:color w:val="auto"/>
                <w:sz w:val="22"/>
                <w:highlight w:val="none"/>
              </w:rPr>
              <w:t>单价（元/人）</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0D11C7DF">
            <w:pPr>
              <w:tabs>
                <w:tab w:val="left" w:pos="1418"/>
              </w:tabs>
              <w:snapToGrid w:val="0"/>
              <w:spacing w:line="340" w:lineRule="exact"/>
              <w:rPr>
                <w:rFonts w:hint="eastAsia" w:ascii="宋体" w:hAnsi="宋体" w:eastAsia="宋体" w:cs="宋体"/>
                <w:b/>
                <w:color w:val="auto"/>
                <w:spacing w:val="20"/>
                <w:sz w:val="22"/>
                <w:highlight w:val="none"/>
              </w:rPr>
            </w:pPr>
            <w:r>
              <w:rPr>
                <w:rFonts w:hint="eastAsia" w:ascii="宋体" w:hAnsi="宋体" w:eastAsia="宋体" w:cs="宋体"/>
                <w:b/>
                <w:color w:val="auto"/>
                <w:sz w:val="22"/>
                <w:highlight w:val="none"/>
              </w:rPr>
              <w:t>备注</w:t>
            </w:r>
          </w:p>
        </w:tc>
      </w:tr>
      <w:tr w14:paraId="138B8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672DB13E">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36EF106C">
            <w:pPr>
              <w:tabs>
                <w:tab w:val="left" w:pos="1418"/>
              </w:tabs>
              <w:snapToGrid w:val="0"/>
              <w:spacing w:line="340" w:lineRule="exact"/>
              <w:jc w:val="center"/>
              <w:rPr>
                <w:rFonts w:hint="eastAsia" w:ascii="宋体" w:hAnsi="宋体" w:eastAsia="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14:paraId="5E94CD83">
            <w:pPr>
              <w:tabs>
                <w:tab w:val="left" w:pos="1418"/>
              </w:tabs>
              <w:snapToGrid w:val="0"/>
              <w:spacing w:line="340" w:lineRule="exact"/>
              <w:rPr>
                <w:rFonts w:hint="eastAsia" w:ascii="宋体" w:hAnsi="宋体" w:eastAsia="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A69E721">
            <w:pPr>
              <w:tabs>
                <w:tab w:val="left" w:pos="1418"/>
              </w:tabs>
              <w:snapToGrid w:val="0"/>
              <w:spacing w:line="340" w:lineRule="exact"/>
              <w:rPr>
                <w:rFonts w:hint="eastAsia" w:ascii="宋体" w:hAnsi="宋体" w:eastAsia="宋体" w:cs="宋体"/>
                <w:b/>
                <w:color w:val="auto"/>
                <w:sz w:val="22"/>
                <w:highlight w:val="none"/>
              </w:rPr>
            </w:pPr>
          </w:p>
        </w:tc>
      </w:tr>
      <w:tr w14:paraId="4ABD8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11EBA22C">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4AB28580">
            <w:pPr>
              <w:tabs>
                <w:tab w:val="left" w:pos="1418"/>
              </w:tabs>
              <w:snapToGrid w:val="0"/>
              <w:spacing w:line="340" w:lineRule="exact"/>
              <w:jc w:val="center"/>
              <w:rPr>
                <w:rFonts w:hint="eastAsia" w:ascii="宋体" w:hAnsi="宋体" w:eastAsia="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14:paraId="02C7A9E4">
            <w:pPr>
              <w:tabs>
                <w:tab w:val="left" w:pos="1418"/>
              </w:tabs>
              <w:snapToGrid w:val="0"/>
              <w:spacing w:line="340" w:lineRule="exact"/>
              <w:rPr>
                <w:rFonts w:hint="eastAsia" w:ascii="宋体" w:hAnsi="宋体" w:eastAsia="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272E679">
            <w:pPr>
              <w:tabs>
                <w:tab w:val="left" w:pos="1418"/>
              </w:tabs>
              <w:snapToGrid w:val="0"/>
              <w:spacing w:line="340" w:lineRule="exact"/>
              <w:rPr>
                <w:rFonts w:hint="eastAsia" w:ascii="宋体" w:hAnsi="宋体" w:eastAsia="宋体" w:cs="宋体"/>
                <w:b/>
                <w:color w:val="auto"/>
                <w:sz w:val="22"/>
                <w:highlight w:val="none"/>
              </w:rPr>
            </w:pPr>
          </w:p>
        </w:tc>
      </w:tr>
      <w:tr w14:paraId="60A80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26B09EC5">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485147D8">
            <w:pPr>
              <w:tabs>
                <w:tab w:val="left" w:pos="1418"/>
              </w:tabs>
              <w:snapToGrid w:val="0"/>
              <w:spacing w:line="340" w:lineRule="exact"/>
              <w:jc w:val="center"/>
              <w:rPr>
                <w:rFonts w:hint="eastAsia" w:ascii="宋体" w:hAnsi="宋体" w:eastAsia="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14:paraId="7A520277">
            <w:pPr>
              <w:tabs>
                <w:tab w:val="left" w:pos="1418"/>
              </w:tabs>
              <w:snapToGrid w:val="0"/>
              <w:spacing w:line="340" w:lineRule="exact"/>
              <w:jc w:val="center"/>
              <w:rPr>
                <w:rFonts w:hint="eastAsia" w:ascii="宋体" w:hAnsi="宋体" w:eastAsia="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1C8C00EE">
            <w:pPr>
              <w:tabs>
                <w:tab w:val="left" w:pos="1418"/>
              </w:tabs>
              <w:snapToGrid w:val="0"/>
              <w:spacing w:line="340" w:lineRule="exact"/>
              <w:jc w:val="center"/>
              <w:rPr>
                <w:rFonts w:hint="eastAsia" w:ascii="宋体" w:hAnsi="宋体" w:eastAsia="宋体" w:cs="宋体"/>
                <w:b/>
                <w:color w:val="auto"/>
                <w:sz w:val="22"/>
                <w:highlight w:val="none"/>
              </w:rPr>
            </w:pPr>
          </w:p>
        </w:tc>
      </w:tr>
      <w:tr w14:paraId="0AF5F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214B19D4">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7BDA1AB8">
            <w:pPr>
              <w:tabs>
                <w:tab w:val="left" w:pos="1418"/>
              </w:tabs>
              <w:snapToGrid w:val="0"/>
              <w:spacing w:line="340" w:lineRule="exact"/>
              <w:jc w:val="center"/>
              <w:rPr>
                <w:rFonts w:hint="eastAsia" w:ascii="宋体" w:hAnsi="宋体" w:eastAsia="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14:paraId="2ABC8580">
            <w:pPr>
              <w:tabs>
                <w:tab w:val="left" w:pos="1418"/>
              </w:tabs>
              <w:snapToGrid w:val="0"/>
              <w:spacing w:line="340" w:lineRule="exact"/>
              <w:jc w:val="center"/>
              <w:rPr>
                <w:rFonts w:hint="eastAsia" w:ascii="宋体" w:hAnsi="宋体" w:eastAsia="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42D20520">
            <w:pPr>
              <w:tabs>
                <w:tab w:val="left" w:pos="1418"/>
              </w:tabs>
              <w:snapToGrid w:val="0"/>
              <w:spacing w:line="340" w:lineRule="exact"/>
              <w:jc w:val="center"/>
              <w:rPr>
                <w:rFonts w:hint="eastAsia" w:ascii="宋体" w:hAnsi="宋体" w:eastAsia="宋体" w:cs="宋体"/>
                <w:b/>
                <w:color w:val="auto"/>
                <w:sz w:val="22"/>
                <w:highlight w:val="none"/>
              </w:rPr>
            </w:pPr>
          </w:p>
        </w:tc>
      </w:tr>
      <w:tr w14:paraId="3C30C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071" w:type="dxa"/>
            <w:gridSpan w:val="4"/>
            <w:tcBorders>
              <w:top w:val="single" w:color="auto" w:sz="4" w:space="0"/>
              <w:left w:val="single" w:color="auto" w:sz="4" w:space="0"/>
              <w:bottom w:val="single" w:color="auto" w:sz="4" w:space="0"/>
              <w:right w:val="single" w:color="auto" w:sz="4" w:space="0"/>
            </w:tcBorders>
            <w:noWrap w:val="0"/>
            <w:vAlign w:val="center"/>
          </w:tcPr>
          <w:p w14:paraId="0AB74D5E">
            <w:pPr>
              <w:tabs>
                <w:tab w:val="left" w:pos="1418"/>
              </w:tabs>
              <w:snapToGrid w:val="0"/>
              <w:spacing w:line="340" w:lineRule="exact"/>
              <w:ind w:firstLine="0" w:firstLineChars="0"/>
              <w:jc w:val="left"/>
              <w:rPr>
                <w:rFonts w:hint="eastAsia" w:ascii="宋体" w:hAnsi="宋体" w:eastAsia="宋体" w:cs="宋体"/>
                <w:b/>
                <w:color w:val="auto"/>
                <w:sz w:val="22"/>
                <w:highlight w:val="none"/>
                <w:u w:val="none"/>
                <w:lang w:val="en-US" w:eastAsia="zh-CN"/>
              </w:rPr>
            </w:pPr>
            <w:r>
              <w:rPr>
                <w:rFonts w:hint="eastAsia" w:ascii="宋体" w:hAnsi="宋体" w:eastAsia="宋体" w:cs="宋体"/>
                <w:b/>
                <w:color w:val="auto"/>
                <w:sz w:val="22"/>
                <w:highlight w:val="none"/>
                <w:lang w:eastAsia="zh-CN"/>
              </w:rPr>
              <w:t>市域</w:t>
            </w:r>
            <w:r>
              <w:rPr>
                <w:rFonts w:hint="eastAsia" w:ascii="宋体" w:hAnsi="宋体" w:eastAsia="宋体" w:cs="宋体"/>
                <w:b/>
                <w:color w:val="auto"/>
                <w:sz w:val="22"/>
                <w:highlight w:val="none"/>
              </w:rPr>
              <w:t>路线投标单价：大写：</w:t>
            </w:r>
            <w:r>
              <w:rPr>
                <w:rFonts w:hint="eastAsia" w:ascii="宋体" w:hAnsi="宋体" w:eastAsia="宋体" w:cs="宋体"/>
                <w:b/>
                <w:color w:val="auto"/>
                <w:sz w:val="22"/>
                <w:highlight w:val="none"/>
                <w:u w:val="single"/>
                <w:lang w:val="en-US" w:eastAsia="zh-CN"/>
              </w:rPr>
              <w:t xml:space="preserve">             </w:t>
            </w:r>
            <w:r>
              <w:rPr>
                <w:rFonts w:hint="eastAsia" w:ascii="宋体" w:hAnsi="宋体" w:eastAsia="宋体" w:cs="宋体"/>
                <w:b/>
                <w:color w:val="auto"/>
                <w:sz w:val="22"/>
                <w:highlight w:val="none"/>
                <w:u w:val="none"/>
                <w:lang w:val="en-US" w:eastAsia="zh-CN"/>
              </w:rPr>
              <w:t>元整</w:t>
            </w:r>
          </w:p>
          <w:p w14:paraId="6DA682BA">
            <w:pPr>
              <w:tabs>
                <w:tab w:val="left" w:pos="1418"/>
              </w:tabs>
              <w:snapToGrid w:val="0"/>
              <w:spacing w:line="340" w:lineRule="exact"/>
              <w:ind w:firstLine="1988" w:firstLineChars="900"/>
              <w:jc w:val="left"/>
              <w:rPr>
                <w:rFonts w:hint="eastAsia" w:ascii="宋体" w:hAnsi="宋体" w:eastAsia="宋体" w:cs="宋体"/>
                <w:b/>
                <w:color w:val="auto"/>
                <w:sz w:val="22"/>
                <w:highlight w:val="none"/>
                <w:lang w:val="en-US" w:eastAsia="zh-CN"/>
              </w:rPr>
            </w:pPr>
            <w:r>
              <w:rPr>
                <w:rFonts w:hint="eastAsia" w:ascii="宋体" w:hAnsi="宋体" w:eastAsia="宋体" w:cs="宋体"/>
                <w:b/>
                <w:color w:val="auto"/>
                <w:sz w:val="22"/>
                <w:highlight w:val="none"/>
              </w:rPr>
              <w:t>小写：</w:t>
            </w:r>
            <w:r>
              <w:rPr>
                <w:rFonts w:hint="eastAsia" w:ascii="宋体" w:hAnsi="宋体" w:eastAsia="宋体" w:cs="宋体"/>
                <w:b/>
                <w:color w:val="auto"/>
                <w:sz w:val="22"/>
                <w:highlight w:val="none"/>
                <w:u w:val="single"/>
                <w:lang w:val="en-US" w:eastAsia="zh-CN"/>
              </w:rPr>
              <w:t xml:space="preserve">             </w:t>
            </w:r>
            <w:r>
              <w:rPr>
                <w:rFonts w:hint="eastAsia" w:ascii="宋体" w:hAnsi="宋体" w:eastAsia="宋体" w:cs="宋体"/>
                <w:b/>
                <w:color w:val="auto"/>
                <w:sz w:val="22"/>
                <w:highlight w:val="none"/>
                <w:u w:val="none"/>
                <w:lang w:val="en-US" w:eastAsia="zh-CN"/>
              </w:rPr>
              <w:t>元</w:t>
            </w:r>
          </w:p>
        </w:tc>
      </w:tr>
      <w:tr w14:paraId="591F5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071" w:type="dxa"/>
            <w:gridSpan w:val="4"/>
            <w:tcBorders>
              <w:top w:val="single" w:color="auto" w:sz="4" w:space="0"/>
              <w:left w:val="single" w:color="auto" w:sz="4" w:space="0"/>
              <w:bottom w:val="single" w:color="auto" w:sz="4" w:space="0"/>
              <w:right w:val="single" w:color="auto" w:sz="4" w:space="0"/>
            </w:tcBorders>
            <w:noWrap w:val="0"/>
            <w:vAlign w:val="center"/>
          </w:tcPr>
          <w:p w14:paraId="45544FE1">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省内路线</w:t>
            </w:r>
          </w:p>
        </w:tc>
      </w:tr>
      <w:tr w14:paraId="0DB6E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43FD5E5A">
            <w:pPr>
              <w:tabs>
                <w:tab w:val="left" w:pos="1418"/>
              </w:tabs>
              <w:snapToGrid w:val="0"/>
              <w:spacing w:line="340" w:lineRule="exact"/>
              <w:jc w:val="center"/>
              <w:rPr>
                <w:rFonts w:hint="eastAsia" w:ascii="宋体" w:hAnsi="宋体" w:eastAsia="宋体" w:cs="宋体"/>
                <w:b/>
                <w:color w:val="auto"/>
                <w:spacing w:val="20"/>
                <w:sz w:val="22"/>
                <w:highlight w:val="none"/>
              </w:rPr>
            </w:pPr>
            <w:r>
              <w:rPr>
                <w:rFonts w:hint="eastAsia" w:ascii="宋体" w:hAnsi="宋体" w:eastAsia="宋体" w:cs="宋体"/>
                <w:b/>
                <w:color w:val="auto"/>
                <w:sz w:val="22"/>
                <w:highlight w:val="none"/>
              </w:rPr>
              <w:t>序号</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20E8C055">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费用名称</w:t>
            </w:r>
          </w:p>
        </w:tc>
        <w:tc>
          <w:tcPr>
            <w:tcW w:w="3524" w:type="dxa"/>
            <w:tcBorders>
              <w:top w:val="single" w:color="auto" w:sz="4" w:space="0"/>
              <w:left w:val="single" w:color="auto" w:sz="4" w:space="0"/>
              <w:bottom w:val="single" w:color="auto" w:sz="4" w:space="0"/>
              <w:right w:val="single" w:color="auto" w:sz="4" w:space="0"/>
            </w:tcBorders>
            <w:noWrap w:val="0"/>
            <w:vAlign w:val="center"/>
          </w:tcPr>
          <w:p w14:paraId="64D9847C">
            <w:pPr>
              <w:tabs>
                <w:tab w:val="left" w:pos="1418"/>
              </w:tabs>
              <w:snapToGrid w:val="0"/>
              <w:spacing w:line="340" w:lineRule="exact"/>
              <w:jc w:val="center"/>
              <w:rPr>
                <w:rFonts w:hint="eastAsia" w:ascii="宋体" w:hAnsi="宋体" w:eastAsia="宋体" w:cs="宋体"/>
                <w:b/>
                <w:color w:val="auto"/>
                <w:spacing w:val="20"/>
                <w:sz w:val="22"/>
                <w:highlight w:val="none"/>
              </w:rPr>
            </w:pPr>
            <w:r>
              <w:rPr>
                <w:rFonts w:hint="eastAsia" w:ascii="宋体" w:hAnsi="宋体" w:eastAsia="宋体" w:cs="宋体"/>
                <w:b/>
                <w:color w:val="auto"/>
                <w:sz w:val="22"/>
                <w:highlight w:val="none"/>
              </w:rPr>
              <w:t>单价（元/人）</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3B39ED99">
            <w:pPr>
              <w:tabs>
                <w:tab w:val="left" w:pos="1418"/>
              </w:tabs>
              <w:snapToGrid w:val="0"/>
              <w:spacing w:line="340" w:lineRule="exact"/>
              <w:rPr>
                <w:rFonts w:hint="eastAsia" w:ascii="宋体" w:hAnsi="宋体" w:eastAsia="宋体" w:cs="宋体"/>
                <w:b/>
                <w:color w:val="auto"/>
                <w:spacing w:val="20"/>
                <w:sz w:val="22"/>
                <w:highlight w:val="none"/>
              </w:rPr>
            </w:pPr>
            <w:r>
              <w:rPr>
                <w:rFonts w:hint="eastAsia" w:ascii="宋体" w:hAnsi="宋体" w:eastAsia="宋体" w:cs="宋体"/>
                <w:b/>
                <w:color w:val="auto"/>
                <w:sz w:val="22"/>
                <w:highlight w:val="none"/>
              </w:rPr>
              <w:t>备注</w:t>
            </w:r>
          </w:p>
        </w:tc>
      </w:tr>
      <w:tr w14:paraId="69380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4B39876B">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00C342DE">
            <w:pPr>
              <w:tabs>
                <w:tab w:val="left" w:pos="1418"/>
              </w:tabs>
              <w:snapToGrid w:val="0"/>
              <w:spacing w:line="340" w:lineRule="exact"/>
              <w:jc w:val="center"/>
              <w:rPr>
                <w:rFonts w:hint="eastAsia" w:ascii="宋体" w:hAnsi="宋体" w:eastAsia="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14:paraId="21DE165F">
            <w:pPr>
              <w:tabs>
                <w:tab w:val="left" w:pos="1418"/>
              </w:tabs>
              <w:snapToGrid w:val="0"/>
              <w:spacing w:line="340" w:lineRule="exact"/>
              <w:rPr>
                <w:rFonts w:hint="eastAsia" w:ascii="宋体" w:hAnsi="宋体" w:eastAsia="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33004E79">
            <w:pPr>
              <w:tabs>
                <w:tab w:val="left" w:pos="1418"/>
              </w:tabs>
              <w:snapToGrid w:val="0"/>
              <w:spacing w:line="340" w:lineRule="exact"/>
              <w:rPr>
                <w:rFonts w:hint="eastAsia" w:ascii="宋体" w:hAnsi="宋体" w:eastAsia="宋体" w:cs="宋体"/>
                <w:b/>
                <w:color w:val="auto"/>
                <w:sz w:val="22"/>
                <w:highlight w:val="none"/>
              </w:rPr>
            </w:pPr>
          </w:p>
        </w:tc>
      </w:tr>
      <w:tr w14:paraId="38173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18A96ADC">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79ADD4DB">
            <w:pPr>
              <w:tabs>
                <w:tab w:val="left" w:pos="1418"/>
              </w:tabs>
              <w:snapToGrid w:val="0"/>
              <w:spacing w:line="340" w:lineRule="exact"/>
              <w:jc w:val="center"/>
              <w:rPr>
                <w:rFonts w:hint="eastAsia" w:ascii="宋体" w:hAnsi="宋体" w:eastAsia="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14:paraId="76E6383E">
            <w:pPr>
              <w:tabs>
                <w:tab w:val="left" w:pos="1418"/>
              </w:tabs>
              <w:snapToGrid w:val="0"/>
              <w:spacing w:line="340" w:lineRule="exact"/>
              <w:rPr>
                <w:rFonts w:hint="eastAsia" w:ascii="宋体" w:hAnsi="宋体" w:eastAsia="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457C5F90">
            <w:pPr>
              <w:tabs>
                <w:tab w:val="left" w:pos="1418"/>
              </w:tabs>
              <w:snapToGrid w:val="0"/>
              <w:spacing w:line="340" w:lineRule="exact"/>
              <w:rPr>
                <w:rFonts w:hint="eastAsia" w:ascii="宋体" w:hAnsi="宋体" w:eastAsia="宋体" w:cs="宋体"/>
                <w:b/>
                <w:color w:val="auto"/>
                <w:sz w:val="22"/>
                <w:highlight w:val="none"/>
              </w:rPr>
            </w:pPr>
          </w:p>
        </w:tc>
      </w:tr>
      <w:tr w14:paraId="1C8E9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3020716A">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386CE72E">
            <w:pPr>
              <w:tabs>
                <w:tab w:val="left" w:pos="1418"/>
              </w:tabs>
              <w:snapToGrid w:val="0"/>
              <w:spacing w:line="340" w:lineRule="exact"/>
              <w:jc w:val="center"/>
              <w:rPr>
                <w:rFonts w:hint="eastAsia" w:ascii="宋体" w:hAnsi="宋体" w:eastAsia="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14:paraId="315B950B">
            <w:pPr>
              <w:tabs>
                <w:tab w:val="left" w:pos="1418"/>
              </w:tabs>
              <w:snapToGrid w:val="0"/>
              <w:spacing w:line="340" w:lineRule="exact"/>
              <w:jc w:val="center"/>
              <w:rPr>
                <w:rFonts w:hint="eastAsia" w:ascii="宋体" w:hAnsi="宋体" w:eastAsia="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4F07855">
            <w:pPr>
              <w:tabs>
                <w:tab w:val="left" w:pos="1418"/>
              </w:tabs>
              <w:snapToGrid w:val="0"/>
              <w:spacing w:line="340" w:lineRule="exact"/>
              <w:jc w:val="center"/>
              <w:rPr>
                <w:rFonts w:hint="eastAsia" w:ascii="宋体" w:hAnsi="宋体" w:eastAsia="宋体" w:cs="宋体"/>
                <w:b/>
                <w:color w:val="auto"/>
                <w:sz w:val="22"/>
                <w:highlight w:val="none"/>
              </w:rPr>
            </w:pPr>
          </w:p>
        </w:tc>
      </w:tr>
      <w:tr w14:paraId="06316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10C660A3">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5E237017">
            <w:pPr>
              <w:tabs>
                <w:tab w:val="left" w:pos="1418"/>
              </w:tabs>
              <w:snapToGrid w:val="0"/>
              <w:spacing w:line="340" w:lineRule="exact"/>
              <w:jc w:val="center"/>
              <w:rPr>
                <w:rFonts w:hint="eastAsia" w:ascii="宋体" w:hAnsi="宋体" w:eastAsia="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14:paraId="501B66C0">
            <w:pPr>
              <w:tabs>
                <w:tab w:val="left" w:pos="1418"/>
              </w:tabs>
              <w:snapToGrid w:val="0"/>
              <w:spacing w:line="340" w:lineRule="exact"/>
              <w:jc w:val="center"/>
              <w:rPr>
                <w:rFonts w:hint="eastAsia" w:ascii="宋体" w:hAnsi="宋体" w:eastAsia="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4421BCE9">
            <w:pPr>
              <w:tabs>
                <w:tab w:val="left" w:pos="1418"/>
              </w:tabs>
              <w:snapToGrid w:val="0"/>
              <w:spacing w:line="340" w:lineRule="exact"/>
              <w:jc w:val="center"/>
              <w:rPr>
                <w:rFonts w:hint="eastAsia" w:ascii="宋体" w:hAnsi="宋体" w:eastAsia="宋体" w:cs="宋体"/>
                <w:b/>
                <w:color w:val="auto"/>
                <w:sz w:val="22"/>
                <w:highlight w:val="none"/>
              </w:rPr>
            </w:pPr>
          </w:p>
        </w:tc>
      </w:tr>
      <w:tr w14:paraId="09B70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071" w:type="dxa"/>
            <w:gridSpan w:val="4"/>
            <w:tcBorders>
              <w:top w:val="single" w:color="auto" w:sz="4" w:space="0"/>
              <w:left w:val="single" w:color="auto" w:sz="4" w:space="0"/>
              <w:bottom w:val="single" w:color="auto" w:sz="4" w:space="0"/>
              <w:right w:val="single" w:color="auto" w:sz="4" w:space="0"/>
            </w:tcBorders>
            <w:noWrap w:val="0"/>
            <w:vAlign w:val="center"/>
          </w:tcPr>
          <w:p w14:paraId="09D6FAEC">
            <w:pPr>
              <w:tabs>
                <w:tab w:val="left" w:pos="1418"/>
              </w:tabs>
              <w:snapToGrid w:val="0"/>
              <w:spacing w:line="340" w:lineRule="exact"/>
              <w:ind w:firstLine="0" w:firstLineChars="0"/>
              <w:jc w:val="left"/>
              <w:rPr>
                <w:rFonts w:hint="eastAsia" w:ascii="宋体" w:hAnsi="宋体" w:eastAsia="宋体" w:cs="宋体"/>
                <w:b/>
                <w:color w:val="auto"/>
                <w:sz w:val="22"/>
                <w:highlight w:val="none"/>
                <w:u w:val="none"/>
                <w:lang w:val="en-US" w:eastAsia="zh-CN"/>
              </w:rPr>
            </w:pPr>
            <w:r>
              <w:rPr>
                <w:rFonts w:hint="eastAsia" w:ascii="宋体" w:hAnsi="宋体" w:eastAsia="宋体" w:cs="宋体"/>
                <w:b/>
                <w:color w:val="auto"/>
                <w:sz w:val="22"/>
                <w:highlight w:val="none"/>
              </w:rPr>
              <w:t>省内路线投标单价：大写：</w:t>
            </w:r>
            <w:r>
              <w:rPr>
                <w:rFonts w:hint="eastAsia" w:ascii="宋体" w:hAnsi="宋体" w:eastAsia="宋体" w:cs="宋体"/>
                <w:b/>
                <w:color w:val="auto"/>
                <w:sz w:val="22"/>
                <w:highlight w:val="none"/>
                <w:u w:val="single"/>
                <w:lang w:val="en-US" w:eastAsia="zh-CN"/>
              </w:rPr>
              <w:t xml:space="preserve">             </w:t>
            </w:r>
            <w:r>
              <w:rPr>
                <w:rFonts w:hint="eastAsia" w:ascii="宋体" w:hAnsi="宋体" w:eastAsia="宋体" w:cs="宋体"/>
                <w:b/>
                <w:color w:val="auto"/>
                <w:sz w:val="22"/>
                <w:highlight w:val="none"/>
                <w:u w:val="none"/>
                <w:lang w:val="en-US" w:eastAsia="zh-CN"/>
              </w:rPr>
              <w:t>元整</w:t>
            </w:r>
          </w:p>
          <w:p w14:paraId="25523BA8">
            <w:pPr>
              <w:tabs>
                <w:tab w:val="left" w:pos="1418"/>
              </w:tabs>
              <w:snapToGrid w:val="0"/>
              <w:spacing w:line="340" w:lineRule="exact"/>
              <w:ind w:firstLine="1988" w:firstLineChars="9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小写：</w:t>
            </w:r>
            <w:r>
              <w:rPr>
                <w:rFonts w:hint="eastAsia" w:ascii="宋体" w:hAnsi="宋体" w:eastAsia="宋体" w:cs="宋体"/>
                <w:b/>
                <w:color w:val="auto"/>
                <w:sz w:val="22"/>
                <w:highlight w:val="none"/>
                <w:u w:val="single"/>
                <w:lang w:val="en-US" w:eastAsia="zh-CN"/>
              </w:rPr>
              <w:t xml:space="preserve">             </w:t>
            </w:r>
            <w:r>
              <w:rPr>
                <w:rFonts w:hint="eastAsia" w:ascii="宋体" w:hAnsi="宋体" w:eastAsia="宋体" w:cs="宋体"/>
                <w:b/>
                <w:color w:val="auto"/>
                <w:sz w:val="22"/>
                <w:highlight w:val="none"/>
                <w:u w:val="none"/>
                <w:lang w:val="en-US" w:eastAsia="zh-CN"/>
              </w:rPr>
              <w:t>元</w:t>
            </w:r>
          </w:p>
        </w:tc>
      </w:tr>
      <w:tr w14:paraId="22FA2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071" w:type="dxa"/>
            <w:gridSpan w:val="4"/>
            <w:tcBorders>
              <w:top w:val="single" w:color="auto" w:sz="4" w:space="0"/>
              <w:left w:val="single" w:color="auto" w:sz="4" w:space="0"/>
              <w:bottom w:val="single" w:color="auto" w:sz="4" w:space="0"/>
              <w:right w:val="single" w:color="auto" w:sz="4" w:space="0"/>
            </w:tcBorders>
            <w:noWrap w:val="0"/>
            <w:vAlign w:val="center"/>
          </w:tcPr>
          <w:p w14:paraId="4580F243">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bCs/>
                <w:color w:val="auto"/>
                <w:sz w:val="22"/>
                <w:highlight w:val="none"/>
                <w:u w:val="none"/>
                <w:lang w:eastAsia="zh-CN"/>
              </w:rPr>
              <w:t>省外</w:t>
            </w:r>
            <w:r>
              <w:rPr>
                <w:rFonts w:hint="eastAsia" w:ascii="宋体" w:hAnsi="宋体" w:eastAsia="宋体" w:cs="宋体"/>
                <w:b/>
                <w:bCs/>
                <w:color w:val="auto"/>
                <w:sz w:val="22"/>
                <w:highlight w:val="none"/>
                <w:u w:val="none"/>
              </w:rPr>
              <w:t>对口支援和国家生态旅游协作区、长三角区域</w:t>
            </w:r>
            <w:r>
              <w:rPr>
                <w:rFonts w:hint="eastAsia" w:ascii="宋体" w:hAnsi="宋体" w:eastAsia="宋体" w:cs="宋体"/>
                <w:b/>
                <w:bCs/>
                <w:color w:val="auto"/>
                <w:sz w:val="22"/>
                <w:highlight w:val="none"/>
              </w:rPr>
              <w:t>路</w:t>
            </w:r>
            <w:r>
              <w:rPr>
                <w:rFonts w:hint="eastAsia" w:ascii="宋体" w:hAnsi="宋体" w:eastAsia="宋体" w:cs="宋体"/>
                <w:b/>
                <w:color w:val="auto"/>
                <w:sz w:val="22"/>
                <w:highlight w:val="none"/>
              </w:rPr>
              <w:t>线</w:t>
            </w:r>
          </w:p>
        </w:tc>
      </w:tr>
      <w:tr w14:paraId="7D02F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4C0326AA">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序号</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1EAA60AB">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费用名称</w:t>
            </w:r>
          </w:p>
        </w:tc>
        <w:tc>
          <w:tcPr>
            <w:tcW w:w="3524" w:type="dxa"/>
            <w:tcBorders>
              <w:top w:val="single" w:color="auto" w:sz="4" w:space="0"/>
              <w:left w:val="single" w:color="auto" w:sz="4" w:space="0"/>
              <w:bottom w:val="single" w:color="auto" w:sz="4" w:space="0"/>
              <w:right w:val="single" w:color="auto" w:sz="4" w:space="0"/>
            </w:tcBorders>
            <w:noWrap w:val="0"/>
            <w:vAlign w:val="center"/>
          </w:tcPr>
          <w:p w14:paraId="416A4549">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单价（元/人）</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108D8904">
            <w:pPr>
              <w:tabs>
                <w:tab w:val="left" w:pos="1418"/>
              </w:tabs>
              <w:snapToGrid w:val="0"/>
              <w:spacing w:line="340" w:lineRule="exac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备注</w:t>
            </w:r>
          </w:p>
        </w:tc>
      </w:tr>
      <w:tr w14:paraId="4EB9D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404C3171">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2118CAD6">
            <w:pPr>
              <w:tabs>
                <w:tab w:val="left" w:pos="1418"/>
              </w:tabs>
              <w:snapToGrid w:val="0"/>
              <w:spacing w:line="340" w:lineRule="exact"/>
              <w:jc w:val="center"/>
              <w:rPr>
                <w:rFonts w:hint="eastAsia" w:ascii="宋体" w:hAnsi="宋体" w:eastAsia="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14:paraId="0EF044FB">
            <w:pPr>
              <w:tabs>
                <w:tab w:val="left" w:pos="1418"/>
              </w:tabs>
              <w:snapToGrid w:val="0"/>
              <w:spacing w:line="340" w:lineRule="exact"/>
              <w:rPr>
                <w:rFonts w:hint="eastAsia" w:ascii="宋体" w:hAnsi="宋体" w:eastAsia="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39376FBE">
            <w:pPr>
              <w:tabs>
                <w:tab w:val="left" w:pos="1418"/>
              </w:tabs>
              <w:snapToGrid w:val="0"/>
              <w:spacing w:line="340" w:lineRule="exact"/>
              <w:rPr>
                <w:rFonts w:hint="eastAsia" w:ascii="宋体" w:hAnsi="宋体" w:eastAsia="宋体" w:cs="宋体"/>
                <w:b/>
                <w:color w:val="auto"/>
                <w:sz w:val="22"/>
                <w:highlight w:val="none"/>
              </w:rPr>
            </w:pPr>
          </w:p>
        </w:tc>
      </w:tr>
      <w:tr w14:paraId="6DADE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0E96CC56">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3D063F20">
            <w:pPr>
              <w:tabs>
                <w:tab w:val="left" w:pos="1418"/>
              </w:tabs>
              <w:snapToGrid w:val="0"/>
              <w:spacing w:line="340" w:lineRule="exact"/>
              <w:jc w:val="center"/>
              <w:rPr>
                <w:rFonts w:hint="eastAsia" w:ascii="宋体" w:hAnsi="宋体" w:eastAsia="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14:paraId="1AE522C1">
            <w:pPr>
              <w:tabs>
                <w:tab w:val="left" w:pos="1418"/>
              </w:tabs>
              <w:snapToGrid w:val="0"/>
              <w:spacing w:line="340" w:lineRule="exact"/>
              <w:rPr>
                <w:rFonts w:hint="eastAsia" w:ascii="宋体" w:hAnsi="宋体" w:eastAsia="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1EA35C98">
            <w:pPr>
              <w:tabs>
                <w:tab w:val="left" w:pos="1418"/>
              </w:tabs>
              <w:snapToGrid w:val="0"/>
              <w:spacing w:line="340" w:lineRule="exact"/>
              <w:rPr>
                <w:rFonts w:hint="eastAsia" w:ascii="宋体" w:hAnsi="宋体" w:eastAsia="宋体" w:cs="宋体"/>
                <w:b/>
                <w:color w:val="auto"/>
                <w:sz w:val="22"/>
                <w:highlight w:val="none"/>
              </w:rPr>
            </w:pPr>
          </w:p>
        </w:tc>
      </w:tr>
      <w:tr w14:paraId="6B83C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08A6852D">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7E678614">
            <w:pPr>
              <w:tabs>
                <w:tab w:val="left" w:pos="1418"/>
              </w:tabs>
              <w:snapToGrid w:val="0"/>
              <w:spacing w:line="340" w:lineRule="exact"/>
              <w:jc w:val="center"/>
              <w:rPr>
                <w:rFonts w:hint="eastAsia" w:ascii="宋体" w:hAnsi="宋体" w:eastAsia="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14:paraId="7FC792F8">
            <w:pPr>
              <w:tabs>
                <w:tab w:val="left" w:pos="1418"/>
              </w:tabs>
              <w:snapToGrid w:val="0"/>
              <w:spacing w:line="340" w:lineRule="exact"/>
              <w:jc w:val="center"/>
              <w:rPr>
                <w:rFonts w:hint="eastAsia" w:ascii="宋体" w:hAnsi="宋体" w:eastAsia="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CF73C66">
            <w:pPr>
              <w:tabs>
                <w:tab w:val="left" w:pos="1418"/>
              </w:tabs>
              <w:snapToGrid w:val="0"/>
              <w:spacing w:line="340" w:lineRule="exact"/>
              <w:jc w:val="center"/>
              <w:rPr>
                <w:rFonts w:hint="eastAsia" w:ascii="宋体" w:hAnsi="宋体" w:eastAsia="宋体" w:cs="宋体"/>
                <w:b/>
                <w:color w:val="auto"/>
                <w:sz w:val="22"/>
                <w:highlight w:val="none"/>
              </w:rPr>
            </w:pPr>
          </w:p>
        </w:tc>
      </w:tr>
      <w:tr w14:paraId="6760A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543B5729">
            <w:pPr>
              <w:tabs>
                <w:tab w:val="left" w:pos="1418"/>
              </w:tabs>
              <w:snapToGrid w:val="0"/>
              <w:spacing w:line="34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62FF9A2B">
            <w:pPr>
              <w:tabs>
                <w:tab w:val="left" w:pos="1418"/>
              </w:tabs>
              <w:snapToGrid w:val="0"/>
              <w:spacing w:line="340" w:lineRule="exact"/>
              <w:jc w:val="center"/>
              <w:rPr>
                <w:rFonts w:hint="eastAsia" w:ascii="宋体" w:hAnsi="宋体" w:eastAsia="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14:paraId="7475493C">
            <w:pPr>
              <w:tabs>
                <w:tab w:val="left" w:pos="1418"/>
              </w:tabs>
              <w:snapToGrid w:val="0"/>
              <w:spacing w:line="340" w:lineRule="exact"/>
              <w:jc w:val="center"/>
              <w:rPr>
                <w:rFonts w:hint="eastAsia" w:ascii="宋体" w:hAnsi="宋体" w:eastAsia="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11D6A526">
            <w:pPr>
              <w:tabs>
                <w:tab w:val="left" w:pos="1418"/>
              </w:tabs>
              <w:snapToGrid w:val="0"/>
              <w:spacing w:line="340" w:lineRule="exact"/>
              <w:jc w:val="center"/>
              <w:rPr>
                <w:rFonts w:hint="eastAsia" w:ascii="宋体" w:hAnsi="宋体" w:eastAsia="宋体" w:cs="宋体"/>
                <w:b/>
                <w:color w:val="auto"/>
                <w:sz w:val="22"/>
                <w:highlight w:val="none"/>
              </w:rPr>
            </w:pPr>
          </w:p>
        </w:tc>
      </w:tr>
      <w:tr w14:paraId="6E983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071" w:type="dxa"/>
            <w:gridSpan w:val="4"/>
            <w:tcBorders>
              <w:top w:val="single" w:color="auto" w:sz="4" w:space="0"/>
              <w:left w:val="single" w:color="auto" w:sz="4" w:space="0"/>
              <w:bottom w:val="single" w:color="auto" w:sz="4" w:space="0"/>
              <w:right w:val="single" w:color="auto" w:sz="4" w:space="0"/>
            </w:tcBorders>
            <w:noWrap w:val="0"/>
            <w:vAlign w:val="center"/>
          </w:tcPr>
          <w:p w14:paraId="4821320C">
            <w:pPr>
              <w:snapToGrid/>
              <w:spacing w:line="340" w:lineRule="exact"/>
              <w:ind w:firstLine="0" w:firstLineChars="0"/>
              <w:jc w:val="left"/>
              <w:rPr>
                <w:rFonts w:hint="eastAsia" w:ascii="宋体" w:hAnsi="宋体" w:eastAsia="宋体" w:cs="宋体"/>
                <w:b/>
                <w:color w:val="auto"/>
                <w:sz w:val="22"/>
                <w:highlight w:val="none"/>
              </w:rPr>
            </w:pPr>
            <w:r>
              <w:rPr>
                <w:rFonts w:hint="eastAsia" w:ascii="宋体" w:hAnsi="宋体" w:eastAsia="宋体" w:cs="宋体"/>
                <w:b/>
                <w:bCs/>
                <w:color w:val="auto"/>
                <w:sz w:val="22"/>
                <w:highlight w:val="none"/>
                <w:u w:val="none"/>
                <w:lang w:eastAsia="zh-CN"/>
              </w:rPr>
              <w:t>省外</w:t>
            </w:r>
            <w:r>
              <w:rPr>
                <w:rFonts w:hint="eastAsia" w:ascii="宋体" w:hAnsi="宋体" w:eastAsia="宋体" w:cs="宋体"/>
                <w:b/>
                <w:bCs/>
                <w:color w:val="auto"/>
                <w:sz w:val="22"/>
                <w:highlight w:val="none"/>
                <w:u w:val="none"/>
              </w:rPr>
              <w:t>对口支援和国家生态旅游协作区、长三角区域</w:t>
            </w:r>
            <w:r>
              <w:rPr>
                <w:rFonts w:hint="eastAsia" w:ascii="宋体" w:hAnsi="宋体" w:eastAsia="宋体" w:cs="宋体"/>
                <w:b/>
                <w:bCs/>
                <w:color w:val="auto"/>
                <w:sz w:val="22"/>
                <w:highlight w:val="none"/>
              </w:rPr>
              <w:t>路</w:t>
            </w:r>
            <w:r>
              <w:rPr>
                <w:rFonts w:hint="eastAsia" w:ascii="宋体" w:hAnsi="宋体" w:eastAsia="宋体" w:cs="宋体"/>
                <w:b/>
                <w:color w:val="auto"/>
                <w:sz w:val="22"/>
                <w:highlight w:val="none"/>
              </w:rPr>
              <w:t>线投标单价：</w:t>
            </w:r>
          </w:p>
          <w:p w14:paraId="6623ABB5">
            <w:pPr>
              <w:snapToGrid/>
              <w:spacing w:line="340" w:lineRule="exact"/>
              <w:ind w:firstLine="2429" w:firstLineChars="1100"/>
              <w:jc w:val="left"/>
              <w:rPr>
                <w:rFonts w:hint="eastAsia" w:ascii="宋体" w:hAnsi="宋体" w:eastAsia="宋体" w:cs="宋体"/>
                <w:b/>
                <w:color w:val="auto"/>
                <w:sz w:val="22"/>
                <w:highlight w:val="none"/>
                <w:u w:val="none"/>
                <w:lang w:val="en-US" w:eastAsia="zh-CN"/>
              </w:rPr>
            </w:pPr>
            <w:r>
              <w:rPr>
                <w:rFonts w:hint="eastAsia" w:ascii="宋体" w:hAnsi="宋体" w:eastAsia="宋体" w:cs="宋体"/>
                <w:b/>
                <w:color w:val="auto"/>
                <w:sz w:val="22"/>
                <w:highlight w:val="none"/>
              </w:rPr>
              <w:t>大写：</w:t>
            </w:r>
            <w:r>
              <w:rPr>
                <w:rFonts w:hint="eastAsia" w:ascii="宋体" w:hAnsi="宋体" w:eastAsia="宋体" w:cs="宋体"/>
                <w:b/>
                <w:color w:val="auto"/>
                <w:sz w:val="22"/>
                <w:highlight w:val="none"/>
                <w:u w:val="single"/>
                <w:lang w:val="en-US" w:eastAsia="zh-CN"/>
              </w:rPr>
              <w:t xml:space="preserve">             </w:t>
            </w:r>
            <w:r>
              <w:rPr>
                <w:rFonts w:hint="eastAsia" w:ascii="宋体" w:hAnsi="宋体" w:eastAsia="宋体" w:cs="宋体"/>
                <w:b/>
                <w:color w:val="auto"/>
                <w:sz w:val="22"/>
                <w:highlight w:val="none"/>
                <w:u w:val="none"/>
                <w:lang w:val="en-US" w:eastAsia="zh-CN"/>
              </w:rPr>
              <w:t>元整</w:t>
            </w:r>
          </w:p>
          <w:p w14:paraId="217B3F23">
            <w:pPr>
              <w:snapToGrid/>
              <w:spacing w:line="340" w:lineRule="exact"/>
              <w:ind w:firstLine="2429" w:firstLineChars="1100"/>
              <w:jc w:val="left"/>
              <w:rPr>
                <w:rFonts w:hint="default" w:ascii="宋体" w:hAnsi="宋体" w:eastAsia="宋体" w:cs="宋体"/>
                <w:b/>
                <w:color w:val="auto"/>
                <w:kern w:val="2"/>
                <w:sz w:val="22"/>
                <w:szCs w:val="24"/>
                <w:highlight w:val="none"/>
                <w:lang w:val="en-US" w:eastAsia="zh-CN" w:bidi="ar-SA"/>
              </w:rPr>
            </w:pPr>
            <w:r>
              <w:rPr>
                <w:rFonts w:hint="eastAsia" w:ascii="宋体" w:hAnsi="宋体" w:eastAsia="宋体" w:cs="宋体"/>
                <w:b/>
                <w:color w:val="auto"/>
                <w:sz w:val="22"/>
                <w:highlight w:val="none"/>
              </w:rPr>
              <w:t>小写：</w:t>
            </w:r>
            <w:r>
              <w:rPr>
                <w:rFonts w:hint="eastAsia" w:ascii="宋体" w:hAnsi="宋体" w:eastAsia="宋体" w:cs="宋体"/>
                <w:b/>
                <w:color w:val="auto"/>
                <w:sz w:val="22"/>
                <w:highlight w:val="none"/>
                <w:u w:val="single"/>
                <w:lang w:val="en-US" w:eastAsia="zh-CN"/>
              </w:rPr>
              <w:t xml:space="preserve">             </w:t>
            </w:r>
            <w:r>
              <w:rPr>
                <w:rFonts w:hint="eastAsia" w:ascii="宋体" w:hAnsi="宋体" w:eastAsia="宋体" w:cs="宋体"/>
                <w:b/>
                <w:color w:val="auto"/>
                <w:sz w:val="22"/>
                <w:highlight w:val="none"/>
                <w:u w:val="none"/>
                <w:lang w:val="en-US" w:eastAsia="zh-CN"/>
              </w:rPr>
              <w:t>元</w:t>
            </w:r>
          </w:p>
        </w:tc>
      </w:tr>
    </w:tbl>
    <w:p w14:paraId="69C95AB5">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说明：1.</w:t>
      </w:r>
      <w:r>
        <w:rPr>
          <w:rFonts w:hint="eastAsia" w:ascii="宋体" w:hAnsi="宋体" w:eastAsia="宋体" w:cs="宋体"/>
          <w:b/>
          <w:szCs w:val="21"/>
          <w:highlight w:val="none"/>
          <w:u w:val="single"/>
        </w:rPr>
        <w:t>▲不提供详细分项报价将视为没有实质性响应采购文件</w:t>
      </w:r>
      <w:r>
        <w:rPr>
          <w:rFonts w:hint="eastAsia" w:ascii="宋体" w:hAnsi="宋体" w:eastAsia="宋体" w:cs="宋体"/>
          <w:b/>
          <w:szCs w:val="21"/>
          <w:highlight w:val="none"/>
        </w:rPr>
        <w:t>。</w:t>
      </w:r>
    </w:p>
    <w:p w14:paraId="6C0A097F">
      <w:pPr>
        <w:spacing w:line="240" w:lineRule="auto"/>
        <w:ind w:firstLine="632" w:firstLineChars="300"/>
        <w:rPr>
          <w:rFonts w:hint="eastAsia" w:ascii="宋体" w:hAnsi="宋体" w:eastAsia="宋体" w:cs="宋体"/>
          <w:b/>
          <w:szCs w:val="21"/>
          <w:highlight w:val="none"/>
        </w:rPr>
      </w:pPr>
      <w:r>
        <w:rPr>
          <w:rFonts w:hint="eastAsia" w:ascii="宋体" w:hAnsi="宋体" w:eastAsia="宋体" w:cs="宋体"/>
          <w:b/>
          <w:szCs w:val="21"/>
          <w:highlight w:val="none"/>
        </w:rPr>
        <w:t>2.本表可在不改变格式的情况下根据具体需要自行增减。</w:t>
      </w:r>
    </w:p>
    <w:p w14:paraId="55876E86">
      <w:pPr>
        <w:pStyle w:val="12"/>
        <w:rPr>
          <w:rFonts w:hint="eastAsia" w:ascii="宋体" w:hAnsi="宋体" w:eastAsia="宋体" w:cs="宋体"/>
          <w:highlight w:val="none"/>
        </w:rPr>
      </w:pPr>
    </w:p>
    <w:p w14:paraId="5C7721EA">
      <w:pPr>
        <w:spacing w:line="440" w:lineRule="exact"/>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54E13C60">
      <w:pPr>
        <w:spacing w:line="440" w:lineRule="exact"/>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4997703E">
      <w:pPr>
        <w:spacing w:line="440" w:lineRule="exact"/>
        <w:rPr>
          <w:rFonts w:hint="eastAsia" w:ascii="宋体" w:hAnsi="宋体" w:eastAsia="宋体" w:cs="宋体"/>
          <w:sz w:val="36"/>
          <w:szCs w:val="36"/>
          <w:highlight w:val="none"/>
        </w:rPr>
      </w:pPr>
      <w:r>
        <w:rPr>
          <w:rFonts w:hint="eastAsia" w:ascii="宋体" w:hAnsi="宋体" w:eastAsia="宋体" w:cs="宋体"/>
          <w:sz w:val="22"/>
          <w:highlight w:val="none"/>
        </w:rPr>
        <w:t>日 期：</w:t>
      </w:r>
    </w:p>
    <w:p w14:paraId="6C7917F7">
      <w:pPr>
        <w:keepLines/>
        <w:spacing w:before="260" w:after="260" w:line="240" w:lineRule="auto"/>
        <w:jc w:val="center"/>
        <w:outlineLvl w:val="1"/>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bookmarkStart w:id="207" w:name="_Hlk69240860"/>
      <w:r>
        <w:rPr>
          <w:rFonts w:hint="eastAsia" w:ascii="宋体" w:hAnsi="宋体" w:eastAsia="宋体" w:cs="宋体"/>
          <w:sz w:val="36"/>
          <w:szCs w:val="36"/>
          <w:highlight w:val="none"/>
        </w:rPr>
        <w:t>第四部分   采购内容及要求</w:t>
      </w:r>
      <w:bookmarkEnd w:id="202"/>
      <w:bookmarkEnd w:id="203"/>
      <w:bookmarkEnd w:id="204"/>
      <w:bookmarkEnd w:id="205"/>
      <w:bookmarkEnd w:id="206"/>
    </w:p>
    <w:p w14:paraId="35902089">
      <w:pPr>
        <w:widowControl/>
        <w:spacing w:line="240" w:lineRule="auto"/>
        <w:outlineLvl w:val="1"/>
        <w:rPr>
          <w:rFonts w:hint="eastAsia" w:ascii="宋体" w:hAnsi="宋体" w:eastAsia="宋体" w:cs="宋体"/>
          <w:b/>
          <w:bCs/>
          <w:kern w:val="0"/>
          <w:szCs w:val="21"/>
          <w:highlight w:val="none"/>
        </w:rPr>
      </w:pPr>
      <w:bookmarkStart w:id="208" w:name="_Toc448846627"/>
      <w:bookmarkStart w:id="209" w:name="_Toc221356897"/>
      <w:bookmarkStart w:id="210" w:name="_Toc221374633"/>
      <w:bookmarkStart w:id="211" w:name="_Toc221356960"/>
    </w:p>
    <w:bookmarkEnd w:id="207"/>
    <w:bookmarkEnd w:id="208"/>
    <w:p w14:paraId="35E64A48">
      <w:pPr>
        <w:autoSpaceDN w:val="0"/>
        <w:spacing w:line="240" w:lineRule="auto"/>
        <w:rPr>
          <w:rFonts w:hint="eastAsia" w:ascii="宋体" w:hAnsi="宋体" w:eastAsia="宋体" w:cs="宋体"/>
          <w:b/>
          <w:color w:val="auto"/>
          <w:sz w:val="22"/>
          <w:szCs w:val="22"/>
          <w:highlight w:val="none"/>
        </w:rPr>
      </w:pPr>
      <w:bookmarkStart w:id="212" w:name="_Toc29739"/>
      <w:bookmarkStart w:id="213" w:name="_Toc486540095"/>
      <w:bookmarkStart w:id="214" w:name="_Toc19998"/>
      <w:bookmarkStart w:id="215" w:name="_Toc16869"/>
      <w:bookmarkStart w:id="216" w:name="_Toc27527"/>
      <w:bookmarkStart w:id="217" w:name="_Toc21346"/>
      <w:bookmarkStart w:id="218" w:name="OLE_LINK32"/>
      <w:bookmarkStart w:id="219" w:name="_Toc479601381"/>
      <w:bookmarkStart w:id="220" w:name="_Toc26699"/>
      <w:bookmarkStart w:id="221" w:name="OLE_LINK31"/>
      <w:bookmarkStart w:id="222" w:name="_Toc246261272"/>
      <w:bookmarkStart w:id="223" w:name="_Toc262049426"/>
      <w:bookmarkStart w:id="224" w:name="_Toc222114886"/>
      <w:bookmarkStart w:id="225" w:name="_Toc262105511"/>
      <w:bookmarkStart w:id="226" w:name="_Toc245191321"/>
      <w:bookmarkStart w:id="227" w:name="_Toc245722288"/>
      <w:bookmarkStart w:id="228" w:name="_Toc221423626"/>
      <w:bookmarkStart w:id="229" w:name="_Toc249758722"/>
      <w:bookmarkStart w:id="230" w:name="_Toc249758872"/>
      <w:bookmarkStart w:id="231" w:name="_Toc223716005"/>
      <w:bookmarkStart w:id="232" w:name="_Toc239145361"/>
      <w:bookmarkStart w:id="233" w:name="_Toc241404209"/>
      <w:bookmarkStart w:id="234" w:name="_Toc448846693"/>
      <w:r>
        <w:rPr>
          <w:rFonts w:hint="eastAsia" w:ascii="宋体" w:hAnsi="宋体" w:eastAsia="宋体" w:cs="宋体"/>
          <w:b/>
          <w:color w:val="auto"/>
          <w:sz w:val="22"/>
          <w:szCs w:val="22"/>
          <w:highlight w:val="none"/>
        </w:rPr>
        <w:t>一、</w:t>
      </w:r>
      <w:r>
        <w:rPr>
          <w:rFonts w:hint="eastAsia" w:ascii="宋体" w:hAnsi="宋体" w:eastAsia="宋体" w:cs="宋体"/>
          <w:b/>
          <w:color w:val="auto"/>
          <w:sz w:val="22"/>
          <w:szCs w:val="22"/>
          <w:highlight w:val="none"/>
          <w:lang w:eastAsia="zh-CN"/>
        </w:rPr>
        <w:t>采购</w:t>
      </w:r>
      <w:r>
        <w:rPr>
          <w:rFonts w:hint="eastAsia" w:ascii="宋体" w:hAnsi="宋体" w:eastAsia="宋体" w:cs="宋体"/>
          <w:b/>
          <w:color w:val="auto"/>
          <w:sz w:val="22"/>
          <w:szCs w:val="22"/>
          <w:highlight w:val="none"/>
        </w:rPr>
        <w:t>项目内容：</w:t>
      </w:r>
    </w:p>
    <w:tbl>
      <w:tblPr>
        <w:tblStyle w:val="25"/>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500"/>
        <w:gridCol w:w="4725"/>
        <w:gridCol w:w="2545"/>
      </w:tblGrid>
      <w:tr w14:paraId="65E4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noWrap w:val="0"/>
            <w:vAlign w:val="center"/>
          </w:tcPr>
          <w:p w14:paraId="586FD70D">
            <w:pPr>
              <w:spacing w:line="240" w:lineRule="auto"/>
              <w:jc w:val="center"/>
              <w:rPr>
                <w:rFonts w:hint="eastAsia" w:ascii="宋体" w:hAnsi="宋体" w:eastAsia="宋体" w:cs="宋体"/>
                <w:b/>
                <w:color w:val="auto"/>
                <w:sz w:val="22"/>
                <w:szCs w:val="22"/>
                <w:highlight w:val="none"/>
              </w:rPr>
            </w:pPr>
            <w:bookmarkStart w:id="235" w:name="_Hlk6150446"/>
            <w:r>
              <w:rPr>
                <w:rFonts w:hint="eastAsia" w:ascii="宋体" w:hAnsi="宋体" w:eastAsia="宋体" w:cs="宋体"/>
                <w:b/>
                <w:color w:val="auto"/>
                <w:sz w:val="22"/>
                <w:szCs w:val="22"/>
                <w:highlight w:val="none"/>
              </w:rPr>
              <w:t>序号</w:t>
            </w:r>
          </w:p>
        </w:tc>
        <w:tc>
          <w:tcPr>
            <w:tcW w:w="1500" w:type="dxa"/>
            <w:noWrap w:val="0"/>
            <w:vAlign w:val="center"/>
          </w:tcPr>
          <w:p w14:paraId="272F5E08">
            <w:pPr>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项目名称</w:t>
            </w:r>
          </w:p>
        </w:tc>
        <w:tc>
          <w:tcPr>
            <w:tcW w:w="4725" w:type="dxa"/>
            <w:noWrap w:val="0"/>
            <w:vAlign w:val="center"/>
          </w:tcPr>
          <w:p w14:paraId="1DE1BF99">
            <w:pPr>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采购内容</w:t>
            </w:r>
          </w:p>
        </w:tc>
        <w:tc>
          <w:tcPr>
            <w:tcW w:w="2545" w:type="dxa"/>
            <w:noWrap w:val="0"/>
            <w:vAlign w:val="center"/>
          </w:tcPr>
          <w:p w14:paraId="2116C5D7">
            <w:pPr>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最高限价</w:t>
            </w:r>
          </w:p>
        </w:tc>
      </w:tr>
      <w:tr w14:paraId="37AB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noWrap w:val="0"/>
            <w:vAlign w:val="center"/>
          </w:tcPr>
          <w:p w14:paraId="5503734F">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500" w:type="dxa"/>
            <w:noWrap w:val="0"/>
            <w:vAlign w:val="center"/>
          </w:tcPr>
          <w:p w14:paraId="3A2E2FEA">
            <w:pPr>
              <w:spacing w:line="24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2025-2027年职工疗休养</w:t>
            </w:r>
          </w:p>
        </w:tc>
        <w:tc>
          <w:tcPr>
            <w:tcW w:w="4725" w:type="dxa"/>
            <w:noWrap w:val="0"/>
            <w:vAlign w:val="center"/>
          </w:tcPr>
          <w:p w14:paraId="4B5F3D62">
            <w:pPr>
              <w:autoSpaceDE w:val="0"/>
              <w:autoSpaceDN w:val="0"/>
              <w:adjustRightInd w:val="0"/>
              <w:spacing w:line="24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温州市高速公路运营管理有限公司</w:t>
            </w:r>
            <w:r>
              <w:rPr>
                <w:rFonts w:hint="eastAsia" w:ascii="宋体" w:hAnsi="宋体" w:eastAsia="宋体" w:cs="宋体"/>
                <w:color w:val="auto"/>
                <w:sz w:val="22"/>
                <w:highlight w:val="none"/>
                <w:lang w:eastAsia="zh-CN"/>
              </w:rPr>
              <w:t>职工疗休养</w:t>
            </w:r>
            <w:r>
              <w:rPr>
                <w:rFonts w:hint="eastAsia" w:ascii="宋体" w:hAnsi="宋体" w:eastAsia="宋体" w:cs="宋体"/>
                <w:color w:val="auto"/>
                <w:sz w:val="22"/>
                <w:highlight w:val="none"/>
                <w:lang w:val="en-US" w:eastAsia="zh-CN"/>
              </w:rPr>
              <w:t>服务</w:t>
            </w:r>
            <w:r>
              <w:rPr>
                <w:rFonts w:hint="eastAsia" w:ascii="宋体" w:hAnsi="宋体" w:eastAsia="宋体" w:cs="宋体"/>
                <w:color w:val="auto"/>
                <w:sz w:val="22"/>
                <w:highlight w:val="none"/>
              </w:rPr>
              <w:t>采购，疗休养人数预计899人（具体人数以实际发生为准）</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为采购人职工提供核算天数每人每年不超过5天，服务期限为3年，合同一年一签，采用1+1+1模式。</w:t>
            </w:r>
          </w:p>
        </w:tc>
        <w:tc>
          <w:tcPr>
            <w:tcW w:w="2545" w:type="dxa"/>
            <w:noWrap w:val="0"/>
            <w:vAlign w:val="center"/>
          </w:tcPr>
          <w:p w14:paraId="2F70E9B8">
            <w:pPr>
              <w:spacing w:line="240" w:lineRule="auto"/>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4"/>
                <w:highlight w:val="none"/>
                <w:lang w:val="en-US" w:eastAsia="zh-CN"/>
              </w:rPr>
              <w:t>单人综合单价最高限价为3000元/人，预算总价为269.7万元/年。</w:t>
            </w:r>
          </w:p>
        </w:tc>
      </w:tr>
      <w:bookmarkEnd w:id="212"/>
      <w:bookmarkEnd w:id="213"/>
      <w:bookmarkEnd w:id="214"/>
      <w:bookmarkEnd w:id="215"/>
      <w:bookmarkEnd w:id="216"/>
      <w:bookmarkEnd w:id="217"/>
      <w:bookmarkEnd w:id="235"/>
    </w:tbl>
    <w:p w14:paraId="061BED0A">
      <w:pPr>
        <w:autoSpaceDN w:val="0"/>
        <w:spacing w:line="240" w:lineRule="auto"/>
        <w:rPr>
          <w:rFonts w:hint="eastAsia" w:ascii="宋体" w:hAnsi="宋体" w:eastAsia="宋体" w:cs="宋体"/>
          <w:b/>
          <w:color w:val="auto"/>
          <w:sz w:val="22"/>
          <w:szCs w:val="22"/>
          <w:highlight w:val="none"/>
        </w:rPr>
      </w:pPr>
    </w:p>
    <w:p w14:paraId="3B70656C">
      <w:pPr>
        <w:autoSpaceDN w:val="0"/>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二、实施原则：</w:t>
      </w:r>
    </w:p>
    <w:p w14:paraId="2E34E6D1">
      <w:pPr>
        <w:autoSpaceDN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维护职工的劳动保护和休息休养权、贯彻《健康中国2030规划纲要》，温州市高速公路运营管理有限公司依法履行好党和政府赋予工会开展职工疗休养的社会职责，保护和促进我市广大职工身心健康，让职工愉悦身心，休养生息。温州市高速公路运营管理有限公司原则上采取单位统一组织、相对集中的疗休养方式，委托供应商（旅行社）组团实施。</w:t>
      </w:r>
    </w:p>
    <w:p w14:paraId="32467B4F">
      <w:pPr>
        <w:autoSpaceDN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温州市高速公路运营管理有限公司</w:t>
      </w:r>
      <w:r>
        <w:rPr>
          <w:rFonts w:hint="eastAsia" w:ascii="宋体" w:hAnsi="宋体" w:eastAsia="宋体" w:cs="宋体"/>
          <w:color w:val="auto"/>
          <w:sz w:val="22"/>
          <w:szCs w:val="22"/>
          <w:highlight w:val="none"/>
          <w:lang w:eastAsia="zh-CN"/>
        </w:rPr>
        <w:t>职工疗休养</w:t>
      </w:r>
      <w:r>
        <w:rPr>
          <w:rFonts w:hint="eastAsia" w:ascii="宋体" w:hAnsi="宋体" w:eastAsia="宋体" w:cs="宋体"/>
          <w:color w:val="auto"/>
          <w:sz w:val="22"/>
          <w:szCs w:val="22"/>
          <w:highlight w:val="none"/>
        </w:rPr>
        <w:t>以参加职工疗休养的人次为单位。职工疗休养按合同约定的线路、服务标准和其他要求，根据疗休养职工实际报名的线路组团实施，按照实际组团的人次结算。</w:t>
      </w:r>
    </w:p>
    <w:p w14:paraId="657C7DBE">
      <w:pPr>
        <w:autoSpaceDN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本项目</w:t>
      </w:r>
      <w:r>
        <w:rPr>
          <w:rFonts w:hint="eastAsia" w:ascii="宋体" w:hAnsi="宋体" w:eastAsia="宋体" w:cs="宋体"/>
          <w:color w:val="auto"/>
          <w:sz w:val="22"/>
          <w:szCs w:val="22"/>
          <w:highlight w:val="none"/>
        </w:rPr>
        <w:t>服务合同一年一签，采用1+1+1模式，</w:t>
      </w:r>
      <w:r>
        <w:rPr>
          <w:rFonts w:hint="eastAsia" w:ascii="宋体" w:hAnsi="宋体" w:eastAsia="宋体" w:cs="宋体"/>
          <w:bCs w:val="0"/>
          <w:color w:val="auto"/>
          <w:kern w:val="0"/>
          <w:sz w:val="22"/>
          <w:szCs w:val="22"/>
          <w:highlight w:val="none"/>
        </w:rPr>
        <w:t>在合同期满后</w:t>
      </w:r>
      <w:r>
        <w:rPr>
          <w:rFonts w:hint="eastAsia" w:ascii="宋体" w:hAnsi="宋体" w:eastAsia="宋体" w:cs="宋体"/>
          <w:color w:val="auto"/>
          <w:sz w:val="22"/>
          <w:szCs w:val="22"/>
          <w:highlight w:val="none"/>
        </w:rPr>
        <w:t>根据中标供应商</w:t>
      </w:r>
      <w:r>
        <w:rPr>
          <w:rFonts w:hint="eastAsia" w:ascii="宋体" w:hAnsi="宋体" w:eastAsia="宋体" w:cs="宋体"/>
          <w:color w:val="auto"/>
          <w:sz w:val="22"/>
          <w:szCs w:val="22"/>
          <w:highlight w:val="none"/>
          <w:lang w:val="en-US" w:eastAsia="zh-CN"/>
        </w:rPr>
        <w:t>上一</w:t>
      </w:r>
      <w:r>
        <w:rPr>
          <w:rFonts w:hint="eastAsia" w:ascii="宋体" w:hAnsi="宋体" w:eastAsia="宋体" w:cs="宋体"/>
          <w:color w:val="auto"/>
          <w:sz w:val="22"/>
          <w:szCs w:val="22"/>
          <w:highlight w:val="none"/>
        </w:rPr>
        <w:t>年度职工疗休养项目的实施评价情况及相关服务考核，</w:t>
      </w:r>
      <w:r>
        <w:rPr>
          <w:rFonts w:hint="eastAsia" w:ascii="宋体" w:hAnsi="宋体" w:eastAsia="宋体" w:cs="宋体"/>
          <w:bCs w:val="0"/>
          <w:color w:val="auto"/>
          <w:kern w:val="0"/>
          <w:sz w:val="22"/>
          <w:szCs w:val="22"/>
          <w:highlight w:val="none"/>
        </w:rPr>
        <w:t>如</w:t>
      </w:r>
      <w:r>
        <w:rPr>
          <w:rFonts w:hint="eastAsia" w:ascii="宋体" w:hAnsi="宋体" w:eastAsia="宋体" w:cs="宋体"/>
          <w:bCs w:val="0"/>
          <w:color w:val="auto"/>
          <w:kern w:val="0"/>
          <w:sz w:val="22"/>
          <w:szCs w:val="22"/>
          <w:highlight w:val="none"/>
          <w:lang w:eastAsia="zh-CN"/>
        </w:rPr>
        <w:t>对</w:t>
      </w:r>
      <w:r>
        <w:rPr>
          <w:rFonts w:hint="eastAsia" w:ascii="宋体" w:hAnsi="宋体" w:eastAsia="宋体" w:cs="宋体"/>
          <w:bCs w:val="0"/>
          <w:color w:val="auto"/>
          <w:kern w:val="0"/>
          <w:sz w:val="22"/>
          <w:szCs w:val="22"/>
          <w:highlight w:val="none"/>
        </w:rPr>
        <w:t>乙方年度考核得分为90分</w:t>
      </w:r>
      <w:r>
        <w:rPr>
          <w:rFonts w:hint="eastAsia" w:ascii="宋体" w:hAnsi="宋体" w:eastAsia="宋体" w:cs="宋体"/>
          <w:bCs w:val="0"/>
          <w:color w:val="auto"/>
          <w:kern w:val="0"/>
          <w:sz w:val="22"/>
          <w:szCs w:val="22"/>
          <w:highlight w:val="none"/>
          <w:lang w:eastAsia="zh-CN"/>
        </w:rPr>
        <w:t>（含）</w:t>
      </w:r>
      <w:r>
        <w:rPr>
          <w:rFonts w:hint="eastAsia" w:ascii="宋体" w:hAnsi="宋体" w:eastAsia="宋体" w:cs="宋体"/>
          <w:bCs w:val="0"/>
          <w:color w:val="auto"/>
          <w:kern w:val="0"/>
          <w:sz w:val="22"/>
          <w:szCs w:val="22"/>
          <w:highlight w:val="none"/>
        </w:rPr>
        <w:t>以上，</w:t>
      </w:r>
      <w:r>
        <w:rPr>
          <w:rFonts w:hint="eastAsia" w:ascii="宋体" w:hAnsi="宋体" w:eastAsia="宋体" w:cs="宋体"/>
          <w:color w:val="auto"/>
          <w:kern w:val="0"/>
          <w:sz w:val="22"/>
          <w:szCs w:val="22"/>
          <w:highlight w:val="none"/>
        </w:rPr>
        <w:t>对乙方服务</w:t>
      </w:r>
      <w:r>
        <w:rPr>
          <w:rFonts w:hint="eastAsia" w:ascii="宋体" w:hAnsi="宋体" w:eastAsia="宋体" w:cs="宋体"/>
          <w:color w:val="auto"/>
          <w:sz w:val="22"/>
          <w:szCs w:val="22"/>
          <w:highlight w:val="none"/>
        </w:rPr>
        <w:t>考核</w:t>
      </w:r>
      <w:r>
        <w:rPr>
          <w:rFonts w:hint="eastAsia" w:ascii="宋体" w:hAnsi="宋体" w:eastAsia="宋体" w:cs="宋体"/>
          <w:color w:val="auto"/>
          <w:sz w:val="22"/>
          <w:szCs w:val="22"/>
          <w:highlight w:val="none"/>
          <w:lang w:eastAsia="zh-CN"/>
        </w:rPr>
        <w:t>为满意</w:t>
      </w:r>
      <w:r>
        <w:rPr>
          <w:rFonts w:hint="eastAsia" w:ascii="宋体" w:hAnsi="宋体" w:eastAsia="宋体" w:cs="宋体"/>
          <w:color w:val="auto"/>
          <w:sz w:val="22"/>
          <w:szCs w:val="22"/>
          <w:highlight w:val="none"/>
        </w:rPr>
        <w:t>的由采购人决定是否续签下</w:t>
      </w:r>
      <w:r>
        <w:rPr>
          <w:rFonts w:hint="eastAsia" w:ascii="宋体" w:hAnsi="宋体" w:eastAsia="宋体" w:cs="宋体"/>
          <w:color w:val="auto"/>
          <w:sz w:val="22"/>
          <w:szCs w:val="22"/>
          <w:highlight w:val="none"/>
          <w:lang w:eastAsia="zh-CN"/>
        </w:rPr>
        <w:t>一</w:t>
      </w:r>
      <w:r>
        <w:rPr>
          <w:rFonts w:hint="eastAsia" w:ascii="宋体" w:hAnsi="宋体" w:eastAsia="宋体" w:cs="宋体"/>
          <w:color w:val="auto"/>
          <w:sz w:val="22"/>
          <w:szCs w:val="22"/>
          <w:highlight w:val="none"/>
        </w:rPr>
        <w:t>年度继续服务的合同</w:t>
      </w:r>
      <w:r>
        <w:rPr>
          <w:rFonts w:hint="eastAsia" w:ascii="宋体" w:hAnsi="宋体" w:eastAsia="宋体" w:cs="宋体"/>
          <w:color w:val="auto"/>
          <w:sz w:val="22"/>
          <w:szCs w:val="22"/>
          <w:highlight w:val="none"/>
          <w:lang w:eastAsia="zh-CN"/>
        </w:rPr>
        <w:t>（经协商可变更部分线路），最多续签2年</w:t>
      </w:r>
      <w:r>
        <w:rPr>
          <w:rFonts w:hint="eastAsia" w:ascii="宋体" w:hAnsi="宋体" w:eastAsia="宋体" w:cs="宋体"/>
          <w:color w:val="auto"/>
          <w:sz w:val="22"/>
          <w:szCs w:val="22"/>
          <w:highlight w:val="none"/>
        </w:rPr>
        <w:t>。</w:t>
      </w:r>
    </w:p>
    <w:p w14:paraId="0270BF19">
      <w:pPr>
        <w:autoSpaceDN w:val="0"/>
        <w:snapToGrid/>
        <w:spacing w:line="240" w:lineRule="auto"/>
        <w:ind w:firstLine="440" w:firstLineChars="200"/>
        <w:jc w:val="left"/>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居家疗养”：根据上级文件要求和规定及实际情况分批次分时段组织职工疗休养活动，每位职工应经事先审批后完成疗休养活动。为疗休养职工提供服务的单位可以是餐饮、健身、文化、康养等能提供疗休养服务项目和产品的专业服务单位，所提供服务项目和产品的总价值原则上应不低于3000元/人（注：具体履行情况根据相关文件执行）。</w:t>
      </w:r>
    </w:p>
    <w:p w14:paraId="5599BA55">
      <w:pPr>
        <w:ind w:firstLine="440" w:firstLineChars="200"/>
        <w:rPr>
          <w:rFonts w:hint="default"/>
          <w:color w:val="auto"/>
          <w:lang w:val="en-US" w:eastAsia="zh-CN"/>
        </w:rPr>
      </w:pPr>
      <w:r>
        <w:rPr>
          <w:rFonts w:hint="eastAsia" w:ascii="宋体" w:hAnsi="宋体" w:eastAsia="宋体" w:cs="宋体"/>
          <w:color w:val="auto"/>
          <w:sz w:val="22"/>
          <w:szCs w:val="22"/>
          <w:highlight w:val="none"/>
          <w:u w:val="none"/>
          <w:lang w:val="en-US" w:eastAsia="zh-CN"/>
        </w:rPr>
        <w:t>2、职工疗休养时间（含在途时间）每人核算不超过5天，费用为3000元/人（含来回动车票费用）；总价不超过269.7万元/年。省外</w:t>
      </w:r>
      <w:r>
        <w:rPr>
          <w:rFonts w:hint="eastAsia" w:ascii="宋体" w:hAnsi="宋体" w:eastAsia="宋体" w:cs="宋体"/>
          <w:color w:val="auto"/>
          <w:sz w:val="22"/>
          <w:szCs w:val="22"/>
          <w:highlight w:val="none"/>
          <w:u w:val="none"/>
        </w:rPr>
        <w:t>超出综合单价3000元部分费用</w:t>
      </w:r>
      <w:r>
        <w:rPr>
          <w:rFonts w:hint="eastAsia" w:ascii="宋体" w:hAnsi="宋体" w:eastAsia="宋体" w:cs="宋体"/>
          <w:color w:val="auto"/>
          <w:sz w:val="22"/>
          <w:szCs w:val="22"/>
          <w:highlight w:val="none"/>
          <w:u w:val="none"/>
          <w:lang w:eastAsia="zh-CN"/>
        </w:rPr>
        <w:t>如飞机票等</w:t>
      </w:r>
      <w:r>
        <w:rPr>
          <w:rFonts w:hint="eastAsia" w:ascii="宋体" w:hAnsi="宋体" w:eastAsia="宋体" w:cs="宋体"/>
          <w:color w:val="auto"/>
          <w:sz w:val="22"/>
          <w:szCs w:val="22"/>
          <w:highlight w:val="none"/>
          <w:u w:val="none"/>
        </w:rPr>
        <w:t>由参加疗休养人员承担，成交供应商自行向参加疗休养人员收取</w:t>
      </w:r>
      <w:r>
        <w:rPr>
          <w:rFonts w:hint="eastAsia" w:ascii="宋体" w:hAnsi="宋体" w:eastAsia="宋体" w:cs="宋体"/>
          <w:color w:val="auto"/>
          <w:sz w:val="22"/>
          <w:szCs w:val="22"/>
          <w:highlight w:val="none"/>
          <w:u w:val="none"/>
          <w:lang w:eastAsia="zh-CN"/>
        </w:rPr>
        <w:t>。</w:t>
      </w:r>
    </w:p>
    <w:p w14:paraId="6DBF5857">
      <w:pPr>
        <w:autoSpaceDN w:val="0"/>
        <w:snapToGrid/>
        <w:spacing w:line="240" w:lineRule="auto"/>
        <w:ind w:firstLine="440" w:firstLineChars="200"/>
        <w:jc w:val="left"/>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3、如因疫情或其他原因影响疗休养的按照市总工会和温州交发集团相关文件执行。</w:t>
      </w:r>
    </w:p>
    <w:p w14:paraId="6BE47E77">
      <w:pPr>
        <w:autoSpaceDN w:val="0"/>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三、项目具体线路安排及要求：</w:t>
      </w:r>
    </w:p>
    <w:p w14:paraId="0BA4452A">
      <w:pPr>
        <w:autoSpaceDN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（一）疗休养线路</w:t>
      </w:r>
    </w:p>
    <w:p w14:paraId="74969897">
      <w:pPr>
        <w:autoSpaceDN w:val="0"/>
        <w:spacing w:line="240" w:lineRule="auto"/>
        <w:ind w:firstLine="442" w:firstLineChars="200"/>
        <w:jc w:val="left"/>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人数安排：</w:t>
      </w:r>
    </w:p>
    <w:p w14:paraId="6533AA00">
      <w:pPr>
        <w:autoSpaceDN w:val="0"/>
        <w:spacing w:line="240" w:lineRule="auto"/>
        <w:ind w:firstLine="442" w:firstLineChars="200"/>
        <w:jc w:val="left"/>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lang w:val="en-US" w:eastAsia="zh-CN"/>
        </w:rPr>
        <w:t>1</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rPr>
        <w:t>职工疗休养总</w:t>
      </w:r>
      <w:r>
        <w:rPr>
          <w:rFonts w:hint="eastAsia" w:ascii="宋体" w:hAnsi="宋体" w:eastAsia="宋体" w:cs="宋体"/>
          <w:b/>
          <w:bCs/>
          <w:color w:val="auto"/>
          <w:sz w:val="22"/>
          <w:szCs w:val="22"/>
          <w:highlight w:val="none"/>
          <w:u w:val="none"/>
          <w:lang w:val="en-US" w:eastAsia="zh-CN"/>
        </w:rPr>
        <w:t>人</w:t>
      </w:r>
      <w:r>
        <w:rPr>
          <w:rFonts w:hint="eastAsia" w:ascii="宋体" w:hAnsi="宋体" w:eastAsia="宋体" w:cs="宋体"/>
          <w:b/>
          <w:bCs/>
          <w:color w:val="auto"/>
          <w:sz w:val="22"/>
          <w:szCs w:val="22"/>
          <w:highlight w:val="none"/>
          <w:u w:val="none"/>
        </w:rPr>
        <w:t>数不定，具体人数以疗养</w:t>
      </w:r>
      <w:r>
        <w:rPr>
          <w:rFonts w:hint="eastAsia" w:ascii="宋体" w:hAnsi="宋体" w:eastAsia="宋体" w:cs="宋体"/>
          <w:b/>
          <w:bCs/>
          <w:color w:val="auto"/>
          <w:sz w:val="22"/>
          <w:szCs w:val="22"/>
          <w:highlight w:val="none"/>
          <w:u w:val="none"/>
          <w:lang w:val="en-US" w:eastAsia="zh-CN"/>
        </w:rPr>
        <w:t>实际</w:t>
      </w:r>
      <w:r>
        <w:rPr>
          <w:rFonts w:hint="eastAsia" w:ascii="宋体" w:hAnsi="宋体" w:eastAsia="宋体" w:cs="宋体"/>
          <w:b/>
          <w:bCs/>
          <w:color w:val="auto"/>
          <w:sz w:val="22"/>
          <w:szCs w:val="22"/>
          <w:highlight w:val="none"/>
          <w:u w:val="none"/>
        </w:rPr>
        <w:t>出行的</w:t>
      </w:r>
      <w:r>
        <w:rPr>
          <w:rFonts w:hint="eastAsia" w:ascii="宋体" w:hAnsi="宋体" w:eastAsia="宋体" w:cs="宋体"/>
          <w:b/>
          <w:bCs/>
          <w:color w:val="auto"/>
          <w:sz w:val="22"/>
          <w:szCs w:val="22"/>
          <w:highlight w:val="none"/>
          <w:u w:val="none"/>
          <w:lang w:val="en-US" w:eastAsia="zh-CN"/>
        </w:rPr>
        <w:t>人</w:t>
      </w:r>
      <w:r>
        <w:rPr>
          <w:rFonts w:hint="eastAsia" w:ascii="宋体" w:hAnsi="宋体" w:eastAsia="宋体" w:cs="宋体"/>
          <w:b/>
          <w:bCs/>
          <w:color w:val="auto"/>
          <w:sz w:val="22"/>
          <w:szCs w:val="22"/>
          <w:highlight w:val="none"/>
          <w:u w:val="none"/>
        </w:rPr>
        <w:t>数</w:t>
      </w:r>
      <w:r>
        <w:rPr>
          <w:rFonts w:hint="eastAsia" w:ascii="宋体" w:hAnsi="宋体" w:eastAsia="宋体" w:cs="宋体"/>
          <w:b/>
          <w:bCs/>
          <w:color w:val="auto"/>
          <w:sz w:val="22"/>
          <w:szCs w:val="22"/>
          <w:highlight w:val="none"/>
          <w:u w:val="none"/>
          <w:lang w:val="en-US" w:eastAsia="zh-CN"/>
        </w:rPr>
        <w:t>按实</w:t>
      </w:r>
      <w:r>
        <w:rPr>
          <w:rFonts w:hint="eastAsia" w:ascii="宋体" w:hAnsi="宋体" w:eastAsia="宋体" w:cs="宋体"/>
          <w:b/>
          <w:bCs/>
          <w:color w:val="auto"/>
          <w:sz w:val="22"/>
          <w:szCs w:val="22"/>
          <w:highlight w:val="none"/>
          <w:u w:val="none"/>
        </w:rPr>
        <w:t>进行结算，投标供应商需考虑由此产生的风险</w:t>
      </w:r>
      <w:r>
        <w:rPr>
          <w:rFonts w:hint="eastAsia" w:ascii="宋体" w:hAnsi="宋体" w:eastAsia="宋体" w:cs="宋体"/>
          <w:b/>
          <w:bCs/>
          <w:color w:val="auto"/>
          <w:sz w:val="22"/>
          <w:szCs w:val="22"/>
          <w:highlight w:val="none"/>
          <w:u w:val="none"/>
          <w:lang w:eastAsia="zh-CN"/>
        </w:rPr>
        <w:t>。</w:t>
      </w:r>
    </w:p>
    <w:p w14:paraId="041C5EE3">
      <w:pPr>
        <w:autoSpaceDN w:val="0"/>
        <w:spacing w:line="240" w:lineRule="auto"/>
        <w:ind w:firstLine="442" w:firstLineChars="200"/>
        <w:jc w:val="left"/>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2"/>
          <w:sz w:val="22"/>
          <w:szCs w:val="22"/>
          <w:highlight w:val="none"/>
          <w:u w:val="none"/>
          <w:lang w:eastAsia="zh-CN"/>
        </w:rPr>
        <w:t>（</w:t>
      </w:r>
      <w:r>
        <w:rPr>
          <w:rFonts w:hint="eastAsia" w:ascii="宋体" w:hAnsi="宋体" w:eastAsia="宋体" w:cs="宋体"/>
          <w:b/>
          <w:bCs/>
          <w:color w:val="auto"/>
          <w:kern w:val="2"/>
          <w:sz w:val="22"/>
          <w:szCs w:val="22"/>
          <w:highlight w:val="none"/>
          <w:u w:val="none"/>
          <w:lang w:val="en-US" w:eastAsia="zh-CN"/>
        </w:rPr>
        <w:t>2</w:t>
      </w:r>
      <w:r>
        <w:rPr>
          <w:rFonts w:hint="eastAsia" w:ascii="宋体" w:hAnsi="宋体" w:eastAsia="宋体" w:cs="宋体"/>
          <w:b/>
          <w:bCs/>
          <w:color w:val="auto"/>
          <w:kern w:val="2"/>
          <w:sz w:val="22"/>
          <w:szCs w:val="22"/>
          <w:highlight w:val="none"/>
          <w:u w:val="none"/>
          <w:lang w:eastAsia="zh-CN"/>
        </w:rPr>
        <w:t>）</w:t>
      </w:r>
      <w:r>
        <w:rPr>
          <w:rFonts w:hint="eastAsia" w:ascii="宋体" w:hAnsi="宋体" w:eastAsia="宋体" w:cs="宋体"/>
          <w:b/>
          <w:bCs/>
          <w:color w:val="auto"/>
          <w:kern w:val="2"/>
          <w:sz w:val="22"/>
          <w:szCs w:val="22"/>
          <w:highlight w:val="none"/>
          <w:u w:val="none"/>
        </w:rPr>
        <w:t>本项目中标人与采购人签订服务合同，作为各</w:t>
      </w:r>
      <w:r>
        <w:rPr>
          <w:rFonts w:hint="eastAsia" w:ascii="宋体" w:hAnsi="宋体" w:eastAsia="宋体" w:cs="宋体"/>
          <w:b/>
          <w:bCs/>
          <w:color w:val="auto"/>
          <w:kern w:val="2"/>
          <w:sz w:val="22"/>
          <w:szCs w:val="22"/>
          <w:highlight w:val="none"/>
          <w:u w:val="none"/>
          <w:lang w:val="en-US" w:eastAsia="zh-CN"/>
        </w:rPr>
        <w:t>采购人</w:t>
      </w:r>
      <w:r>
        <w:rPr>
          <w:rFonts w:hint="eastAsia" w:ascii="宋体" w:hAnsi="宋体" w:eastAsia="宋体" w:cs="宋体"/>
          <w:b/>
          <w:bCs/>
          <w:color w:val="auto"/>
          <w:kern w:val="2"/>
          <w:sz w:val="22"/>
          <w:szCs w:val="22"/>
          <w:highlight w:val="none"/>
          <w:u w:val="none"/>
        </w:rPr>
        <w:t>付款依据之一</w:t>
      </w:r>
      <w:r>
        <w:rPr>
          <w:rFonts w:hint="eastAsia" w:ascii="宋体" w:hAnsi="宋体" w:eastAsia="宋体" w:cs="宋体"/>
          <w:b/>
          <w:bCs/>
          <w:color w:val="auto"/>
          <w:kern w:val="2"/>
          <w:sz w:val="22"/>
          <w:szCs w:val="22"/>
          <w:highlight w:val="none"/>
          <w:u w:val="none"/>
          <w:lang w:eastAsia="zh-CN"/>
        </w:rPr>
        <w:t>。</w:t>
      </w:r>
      <w:r>
        <w:rPr>
          <w:rFonts w:hint="eastAsia" w:ascii="宋体" w:hAnsi="宋体" w:eastAsia="宋体" w:cs="宋体"/>
          <w:b/>
          <w:bCs/>
          <w:color w:val="auto"/>
          <w:kern w:val="2"/>
          <w:sz w:val="22"/>
          <w:szCs w:val="22"/>
          <w:highlight w:val="none"/>
          <w:u w:val="none"/>
        </w:rPr>
        <w:t>中标</w:t>
      </w:r>
      <w:r>
        <w:rPr>
          <w:rFonts w:hint="eastAsia" w:ascii="宋体" w:hAnsi="宋体" w:eastAsia="宋体" w:cs="宋体"/>
          <w:b/>
          <w:bCs/>
          <w:color w:val="auto"/>
          <w:kern w:val="0"/>
          <w:sz w:val="22"/>
          <w:szCs w:val="22"/>
          <w:highlight w:val="none"/>
        </w:rPr>
        <w:t>人必须</w:t>
      </w:r>
      <w:r>
        <w:rPr>
          <w:rFonts w:hint="eastAsia" w:ascii="宋体" w:hAnsi="宋体" w:eastAsia="宋体" w:cs="宋体"/>
          <w:b/>
          <w:bCs/>
          <w:color w:val="auto"/>
          <w:kern w:val="0"/>
          <w:sz w:val="22"/>
          <w:szCs w:val="22"/>
          <w:highlight w:val="none"/>
          <w:lang w:val="en-US" w:eastAsia="zh-CN"/>
        </w:rPr>
        <w:t>将全年旅游线路及时间规划、相应服务内容及价格等详细事项对采购人及其员工公开。</w:t>
      </w:r>
    </w:p>
    <w:p w14:paraId="1A61197D">
      <w:pPr>
        <w:autoSpaceDN w:val="0"/>
        <w:spacing w:line="240" w:lineRule="auto"/>
        <w:ind w:firstLine="442" w:firstLineChars="200"/>
        <w:jc w:val="left"/>
        <w:rPr>
          <w:rFonts w:hint="eastAsia" w:ascii="宋体" w:hAnsi="宋体" w:eastAsia="宋体" w:cs="宋体"/>
          <w:b/>
          <w:bCs/>
          <w:color w:val="auto"/>
          <w:kern w:val="2"/>
          <w:sz w:val="22"/>
          <w:szCs w:val="22"/>
          <w:highlight w:val="none"/>
          <w:u w:val="none"/>
        </w:rPr>
      </w:pPr>
      <w:r>
        <w:rPr>
          <w:rFonts w:hint="eastAsia" w:ascii="宋体" w:hAnsi="宋体" w:eastAsia="宋体" w:cs="宋体"/>
          <w:b/>
          <w:bCs/>
          <w:color w:val="auto"/>
          <w:kern w:val="0"/>
          <w:sz w:val="22"/>
          <w:szCs w:val="22"/>
          <w:highlight w:val="none"/>
          <w:lang w:val="en-US" w:eastAsia="zh-CN"/>
        </w:rPr>
        <w:t>（3）</w:t>
      </w:r>
      <w:r>
        <w:rPr>
          <w:rFonts w:hint="eastAsia" w:ascii="宋体" w:hAnsi="宋体" w:eastAsia="宋体" w:cs="宋体"/>
          <w:b w:val="0"/>
          <w:bCs w:val="0"/>
          <w:color w:val="auto"/>
          <w:kern w:val="2"/>
          <w:sz w:val="22"/>
          <w:szCs w:val="22"/>
          <w:highlight w:val="none"/>
          <w:u w:val="none"/>
          <w:lang w:val="en-US" w:eastAsia="zh-CN"/>
        </w:rPr>
        <w:t>职工</w:t>
      </w:r>
      <w:r>
        <w:rPr>
          <w:rFonts w:hint="eastAsia" w:ascii="宋体" w:hAnsi="宋体" w:eastAsia="宋体" w:cs="宋体"/>
          <w:color w:val="auto"/>
          <w:sz w:val="22"/>
          <w:highlight w:val="none"/>
          <w:u w:val="none"/>
        </w:rPr>
        <w:t>疗休养地点包括温州市内、浙江省内、对口支援（扶贫协作、对口合作）</w:t>
      </w:r>
      <w:r>
        <w:rPr>
          <w:rFonts w:hint="eastAsia" w:ascii="宋体" w:hAnsi="宋体" w:eastAsia="宋体" w:cs="宋体"/>
          <w:color w:val="auto"/>
          <w:sz w:val="22"/>
          <w:highlight w:val="none"/>
          <w:u w:val="none"/>
          <w:lang w:eastAsia="zh-CN"/>
        </w:rPr>
        <w:t>省、自治区</w:t>
      </w:r>
      <w:r>
        <w:rPr>
          <w:rFonts w:hint="eastAsia" w:ascii="宋体" w:hAnsi="宋体" w:eastAsia="宋体" w:cs="宋体"/>
          <w:color w:val="auto"/>
          <w:sz w:val="22"/>
          <w:highlight w:val="none"/>
          <w:u w:val="none"/>
        </w:rPr>
        <w:t>和浙皖闽赣国家生态旅游协作区、长三角（沪苏浙皖）区域等地开展疗休养活动，</w:t>
      </w:r>
      <w:r>
        <w:rPr>
          <w:rFonts w:hint="eastAsia" w:ascii="宋体" w:hAnsi="宋体" w:eastAsia="宋体" w:cs="宋体"/>
          <w:b w:val="0"/>
          <w:bCs w:val="0"/>
          <w:color w:val="auto"/>
          <w:kern w:val="2"/>
          <w:sz w:val="22"/>
          <w:szCs w:val="22"/>
          <w:highlight w:val="none"/>
          <w:u w:val="none"/>
          <w:lang w:val="en-US" w:eastAsia="zh-CN"/>
        </w:rPr>
        <w:t>由员工根据需要在规划线路中自由选择疗休养线路</w:t>
      </w:r>
      <w:r>
        <w:rPr>
          <w:rFonts w:hint="eastAsia" w:ascii="宋体" w:hAnsi="宋体" w:eastAsia="宋体" w:cs="宋体"/>
          <w:b/>
          <w:bCs/>
          <w:color w:val="auto"/>
          <w:kern w:val="0"/>
          <w:sz w:val="22"/>
          <w:szCs w:val="22"/>
          <w:highlight w:val="none"/>
          <w:lang w:val="en-US" w:eastAsia="zh-CN"/>
        </w:rPr>
        <w:t>，该线路出行人数达到合同规定的规模的，必须组团出行。</w:t>
      </w:r>
    </w:p>
    <w:p w14:paraId="5E29B788">
      <w:pPr>
        <w:autoSpaceDN w:val="0"/>
        <w:spacing w:line="240" w:lineRule="auto"/>
        <w:ind w:firstLine="442" w:firstLineChars="200"/>
        <w:jc w:val="left"/>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线路：</w:t>
      </w:r>
    </w:p>
    <w:p w14:paraId="74646167">
      <w:pPr>
        <w:autoSpaceDN w:val="0"/>
        <w:spacing w:line="240" w:lineRule="auto"/>
        <w:ind w:firstLine="440" w:firstLineChars="200"/>
        <w:jc w:val="left"/>
        <w:rPr>
          <w:rFonts w:hint="eastAsia" w:ascii="宋体" w:hAnsi="宋体" w:eastAsia="宋体" w:cs="宋体"/>
          <w:b w:val="0"/>
          <w:bCs w:val="0"/>
          <w:color w:val="auto"/>
          <w:sz w:val="22"/>
          <w:szCs w:val="22"/>
          <w:highlight w:val="none"/>
          <w:u w:val="none"/>
          <w:lang w:eastAsia="zh-CN"/>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val="en-US" w:eastAsia="zh-CN"/>
        </w:rPr>
        <w:t>市域</w:t>
      </w:r>
      <w:r>
        <w:rPr>
          <w:rFonts w:hint="eastAsia" w:ascii="宋体" w:hAnsi="宋体" w:eastAsia="宋体" w:cs="宋体"/>
          <w:color w:val="auto"/>
          <w:sz w:val="22"/>
          <w:szCs w:val="22"/>
          <w:highlight w:val="none"/>
          <w:u w:val="none"/>
        </w:rPr>
        <w:t>：</w:t>
      </w:r>
      <w:r>
        <w:rPr>
          <w:rFonts w:hint="eastAsia" w:ascii="宋体" w:hAnsi="宋体" w:eastAsia="宋体" w:cs="宋体"/>
          <w:b w:val="0"/>
          <w:bCs w:val="0"/>
          <w:color w:val="auto"/>
          <w:sz w:val="22"/>
          <w:szCs w:val="22"/>
          <w:highlight w:val="none"/>
          <w:u w:val="none"/>
        </w:rPr>
        <w:t>平阳、苍南五日</w:t>
      </w:r>
      <w:r>
        <w:rPr>
          <w:rFonts w:hint="eastAsia" w:ascii="宋体" w:hAnsi="宋体" w:eastAsia="宋体" w:cs="宋体"/>
          <w:b w:val="0"/>
          <w:bCs w:val="0"/>
          <w:color w:val="auto"/>
          <w:sz w:val="22"/>
          <w:szCs w:val="22"/>
          <w:highlight w:val="none"/>
          <w:u w:val="none"/>
          <w:lang w:eastAsia="zh-CN"/>
        </w:rPr>
        <w:t>；洞头、永嘉五日。</w:t>
      </w:r>
    </w:p>
    <w:p w14:paraId="0415B9E2">
      <w:pPr>
        <w:autoSpaceDN w:val="0"/>
        <w:spacing w:line="240" w:lineRule="auto"/>
        <w:ind w:firstLine="440" w:firstLineChars="200"/>
        <w:jc w:val="left"/>
        <w:rPr>
          <w:rFonts w:hint="eastAsia" w:ascii="宋体" w:hAnsi="宋体" w:eastAsia="宋体" w:cs="宋体"/>
          <w:b w:val="0"/>
          <w:bCs w:val="0"/>
          <w:color w:val="auto"/>
          <w:sz w:val="22"/>
          <w:szCs w:val="22"/>
          <w:highlight w:val="none"/>
          <w:u w:val="none"/>
          <w:lang w:eastAsia="zh-CN"/>
        </w:rPr>
      </w:pPr>
      <w:r>
        <w:rPr>
          <w:rFonts w:hint="eastAsia" w:ascii="宋体" w:hAnsi="宋体" w:eastAsia="宋体" w:cs="宋体"/>
          <w:b w:val="0"/>
          <w:bCs w:val="0"/>
          <w:color w:val="auto"/>
          <w:sz w:val="22"/>
          <w:szCs w:val="22"/>
          <w:highlight w:val="none"/>
          <w:u w:val="none"/>
        </w:rPr>
        <w:t>（2）省</w:t>
      </w:r>
      <w:r>
        <w:rPr>
          <w:rFonts w:hint="eastAsia" w:ascii="宋体" w:hAnsi="宋体" w:eastAsia="宋体" w:cs="宋体"/>
          <w:b w:val="0"/>
          <w:bCs w:val="0"/>
          <w:color w:val="auto"/>
          <w:sz w:val="22"/>
          <w:szCs w:val="22"/>
          <w:highlight w:val="none"/>
          <w:u w:val="none"/>
          <w:lang w:eastAsia="zh-CN"/>
        </w:rPr>
        <w:t>内</w:t>
      </w:r>
      <w:r>
        <w:rPr>
          <w:rFonts w:hint="eastAsia" w:ascii="宋体" w:hAnsi="宋体" w:eastAsia="宋体" w:cs="宋体"/>
          <w:b w:val="0"/>
          <w:bCs w:val="0"/>
          <w:color w:val="auto"/>
          <w:sz w:val="22"/>
          <w:szCs w:val="22"/>
          <w:highlight w:val="none"/>
          <w:u w:val="none"/>
        </w:rPr>
        <w:t>：</w:t>
      </w:r>
      <w:r>
        <w:rPr>
          <w:rFonts w:hint="eastAsia" w:ascii="宋体" w:hAnsi="宋体" w:eastAsia="宋体" w:cs="宋体"/>
          <w:b w:val="0"/>
          <w:bCs w:val="0"/>
          <w:color w:val="auto"/>
          <w:sz w:val="22"/>
          <w:szCs w:val="22"/>
          <w:highlight w:val="none"/>
          <w:u w:val="none"/>
          <w:lang w:eastAsia="zh-CN"/>
        </w:rPr>
        <w:t>千岛湖高铁五日，横店高铁五日，嘉兴乌镇高铁五日。</w:t>
      </w:r>
    </w:p>
    <w:p w14:paraId="1FBE4DC7">
      <w:pPr>
        <w:autoSpaceDN w:val="0"/>
        <w:spacing w:line="240" w:lineRule="auto"/>
        <w:ind w:firstLine="440" w:firstLineChars="200"/>
        <w:jc w:val="left"/>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lang w:eastAsia="zh-CN"/>
        </w:rPr>
        <w:t>（</w:t>
      </w:r>
      <w:r>
        <w:rPr>
          <w:rFonts w:hint="eastAsia" w:ascii="宋体" w:hAnsi="宋体" w:eastAsia="宋体" w:cs="宋体"/>
          <w:b w:val="0"/>
          <w:bCs w:val="0"/>
          <w:color w:val="auto"/>
          <w:sz w:val="22"/>
          <w:szCs w:val="22"/>
          <w:highlight w:val="none"/>
          <w:u w:val="none"/>
          <w:lang w:val="en-US" w:eastAsia="zh-CN"/>
        </w:rPr>
        <w:t>3</w:t>
      </w:r>
      <w:r>
        <w:rPr>
          <w:rFonts w:hint="eastAsia" w:ascii="宋体" w:hAnsi="宋体" w:eastAsia="宋体" w:cs="宋体"/>
          <w:b w:val="0"/>
          <w:bCs w:val="0"/>
          <w:color w:val="auto"/>
          <w:sz w:val="22"/>
          <w:szCs w:val="22"/>
          <w:highlight w:val="none"/>
          <w:u w:val="none"/>
          <w:lang w:eastAsia="zh-CN"/>
        </w:rPr>
        <w:t>）</w:t>
      </w:r>
      <w:r>
        <w:rPr>
          <w:rFonts w:hint="eastAsia" w:ascii="宋体" w:hAnsi="宋体" w:eastAsia="宋体" w:cs="宋体"/>
          <w:b w:val="0"/>
          <w:bCs w:val="0"/>
          <w:color w:val="auto"/>
          <w:sz w:val="22"/>
          <w:szCs w:val="22"/>
          <w:highlight w:val="none"/>
          <w:u w:val="none"/>
        </w:rPr>
        <w:t>省</w:t>
      </w:r>
      <w:r>
        <w:rPr>
          <w:rFonts w:hint="eastAsia" w:ascii="宋体" w:hAnsi="宋体" w:eastAsia="宋体" w:cs="宋体"/>
          <w:b w:val="0"/>
          <w:bCs w:val="0"/>
          <w:color w:val="auto"/>
          <w:sz w:val="22"/>
          <w:szCs w:val="22"/>
          <w:highlight w:val="none"/>
          <w:u w:val="none"/>
          <w:lang w:eastAsia="zh-CN"/>
        </w:rPr>
        <w:t>外</w:t>
      </w:r>
      <w:r>
        <w:rPr>
          <w:rFonts w:hint="eastAsia" w:ascii="宋体" w:hAnsi="宋体" w:eastAsia="宋体" w:cs="宋体"/>
          <w:b w:val="0"/>
          <w:bCs w:val="0"/>
          <w:color w:val="auto"/>
          <w:sz w:val="22"/>
          <w:szCs w:val="22"/>
          <w:highlight w:val="none"/>
          <w:u w:val="none"/>
        </w:rPr>
        <w:t>：</w:t>
      </w:r>
      <w:r>
        <w:rPr>
          <w:rFonts w:hint="eastAsia" w:ascii="宋体" w:hAnsi="宋体" w:eastAsia="宋体" w:cs="宋体"/>
          <w:b w:val="0"/>
          <w:bCs w:val="0"/>
          <w:color w:val="auto"/>
          <w:sz w:val="22"/>
          <w:szCs w:val="22"/>
          <w:highlight w:val="none"/>
          <w:u w:val="none"/>
          <w:lang w:eastAsia="zh-CN"/>
        </w:rPr>
        <w:t>吉林长白山</w:t>
      </w:r>
      <w:r>
        <w:rPr>
          <w:rFonts w:hint="eastAsia" w:ascii="宋体" w:hAnsi="宋体" w:eastAsia="宋体" w:cs="宋体"/>
          <w:b w:val="0"/>
          <w:bCs w:val="0"/>
          <w:color w:val="auto"/>
          <w:sz w:val="22"/>
          <w:szCs w:val="22"/>
          <w:highlight w:val="none"/>
          <w:u w:val="none"/>
          <w:lang w:val="en-US" w:eastAsia="zh-CN"/>
        </w:rPr>
        <w:t>双飞</w:t>
      </w:r>
      <w:r>
        <w:rPr>
          <w:rFonts w:hint="eastAsia" w:ascii="宋体" w:hAnsi="宋体" w:eastAsia="宋体" w:cs="宋体"/>
          <w:b w:val="0"/>
          <w:bCs w:val="0"/>
          <w:color w:val="auto"/>
          <w:sz w:val="22"/>
          <w:szCs w:val="22"/>
          <w:highlight w:val="none"/>
          <w:u w:val="none"/>
          <w:lang w:eastAsia="zh-CN"/>
        </w:rPr>
        <w:t>五日，重庆</w:t>
      </w:r>
      <w:r>
        <w:rPr>
          <w:rFonts w:hint="eastAsia" w:ascii="宋体" w:hAnsi="宋体" w:eastAsia="宋体" w:cs="宋体"/>
          <w:b w:val="0"/>
          <w:bCs w:val="0"/>
          <w:color w:val="auto"/>
          <w:sz w:val="22"/>
          <w:szCs w:val="22"/>
          <w:highlight w:val="none"/>
          <w:u w:val="none"/>
          <w:lang w:val="en-US" w:eastAsia="zh-CN"/>
        </w:rPr>
        <w:t>涪陵双飞</w:t>
      </w:r>
      <w:r>
        <w:rPr>
          <w:rFonts w:hint="eastAsia" w:ascii="宋体" w:hAnsi="宋体" w:eastAsia="宋体" w:cs="宋体"/>
          <w:b w:val="0"/>
          <w:bCs w:val="0"/>
          <w:color w:val="auto"/>
          <w:sz w:val="22"/>
          <w:szCs w:val="22"/>
          <w:highlight w:val="none"/>
          <w:u w:val="none"/>
          <w:lang w:eastAsia="zh-CN"/>
        </w:rPr>
        <w:t>五日，成都</w:t>
      </w:r>
      <w:r>
        <w:rPr>
          <w:rFonts w:hint="eastAsia" w:ascii="宋体" w:hAnsi="宋体" w:eastAsia="宋体" w:cs="宋体"/>
          <w:b w:val="0"/>
          <w:bCs w:val="0"/>
          <w:color w:val="auto"/>
          <w:sz w:val="22"/>
          <w:szCs w:val="22"/>
          <w:highlight w:val="none"/>
          <w:u w:val="none"/>
          <w:lang w:val="en-US" w:eastAsia="zh-CN"/>
        </w:rPr>
        <w:t>阿坝州双飞</w:t>
      </w:r>
      <w:r>
        <w:rPr>
          <w:rFonts w:hint="eastAsia" w:ascii="宋体" w:hAnsi="宋体" w:eastAsia="宋体" w:cs="宋体"/>
          <w:b w:val="0"/>
          <w:bCs w:val="0"/>
          <w:color w:val="auto"/>
          <w:sz w:val="22"/>
          <w:szCs w:val="22"/>
          <w:highlight w:val="none"/>
          <w:u w:val="none"/>
          <w:lang w:eastAsia="zh-CN"/>
        </w:rPr>
        <w:t>五日；</w:t>
      </w:r>
      <w:r>
        <w:rPr>
          <w:rFonts w:hint="eastAsia" w:ascii="宋体" w:hAnsi="宋体" w:eastAsia="宋体" w:cs="宋体"/>
          <w:b w:val="0"/>
          <w:bCs w:val="0"/>
          <w:color w:val="auto"/>
          <w:sz w:val="22"/>
          <w:szCs w:val="22"/>
          <w:highlight w:val="none"/>
          <w:u w:val="none"/>
        </w:rPr>
        <w:t>省外出行人数最多不高于总人数的1/3。</w:t>
      </w:r>
    </w:p>
    <w:p w14:paraId="1056EE57">
      <w:pPr>
        <w:autoSpaceDN/>
        <w:spacing w:line="240" w:lineRule="auto"/>
        <w:ind w:firstLine="440" w:firstLineChars="200"/>
        <w:jc w:val="left"/>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具体要求如下：</w:t>
      </w:r>
    </w:p>
    <w:p w14:paraId="4DB200F2">
      <w:pPr>
        <w:autoSpaceDN w:val="0"/>
        <w:spacing w:line="24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none"/>
        </w:rPr>
        <w:t>1、线路：出行费用按照不超过</w:t>
      </w:r>
      <w:r>
        <w:rPr>
          <w:rFonts w:hint="eastAsia" w:ascii="宋体" w:hAnsi="宋体" w:eastAsia="宋体" w:cs="宋体"/>
          <w:color w:val="auto"/>
          <w:sz w:val="22"/>
          <w:szCs w:val="22"/>
          <w:highlight w:val="none"/>
          <w:u w:val="none"/>
          <w:lang w:val="en-US" w:eastAsia="zh-CN"/>
        </w:rPr>
        <w:t>3</w:t>
      </w:r>
      <w:r>
        <w:rPr>
          <w:rFonts w:hint="eastAsia" w:ascii="宋体" w:hAnsi="宋体" w:eastAsia="宋体" w:cs="宋体"/>
          <w:color w:val="auto"/>
          <w:sz w:val="22"/>
          <w:szCs w:val="22"/>
          <w:highlight w:val="none"/>
          <w:u w:val="none"/>
        </w:rPr>
        <w:t>000元/人（</w:t>
      </w:r>
      <w:r>
        <w:rPr>
          <w:rFonts w:hint="eastAsia" w:ascii="宋体" w:hAnsi="宋体" w:eastAsia="宋体" w:cs="宋体"/>
          <w:color w:val="auto"/>
          <w:sz w:val="22"/>
          <w:szCs w:val="22"/>
          <w:highlight w:val="none"/>
          <w:u w:val="none"/>
          <w:lang w:val="en-US" w:eastAsia="zh-CN"/>
        </w:rPr>
        <w:t>含</w:t>
      </w:r>
      <w:r>
        <w:rPr>
          <w:rFonts w:hint="eastAsia" w:ascii="宋体" w:hAnsi="宋体" w:eastAsia="宋体" w:cs="宋体"/>
          <w:color w:val="auto"/>
          <w:sz w:val="22"/>
          <w:szCs w:val="22"/>
          <w:highlight w:val="none"/>
          <w:u w:val="none"/>
        </w:rPr>
        <w:t>来回动车票）的标准，在实施阶段，职工可任选</w:t>
      </w:r>
      <w:r>
        <w:rPr>
          <w:rFonts w:hint="eastAsia" w:ascii="宋体" w:hAnsi="宋体" w:eastAsia="宋体" w:cs="宋体"/>
          <w:color w:val="auto"/>
          <w:sz w:val="22"/>
          <w:szCs w:val="22"/>
          <w:highlight w:val="none"/>
          <w:u w:val="none"/>
          <w:lang w:val="en-US" w:eastAsia="zh-CN"/>
        </w:rPr>
        <w:t>市域</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省</w:t>
      </w:r>
      <w:r>
        <w:rPr>
          <w:rFonts w:hint="eastAsia" w:ascii="宋体" w:hAnsi="宋体" w:eastAsia="宋体" w:cs="宋体"/>
          <w:color w:val="auto"/>
          <w:sz w:val="22"/>
          <w:szCs w:val="22"/>
          <w:highlight w:val="none"/>
          <w:u w:val="none"/>
          <w:lang w:eastAsia="zh-CN"/>
        </w:rPr>
        <w:t>内</w:t>
      </w:r>
      <w:r>
        <w:rPr>
          <w:rFonts w:hint="eastAsia" w:ascii="宋体" w:hAnsi="宋体" w:eastAsia="宋体" w:cs="宋体"/>
          <w:color w:val="auto"/>
          <w:sz w:val="22"/>
          <w:szCs w:val="22"/>
          <w:highlight w:val="none"/>
          <w:u w:val="none"/>
        </w:rPr>
        <w:t>或跨省某一线路。供应商应考虑职工疗休养的公平性、均衡性（即保证</w:t>
      </w:r>
      <w:r>
        <w:rPr>
          <w:rFonts w:hint="eastAsia" w:ascii="宋体" w:hAnsi="宋体" w:eastAsia="宋体" w:cs="宋体"/>
          <w:color w:val="auto"/>
          <w:sz w:val="22"/>
          <w:szCs w:val="22"/>
          <w:highlight w:val="none"/>
          <w:u w:val="none"/>
          <w:lang w:val="en-US" w:eastAsia="zh-CN"/>
        </w:rPr>
        <w:t>市域</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省内任一线路的疗休养标准基本一致、跨省任一线路的疗休养标准基本一致），自行安排上</w:t>
      </w:r>
      <w:r>
        <w:rPr>
          <w:rFonts w:hint="eastAsia" w:ascii="宋体" w:hAnsi="宋体" w:eastAsia="宋体" w:cs="宋体"/>
          <w:color w:val="auto"/>
          <w:sz w:val="22"/>
          <w:szCs w:val="22"/>
          <w:highlight w:val="none"/>
        </w:rPr>
        <w:t>述线路的具体方案。中标供应商的方案应获得采购人的认可，采购人保留对中标供应商的某一线路指定其他方案的权利。</w:t>
      </w:r>
    </w:p>
    <w:p w14:paraId="4043A266">
      <w:pPr>
        <w:autoSpaceDN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2、时间：5天（含在途时间）。组团按</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人计划实施，具体出团及返回时间根据供应商编制并获得</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人认可的方案为准。</w:t>
      </w:r>
    </w:p>
    <w:p w14:paraId="6104EE50">
      <w:pPr>
        <w:autoSpaceDN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3、餐标：在正规饭店或农家乐就餐，</w:t>
      </w:r>
      <w:r>
        <w:rPr>
          <w:rFonts w:hint="eastAsia" w:ascii="宋体" w:hAnsi="宋体" w:eastAsia="宋体" w:cs="宋体"/>
          <w:color w:val="auto"/>
          <w:sz w:val="22"/>
          <w:szCs w:val="22"/>
          <w:highlight w:val="none"/>
          <w:lang w:eastAsia="zh-CN"/>
        </w:rPr>
        <w:t>以</w:t>
      </w:r>
      <w:r>
        <w:rPr>
          <w:rFonts w:hint="eastAsia" w:ascii="宋体" w:hAnsi="宋体" w:eastAsia="宋体" w:cs="宋体"/>
          <w:color w:val="auto"/>
          <w:sz w:val="22"/>
          <w:szCs w:val="22"/>
          <w:highlight w:val="none"/>
        </w:rPr>
        <w:t>10人一桌</w:t>
      </w:r>
      <w:r>
        <w:rPr>
          <w:rFonts w:hint="eastAsia" w:ascii="宋体" w:hAnsi="宋体" w:eastAsia="宋体" w:cs="宋体"/>
          <w:color w:val="auto"/>
          <w:sz w:val="22"/>
          <w:szCs w:val="22"/>
          <w:highlight w:val="none"/>
          <w:lang w:eastAsia="zh-CN"/>
        </w:rPr>
        <w:t>为标准，</w:t>
      </w:r>
      <w:r>
        <w:rPr>
          <w:rFonts w:hint="eastAsia" w:ascii="宋体" w:hAnsi="宋体" w:eastAsia="宋体" w:cs="宋体"/>
          <w:color w:val="auto"/>
          <w:sz w:val="22"/>
          <w:highlight w:val="none"/>
        </w:rPr>
        <w:t>正菜不少于12个（不含冷菜），荤菜不少于6个，也可用自助餐的形式。</w:t>
      </w:r>
      <w:r>
        <w:rPr>
          <w:rFonts w:hint="eastAsia" w:ascii="宋体" w:hAnsi="宋体" w:eastAsia="宋体" w:cs="宋体"/>
          <w:color w:val="auto"/>
          <w:sz w:val="22"/>
          <w:szCs w:val="22"/>
          <w:highlight w:val="none"/>
        </w:rPr>
        <w:t>入住酒店必须包含早餐，</w:t>
      </w:r>
      <w:r>
        <w:rPr>
          <w:rFonts w:hint="eastAsia" w:ascii="宋体" w:hAnsi="宋体" w:eastAsia="宋体" w:cs="宋体"/>
          <w:color w:val="auto"/>
          <w:sz w:val="22"/>
          <w:szCs w:val="22"/>
          <w:highlight w:val="none"/>
          <w:lang w:eastAsia="zh-CN"/>
        </w:rPr>
        <w:t>市域线路</w:t>
      </w:r>
      <w:r>
        <w:rPr>
          <w:rFonts w:hint="eastAsia" w:ascii="宋体" w:hAnsi="宋体" w:eastAsia="宋体" w:cs="宋体"/>
          <w:color w:val="auto"/>
          <w:sz w:val="22"/>
          <w:szCs w:val="22"/>
          <w:highlight w:val="none"/>
        </w:rPr>
        <w:t>每人正餐餐费标准不低于</w:t>
      </w:r>
      <w:r>
        <w:rPr>
          <w:rFonts w:hint="eastAsia" w:ascii="宋体" w:hAnsi="宋体" w:eastAsia="宋体" w:cs="宋体"/>
          <w:color w:val="auto"/>
          <w:sz w:val="22"/>
          <w:szCs w:val="22"/>
          <w:highlight w:val="none"/>
          <w:lang w:val="en-US" w:eastAsia="zh-CN"/>
        </w:rPr>
        <w:t>90</w:t>
      </w:r>
      <w:r>
        <w:rPr>
          <w:rFonts w:hint="eastAsia" w:ascii="宋体" w:hAnsi="宋体" w:eastAsia="宋体" w:cs="宋体"/>
          <w:color w:val="auto"/>
          <w:sz w:val="22"/>
          <w:szCs w:val="22"/>
          <w:highlight w:val="none"/>
        </w:rPr>
        <w:t>元/人，且每人餐费总额不低于</w:t>
      </w:r>
      <w:r>
        <w:rPr>
          <w:rFonts w:hint="eastAsia" w:ascii="宋体" w:hAnsi="宋体" w:eastAsia="宋体" w:cs="宋体"/>
          <w:color w:val="auto"/>
          <w:sz w:val="22"/>
          <w:szCs w:val="22"/>
          <w:highlight w:val="none"/>
          <w:lang w:val="en-US" w:eastAsia="zh-CN"/>
        </w:rPr>
        <w:t>810</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；省内、省外线路</w:t>
      </w:r>
      <w:r>
        <w:rPr>
          <w:rFonts w:hint="eastAsia" w:ascii="宋体" w:hAnsi="宋体" w:eastAsia="宋体" w:cs="宋体"/>
          <w:color w:val="auto"/>
          <w:sz w:val="22"/>
          <w:szCs w:val="22"/>
          <w:highlight w:val="none"/>
        </w:rPr>
        <w:t>每人正餐餐费标准不低于</w:t>
      </w:r>
      <w:r>
        <w:rPr>
          <w:rFonts w:hint="eastAsia" w:ascii="宋体" w:hAnsi="宋体" w:eastAsia="宋体" w:cs="宋体"/>
          <w:color w:val="auto"/>
          <w:sz w:val="22"/>
          <w:szCs w:val="22"/>
          <w:highlight w:val="none"/>
          <w:lang w:val="en-US" w:eastAsia="zh-CN"/>
        </w:rPr>
        <w:t>70</w:t>
      </w:r>
      <w:r>
        <w:rPr>
          <w:rFonts w:hint="eastAsia" w:ascii="宋体" w:hAnsi="宋体" w:eastAsia="宋体" w:cs="宋体"/>
          <w:color w:val="auto"/>
          <w:sz w:val="22"/>
          <w:szCs w:val="22"/>
          <w:highlight w:val="none"/>
        </w:rPr>
        <w:t>元/人，且每人餐费总额不低于</w:t>
      </w:r>
      <w:r>
        <w:rPr>
          <w:rFonts w:hint="eastAsia" w:ascii="宋体" w:hAnsi="宋体" w:eastAsia="宋体" w:cs="宋体"/>
          <w:color w:val="auto"/>
          <w:sz w:val="22"/>
          <w:szCs w:val="22"/>
          <w:highlight w:val="none"/>
          <w:lang w:val="en-US" w:eastAsia="zh-CN"/>
        </w:rPr>
        <w:t>630</w:t>
      </w:r>
      <w:r>
        <w:rPr>
          <w:rFonts w:hint="eastAsia" w:ascii="宋体" w:hAnsi="宋体" w:eastAsia="宋体" w:cs="宋体"/>
          <w:color w:val="auto"/>
          <w:sz w:val="22"/>
          <w:szCs w:val="22"/>
          <w:highlight w:val="none"/>
        </w:rPr>
        <w:t>元。具体供应正餐次数以供应商编制并获得</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人认可的方案为准。</w:t>
      </w:r>
    </w:p>
    <w:p w14:paraId="29E7D936">
      <w:pPr>
        <w:autoSpaceDN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4、住宿：挂牌</w:t>
      </w:r>
      <w:r>
        <w:rPr>
          <w:rFonts w:hint="eastAsia" w:ascii="宋体" w:hAnsi="宋体" w:eastAsia="宋体" w:cs="宋体"/>
          <w:color w:val="auto"/>
          <w:sz w:val="22"/>
          <w:szCs w:val="22"/>
          <w:highlight w:val="none"/>
          <w:lang w:eastAsia="zh-CN"/>
        </w:rPr>
        <w:t>五星、五钻</w:t>
      </w:r>
      <w:r>
        <w:rPr>
          <w:rFonts w:hint="eastAsia" w:ascii="宋体" w:hAnsi="宋体" w:eastAsia="宋体" w:cs="宋体"/>
          <w:color w:val="auto"/>
          <w:sz w:val="22"/>
          <w:szCs w:val="22"/>
          <w:highlight w:val="none"/>
        </w:rPr>
        <w:t>或相当于</w:t>
      </w:r>
      <w:r>
        <w:rPr>
          <w:rFonts w:hint="eastAsia" w:ascii="宋体" w:hAnsi="宋体" w:eastAsia="宋体" w:cs="宋体"/>
          <w:color w:val="auto"/>
          <w:sz w:val="22"/>
          <w:szCs w:val="22"/>
          <w:highlight w:val="none"/>
          <w:lang w:eastAsia="zh-CN"/>
        </w:rPr>
        <w:t>五星</w:t>
      </w:r>
      <w:r>
        <w:rPr>
          <w:rFonts w:hint="eastAsia" w:ascii="宋体" w:hAnsi="宋体" w:eastAsia="宋体" w:cs="宋体"/>
          <w:color w:val="auto"/>
          <w:sz w:val="22"/>
          <w:szCs w:val="22"/>
          <w:highlight w:val="none"/>
        </w:rPr>
        <w:t>标准的酒店（或度假村等同标准住宿，下同</w:t>
      </w:r>
      <w:r>
        <w:rPr>
          <w:rFonts w:hint="eastAsia" w:ascii="宋体" w:hAnsi="宋体" w:eastAsia="宋体" w:cs="宋体"/>
          <w:color w:val="auto"/>
          <w:sz w:val="22"/>
          <w:szCs w:val="22"/>
          <w:highlight w:val="none"/>
          <w:lang w:eastAsia="zh-CN"/>
        </w:rPr>
        <w:t>；文成、平阳等地区酒店最高为四星、四钻的，以四星、四钻为标准</w:t>
      </w:r>
      <w:r>
        <w:rPr>
          <w:rFonts w:hint="eastAsia" w:ascii="宋体" w:hAnsi="宋体" w:eastAsia="宋体" w:cs="宋体"/>
          <w:color w:val="auto"/>
          <w:sz w:val="22"/>
          <w:szCs w:val="22"/>
          <w:highlight w:val="none"/>
        </w:rPr>
        <w:t>），住宿为标准间。住宿要求尽可能在同一楼层，房间干净，各个设施齐全且能正常使用，24小时供应热水。同一线路原则上住在同一家酒店。供应商方案应列出每一线路的酒店名称、具体地点、网（携程）评分（网页截图）、单人房补差的费用等，具体成团的酒店以供应商编制并获得采购人认可的方案为准。</w:t>
      </w:r>
    </w:p>
    <w:p w14:paraId="4D1D8B3C">
      <w:pPr>
        <w:autoSpaceDN w:val="0"/>
        <w:spacing w:line="24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5、交通：</w:t>
      </w:r>
      <w:r>
        <w:rPr>
          <w:rFonts w:hint="eastAsia" w:ascii="宋体" w:hAnsi="宋体" w:eastAsia="宋体" w:cs="宋体"/>
          <w:color w:val="auto"/>
          <w:sz w:val="22"/>
          <w:szCs w:val="22"/>
          <w:highlight w:val="none"/>
          <w:lang w:eastAsia="zh-CN"/>
        </w:rPr>
        <w:t>省内</w:t>
      </w:r>
      <w:r>
        <w:rPr>
          <w:rFonts w:hint="eastAsia" w:ascii="宋体" w:hAnsi="宋体" w:eastAsia="宋体" w:cs="宋体"/>
          <w:color w:val="auto"/>
          <w:sz w:val="22"/>
          <w:szCs w:val="22"/>
          <w:highlight w:val="none"/>
        </w:rPr>
        <w:t>采用高铁（或动车组），从温州至线路目的地就近的车站（出发点至高铁站点的来回</w:t>
      </w:r>
      <w:r>
        <w:rPr>
          <w:rFonts w:hint="eastAsia" w:ascii="宋体" w:hAnsi="宋体" w:eastAsia="宋体" w:cs="宋体"/>
          <w:color w:val="auto"/>
          <w:sz w:val="22"/>
          <w:szCs w:val="22"/>
          <w:highlight w:val="none"/>
          <w:lang w:val="en-US" w:eastAsia="zh-CN"/>
        </w:rPr>
        <w:t>由</w:t>
      </w:r>
      <w:r>
        <w:rPr>
          <w:rFonts w:hint="eastAsia" w:ascii="宋体" w:hAnsi="宋体" w:eastAsia="宋体" w:cs="宋体"/>
          <w:color w:val="auto"/>
          <w:sz w:val="22"/>
          <w:szCs w:val="22"/>
          <w:highlight w:val="none"/>
        </w:rPr>
        <w:t>供应商接送），</w:t>
      </w:r>
      <w:r>
        <w:rPr>
          <w:rFonts w:hint="eastAsia" w:ascii="宋体" w:hAnsi="宋体" w:eastAsia="宋体" w:cs="宋体"/>
          <w:color w:val="auto"/>
          <w:sz w:val="22"/>
          <w:szCs w:val="22"/>
          <w:highlight w:val="none"/>
          <w:lang w:eastAsia="zh-CN"/>
        </w:rPr>
        <w:t>市域</w:t>
      </w:r>
      <w:r>
        <w:rPr>
          <w:rFonts w:hint="eastAsia" w:ascii="宋体" w:hAnsi="宋体" w:eastAsia="宋体" w:cs="宋体"/>
          <w:color w:val="auto"/>
          <w:sz w:val="22"/>
          <w:szCs w:val="22"/>
          <w:highlight w:val="none"/>
        </w:rPr>
        <w:t>线路采用空调旅游车（包括从车站至疗休养酒店或安排的景点、景区内交通等）。高铁为二等座；空调旅游车应提供车况好（20</w:t>
      </w: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highlight w:val="none"/>
        </w:rPr>
        <w:t>年1月以后登记上牌）、内饰干净、下部有行李箱的车辆；驾驶员应具备准驾车型三年或以上驾龄，司机三年内无安全不良纪录。</w:t>
      </w:r>
      <w:r>
        <w:rPr>
          <w:rFonts w:hint="eastAsia" w:ascii="宋体" w:hAnsi="宋体" w:eastAsia="宋体" w:cs="宋体"/>
          <w:color w:val="auto"/>
          <w:sz w:val="22"/>
          <w:highlight w:val="none"/>
        </w:rPr>
        <w:t>省外路线根据采购人提供的方案路线选择出行方式（飞机为经济舱、高铁或动车为二等座）。</w:t>
      </w:r>
      <w:r>
        <w:rPr>
          <w:rFonts w:hint="eastAsia" w:ascii="宋体" w:hAnsi="宋体" w:eastAsia="宋体" w:cs="宋体"/>
          <w:color w:val="auto"/>
          <w:sz w:val="22"/>
          <w:szCs w:val="22"/>
          <w:highlight w:val="none"/>
        </w:rPr>
        <w:t>供应商方案应对此作出承诺，并预备不同人数团队的适配车型，并应获得采购人认可；团队出发前需提供高铁车票、旅游车辆及驾驶员信息；</w:t>
      </w:r>
      <w:r>
        <w:rPr>
          <w:rFonts w:hint="eastAsia" w:ascii="宋体" w:hAnsi="宋体" w:eastAsia="宋体" w:cs="宋体"/>
          <w:color w:val="auto"/>
          <w:sz w:val="22"/>
          <w:szCs w:val="22"/>
          <w:highlight w:val="none"/>
          <w:lang w:eastAsia="zh-CN"/>
        </w:rPr>
        <w:t>报</w:t>
      </w:r>
      <w:r>
        <w:rPr>
          <w:rFonts w:hint="eastAsia" w:ascii="宋体" w:hAnsi="宋体" w:eastAsia="宋体" w:cs="宋体"/>
          <w:color w:val="auto"/>
          <w:sz w:val="22"/>
          <w:szCs w:val="22"/>
          <w:highlight w:val="none"/>
        </w:rPr>
        <w:t>团出行人按供应商要求提早提供相关身份证信息，以供购买高铁车票</w:t>
      </w:r>
      <w:r>
        <w:rPr>
          <w:rFonts w:hint="eastAsia" w:ascii="宋体" w:hAnsi="宋体" w:eastAsia="宋体" w:cs="宋体"/>
          <w:color w:val="auto"/>
          <w:sz w:val="22"/>
          <w:szCs w:val="22"/>
          <w:highlight w:val="none"/>
          <w:lang w:eastAsia="zh-CN"/>
        </w:rPr>
        <w:t>。经采购人与供应商协商一致省内线路可采用空调旅游车。</w:t>
      </w:r>
    </w:p>
    <w:p w14:paraId="5224C4E0">
      <w:pPr>
        <w:autoSpaceDN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6、景点</w:t>
      </w:r>
      <w:r>
        <w:rPr>
          <w:rFonts w:hint="eastAsia" w:ascii="宋体" w:hAnsi="宋体" w:eastAsia="宋体" w:cs="宋体"/>
          <w:color w:val="auto"/>
          <w:sz w:val="22"/>
          <w:szCs w:val="22"/>
          <w:highlight w:val="none"/>
          <w:lang w:eastAsia="zh-CN"/>
        </w:rPr>
        <w:t>门票</w:t>
      </w:r>
      <w:r>
        <w:rPr>
          <w:rFonts w:hint="eastAsia" w:ascii="宋体" w:hAnsi="宋体" w:eastAsia="宋体" w:cs="宋体"/>
          <w:color w:val="auto"/>
          <w:sz w:val="22"/>
          <w:szCs w:val="22"/>
          <w:highlight w:val="none"/>
        </w:rPr>
        <w:t>：包含线路安排的主要景区，至少包括一处5A级景点，其他沿途景点或周边景点以供应商编制并获得采购人认可的方案为准，</w:t>
      </w:r>
      <w:r>
        <w:rPr>
          <w:rFonts w:hint="eastAsia" w:ascii="宋体" w:hAnsi="宋体" w:eastAsia="宋体" w:cs="宋体"/>
          <w:b/>
          <w:color w:val="auto"/>
          <w:sz w:val="22"/>
          <w:szCs w:val="22"/>
          <w:highlight w:val="none"/>
        </w:rPr>
        <w:t>不得安排购物点</w:t>
      </w:r>
      <w:r>
        <w:rPr>
          <w:rFonts w:hint="eastAsia" w:ascii="宋体" w:hAnsi="宋体" w:eastAsia="宋体" w:cs="宋体"/>
          <w:color w:val="auto"/>
          <w:sz w:val="22"/>
          <w:szCs w:val="22"/>
          <w:highlight w:val="none"/>
        </w:rPr>
        <w:t>。景点门票包括大门票和景点内必游的小门票，以及索道（如有）、电瓶车（如有）、游船（如有）等，自费的娱乐项目除外。方案应针对每条线路具体编制，并列出每个参观景点及计划参观时间等。</w:t>
      </w:r>
    </w:p>
    <w:p w14:paraId="45604C30">
      <w:pPr>
        <w:autoSpaceDN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服务人员：设本项目服务专员（项目负责人），要求具备一定的资历资格和丰富的从业经验，加强双方沟通，根据采购人要求及时调整方案并获得采购人认可，应急处理相关事务等。具体出团全程（高铁除外）配全程陪同导游及地陪导游，要求不少于三年导游经验，引导、讲解景点山水、典故等，解决旅途中可能出现的突发事件，并给予游客食、宿、行等方面的帮助。</w:t>
      </w:r>
    </w:p>
    <w:p w14:paraId="50CB314C">
      <w:pPr>
        <w:autoSpaceDN w:val="0"/>
        <w:spacing w:line="24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8、组团：</w:t>
      </w:r>
      <w:r>
        <w:rPr>
          <w:rFonts w:hint="eastAsia" w:ascii="宋体" w:hAnsi="宋体" w:eastAsia="宋体" w:cs="宋体"/>
          <w:color w:val="auto"/>
          <w:sz w:val="22"/>
          <w:szCs w:val="22"/>
          <w:highlight w:val="none"/>
          <w:lang w:val="en-US" w:eastAsia="zh-CN"/>
        </w:rPr>
        <w:t>采购人内部公布线路和供应商方案后，由职工自由报名组团[车53座（每团最少安排45人，每团人数范围45人至50人）或车37座（每团最少安排30人，每团人数范围30人至34人）；不足30人时可与采购人协商提供其他较少座位数车辆，但必须保证车辆足够舒适，供应商可提前在标书中做好预案供采购人参考]，最低组团人数不低于20人（已报名成团的，因临时退团不足20人的，该团继续出行，退团人员按退团规定补退团费用即可），供应商可提出更灵活更优惠的方案。因采购人工作的特殊性，组团后可出现临时退团的情形，供应商应允许出团前4个工作日前除预定的高铁车票退票费用（按国家规定执行，由退团职工自负及飞机票退票）外可无条件退团，并保证不得降低未退团职工约定的疗休养标准；出团前第2日至第4日提出退团的，按退团人数补供应商500元/人的退团费用（总补偿费用为退团费用500元/人+高铁车票退票费用），当天提出退团的，按退团人数补供应商1000元/人的退团费用（总补偿费用为退团费用500元/人+高铁车票退票费用），供应商保证不得降低未退团职工约定的疗休养标准，由以上原因产生的风险由投标人综合考虑。出团时如临时替换人员的，被更换人员应承担高铁退票费用。</w:t>
      </w:r>
    </w:p>
    <w:p w14:paraId="1C1680C9">
      <w:pPr>
        <w:autoSpaceDN w:val="0"/>
        <w:spacing w:line="24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除上述外，投标人还应提出相应的应急方案，如出团前4个工作日内提出退团的或因退团导致出团人数过少的解决方案或应急措施，以供应商编制并获得采购人认可的方案为准。</w:t>
      </w:r>
    </w:p>
    <w:p w14:paraId="0BE1B905">
      <w:pPr>
        <w:numPr>
          <w:ilvl w:val="0"/>
          <w:numId w:val="27"/>
        </w:numPr>
        <w:autoSpaceDN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费用：报价包括采购人参团职工餐饮费、住宿费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非职工个人原因所造成的单男单女的房价差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、交通费、导游费及景点门票费、保险费（旅游全程保险费）、服务人员（导游、司机等）吃、住、行费用、利润、税费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供应商预计的其他费用和风险费用。供应商应根据自身编制的方案并考虑职工疗休养的公平性、均衡性，对省内线路和跨省线路分别综合报价。</w:t>
      </w:r>
    </w:p>
    <w:p w14:paraId="56FD0C83">
      <w:pPr>
        <w:autoSpaceDN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其他要求：符合温州市总工会《关于加强温州市职工疗休养管理工作的实施办法》及其补充意见的规定。</w:t>
      </w:r>
    </w:p>
    <w:p w14:paraId="17710D2B">
      <w:pPr>
        <w:autoSpaceDN w:val="0"/>
        <w:spacing w:line="24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实施过程中因服务质量差等原因被疗休养人员</w:t>
      </w:r>
      <w:r>
        <w:rPr>
          <w:rFonts w:hint="eastAsia" w:ascii="宋体" w:hAnsi="宋体" w:eastAsia="宋体" w:cs="宋体"/>
          <w:color w:val="auto"/>
          <w:sz w:val="22"/>
          <w:szCs w:val="22"/>
          <w:highlight w:val="none"/>
          <w:lang w:val="en-US" w:eastAsia="zh-CN"/>
        </w:rPr>
        <w:t>投诉，</w:t>
      </w:r>
      <w:r>
        <w:rPr>
          <w:rFonts w:hint="eastAsia" w:ascii="宋体" w:hAnsi="宋体" w:eastAsia="宋体" w:cs="宋体"/>
          <w:color w:val="auto"/>
          <w:sz w:val="22"/>
          <w:szCs w:val="22"/>
          <w:highlight w:val="none"/>
        </w:rPr>
        <w:t>投诉</w:t>
      </w:r>
      <w:r>
        <w:rPr>
          <w:rFonts w:hint="eastAsia" w:ascii="宋体" w:hAnsi="宋体" w:eastAsia="宋体" w:cs="宋体"/>
          <w:color w:val="auto"/>
          <w:sz w:val="22"/>
          <w:szCs w:val="22"/>
          <w:highlight w:val="none"/>
          <w:lang w:val="en-US" w:eastAsia="zh-CN"/>
        </w:rPr>
        <w:t>出现二</w:t>
      </w:r>
      <w:r>
        <w:rPr>
          <w:rFonts w:hint="eastAsia" w:ascii="宋体" w:hAnsi="宋体" w:eastAsia="宋体" w:cs="宋体"/>
          <w:color w:val="auto"/>
          <w:sz w:val="22"/>
          <w:szCs w:val="22"/>
          <w:highlight w:val="none"/>
        </w:rPr>
        <w:t>次以上(含</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次)并经甲方查实，采购人有权终止合同。</w:t>
      </w:r>
    </w:p>
    <w:p w14:paraId="1D56CDFB">
      <w:pPr>
        <w:autoSpaceDN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每次完成当次疗养服务后，必须让出行代表填写《满意度调查表》，当次调查表出现差评时，</w:t>
      </w:r>
      <w:r>
        <w:rPr>
          <w:rFonts w:hint="eastAsia" w:ascii="宋体" w:hAnsi="宋体" w:eastAsia="宋体" w:cs="宋体"/>
          <w:color w:val="auto"/>
          <w:sz w:val="22"/>
          <w:szCs w:val="22"/>
          <w:highlight w:val="none"/>
          <w:lang w:val="en-US" w:eastAsia="zh-CN"/>
        </w:rPr>
        <w:t>按合同约定进行处罚</w:t>
      </w:r>
      <w:r>
        <w:rPr>
          <w:rFonts w:hint="eastAsia" w:ascii="宋体" w:hAnsi="宋体" w:eastAsia="宋体" w:cs="宋体"/>
          <w:color w:val="auto"/>
          <w:sz w:val="22"/>
          <w:szCs w:val="22"/>
          <w:highlight w:val="none"/>
        </w:rPr>
        <w:t>。</w:t>
      </w:r>
    </w:p>
    <w:p w14:paraId="62561D5B">
      <w:pPr>
        <w:autoSpaceDN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(二)本次采购提供类似疗养线路供供应商参考，线路由供应商自行具体安排。</w:t>
      </w:r>
    </w:p>
    <w:p w14:paraId="32CF77BE">
      <w:pPr>
        <w:tabs>
          <w:tab w:val="left" w:pos="9135"/>
        </w:tabs>
        <w:spacing w:line="240" w:lineRule="auto"/>
        <w:ind w:left="214" w:leftChars="-1" w:hanging="216" w:hangingChars="9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四、其它说明</w:t>
      </w:r>
    </w:p>
    <w:p w14:paraId="6E0C0202">
      <w:pPr>
        <w:tabs>
          <w:tab w:val="left" w:pos="9135"/>
        </w:tabs>
        <w:spacing w:line="240" w:lineRule="auto"/>
        <w:ind w:left="440" w:hanging="440"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b/>
          <w:bCs/>
          <w:color w:val="auto"/>
          <w:sz w:val="22"/>
          <w:szCs w:val="22"/>
          <w:highlight w:val="none"/>
        </w:rPr>
        <w:t>本次采购人职工人数</w:t>
      </w:r>
      <w:r>
        <w:rPr>
          <w:rFonts w:hint="eastAsia" w:ascii="宋体" w:hAnsi="宋体" w:eastAsia="宋体" w:cs="宋体"/>
          <w:b/>
          <w:bCs/>
          <w:color w:val="auto"/>
          <w:sz w:val="22"/>
          <w:szCs w:val="22"/>
          <w:highlight w:val="none"/>
          <w:lang w:eastAsia="zh-CN"/>
        </w:rPr>
        <w:t>约</w:t>
      </w:r>
      <w:r>
        <w:rPr>
          <w:rFonts w:hint="eastAsia" w:ascii="宋体" w:hAnsi="宋体" w:eastAsia="宋体" w:cs="宋体"/>
          <w:b/>
          <w:bCs/>
          <w:color w:val="auto"/>
          <w:sz w:val="22"/>
          <w:szCs w:val="22"/>
          <w:highlight w:val="none"/>
        </w:rPr>
        <w:t>为</w:t>
      </w:r>
      <w:r>
        <w:rPr>
          <w:rFonts w:hint="eastAsia" w:ascii="宋体" w:hAnsi="宋体" w:eastAsia="宋体" w:cs="宋体"/>
          <w:b/>
          <w:bCs/>
          <w:color w:val="auto"/>
          <w:sz w:val="22"/>
          <w:szCs w:val="22"/>
          <w:highlight w:val="none"/>
          <w:lang w:val="en-US" w:eastAsia="zh-CN"/>
        </w:rPr>
        <w:t>899</w:t>
      </w:r>
      <w:r>
        <w:rPr>
          <w:rFonts w:hint="eastAsia" w:ascii="宋体" w:hAnsi="宋体" w:eastAsia="宋体" w:cs="宋体"/>
          <w:b/>
          <w:bCs/>
          <w:color w:val="auto"/>
          <w:sz w:val="22"/>
          <w:szCs w:val="22"/>
          <w:highlight w:val="none"/>
        </w:rPr>
        <w:t>人左右，具体疗休养人数以实际人数为准，合同款按线路的实际人数*每人综合单价进行结算。</w:t>
      </w:r>
    </w:p>
    <w:p w14:paraId="15CDEF15">
      <w:pPr>
        <w:tabs>
          <w:tab w:val="left" w:pos="9135"/>
        </w:tabs>
        <w:spacing w:line="240" w:lineRule="auto"/>
        <w:ind w:left="440" w:hanging="440" w:hanging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2、</w:t>
      </w:r>
      <w:r>
        <w:rPr>
          <w:rFonts w:hint="eastAsia" w:ascii="宋体" w:hAnsi="宋体" w:eastAsia="宋体" w:cs="宋体"/>
          <w:b/>
          <w:bCs/>
          <w:color w:val="auto"/>
          <w:sz w:val="22"/>
          <w:szCs w:val="22"/>
          <w:highlight w:val="none"/>
          <w:u w:val="none"/>
        </w:rPr>
        <w:t>▲方案线路的</w:t>
      </w:r>
      <w:r>
        <w:rPr>
          <w:rFonts w:hint="eastAsia" w:ascii="宋体" w:hAnsi="宋体" w:eastAsia="宋体" w:cs="宋体"/>
          <w:b/>
          <w:bCs/>
          <w:color w:val="auto"/>
          <w:sz w:val="22"/>
          <w:szCs w:val="22"/>
          <w:highlight w:val="none"/>
          <w:u w:val="none"/>
          <w:lang w:eastAsia="zh-CN"/>
        </w:rPr>
        <w:t>市域、</w:t>
      </w:r>
      <w:r>
        <w:rPr>
          <w:rFonts w:hint="eastAsia" w:ascii="宋体" w:hAnsi="宋体" w:eastAsia="宋体" w:cs="宋体"/>
          <w:b/>
          <w:bCs/>
          <w:color w:val="auto"/>
          <w:sz w:val="22"/>
          <w:szCs w:val="22"/>
          <w:highlight w:val="none"/>
          <w:u w:val="none"/>
        </w:rPr>
        <w:t>省内</w:t>
      </w:r>
      <w:r>
        <w:rPr>
          <w:rFonts w:hint="eastAsia" w:ascii="宋体" w:hAnsi="宋体" w:eastAsia="宋体" w:cs="宋体"/>
          <w:b/>
          <w:bCs/>
          <w:color w:val="auto"/>
          <w:sz w:val="22"/>
          <w:szCs w:val="22"/>
          <w:highlight w:val="none"/>
          <w:u w:val="none"/>
          <w:lang w:eastAsia="zh-CN"/>
        </w:rPr>
        <w:t>、省外</w:t>
      </w:r>
      <w:r>
        <w:rPr>
          <w:rFonts w:hint="eastAsia" w:ascii="宋体" w:hAnsi="宋体" w:eastAsia="宋体" w:cs="宋体"/>
          <w:b/>
          <w:bCs/>
          <w:color w:val="auto"/>
          <w:sz w:val="22"/>
          <w:szCs w:val="22"/>
          <w:highlight w:val="none"/>
          <w:u w:val="none"/>
        </w:rPr>
        <w:t>每人综合单价均不得超过</w:t>
      </w:r>
      <w:r>
        <w:rPr>
          <w:rFonts w:hint="eastAsia" w:ascii="宋体" w:hAnsi="宋体" w:eastAsia="宋体" w:cs="宋体"/>
          <w:b/>
          <w:bCs/>
          <w:color w:val="auto"/>
          <w:sz w:val="22"/>
          <w:szCs w:val="22"/>
          <w:highlight w:val="none"/>
          <w:u w:val="none"/>
          <w:lang w:val="en-US" w:eastAsia="zh-CN"/>
        </w:rPr>
        <w:t>3000</w:t>
      </w:r>
      <w:r>
        <w:rPr>
          <w:rFonts w:hint="eastAsia" w:ascii="宋体" w:hAnsi="宋体" w:eastAsia="宋体" w:cs="宋体"/>
          <w:b/>
          <w:bCs/>
          <w:color w:val="auto"/>
          <w:sz w:val="22"/>
          <w:szCs w:val="22"/>
          <w:highlight w:val="none"/>
          <w:u w:val="none"/>
        </w:rPr>
        <w:t>元，如供应商的最后综合单价报价超过该预算限额的，其投标文件按无效标处理。</w:t>
      </w:r>
    </w:p>
    <w:p w14:paraId="105E7B59">
      <w:pPr>
        <w:tabs>
          <w:tab w:val="left" w:pos="9135"/>
        </w:tabs>
        <w:spacing w:line="240" w:lineRule="auto"/>
        <w:ind w:left="440" w:hanging="440"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3、本项目采购确定1家供应商和1家备选供应商，先由</w:t>
      </w:r>
      <w:r>
        <w:rPr>
          <w:rFonts w:hint="eastAsia" w:ascii="宋体" w:hAnsi="宋体" w:eastAsia="宋体" w:cs="宋体"/>
          <w:color w:val="auto"/>
          <w:sz w:val="22"/>
          <w:szCs w:val="22"/>
          <w:highlight w:val="none"/>
          <w:lang w:val="en-US" w:eastAsia="zh-CN"/>
        </w:rPr>
        <w:t>中标</w:t>
      </w:r>
      <w:r>
        <w:rPr>
          <w:rFonts w:hint="eastAsia" w:ascii="宋体" w:hAnsi="宋体" w:eastAsia="宋体" w:cs="宋体"/>
          <w:color w:val="auto"/>
          <w:sz w:val="22"/>
          <w:szCs w:val="22"/>
          <w:highlight w:val="none"/>
        </w:rPr>
        <w:t>供应商执行合同，如</w:t>
      </w:r>
      <w:r>
        <w:rPr>
          <w:rFonts w:hint="eastAsia" w:ascii="宋体" w:hAnsi="宋体" w:eastAsia="宋体" w:cs="宋体"/>
          <w:color w:val="auto"/>
          <w:sz w:val="22"/>
          <w:szCs w:val="22"/>
          <w:highlight w:val="none"/>
          <w:lang w:val="en-US" w:eastAsia="zh-CN"/>
        </w:rPr>
        <w:t>中标</w:t>
      </w:r>
      <w:r>
        <w:rPr>
          <w:rFonts w:hint="eastAsia" w:ascii="宋体" w:hAnsi="宋体" w:eastAsia="宋体" w:cs="宋体"/>
          <w:color w:val="auto"/>
          <w:sz w:val="22"/>
          <w:szCs w:val="22"/>
          <w:highlight w:val="none"/>
        </w:rPr>
        <w:t>供应商在合同执行过程中存在违法违规行为</w:t>
      </w:r>
      <w:r>
        <w:rPr>
          <w:rFonts w:hint="eastAsia" w:ascii="宋体" w:hAnsi="宋体" w:eastAsia="宋体" w:cs="宋体"/>
          <w:color w:val="auto"/>
          <w:sz w:val="22"/>
          <w:szCs w:val="22"/>
          <w:highlight w:val="none"/>
          <w:lang w:val="en-US" w:eastAsia="zh-CN"/>
        </w:rPr>
        <w:t>或</w:t>
      </w:r>
      <w:r>
        <w:rPr>
          <w:rFonts w:hint="eastAsia" w:ascii="宋体" w:hAnsi="宋体" w:eastAsia="宋体" w:cs="宋体"/>
          <w:color w:val="auto"/>
          <w:sz w:val="22"/>
          <w:szCs w:val="22"/>
          <w:highlight w:val="none"/>
        </w:rPr>
        <w:t>实施过程中出现有效投诉</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次或以上，采购人有权直接解除合同，并由备选供应商执行剩余合同</w:t>
      </w:r>
      <w:r>
        <w:rPr>
          <w:rFonts w:hint="eastAsia" w:ascii="宋体" w:hAnsi="宋体" w:eastAsia="宋体" w:cs="宋体"/>
          <w:color w:val="auto"/>
          <w:sz w:val="22"/>
          <w:szCs w:val="22"/>
          <w:highlight w:val="none"/>
          <w:lang w:eastAsia="zh-CN"/>
        </w:rPr>
        <w:t>或重新进行采购</w:t>
      </w:r>
      <w:r>
        <w:rPr>
          <w:rFonts w:hint="eastAsia" w:ascii="宋体" w:hAnsi="宋体" w:eastAsia="宋体" w:cs="宋体"/>
          <w:color w:val="auto"/>
          <w:sz w:val="22"/>
          <w:szCs w:val="22"/>
          <w:highlight w:val="none"/>
        </w:rPr>
        <w:t>。</w:t>
      </w:r>
    </w:p>
    <w:p w14:paraId="344BB05A">
      <w:pPr>
        <w:tabs>
          <w:tab w:val="left" w:pos="9135"/>
        </w:tabs>
        <w:spacing w:line="240" w:lineRule="auto"/>
        <w:ind w:left="440" w:hanging="440"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4、供应商</w:t>
      </w:r>
      <w:r>
        <w:rPr>
          <w:rFonts w:hint="eastAsia" w:ascii="宋体" w:hAnsi="宋体" w:eastAsia="宋体" w:cs="宋体"/>
          <w:color w:val="auto"/>
          <w:sz w:val="22"/>
          <w:szCs w:val="22"/>
          <w:highlight w:val="none"/>
          <w:lang w:val="en-US" w:eastAsia="zh-CN"/>
        </w:rPr>
        <w:t>中标</w:t>
      </w:r>
      <w:r>
        <w:rPr>
          <w:rFonts w:hint="eastAsia" w:ascii="宋体" w:hAnsi="宋体" w:eastAsia="宋体" w:cs="宋体"/>
          <w:color w:val="auto"/>
          <w:sz w:val="22"/>
          <w:szCs w:val="22"/>
          <w:highlight w:val="none"/>
        </w:rPr>
        <w:t>后，采购人在选择疗休养线路时可根据自身情况，要求供应商提供本次</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内容以外的线路，保持综合单价不变。</w:t>
      </w:r>
    </w:p>
    <w:p w14:paraId="3BA775F6">
      <w:pPr>
        <w:tabs>
          <w:tab w:val="left" w:pos="9135"/>
        </w:tabs>
        <w:spacing w:line="240" w:lineRule="auto"/>
        <w:ind w:left="214" w:leftChars="-1" w:hanging="216" w:hangingChars="98"/>
        <w:jc w:val="left"/>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五、保险与安全责任</w:t>
      </w:r>
    </w:p>
    <w:p w14:paraId="6FAF90B4">
      <w:pPr>
        <w:tabs>
          <w:tab w:val="left" w:pos="9135"/>
        </w:tabs>
        <w:overflowPunct/>
        <w:spacing w:line="240" w:lineRule="auto"/>
        <w:ind w:left="0" w:leftChars="0"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所有参与疗休养的职工，成交供应商需购买具有一定抵抗风险的商业保险，包括旅行社责任险和个人旅游人身意外险（保额不少于100万</w:t>
      </w:r>
      <w:r>
        <w:rPr>
          <w:rFonts w:hint="eastAsia" w:ascii="宋体" w:hAnsi="宋体" w:eastAsia="宋体" w:cs="宋体"/>
          <w:color w:val="auto"/>
          <w:sz w:val="22"/>
          <w:highlight w:val="none"/>
          <w:lang w:eastAsia="zh-CN"/>
        </w:rPr>
        <w:t>且与投标文件中的保险承诺一致</w:t>
      </w:r>
      <w:r>
        <w:rPr>
          <w:rFonts w:hint="eastAsia" w:ascii="宋体" w:hAnsi="宋体" w:eastAsia="宋体" w:cs="宋体"/>
          <w:color w:val="auto"/>
          <w:sz w:val="22"/>
          <w:highlight w:val="none"/>
        </w:rPr>
        <w:t>），疗休养期间所有的安全责任由中标单位承担。</w:t>
      </w:r>
    </w:p>
    <w:p w14:paraId="3E870304">
      <w:pPr>
        <w:rPr>
          <w:color w:val="auto"/>
          <w:highlight w:val="none"/>
        </w:rPr>
      </w:pPr>
      <w:r>
        <w:rPr>
          <w:rFonts w:hint="eastAsia" w:ascii="宋体" w:hAnsi="宋体" w:eastAsia="宋体" w:cs="宋体"/>
          <w:b/>
          <w:color w:val="auto"/>
          <w:sz w:val="22"/>
          <w:szCs w:val="22"/>
          <w:highlight w:val="none"/>
          <w:lang w:eastAsia="zh-CN"/>
        </w:rPr>
        <w:t>六</w:t>
      </w:r>
      <w:r>
        <w:rPr>
          <w:rFonts w:hint="eastAsia" w:ascii="宋体" w:hAnsi="宋体" w:eastAsia="宋体" w:cs="宋体"/>
          <w:b/>
          <w:color w:val="auto"/>
          <w:sz w:val="22"/>
          <w:szCs w:val="22"/>
          <w:highlight w:val="none"/>
        </w:rPr>
        <w:t>、付款方式等其他要求请见第二部分“合同主要条款”。</w:t>
      </w:r>
    </w:p>
    <w:p w14:paraId="031FCAD2">
      <w:pPr>
        <w:autoSpaceDN w:val="0"/>
        <w:spacing w:line="400" w:lineRule="exact"/>
        <w:ind w:firstLine="440" w:firstLineChars="200"/>
        <w:rPr>
          <w:rFonts w:hint="eastAsia" w:ascii="宋体" w:hAnsi="宋体" w:eastAsia="宋体" w:cs="宋体"/>
          <w:color w:val="auto"/>
          <w:sz w:val="22"/>
          <w:szCs w:val="22"/>
          <w:highlight w:val="none"/>
        </w:rPr>
      </w:pPr>
    </w:p>
    <w:p w14:paraId="1863909B">
      <w:pPr>
        <w:autoSpaceDN w:val="0"/>
        <w:spacing w:line="400" w:lineRule="exact"/>
        <w:ind w:firstLine="440" w:firstLineChars="200"/>
        <w:rPr>
          <w:rFonts w:hint="eastAsia" w:ascii="宋体" w:hAnsi="宋体" w:eastAsia="宋体" w:cs="宋体"/>
          <w:color w:val="auto"/>
          <w:sz w:val="22"/>
          <w:szCs w:val="22"/>
          <w:highlight w:val="none"/>
        </w:rPr>
      </w:pPr>
    </w:p>
    <w:p w14:paraId="665D2A67">
      <w:pPr>
        <w:autoSpaceDN w:val="0"/>
        <w:spacing w:line="400" w:lineRule="exact"/>
        <w:ind w:firstLine="440" w:firstLineChars="200"/>
        <w:rPr>
          <w:rFonts w:hint="eastAsia" w:ascii="宋体" w:hAnsi="宋体" w:eastAsia="宋体" w:cs="宋体"/>
          <w:color w:val="auto"/>
          <w:sz w:val="22"/>
          <w:szCs w:val="22"/>
          <w:highlight w:val="none"/>
        </w:rPr>
      </w:pPr>
    </w:p>
    <w:bookmarkEnd w:id="218"/>
    <w:bookmarkEnd w:id="219"/>
    <w:bookmarkEnd w:id="220"/>
    <w:bookmarkEnd w:id="221"/>
    <w:p w14:paraId="316E6D49">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731C6450">
      <w:pPr>
        <w:keepNex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第五部分   评标原则及方法</w:t>
      </w:r>
      <w:bookmarkEnd w:id="209"/>
      <w:bookmarkEnd w:id="210"/>
      <w:bookmarkEnd w:id="211"/>
      <w:bookmarkEnd w:id="222"/>
      <w:bookmarkEnd w:id="223"/>
      <w:bookmarkEnd w:id="224"/>
      <w:bookmarkEnd w:id="225"/>
      <w:bookmarkEnd w:id="226"/>
      <w:bookmarkEnd w:id="227"/>
      <w:bookmarkEnd w:id="228"/>
      <w:bookmarkEnd w:id="229"/>
      <w:bookmarkEnd w:id="230"/>
      <w:bookmarkEnd w:id="231"/>
      <w:bookmarkEnd w:id="232"/>
      <w:bookmarkEnd w:id="233"/>
      <w:bookmarkEnd w:id="234"/>
    </w:p>
    <w:p w14:paraId="6665483C">
      <w:pPr>
        <w:jc w:val="center"/>
        <w:rPr>
          <w:rFonts w:hint="eastAsia" w:ascii="宋体" w:hAnsi="宋体" w:eastAsia="宋体" w:cs="宋体"/>
          <w:color w:val="auto"/>
          <w:sz w:val="22"/>
          <w:highlight w:val="none"/>
        </w:rPr>
      </w:pPr>
    </w:p>
    <w:p w14:paraId="659C937F">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本项目属非政府采购项目，根据《温州市市属国有企业采购管理办法》等有关法规、规定，结合本项目的实际，按照公平、公正、科学、择优的原则选择中标单位，特制定本评标办法。</w:t>
      </w:r>
    </w:p>
    <w:p w14:paraId="06F65A9F">
      <w:pPr>
        <w:rPr>
          <w:rFonts w:hint="eastAsia" w:ascii="宋体" w:hAnsi="宋体" w:eastAsia="宋体" w:cs="宋体"/>
          <w:b/>
          <w:bCs/>
          <w:color w:val="auto"/>
          <w:sz w:val="22"/>
          <w:szCs w:val="24"/>
          <w:highlight w:val="none"/>
        </w:rPr>
      </w:pPr>
      <w:r>
        <w:rPr>
          <w:rFonts w:hint="eastAsia" w:ascii="宋体" w:hAnsi="宋体" w:eastAsia="宋体" w:cs="宋体"/>
          <w:b/>
          <w:bCs/>
          <w:color w:val="auto"/>
          <w:sz w:val="22"/>
          <w:szCs w:val="24"/>
          <w:highlight w:val="none"/>
        </w:rPr>
        <w:t>一、总则</w:t>
      </w:r>
    </w:p>
    <w:p w14:paraId="71AD950C">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14:paraId="78C42021">
      <w:pPr>
        <w:rPr>
          <w:rFonts w:hint="eastAsia" w:ascii="宋体" w:hAnsi="宋体" w:eastAsia="宋体" w:cs="宋体"/>
          <w:b/>
          <w:bCs/>
          <w:color w:val="auto"/>
          <w:sz w:val="22"/>
          <w:szCs w:val="24"/>
          <w:highlight w:val="none"/>
        </w:rPr>
      </w:pPr>
      <w:r>
        <w:rPr>
          <w:rFonts w:hint="eastAsia" w:ascii="宋体" w:hAnsi="宋体" w:eastAsia="宋体" w:cs="宋体"/>
          <w:b/>
          <w:bCs/>
          <w:color w:val="auto"/>
          <w:sz w:val="22"/>
          <w:szCs w:val="24"/>
          <w:highlight w:val="none"/>
        </w:rPr>
        <w:t>二、评标组织</w:t>
      </w:r>
    </w:p>
    <w:p w14:paraId="52AD1CD8">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评标工作由采购人依法组建的评标委员会负责，评标全过程由有关部门指导监督。</w:t>
      </w:r>
    </w:p>
    <w:p w14:paraId="2CDE7E54">
      <w:pPr>
        <w:rPr>
          <w:rFonts w:hint="eastAsia" w:ascii="宋体" w:hAnsi="宋体" w:eastAsia="宋体" w:cs="宋体"/>
          <w:b/>
          <w:bCs/>
          <w:color w:val="auto"/>
          <w:sz w:val="22"/>
          <w:szCs w:val="24"/>
          <w:highlight w:val="none"/>
        </w:rPr>
      </w:pPr>
      <w:r>
        <w:rPr>
          <w:rFonts w:hint="eastAsia" w:ascii="宋体" w:hAnsi="宋体" w:eastAsia="宋体" w:cs="宋体"/>
          <w:b/>
          <w:bCs/>
          <w:color w:val="auto"/>
          <w:sz w:val="22"/>
          <w:szCs w:val="24"/>
          <w:highlight w:val="none"/>
        </w:rPr>
        <w:t>三、评标程序</w:t>
      </w:r>
    </w:p>
    <w:p w14:paraId="3E1244CA">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highlight w:val="none"/>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14:paraId="2E74F68D">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1、本项目评标的依据为采购文件和投标文件。</w:t>
      </w:r>
    </w:p>
    <w:p w14:paraId="6E0850F2">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2、先熟悉采购文件和评标办法。</w:t>
      </w:r>
    </w:p>
    <w:p w14:paraId="33103AF0">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3、投标文件的初审：初审分为资格性检查和符合性检查。</w:t>
      </w:r>
    </w:p>
    <w:p w14:paraId="1AB62D8D">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（1）资格性检查</w:t>
      </w:r>
    </w:p>
    <w:p w14:paraId="0C75A05A">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依据法律法规和采购文件的规定，对投标文件中的资格条件、投标保证金等进行审查，以确定投标人是否具备投标资格。</w:t>
      </w:r>
    </w:p>
    <w:p w14:paraId="058CF441">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（2）符合性检查</w:t>
      </w:r>
    </w:p>
    <w:p w14:paraId="7C548960">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14:paraId="15001AE3">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如果投标文件实质上没有响应采购文件的要求，评标委员会将予以拒绝，投标人不得通过修改或撤销不合要求的偏离或保留而使其投标成为实质性响应的投标。</w:t>
      </w:r>
    </w:p>
    <w:p w14:paraId="1BF1D9B0">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4、澄清有关问题</w:t>
      </w:r>
    </w:p>
    <w:p w14:paraId="470915B9">
      <w:pPr>
        <w:adjustRightInd w:val="0"/>
        <w:snapToGrid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在</w:t>
      </w:r>
      <w:r>
        <w:rPr>
          <w:rFonts w:hint="eastAsia" w:ascii="宋体" w:hAnsi="宋体" w:eastAsia="宋体" w:cs="宋体"/>
          <w:snapToGrid w:val="0"/>
          <w:color w:val="auto"/>
          <w:kern w:val="0"/>
          <w:sz w:val="22"/>
          <w:highlight w:val="none"/>
        </w:rPr>
        <w:t>评标</w:t>
      </w:r>
      <w:r>
        <w:rPr>
          <w:rFonts w:hint="eastAsia" w:ascii="宋体" w:hAnsi="宋体" w:eastAsia="宋体" w:cs="宋体"/>
          <w:color w:val="auto"/>
          <w:sz w:val="22"/>
          <w:highlight w:val="none"/>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color w:val="auto"/>
          <w:kern w:val="0"/>
          <w:sz w:val="22"/>
          <w:highlight w:val="none"/>
        </w:rPr>
        <w:t>并非对每个投标人都要求做澄清</w:t>
      </w:r>
      <w:r>
        <w:rPr>
          <w:rFonts w:hint="eastAsia" w:ascii="宋体" w:hAnsi="宋体" w:eastAsia="宋体" w:cs="宋体"/>
          <w:color w:val="auto"/>
          <w:sz w:val="22"/>
          <w:highlight w:val="none"/>
        </w:rPr>
        <w:t>、说明或补正）。澄清、说明或补正应以书面形式并由</w:t>
      </w: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或其授权代表签署，但澄清内容不得超出投标文件的范围或者改变投标文件的实质性内容。</w:t>
      </w:r>
    </w:p>
    <w:p w14:paraId="6F431706">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14:paraId="52CE81CF">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评标委员会对各投标人的商务报价进行核查时，如发现投标报价内容不清楚可要求投标人书面澄清，计算上的错误，按本采购文件投标人须知22.6条规定方法进行修正。</w:t>
      </w:r>
    </w:p>
    <w:p w14:paraId="15CB506E">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5、比较与评价：评标委员会按采购文件中规定的评标方法和标准，对初审检查合格的投标文件进行商务（报价）和技术资信评估、综合比较与评价，并按照评标细则进行打分。</w:t>
      </w:r>
    </w:p>
    <w:p w14:paraId="785EC309">
      <w:pPr>
        <w:adjustRightInd w:val="0"/>
        <w:snapToGrid w:val="0"/>
        <w:ind w:firstLine="440" w:firstLineChars="200"/>
        <w:rPr>
          <w:rFonts w:hint="eastAsia" w:ascii="宋体" w:hAnsi="宋体" w:eastAsia="宋体" w:cs="宋体"/>
          <w:color w:val="auto"/>
          <w:szCs w:val="24"/>
          <w:highlight w:val="none"/>
        </w:rPr>
      </w:pPr>
      <w:r>
        <w:rPr>
          <w:rFonts w:hint="eastAsia" w:ascii="宋体" w:hAnsi="宋体" w:eastAsia="宋体" w:cs="宋体"/>
          <w:snapToGrid w:val="0"/>
          <w:color w:val="auto"/>
          <w:kern w:val="0"/>
          <w:sz w:val="22"/>
          <w:highlight w:val="none"/>
        </w:rPr>
        <w:t>6、推荐中标候选人：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w:t>
      </w:r>
      <w:r>
        <w:rPr>
          <w:rFonts w:hint="eastAsia" w:ascii="宋体" w:hAnsi="宋体" w:eastAsia="宋体" w:cs="宋体"/>
          <w:color w:val="auto"/>
          <w:sz w:val="22"/>
          <w:highlight w:val="none"/>
        </w:rPr>
        <w:t>则由评标委员会</w:t>
      </w:r>
      <w:r>
        <w:rPr>
          <w:rFonts w:hint="eastAsia" w:ascii="宋体" w:hAnsi="宋体" w:eastAsia="宋体" w:cs="宋体"/>
          <w:color w:val="auto"/>
          <w:sz w:val="22"/>
          <w:highlight w:val="none"/>
          <w:lang w:val="en-US" w:eastAsia="zh-CN"/>
        </w:rPr>
        <w:t>以少数服从多数的原则投票选择</w:t>
      </w:r>
      <w:r>
        <w:rPr>
          <w:rFonts w:hint="eastAsia" w:ascii="宋体" w:hAnsi="宋体" w:eastAsia="宋体" w:cs="宋体"/>
          <w:color w:val="auto"/>
          <w:sz w:val="22"/>
          <w:highlight w:val="none"/>
        </w:rPr>
        <w:t>其中一名为名次优先者</w:t>
      </w:r>
      <w:r>
        <w:rPr>
          <w:rFonts w:hint="eastAsia" w:ascii="宋体" w:hAnsi="宋体" w:eastAsia="宋体" w:cs="宋体"/>
          <w:snapToGrid w:val="0"/>
          <w:color w:val="auto"/>
          <w:kern w:val="0"/>
          <w:sz w:val="22"/>
          <w:highlight w:val="none"/>
        </w:rPr>
        <w:t>）。</w:t>
      </w:r>
    </w:p>
    <w:p w14:paraId="202ED16B">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7、完成评标报告。评标报告是评标委员会根据全体评标成员签字的原始评标记录和评标结果编写的报告。</w:t>
      </w:r>
    </w:p>
    <w:p w14:paraId="104A85BC">
      <w:pPr>
        <w:rPr>
          <w:rFonts w:hint="eastAsia" w:ascii="宋体" w:hAnsi="宋体" w:eastAsia="宋体" w:cs="宋体"/>
          <w:b/>
          <w:bCs/>
          <w:color w:val="auto"/>
          <w:sz w:val="22"/>
          <w:szCs w:val="24"/>
          <w:highlight w:val="none"/>
        </w:rPr>
      </w:pPr>
      <w:r>
        <w:rPr>
          <w:rFonts w:hint="eastAsia" w:ascii="宋体" w:hAnsi="宋体" w:eastAsia="宋体" w:cs="宋体"/>
          <w:b/>
          <w:bCs/>
          <w:color w:val="auto"/>
          <w:sz w:val="22"/>
          <w:szCs w:val="24"/>
          <w:highlight w:val="none"/>
        </w:rPr>
        <w:t>四、评标办法</w:t>
      </w:r>
    </w:p>
    <w:p w14:paraId="233E1FB2">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szCs w:val="24"/>
          <w:highlight w:val="none"/>
        </w:rPr>
        <w:t>本次采购采用百分制综合评分法，即投标人最大限度地满足采购文件实质性要求的基础上，按照采购文件的各项因素进行综合评审后，以评标总得分最高的投标人作为第一的中标候选人的评标方法。根据采购要求，总分设定为100分；其中技术资信分</w:t>
      </w:r>
      <w:r>
        <w:rPr>
          <w:rFonts w:hint="eastAsia" w:ascii="宋体" w:hAnsi="宋体" w:eastAsia="宋体" w:cs="宋体"/>
          <w:color w:val="auto"/>
          <w:sz w:val="22"/>
          <w:szCs w:val="24"/>
          <w:highlight w:val="none"/>
          <w:lang w:val="en-US" w:eastAsia="zh-CN"/>
        </w:rPr>
        <w:t>90</w:t>
      </w:r>
      <w:r>
        <w:rPr>
          <w:rFonts w:hint="eastAsia" w:ascii="宋体" w:hAnsi="宋体" w:eastAsia="宋体" w:cs="宋体"/>
          <w:color w:val="auto"/>
          <w:sz w:val="22"/>
          <w:szCs w:val="24"/>
          <w:highlight w:val="none"/>
        </w:rPr>
        <w:t>分，商务（报价）分</w:t>
      </w:r>
      <w:r>
        <w:rPr>
          <w:rFonts w:hint="eastAsia" w:ascii="宋体" w:hAnsi="宋体" w:eastAsia="宋体" w:cs="宋体"/>
          <w:color w:val="auto"/>
          <w:sz w:val="22"/>
          <w:szCs w:val="24"/>
          <w:highlight w:val="none"/>
          <w:lang w:val="en-US" w:eastAsia="zh-CN"/>
        </w:rPr>
        <w:t>10</w:t>
      </w:r>
      <w:r>
        <w:rPr>
          <w:rFonts w:hint="eastAsia" w:ascii="宋体" w:hAnsi="宋体" w:eastAsia="宋体" w:cs="宋体"/>
          <w:color w:val="auto"/>
          <w:sz w:val="22"/>
          <w:szCs w:val="24"/>
          <w:highlight w:val="none"/>
        </w:rPr>
        <w:t>分。</w:t>
      </w:r>
    </w:p>
    <w:p w14:paraId="46898849">
      <w:pPr>
        <w:rPr>
          <w:rFonts w:hint="eastAsia" w:ascii="宋体" w:hAnsi="宋体" w:eastAsia="宋体" w:cs="宋体"/>
          <w:b/>
          <w:bCs/>
          <w:color w:val="auto"/>
          <w:sz w:val="22"/>
          <w:szCs w:val="24"/>
          <w:highlight w:val="none"/>
        </w:rPr>
      </w:pPr>
      <w:r>
        <w:rPr>
          <w:rFonts w:hint="eastAsia" w:ascii="宋体" w:hAnsi="宋体" w:eastAsia="宋体" w:cs="宋体"/>
          <w:b/>
          <w:bCs/>
          <w:color w:val="auto"/>
          <w:sz w:val="22"/>
          <w:szCs w:val="24"/>
          <w:highlight w:val="none"/>
        </w:rPr>
        <w:t>五、评分细则</w:t>
      </w:r>
    </w:p>
    <w:p w14:paraId="3A091EAF">
      <w:pPr>
        <w:adjustRightInd w:val="0"/>
        <w:snapToGrid w:val="0"/>
        <w:rPr>
          <w:rFonts w:hint="eastAsia" w:ascii="宋体" w:hAnsi="宋体" w:eastAsia="宋体" w:cs="宋体"/>
          <w:b/>
          <w:bCs/>
          <w:color w:val="auto"/>
          <w:sz w:val="22"/>
          <w:highlight w:val="none"/>
          <w:lang w:eastAsia="zh-CN"/>
        </w:rPr>
      </w:pPr>
      <w:r>
        <w:rPr>
          <w:rFonts w:hint="eastAsia" w:ascii="宋体" w:hAnsi="宋体" w:eastAsia="宋体" w:cs="宋体"/>
          <w:b/>
          <w:bCs/>
          <w:color w:val="auto"/>
          <w:sz w:val="22"/>
          <w:highlight w:val="none"/>
        </w:rPr>
        <w:t>1、技术资信评审分值（</w:t>
      </w:r>
      <w:r>
        <w:rPr>
          <w:rFonts w:hint="eastAsia" w:ascii="宋体" w:hAnsi="宋体" w:eastAsia="宋体" w:cs="宋体"/>
          <w:b/>
          <w:bCs/>
          <w:color w:val="auto"/>
          <w:sz w:val="22"/>
          <w:highlight w:val="none"/>
          <w:lang w:val="en-US" w:eastAsia="zh-CN"/>
        </w:rPr>
        <w:t>90</w:t>
      </w:r>
      <w:r>
        <w:rPr>
          <w:rFonts w:hint="eastAsia" w:ascii="宋体" w:hAnsi="宋体" w:eastAsia="宋体" w:cs="宋体"/>
          <w:b/>
          <w:bCs/>
          <w:color w:val="auto"/>
          <w:sz w:val="22"/>
          <w:highlight w:val="none"/>
        </w:rPr>
        <w:t>分）</w:t>
      </w:r>
      <w:r>
        <w:rPr>
          <w:rFonts w:hint="eastAsia" w:ascii="宋体" w:hAnsi="宋体" w:eastAsia="宋体" w:cs="宋体"/>
          <w:b/>
          <w:bCs/>
          <w:color w:val="auto"/>
          <w:sz w:val="22"/>
          <w:highlight w:val="none"/>
          <w:lang w:eastAsia="zh-CN"/>
        </w:rPr>
        <w:t>：</w:t>
      </w:r>
    </w:p>
    <w:p w14:paraId="1606EA1B">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697"/>
        <w:gridCol w:w="7060"/>
      </w:tblGrid>
      <w:tr w14:paraId="33DD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3" w:type="dxa"/>
            <w:shd w:val="clear" w:color="auto" w:fill="FFFFFF"/>
            <w:noWrap w:val="0"/>
            <w:vAlign w:val="center"/>
          </w:tcPr>
          <w:p w14:paraId="3812632E">
            <w:pPr>
              <w:spacing w:line="240" w:lineRule="auto"/>
              <w:jc w:val="center"/>
              <w:rPr>
                <w:rFonts w:hint="eastAsia" w:ascii="宋体" w:hAnsi="宋体" w:eastAsia="宋体" w:cs="宋体"/>
                <w:b/>
                <w:color w:val="auto"/>
                <w:sz w:val="18"/>
                <w:szCs w:val="18"/>
                <w:highlight w:val="none"/>
              </w:rPr>
            </w:pPr>
            <w:bookmarkStart w:id="236" w:name="_Hlk518666386"/>
            <w:r>
              <w:rPr>
                <w:rFonts w:hint="eastAsia" w:ascii="宋体" w:hAnsi="宋体" w:eastAsia="宋体" w:cs="宋体"/>
                <w:b/>
                <w:color w:val="auto"/>
                <w:sz w:val="18"/>
                <w:szCs w:val="18"/>
                <w:highlight w:val="none"/>
              </w:rPr>
              <w:t>评分项目</w:t>
            </w:r>
          </w:p>
        </w:tc>
        <w:tc>
          <w:tcPr>
            <w:tcW w:w="697" w:type="dxa"/>
            <w:shd w:val="clear" w:color="auto" w:fill="FFFFFF"/>
            <w:noWrap w:val="0"/>
            <w:vAlign w:val="center"/>
          </w:tcPr>
          <w:p w14:paraId="2BFEC5A5">
            <w:pPr>
              <w:spacing w:line="24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lang w:val="en-US" w:eastAsia="zh-CN"/>
              </w:rPr>
              <w:t>满</w:t>
            </w:r>
            <w:r>
              <w:rPr>
                <w:rFonts w:hint="eastAsia" w:ascii="宋体" w:hAnsi="宋体" w:eastAsia="宋体" w:cs="宋体"/>
                <w:b/>
                <w:color w:val="auto"/>
                <w:sz w:val="18"/>
                <w:szCs w:val="18"/>
                <w:highlight w:val="none"/>
              </w:rPr>
              <w:t>分值</w:t>
            </w:r>
          </w:p>
        </w:tc>
        <w:tc>
          <w:tcPr>
            <w:tcW w:w="7060" w:type="dxa"/>
            <w:shd w:val="clear" w:color="auto" w:fill="FFFFFF"/>
            <w:noWrap w:val="0"/>
            <w:vAlign w:val="center"/>
          </w:tcPr>
          <w:p w14:paraId="345A8960">
            <w:pPr>
              <w:spacing w:line="24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评审要点及说明</w:t>
            </w:r>
          </w:p>
        </w:tc>
      </w:tr>
      <w:tr w14:paraId="7423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3" w:type="dxa"/>
            <w:shd w:val="clear" w:color="auto" w:fill="FFFFFF"/>
            <w:noWrap w:val="0"/>
            <w:vAlign w:val="center"/>
          </w:tcPr>
          <w:p w14:paraId="03E51DF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投标供应商履约能力、资信和信誉</w:t>
            </w:r>
          </w:p>
        </w:tc>
        <w:tc>
          <w:tcPr>
            <w:tcW w:w="697" w:type="dxa"/>
            <w:shd w:val="clear" w:color="auto" w:fill="FFFFFF"/>
            <w:noWrap w:val="0"/>
            <w:vAlign w:val="center"/>
          </w:tcPr>
          <w:p w14:paraId="7D26C67F">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060" w:type="dxa"/>
            <w:shd w:val="clear" w:color="auto" w:fill="FFFFFF"/>
            <w:noWrap w:val="0"/>
            <w:vAlign w:val="center"/>
          </w:tcPr>
          <w:p w14:paraId="4A39943C">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投标人在行业中的资质、资信等级、信誉及企业管理制度等是否规范等综合打分。（0-1分）</w:t>
            </w:r>
          </w:p>
        </w:tc>
      </w:tr>
      <w:tr w14:paraId="4002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3" w:type="dxa"/>
            <w:shd w:val="clear" w:color="auto" w:fill="FFFFFF"/>
            <w:noWrap w:val="0"/>
            <w:vAlign w:val="center"/>
          </w:tcPr>
          <w:p w14:paraId="5913C9D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投标供应商同类项目业绩</w:t>
            </w:r>
          </w:p>
        </w:tc>
        <w:tc>
          <w:tcPr>
            <w:tcW w:w="697" w:type="dxa"/>
            <w:shd w:val="clear" w:color="auto" w:fill="FFFFFF"/>
            <w:noWrap w:val="0"/>
            <w:vAlign w:val="center"/>
          </w:tcPr>
          <w:p w14:paraId="21263335">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7060" w:type="dxa"/>
            <w:shd w:val="clear" w:color="auto" w:fill="FFFFFF"/>
            <w:noWrap w:val="0"/>
            <w:vAlign w:val="center"/>
          </w:tcPr>
          <w:p w14:paraId="7F6E2140">
            <w:pPr>
              <w:spacing w:line="240" w:lineRule="auto"/>
              <w:jc w:val="left"/>
              <w:rPr>
                <w:rFonts w:hint="eastAsia" w:ascii="宋体" w:hAnsi="宋体" w:eastAsia="宋体" w:cs="宋体"/>
                <w:b w:val="0"/>
                <w:color w:val="auto"/>
                <w:sz w:val="18"/>
                <w:szCs w:val="18"/>
                <w:highlight w:val="none"/>
                <w:u w:val="none"/>
                <w:lang w:eastAsia="zh-CN"/>
              </w:rPr>
            </w:pPr>
            <w:r>
              <w:rPr>
                <w:rFonts w:hint="eastAsia" w:ascii="宋体" w:hAnsi="宋体" w:eastAsia="宋体" w:cs="宋体"/>
                <w:color w:val="auto"/>
                <w:sz w:val="18"/>
                <w:szCs w:val="18"/>
                <w:highlight w:val="none"/>
              </w:rPr>
              <w:t>20</w:t>
            </w:r>
            <w:r>
              <w:rPr>
                <w:rFonts w:hint="eastAsia" w:ascii="宋体" w:hAnsi="宋体" w:eastAsia="宋体" w:cs="宋体"/>
                <w:color w:val="auto"/>
                <w:sz w:val="18"/>
                <w:szCs w:val="18"/>
                <w:highlight w:val="none"/>
                <w:lang w:val="en-US" w:eastAsia="zh-CN"/>
              </w:rPr>
              <w:t>21</w:t>
            </w:r>
            <w:r>
              <w:rPr>
                <w:rFonts w:hint="eastAsia" w:ascii="宋体" w:hAnsi="宋体" w:eastAsia="宋体" w:cs="宋体"/>
                <w:color w:val="auto"/>
                <w:sz w:val="18"/>
                <w:szCs w:val="18"/>
                <w:highlight w:val="none"/>
              </w:rPr>
              <w:t>年1月</w:t>
            </w:r>
            <w:r>
              <w:rPr>
                <w:rFonts w:hint="eastAsia" w:ascii="宋体" w:hAnsi="宋体" w:eastAsia="宋体" w:cs="宋体"/>
                <w:color w:val="auto"/>
                <w:sz w:val="18"/>
                <w:szCs w:val="18"/>
                <w:highlight w:val="none"/>
                <w:lang w:val="en-US" w:eastAsia="zh-CN"/>
              </w:rPr>
              <w:t>1日以来</w:t>
            </w:r>
            <w:r>
              <w:rPr>
                <w:rFonts w:hint="eastAsia" w:ascii="宋体" w:hAnsi="宋体" w:eastAsia="宋体" w:cs="宋体"/>
                <w:color w:val="auto"/>
                <w:sz w:val="18"/>
                <w:szCs w:val="18"/>
                <w:highlight w:val="none"/>
              </w:rPr>
              <w:t>机关单位、事业单位、国企单位职工疗休养</w:t>
            </w:r>
            <w:r>
              <w:rPr>
                <w:rFonts w:hint="eastAsia" w:ascii="宋体" w:hAnsi="宋体" w:eastAsia="宋体" w:cs="宋体"/>
                <w:color w:val="auto"/>
                <w:sz w:val="18"/>
                <w:szCs w:val="18"/>
                <w:highlight w:val="none"/>
                <w:lang w:eastAsia="zh-CN"/>
              </w:rPr>
              <w:t>合作业绩，每提供</w:t>
            </w:r>
            <w:r>
              <w:rPr>
                <w:rFonts w:hint="eastAsia" w:ascii="宋体" w:hAnsi="宋体" w:eastAsia="宋体" w:cs="宋体"/>
                <w:color w:val="auto"/>
                <w:sz w:val="18"/>
                <w:szCs w:val="18"/>
                <w:highlight w:val="none"/>
                <w:lang w:val="en-US" w:eastAsia="zh-CN"/>
              </w:rPr>
              <w:t>1家</w:t>
            </w:r>
            <w:r>
              <w:rPr>
                <w:rFonts w:hint="eastAsia" w:ascii="宋体" w:hAnsi="宋体" w:eastAsia="宋体" w:cs="宋体"/>
                <w:color w:val="auto"/>
                <w:sz w:val="18"/>
                <w:szCs w:val="18"/>
                <w:highlight w:val="none"/>
              </w:rPr>
              <w:t>得1分，最高得</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（业绩须满足当年度累计疗休养人员达200人次或累计金额达</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0万元，</w:t>
            </w:r>
            <w:r>
              <w:rPr>
                <w:rFonts w:hint="eastAsia" w:ascii="宋体" w:hAnsi="宋体" w:eastAsia="宋体" w:cs="宋体"/>
                <w:b w:val="0"/>
                <w:bCs w:val="0"/>
                <w:color w:val="auto"/>
                <w:sz w:val="18"/>
                <w:szCs w:val="18"/>
                <w:highlight w:val="none"/>
                <w:lang w:val="en-US" w:eastAsia="zh-CN"/>
              </w:rPr>
              <w:t>需提供完整的合同复印件</w:t>
            </w:r>
            <w:r>
              <w:rPr>
                <w:rFonts w:hint="eastAsia" w:ascii="宋体" w:hAnsi="宋体" w:eastAsia="宋体" w:cs="宋体"/>
                <w:color w:val="auto"/>
                <w:sz w:val="18"/>
                <w:szCs w:val="18"/>
                <w:highlight w:val="none"/>
                <w:lang w:eastAsia="zh-CN"/>
              </w:rPr>
              <w:t>及</w:t>
            </w:r>
            <w:r>
              <w:rPr>
                <w:rFonts w:hint="eastAsia" w:ascii="宋体" w:hAnsi="宋体" w:eastAsia="宋体" w:cs="宋体"/>
                <w:color w:val="auto"/>
                <w:sz w:val="18"/>
                <w:szCs w:val="18"/>
                <w:highlight w:val="none"/>
              </w:rPr>
              <w:t>发票复印件加盖单位公章</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缺一不可</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，合同中未能体现上述数据或发票累计金额不足的，不予认可，一个单位同一年度只能认定为一家）。</w:t>
            </w:r>
          </w:p>
        </w:tc>
      </w:tr>
      <w:tr w14:paraId="4BBF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3" w:type="dxa"/>
            <w:shd w:val="clear" w:color="auto" w:fill="FFFFFF"/>
            <w:noWrap w:val="0"/>
            <w:vAlign w:val="center"/>
          </w:tcPr>
          <w:p w14:paraId="12391C0C">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业主评价</w:t>
            </w:r>
          </w:p>
        </w:tc>
        <w:tc>
          <w:tcPr>
            <w:tcW w:w="697" w:type="dxa"/>
            <w:shd w:val="clear" w:color="auto" w:fill="FFFFFF"/>
            <w:noWrap w:val="0"/>
            <w:vAlign w:val="center"/>
          </w:tcPr>
          <w:p w14:paraId="4857089E">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7060" w:type="dxa"/>
            <w:shd w:val="clear" w:color="auto" w:fill="FFFFFF"/>
            <w:noWrap w:val="0"/>
            <w:vAlign w:val="center"/>
          </w:tcPr>
          <w:p w14:paraId="5368D1E4">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根据上述提供的合作案例单位（业主）疗休养服务评价的综合情况进行打分。</w:t>
            </w:r>
          </w:p>
          <w:p w14:paraId="7B4B3889">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服务非常满意的：0.5分/个；服务满意的0.2分/个；最高得2分</w:t>
            </w:r>
            <w:r>
              <w:rPr>
                <w:rFonts w:hint="eastAsia" w:ascii="宋体" w:hAnsi="宋体" w:eastAsia="宋体" w:cs="宋体"/>
                <w:color w:val="auto"/>
                <w:sz w:val="18"/>
                <w:szCs w:val="18"/>
                <w:highlight w:val="none"/>
                <w:lang w:val="en-US" w:eastAsia="zh-CN"/>
              </w:rPr>
              <w:t>。</w:t>
            </w:r>
          </w:p>
          <w:p w14:paraId="34B98CAD">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（提供服务评价表复印件并加盖单位公章，并提供原件核查。原件必须具有合作单位（业主）加盖的公章，后附有评价单位联系人及联系电话）。</w:t>
            </w:r>
          </w:p>
        </w:tc>
      </w:tr>
      <w:tr w14:paraId="037C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3" w:type="dxa"/>
            <w:shd w:val="clear" w:color="auto" w:fill="FFFFFF"/>
            <w:noWrap w:val="0"/>
            <w:vAlign w:val="center"/>
          </w:tcPr>
          <w:p w14:paraId="2C4B7B51">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投入本项目全程陪同导游资历</w:t>
            </w:r>
          </w:p>
        </w:tc>
        <w:tc>
          <w:tcPr>
            <w:tcW w:w="697" w:type="dxa"/>
            <w:shd w:val="clear" w:color="auto" w:fill="FFFFFF"/>
            <w:noWrap w:val="0"/>
            <w:vAlign w:val="center"/>
          </w:tcPr>
          <w:p w14:paraId="3BF4B3FF">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7060" w:type="dxa"/>
            <w:shd w:val="clear" w:color="auto" w:fill="FFFFFF"/>
            <w:noWrap w:val="0"/>
            <w:vAlign w:val="center"/>
          </w:tcPr>
          <w:p w14:paraId="19BD8D46">
            <w:pPr>
              <w:spacing w:line="240" w:lineRule="auto"/>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根据供应商投入本项目导游人员（需提供导游证）配置情况打分：至少3名及以上导游，得3分，否则不得分，每增加1名导游加1分，最多得5分。</w:t>
            </w:r>
          </w:p>
          <w:p w14:paraId="6FB80F0B">
            <w:pPr>
              <w:spacing w:line="240" w:lineRule="auto"/>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以上导游持有高级导游证的，每提供一个得1分，持有中级导游证的，每个得0.5分。本项最多2分。</w:t>
            </w:r>
          </w:p>
          <w:p w14:paraId="35E0FFBF">
            <w:pPr>
              <w:spacing w:line="240" w:lineRule="auto"/>
              <w:jc w:val="both"/>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注：需提供导游证及近6个月本单位连续缴纳社保证明的复印件并加盖公章，否则该项不得分，携带原件备查。</w:t>
            </w:r>
          </w:p>
        </w:tc>
      </w:tr>
      <w:tr w14:paraId="44DD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3" w:type="dxa"/>
            <w:shd w:val="clear" w:color="auto" w:fill="FFFFFF"/>
            <w:noWrap w:val="0"/>
            <w:vAlign w:val="center"/>
          </w:tcPr>
          <w:p w14:paraId="5315CA5A">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投入本项目的项目负责人的资历资格、从业经验</w:t>
            </w:r>
          </w:p>
        </w:tc>
        <w:tc>
          <w:tcPr>
            <w:tcW w:w="697" w:type="dxa"/>
            <w:shd w:val="clear" w:color="auto" w:fill="FFFFFF"/>
            <w:noWrap w:val="0"/>
            <w:vAlign w:val="center"/>
          </w:tcPr>
          <w:p w14:paraId="39027AD9">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7060" w:type="dxa"/>
            <w:shd w:val="clear" w:color="auto" w:fill="FFFFFF"/>
            <w:noWrap w:val="0"/>
            <w:vAlign w:val="center"/>
          </w:tcPr>
          <w:p w14:paraId="22EEF918">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根据拟</w:t>
            </w:r>
            <w:r>
              <w:rPr>
                <w:rFonts w:hint="eastAsia" w:ascii="宋体" w:hAnsi="宋体" w:eastAsia="宋体" w:cs="宋体"/>
                <w:color w:val="auto"/>
                <w:sz w:val="18"/>
                <w:szCs w:val="18"/>
                <w:highlight w:val="none"/>
              </w:rPr>
              <w:t>投入本项目的项目负责人的资历资格、从业经验</w:t>
            </w:r>
            <w:r>
              <w:rPr>
                <w:rFonts w:hint="eastAsia" w:ascii="宋体" w:hAnsi="宋体" w:eastAsia="宋体" w:cs="宋体"/>
                <w:color w:val="auto"/>
                <w:sz w:val="18"/>
                <w:szCs w:val="18"/>
                <w:highlight w:val="none"/>
                <w:lang w:val="en-US" w:eastAsia="zh-CN"/>
              </w:rPr>
              <w:t>等情况进行综合打分（0-2分）。</w:t>
            </w:r>
          </w:p>
          <w:p w14:paraId="20B2B921">
            <w:pPr>
              <w:autoSpaceDE/>
              <w:autoSpaceDN/>
              <w:spacing w:line="240" w:lineRule="auto"/>
              <w:jc w:val="left"/>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注：须提供相关证明材料及近6个月本单位连续缴纳社保证明的复印件并加盖公章，否则该项不得分，携带原件备查。</w:t>
            </w:r>
          </w:p>
        </w:tc>
      </w:tr>
      <w:tr w14:paraId="7D85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3" w:type="dxa"/>
            <w:shd w:val="clear" w:color="auto" w:fill="FFFFFF"/>
            <w:noWrap w:val="0"/>
            <w:vAlign w:val="center"/>
          </w:tcPr>
          <w:p w14:paraId="456F8354">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景点安排</w:t>
            </w:r>
          </w:p>
        </w:tc>
        <w:tc>
          <w:tcPr>
            <w:tcW w:w="697" w:type="dxa"/>
            <w:shd w:val="clear" w:color="auto" w:fill="FFFFFF"/>
            <w:noWrap w:val="0"/>
            <w:vAlign w:val="center"/>
          </w:tcPr>
          <w:p w14:paraId="3EAE1FA0">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7060" w:type="dxa"/>
            <w:shd w:val="clear" w:color="auto" w:fill="FFFFFF"/>
            <w:noWrap w:val="0"/>
            <w:vAlign w:val="center"/>
          </w:tcPr>
          <w:p w14:paraId="575AB570">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至少安排一处5A级景点（5天不少于3个景点），景点安排中增加5A级景点或4A级景点的适当进行加分，各景点距离不宜过远，以舒适性及疗休养为目的，根据景点安排的合理性〔标明各景点档次、价格（原价和团体折后价）〕等情况综合比较打分</w:t>
            </w:r>
            <w:r>
              <w:rPr>
                <w:rFonts w:hint="eastAsia" w:ascii="宋体" w:hAnsi="宋体" w:eastAsia="宋体" w:cs="宋体"/>
                <w:color w:val="auto"/>
                <w:sz w:val="18"/>
                <w:szCs w:val="18"/>
                <w:highlight w:val="none"/>
                <w:lang w:eastAsia="zh-CN"/>
              </w:rPr>
              <w:t>，</w:t>
            </w:r>
            <w:r>
              <w:rPr>
                <w:rFonts w:hint="eastAsia" w:ascii="宋体" w:hAnsi="宋体" w:eastAsia="宋体" w:cs="宋体"/>
                <w:b w:val="0"/>
                <w:bCs w:val="0"/>
                <w:color w:val="auto"/>
                <w:sz w:val="18"/>
                <w:szCs w:val="18"/>
                <w:highlight w:val="none"/>
                <w:lang w:val="en-US" w:eastAsia="zh-CN"/>
              </w:rPr>
              <w:t>优的得8-6.1分，良的得6-4.1分，一般的得4-2分。</w:t>
            </w:r>
          </w:p>
        </w:tc>
      </w:tr>
      <w:tr w14:paraId="73C1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3" w:type="dxa"/>
            <w:shd w:val="clear" w:color="auto" w:fill="FFFFFF"/>
            <w:noWrap w:val="0"/>
            <w:vAlign w:val="center"/>
          </w:tcPr>
          <w:p w14:paraId="6A01E40D">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线路</w:t>
            </w:r>
            <w:r>
              <w:rPr>
                <w:rFonts w:hint="eastAsia" w:ascii="宋体" w:hAnsi="宋体" w:eastAsia="宋体" w:cs="宋体"/>
                <w:color w:val="auto"/>
                <w:sz w:val="18"/>
                <w:szCs w:val="18"/>
                <w:highlight w:val="none"/>
              </w:rPr>
              <w:t>安排</w:t>
            </w:r>
          </w:p>
        </w:tc>
        <w:tc>
          <w:tcPr>
            <w:tcW w:w="697" w:type="dxa"/>
            <w:shd w:val="clear" w:color="auto" w:fill="FFFFFF"/>
            <w:noWrap w:val="0"/>
            <w:vAlign w:val="center"/>
          </w:tcPr>
          <w:p w14:paraId="40CE9887">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7060" w:type="dxa"/>
            <w:shd w:val="clear" w:color="auto" w:fill="FFFFFF"/>
            <w:noWrap w:val="0"/>
            <w:vAlign w:val="center"/>
          </w:tcPr>
          <w:p w14:paraId="3A8D10BB">
            <w:pPr>
              <w:spacing w:line="240" w:lineRule="auto"/>
              <w:jc w:val="left"/>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根据总体出行线路安排（每条线路必须画出简易行程图，游玩时间，景点与宾馆之间、各景点之间的车程时间）的合理性、适用性、科学性等情况综合比较评分（</w:t>
            </w:r>
            <w:r>
              <w:rPr>
                <w:rFonts w:hint="eastAsia" w:ascii="宋体" w:hAnsi="宋体" w:eastAsia="宋体" w:cs="宋体"/>
                <w:b w:val="0"/>
                <w:bCs w:val="0"/>
                <w:color w:val="auto"/>
                <w:sz w:val="18"/>
                <w:szCs w:val="18"/>
                <w:highlight w:val="none"/>
                <w:lang w:val="en-US" w:eastAsia="zh-CN"/>
              </w:rPr>
              <w:t>优的得8-6.1分，良的得6-4.1分，一般的得4-2分）</w:t>
            </w:r>
          </w:p>
        </w:tc>
      </w:tr>
      <w:tr w14:paraId="0FD4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3" w:type="dxa"/>
            <w:shd w:val="clear" w:color="auto" w:fill="FFFFFF"/>
            <w:noWrap w:val="0"/>
            <w:vAlign w:val="center"/>
          </w:tcPr>
          <w:p w14:paraId="1AFBCFA7">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酒店住宿安排</w:t>
            </w:r>
          </w:p>
        </w:tc>
        <w:tc>
          <w:tcPr>
            <w:tcW w:w="697" w:type="dxa"/>
            <w:shd w:val="clear" w:color="auto" w:fill="FFFFFF"/>
            <w:noWrap w:val="0"/>
            <w:vAlign w:val="center"/>
          </w:tcPr>
          <w:p w14:paraId="6ED0919E">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16</w:t>
            </w:r>
          </w:p>
        </w:tc>
        <w:tc>
          <w:tcPr>
            <w:tcW w:w="7060" w:type="dxa"/>
            <w:shd w:val="clear" w:color="auto" w:fill="FFFFFF"/>
            <w:noWrap w:val="0"/>
            <w:vAlign w:val="center"/>
          </w:tcPr>
          <w:p w14:paraId="0398EC84">
            <w:pPr>
              <w:spacing w:line="240" w:lineRule="auto"/>
              <w:jc w:val="left"/>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lang w:val="en-US" w:eastAsia="zh-CN"/>
              </w:rPr>
              <w:t>酒店住宿安排：各线路住宿安排高于采购要求（以五星标准作为参考依据，挂牌五星、五钻或相当于五星，文成、平阳等地区除外）；原则上酒店安排不多于2个；住宿安排必须提供住宿点的具体星级等级，无挂牌的提供相当于同档次星级的资料，</w:t>
            </w:r>
            <w:r>
              <w:rPr>
                <w:rFonts w:hint="eastAsia" w:ascii="宋体" w:hAnsi="宋体" w:eastAsia="宋体" w:cs="宋体"/>
                <w:b w:val="0"/>
                <w:bCs w:val="0"/>
                <w:color w:val="auto"/>
                <w:sz w:val="18"/>
                <w:szCs w:val="18"/>
                <w:highlight w:val="none"/>
                <w:lang w:val="en-US" w:eastAsia="zh-CN"/>
              </w:rPr>
              <w:t>如网评资料、相关主管单位评定资料等；同时提供酒店相关地理位置及住宿点具体情况介绍及联系号码等情况进行打分。</w:t>
            </w:r>
            <w:r>
              <w:rPr>
                <w:rFonts w:hint="eastAsia" w:ascii="宋体" w:hAnsi="宋体" w:eastAsia="宋体" w:cs="宋体"/>
                <w:b w:val="0"/>
                <w:bCs w:val="0"/>
                <w:color w:val="auto"/>
                <w:sz w:val="18"/>
                <w:szCs w:val="18"/>
                <w:highlight w:val="none"/>
              </w:rPr>
              <w:t>总共</w:t>
            </w:r>
            <w:r>
              <w:rPr>
                <w:rFonts w:hint="eastAsia" w:ascii="宋体" w:hAnsi="宋体" w:eastAsia="宋体" w:cs="宋体"/>
                <w:b w:val="0"/>
                <w:bCs w:val="0"/>
                <w:color w:val="auto"/>
                <w:sz w:val="18"/>
                <w:szCs w:val="18"/>
                <w:highlight w:val="none"/>
                <w:lang w:val="en-US" w:eastAsia="zh-CN"/>
              </w:rPr>
              <w:t>8</w:t>
            </w:r>
            <w:r>
              <w:rPr>
                <w:rFonts w:hint="eastAsia" w:ascii="宋体" w:hAnsi="宋体" w:eastAsia="宋体" w:cs="宋体"/>
                <w:b w:val="0"/>
                <w:bCs w:val="0"/>
                <w:color w:val="auto"/>
                <w:sz w:val="18"/>
                <w:szCs w:val="18"/>
                <w:highlight w:val="none"/>
              </w:rPr>
              <w:t>条线路，每线路得</w:t>
            </w:r>
            <w:r>
              <w:rPr>
                <w:rFonts w:hint="eastAsia" w:ascii="宋体" w:hAnsi="宋体" w:eastAsia="宋体" w:cs="宋体"/>
                <w:b w:val="0"/>
                <w:bCs w:val="0"/>
                <w:color w:val="auto"/>
                <w:sz w:val="18"/>
                <w:szCs w:val="18"/>
                <w:highlight w:val="none"/>
                <w:lang w:val="en-US" w:eastAsia="zh-CN"/>
              </w:rPr>
              <w:t>0</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p w14:paraId="293AC983">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b w:val="0"/>
                <w:bCs w:val="0"/>
                <w:color w:val="auto"/>
                <w:sz w:val="18"/>
                <w:szCs w:val="18"/>
                <w:highlight w:val="none"/>
                <w:lang w:val="en-US" w:eastAsia="zh-CN"/>
              </w:rPr>
              <w:t>注：相关证明材料</w:t>
            </w:r>
          </w:p>
        </w:tc>
      </w:tr>
      <w:tr w14:paraId="5065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3" w:type="dxa"/>
            <w:shd w:val="clear" w:color="auto" w:fill="FFFFFF"/>
            <w:noWrap w:val="0"/>
            <w:vAlign w:val="center"/>
          </w:tcPr>
          <w:p w14:paraId="4117691B">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餐标</w:t>
            </w:r>
          </w:p>
        </w:tc>
        <w:tc>
          <w:tcPr>
            <w:tcW w:w="697" w:type="dxa"/>
            <w:shd w:val="clear" w:color="auto" w:fill="FFFFFF"/>
            <w:noWrap w:val="0"/>
            <w:vAlign w:val="center"/>
          </w:tcPr>
          <w:p w14:paraId="382B967A">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w:t>
            </w:r>
          </w:p>
        </w:tc>
        <w:tc>
          <w:tcPr>
            <w:tcW w:w="7060" w:type="dxa"/>
            <w:shd w:val="clear" w:color="auto" w:fill="FFFFFF"/>
            <w:noWrap w:val="0"/>
            <w:vAlign w:val="center"/>
          </w:tcPr>
          <w:p w14:paraId="13906476">
            <w:pPr>
              <w:autoSpaceDE/>
              <w:autoSpaceDN/>
              <w:spacing w:line="240" w:lineRule="auto"/>
              <w:jc w:val="left"/>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color w:val="auto"/>
                <w:sz w:val="18"/>
                <w:szCs w:val="18"/>
                <w:highlight w:val="none"/>
              </w:rPr>
              <w:t>根据提供的餐品种类、标准、菜品丰富程度及定价横向比较评定</w:t>
            </w:r>
            <w:r>
              <w:rPr>
                <w:rFonts w:hint="eastAsia" w:ascii="宋体" w:hAnsi="宋体" w:eastAsia="宋体" w:cs="宋体"/>
                <w:color w:val="auto"/>
                <w:sz w:val="18"/>
                <w:szCs w:val="18"/>
                <w:highlight w:val="none"/>
                <w:lang w:eastAsia="zh-CN"/>
              </w:rPr>
              <w:t>，</w:t>
            </w:r>
            <w:r>
              <w:rPr>
                <w:rFonts w:hint="eastAsia" w:ascii="宋体" w:hAnsi="宋体" w:eastAsia="宋体" w:cs="宋体"/>
                <w:b w:val="0"/>
                <w:bCs w:val="0"/>
                <w:color w:val="auto"/>
                <w:sz w:val="18"/>
                <w:szCs w:val="18"/>
                <w:highlight w:val="none"/>
                <w:lang w:val="en-US" w:eastAsia="zh-CN"/>
              </w:rPr>
              <w:t>优的得20-16.1分，良的得16-12.1分，一般的得12-8分。</w:t>
            </w:r>
          </w:p>
          <w:p w14:paraId="76987FE2">
            <w:pPr>
              <w:autoSpaceDE/>
              <w:autoSpaceDN/>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注：需</w:t>
            </w:r>
            <w:r>
              <w:rPr>
                <w:rFonts w:hint="eastAsia" w:ascii="宋体" w:hAnsi="宋体" w:eastAsia="宋体" w:cs="宋体"/>
                <w:color w:val="auto"/>
                <w:sz w:val="18"/>
                <w:szCs w:val="18"/>
                <w:highlight w:val="none"/>
              </w:rPr>
              <w:t>提供相关图片资料进行介绍。</w:t>
            </w:r>
          </w:p>
        </w:tc>
      </w:tr>
      <w:tr w14:paraId="4A8F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3" w:type="dxa"/>
            <w:shd w:val="clear" w:color="auto" w:fill="FFFFFF"/>
            <w:noWrap w:val="0"/>
            <w:vAlign w:val="center"/>
          </w:tcPr>
          <w:p w14:paraId="59059C13">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旅游车安排方案</w:t>
            </w:r>
          </w:p>
        </w:tc>
        <w:tc>
          <w:tcPr>
            <w:tcW w:w="697" w:type="dxa"/>
            <w:shd w:val="clear" w:color="auto" w:fill="FFFFFF"/>
            <w:noWrap w:val="0"/>
            <w:vAlign w:val="center"/>
          </w:tcPr>
          <w:p w14:paraId="242AFC98">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w:t>
            </w:r>
          </w:p>
        </w:tc>
        <w:tc>
          <w:tcPr>
            <w:tcW w:w="7060" w:type="dxa"/>
            <w:shd w:val="clear" w:color="auto" w:fill="FFFFFF"/>
            <w:noWrap w:val="0"/>
            <w:vAlign w:val="center"/>
          </w:tcPr>
          <w:p w14:paraId="764B8804">
            <w:pPr>
              <w:autoSpaceDE/>
              <w:autoSpaceDN/>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根据旅游车的车龄</w:t>
            </w:r>
            <w:r>
              <w:rPr>
                <w:rFonts w:hint="eastAsia" w:ascii="宋体" w:hAnsi="宋体" w:eastAsia="宋体" w:cs="宋体"/>
                <w:color w:val="auto"/>
                <w:sz w:val="18"/>
                <w:szCs w:val="18"/>
                <w:highlight w:val="none"/>
                <w:lang w:eastAsia="zh-CN"/>
              </w:rPr>
              <w:t>、车况、舒适度</w:t>
            </w:r>
            <w:r>
              <w:rPr>
                <w:rFonts w:hint="eastAsia" w:ascii="宋体" w:hAnsi="宋体" w:eastAsia="宋体" w:cs="宋体"/>
                <w:color w:val="auto"/>
                <w:sz w:val="18"/>
                <w:szCs w:val="18"/>
                <w:highlight w:val="none"/>
              </w:rPr>
              <w:t>，驾驶员的驾龄等</w:t>
            </w:r>
            <w:r>
              <w:rPr>
                <w:rFonts w:hint="eastAsia" w:ascii="宋体" w:hAnsi="宋体" w:eastAsia="宋体" w:cs="宋体"/>
                <w:color w:val="auto"/>
                <w:sz w:val="18"/>
                <w:szCs w:val="18"/>
                <w:highlight w:val="none"/>
                <w:lang w:eastAsia="zh-CN"/>
              </w:rPr>
              <w:t>情况</w:t>
            </w:r>
            <w:r>
              <w:rPr>
                <w:rFonts w:hint="eastAsia" w:ascii="宋体" w:hAnsi="宋体" w:eastAsia="宋体" w:cs="宋体"/>
                <w:color w:val="auto"/>
                <w:sz w:val="18"/>
                <w:szCs w:val="18"/>
                <w:highlight w:val="none"/>
              </w:rPr>
              <w:t>横向比较评定（可提供相关图片、驾照、行驶证作为辅助评审资料）</w:t>
            </w:r>
            <w:r>
              <w:rPr>
                <w:rFonts w:hint="eastAsia" w:ascii="宋体" w:hAnsi="宋体" w:eastAsia="宋体" w:cs="宋体"/>
                <w:color w:val="auto"/>
                <w:sz w:val="18"/>
                <w:szCs w:val="18"/>
                <w:highlight w:val="none"/>
                <w:lang w:val="en-US" w:eastAsia="zh-CN"/>
              </w:rPr>
              <w:t>进行打分</w:t>
            </w:r>
            <w:r>
              <w:rPr>
                <w:rFonts w:hint="eastAsia" w:ascii="宋体" w:hAnsi="宋体" w:eastAsia="宋体" w:cs="宋体"/>
                <w:color w:val="auto"/>
                <w:sz w:val="18"/>
                <w:szCs w:val="18"/>
                <w:highlight w:val="none"/>
                <w:lang w:eastAsia="zh-CN"/>
              </w:rPr>
              <w:t>，</w:t>
            </w:r>
            <w:r>
              <w:rPr>
                <w:rFonts w:hint="eastAsia" w:ascii="宋体" w:hAnsi="宋体" w:eastAsia="宋体" w:cs="宋体"/>
                <w:b w:val="0"/>
                <w:bCs w:val="0"/>
                <w:color w:val="auto"/>
                <w:sz w:val="18"/>
                <w:szCs w:val="18"/>
                <w:highlight w:val="none"/>
                <w:lang w:val="en-US" w:eastAsia="zh-CN"/>
              </w:rPr>
              <w:t>优的得6-4.1分，良的得4-2.1分，一般的得2-0分。</w:t>
            </w:r>
          </w:p>
          <w:p w14:paraId="6B8A8C95">
            <w:pPr>
              <w:autoSpaceDE/>
              <w:autoSpaceDN/>
              <w:spacing w:line="240" w:lineRule="auto"/>
              <w:jc w:val="left"/>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注：提供相关图片、驾照、行驶证等证明材料</w:t>
            </w:r>
          </w:p>
        </w:tc>
      </w:tr>
      <w:tr w14:paraId="4A64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3" w:type="dxa"/>
            <w:vMerge w:val="restart"/>
            <w:noWrap w:val="0"/>
            <w:vAlign w:val="center"/>
          </w:tcPr>
          <w:p w14:paraId="0C377E6F">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保险承诺</w:t>
            </w:r>
          </w:p>
        </w:tc>
        <w:tc>
          <w:tcPr>
            <w:tcW w:w="697" w:type="dxa"/>
            <w:vMerge w:val="restart"/>
            <w:noWrap w:val="0"/>
            <w:vAlign w:val="center"/>
          </w:tcPr>
          <w:p w14:paraId="7CD7D509">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7060" w:type="dxa"/>
            <w:noWrap w:val="0"/>
            <w:vAlign w:val="center"/>
          </w:tcPr>
          <w:p w14:paraId="66BBC093">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旅行社责任保险每次事故每人责任限额</w:t>
            </w:r>
            <w:r>
              <w:rPr>
                <w:rFonts w:hint="eastAsia" w:ascii="宋体" w:hAnsi="宋体" w:eastAsia="宋体" w:cs="宋体"/>
                <w:color w:val="auto"/>
                <w:sz w:val="18"/>
                <w:szCs w:val="18"/>
                <w:highlight w:val="none"/>
                <w:lang w:val="en-US" w:eastAsia="zh-CN"/>
              </w:rPr>
              <w:t>100</w:t>
            </w:r>
            <w:r>
              <w:rPr>
                <w:rFonts w:hint="eastAsia" w:ascii="宋体" w:hAnsi="宋体" w:eastAsia="宋体" w:cs="宋体"/>
                <w:color w:val="auto"/>
                <w:sz w:val="18"/>
                <w:szCs w:val="18"/>
                <w:highlight w:val="none"/>
              </w:rPr>
              <w:t>万</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不含</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以下的不得分、</w:t>
            </w:r>
            <w:r>
              <w:rPr>
                <w:rFonts w:hint="eastAsia" w:ascii="宋体" w:hAnsi="宋体" w:eastAsia="宋体" w:cs="宋体"/>
                <w:color w:val="auto"/>
                <w:sz w:val="18"/>
                <w:szCs w:val="18"/>
                <w:highlight w:val="none"/>
                <w:lang w:val="en-US" w:eastAsia="zh-CN"/>
              </w:rPr>
              <w:t>100万（含）-150万（不含）得1分，</w:t>
            </w:r>
            <w:r>
              <w:rPr>
                <w:rFonts w:hint="eastAsia" w:ascii="宋体" w:hAnsi="宋体" w:eastAsia="宋体" w:cs="宋体"/>
                <w:color w:val="auto"/>
                <w:sz w:val="18"/>
                <w:szCs w:val="18"/>
                <w:highlight w:val="none"/>
              </w:rPr>
              <w:t>150万（含）以上的，得2分</w:t>
            </w:r>
            <w:r>
              <w:rPr>
                <w:rFonts w:hint="eastAsia" w:ascii="宋体" w:hAnsi="宋体" w:eastAsia="宋体" w:cs="宋体"/>
                <w:color w:val="auto"/>
                <w:sz w:val="18"/>
                <w:szCs w:val="18"/>
                <w:highlight w:val="none"/>
                <w:lang w:eastAsia="zh-CN"/>
              </w:rPr>
              <w:t>；需提供相关承诺书。</w:t>
            </w:r>
          </w:p>
        </w:tc>
      </w:tr>
      <w:tr w14:paraId="7B22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3" w:type="dxa"/>
            <w:vMerge w:val="continue"/>
            <w:noWrap w:val="0"/>
            <w:vAlign w:val="center"/>
          </w:tcPr>
          <w:p w14:paraId="208969D2">
            <w:pPr>
              <w:spacing w:line="240" w:lineRule="auto"/>
              <w:jc w:val="center"/>
              <w:rPr>
                <w:rFonts w:hint="eastAsia" w:ascii="宋体" w:hAnsi="宋体" w:eastAsia="宋体" w:cs="宋体"/>
                <w:color w:val="auto"/>
                <w:sz w:val="18"/>
                <w:szCs w:val="18"/>
                <w:highlight w:val="none"/>
              </w:rPr>
            </w:pPr>
          </w:p>
        </w:tc>
        <w:tc>
          <w:tcPr>
            <w:tcW w:w="697" w:type="dxa"/>
            <w:vMerge w:val="continue"/>
            <w:noWrap w:val="0"/>
            <w:vAlign w:val="center"/>
          </w:tcPr>
          <w:p w14:paraId="5AFACADE">
            <w:pPr>
              <w:spacing w:line="240" w:lineRule="auto"/>
              <w:jc w:val="center"/>
              <w:rPr>
                <w:rFonts w:hint="eastAsia" w:ascii="宋体" w:hAnsi="宋体" w:eastAsia="宋体" w:cs="宋体"/>
                <w:color w:val="auto"/>
                <w:sz w:val="18"/>
                <w:szCs w:val="18"/>
                <w:highlight w:val="none"/>
              </w:rPr>
            </w:pPr>
          </w:p>
        </w:tc>
        <w:tc>
          <w:tcPr>
            <w:tcW w:w="7060" w:type="dxa"/>
            <w:noWrap w:val="0"/>
            <w:vAlign w:val="center"/>
          </w:tcPr>
          <w:p w14:paraId="1B905104">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旅行社购买</w:t>
            </w:r>
            <w:r>
              <w:rPr>
                <w:rFonts w:hint="eastAsia" w:ascii="宋体" w:hAnsi="宋体" w:eastAsia="宋体" w:cs="宋体"/>
                <w:color w:val="auto"/>
                <w:sz w:val="18"/>
                <w:szCs w:val="18"/>
                <w:highlight w:val="none"/>
              </w:rPr>
              <w:t>人身伤害意外保险</w:t>
            </w:r>
            <w:r>
              <w:rPr>
                <w:rFonts w:hint="eastAsia" w:ascii="宋体" w:hAnsi="宋体" w:eastAsia="宋体" w:cs="宋体"/>
                <w:color w:val="auto"/>
                <w:sz w:val="18"/>
                <w:szCs w:val="18"/>
                <w:highlight w:val="none"/>
                <w:lang w:val="en-US" w:eastAsia="zh-CN"/>
              </w:rPr>
              <w:t>50</w:t>
            </w:r>
            <w:r>
              <w:rPr>
                <w:rFonts w:hint="eastAsia" w:ascii="宋体" w:hAnsi="宋体" w:eastAsia="宋体" w:cs="宋体"/>
                <w:color w:val="auto"/>
                <w:sz w:val="18"/>
                <w:szCs w:val="18"/>
                <w:highlight w:val="none"/>
              </w:rPr>
              <w:t>万</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不含</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以下的不得分，</w:t>
            </w:r>
            <w:r>
              <w:rPr>
                <w:rFonts w:hint="eastAsia" w:ascii="宋体" w:hAnsi="宋体" w:eastAsia="宋体" w:cs="宋体"/>
                <w:color w:val="auto"/>
                <w:sz w:val="18"/>
                <w:szCs w:val="18"/>
                <w:highlight w:val="none"/>
                <w:lang w:val="en-US" w:eastAsia="zh-CN"/>
              </w:rPr>
              <w:t>50万（含）-100万（不含）得1分，</w:t>
            </w:r>
            <w:r>
              <w:rPr>
                <w:rFonts w:hint="eastAsia" w:ascii="宋体" w:hAnsi="宋体" w:eastAsia="宋体" w:cs="宋体"/>
                <w:color w:val="auto"/>
                <w:sz w:val="18"/>
                <w:szCs w:val="18"/>
                <w:highlight w:val="none"/>
              </w:rPr>
              <w:t>100万（含）以上的得2分；</w:t>
            </w:r>
            <w:r>
              <w:rPr>
                <w:rFonts w:hint="eastAsia" w:ascii="宋体" w:hAnsi="宋体" w:eastAsia="宋体" w:cs="宋体"/>
                <w:color w:val="auto"/>
                <w:sz w:val="18"/>
                <w:szCs w:val="18"/>
                <w:highlight w:val="none"/>
                <w:lang w:eastAsia="zh-CN"/>
              </w:rPr>
              <w:t>需提供相关承诺书。</w:t>
            </w:r>
          </w:p>
        </w:tc>
      </w:tr>
      <w:tr w14:paraId="2D3F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3" w:type="dxa"/>
            <w:noWrap w:val="0"/>
            <w:vAlign w:val="center"/>
          </w:tcPr>
          <w:p w14:paraId="49403926">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服务响应及</w:t>
            </w:r>
            <w:r>
              <w:rPr>
                <w:rFonts w:hint="eastAsia" w:ascii="宋体" w:hAnsi="宋体" w:eastAsia="宋体" w:cs="宋体"/>
                <w:color w:val="auto"/>
                <w:sz w:val="18"/>
                <w:szCs w:val="18"/>
                <w:highlight w:val="none"/>
              </w:rPr>
              <w:t>本地化服务能力</w:t>
            </w:r>
          </w:p>
        </w:tc>
        <w:tc>
          <w:tcPr>
            <w:tcW w:w="697" w:type="dxa"/>
            <w:noWrap w:val="0"/>
            <w:vAlign w:val="center"/>
          </w:tcPr>
          <w:p w14:paraId="099D790B">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4</w:t>
            </w:r>
          </w:p>
        </w:tc>
        <w:tc>
          <w:tcPr>
            <w:tcW w:w="7060" w:type="dxa"/>
            <w:noWrap w:val="0"/>
            <w:vAlign w:val="center"/>
          </w:tcPr>
          <w:p w14:paraId="0C6100EC">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1、30分钟内能响应并派人</w:t>
            </w:r>
            <w:r>
              <w:rPr>
                <w:rFonts w:hint="eastAsia" w:ascii="宋体" w:hAnsi="宋体" w:eastAsia="宋体" w:cs="宋体"/>
                <w:color w:val="auto"/>
                <w:sz w:val="18"/>
                <w:szCs w:val="18"/>
                <w:highlight w:val="none"/>
              </w:rPr>
              <w:t>到采购人协商地点的得</w:t>
            </w:r>
            <w:r>
              <w:rPr>
                <w:rFonts w:hint="eastAsia" w:ascii="宋体" w:hAnsi="宋体" w:eastAsia="宋体" w:cs="宋体"/>
                <w:color w:val="auto"/>
                <w:sz w:val="18"/>
                <w:szCs w:val="18"/>
                <w:highlight w:val="none"/>
                <w:lang w:val="en-US" w:eastAsia="zh-CN"/>
              </w:rPr>
              <w:t>2分，</w:t>
            </w:r>
            <w:r>
              <w:rPr>
                <w:rFonts w:hint="eastAsia" w:ascii="宋体" w:hAnsi="宋体" w:eastAsia="宋体" w:cs="宋体"/>
                <w:color w:val="auto"/>
                <w:sz w:val="18"/>
                <w:szCs w:val="18"/>
                <w:highlight w:val="none"/>
              </w:rPr>
              <w:t>1小时内能响应并派人员到采购人协商地点的得</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分，1小时至</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小时内能响应并派人员到采购人协商地点的得</w:t>
            </w:r>
            <w:r>
              <w:rPr>
                <w:rFonts w:hint="eastAsia" w:ascii="宋体" w:hAnsi="宋体" w:eastAsia="宋体" w:cs="宋体"/>
                <w:color w:val="auto"/>
                <w:sz w:val="18"/>
                <w:szCs w:val="18"/>
                <w:highlight w:val="none"/>
                <w:lang w:val="en-US" w:eastAsia="zh-CN"/>
              </w:rPr>
              <w:t>0.5</w:t>
            </w:r>
            <w:r>
              <w:rPr>
                <w:rFonts w:hint="eastAsia" w:ascii="宋体" w:hAnsi="宋体" w:eastAsia="宋体" w:cs="宋体"/>
                <w:color w:val="auto"/>
                <w:sz w:val="18"/>
                <w:szCs w:val="18"/>
                <w:highlight w:val="none"/>
              </w:rPr>
              <w:t>分，其它响应时间的</w:t>
            </w:r>
            <w:r>
              <w:rPr>
                <w:rFonts w:hint="eastAsia" w:ascii="宋体" w:hAnsi="宋体" w:eastAsia="宋体" w:cs="宋体"/>
                <w:color w:val="auto"/>
                <w:sz w:val="18"/>
                <w:szCs w:val="18"/>
                <w:highlight w:val="none"/>
                <w:lang w:eastAsia="zh-CN"/>
              </w:rPr>
              <w:t>不得分</w:t>
            </w:r>
            <w:r>
              <w:rPr>
                <w:rFonts w:hint="eastAsia" w:ascii="宋体" w:hAnsi="宋体" w:eastAsia="宋体" w:cs="宋体"/>
                <w:color w:val="auto"/>
                <w:sz w:val="18"/>
                <w:szCs w:val="18"/>
                <w:highlight w:val="none"/>
              </w:rPr>
              <w:t>。</w:t>
            </w:r>
          </w:p>
          <w:p w14:paraId="06BDEBF1">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提供百度或高德地图截图证明，不提供不得分。</w:t>
            </w:r>
          </w:p>
          <w:p w14:paraId="3578337F">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投标供应商在温州地区</w:t>
            </w:r>
            <w:r>
              <w:rPr>
                <w:rFonts w:hint="eastAsia" w:ascii="宋体" w:hAnsi="宋体" w:eastAsia="宋体" w:cs="宋体"/>
                <w:color w:val="auto"/>
                <w:sz w:val="18"/>
                <w:szCs w:val="18"/>
                <w:highlight w:val="none"/>
                <w:lang w:eastAsia="zh-CN"/>
              </w:rPr>
              <w:t>设有</w:t>
            </w:r>
            <w:r>
              <w:rPr>
                <w:rFonts w:hint="eastAsia" w:ascii="宋体" w:hAnsi="宋体" w:eastAsia="宋体" w:cs="宋体"/>
                <w:color w:val="auto"/>
                <w:sz w:val="18"/>
                <w:szCs w:val="18"/>
                <w:highlight w:val="none"/>
              </w:rPr>
              <w:t>分公司或注册在温州地区的得</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分，在温州地区设办事服务点或门店的得</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分</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其它的不得分。最高</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w:t>
            </w:r>
          </w:p>
          <w:p w14:paraId="289F4C5F">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注：提供营业执照、办事点、门店相关具体证明材料，不能证明的不得分。</w:t>
            </w:r>
          </w:p>
        </w:tc>
      </w:tr>
      <w:tr w14:paraId="3E2E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3" w:type="dxa"/>
            <w:shd w:val="clear" w:color="auto" w:fill="auto"/>
            <w:noWrap w:val="0"/>
            <w:vAlign w:val="center"/>
          </w:tcPr>
          <w:p w14:paraId="01A40CB2">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安全预案、组织实施能力、投诉处理</w:t>
            </w:r>
            <w:r>
              <w:rPr>
                <w:rFonts w:hint="eastAsia" w:ascii="宋体" w:hAnsi="宋体" w:eastAsia="宋体" w:cs="宋体"/>
                <w:color w:val="auto"/>
                <w:sz w:val="18"/>
                <w:szCs w:val="18"/>
                <w:highlight w:val="none"/>
                <w:lang w:eastAsia="zh-CN"/>
              </w:rPr>
              <w:t>、后续计划方案</w:t>
            </w:r>
          </w:p>
        </w:tc>
        <w:tc>
          <w:tcPr>
            <w:tcW w:w="697" w:type="dxa"/>
            <w:shd w:val="clear" w:color="auto" w:fill="auto"/>
            <w:noWrap w:val="0"/>
            <w:vAlign w:val="center"/>
          </w:tcPr>
          <w:p w14:paraId="43ADA910">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4</w:t>
            </w:r>
          </w:p>
        </w:tc>
        <w:tc>
          <w:tcPr>
            <w:tcW w:w="7060" w:type="dxa"/>
            <w:noWrap w:val="0"/>
            <w:vAlign w:val="center"/>
          </w:tcPr>
          <w:p w14:paraId="653D2B6B">
            <w:pPr>
              <w:keepNext w:val="0"/>
              <w:keepLines w:val="0"/>
              <w:spacing w:before="0" w:after="0" w:line="240" w:lineRule="auto"/>
              <w:ind w:left="0" w:firstLine="0"/>
              <w:jc w:val="left"/>
              <w:outlineLvl w:val="9"/>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根据供应商提供的安全预案方案、组织实施能力、投诉处理、后续计划方案等情况进行打分。（0-4分）</w:t>
            </w:r>
          </w:p>
        </w:tc>
      </w:tr>
      <w:tr w14:paraId="1655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3" w:type="dxa"/>
            <w:shd w:val="clear" w:color="auto" w:fill="auto"/>
            <w:noWrap w:val="0"/>
            <w:vAlign w:val="center"/>
          </w:tcPr>
          <w:p w14:paraId="1D13CB31">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优惠条件</w:t>
            </w:r>
          </w:p>
        </w:tc>
        <w:tc>
          <w:tcPr>
            <w:tcW w:w="697" w:type="dxa"/>
            <w:shd w:val="clear" w:color="auto" w:fill="auto"/>
            <w:noWrap w:val="0"/>
            <w:vAlign w:val="center"/>
          </w:tcPr>
          <w:p w14:paraId="70A33341">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7060" w:type="dxa"/>
            <w:noWrap w:val="0"/>
            <w:vAlign w:val="center"/>
          </w:tcPr>
          <w:p w14:paraId="0834E06A">
            <w:pPr>
              <w:keepNext w:val="0"/>
              <w:keepLines w:val="0"/>
              <w:pageBreakBefore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highlight w:val="none"/>
                <w:lang w:val="en-US" w:eastAsia="zh-CN"/>
              </w:rPr>
              <w:t>根据供应商对本项目提供的相关服务的承诺及优惠条件等情况综合比较打分0-2分。</w:t>
            </w:r>
            <w:r>
              <w:rPr>
                <w:rFonts w:hint="eastAsia" w:ascii="宋体" w:hAnsi="宋体" w:eastAsia="宋体" w:cs="宋体"/>
                <w:color w:val="auto"/>
                <w:sz w:val="18"/>
                <w:szCs w:val="18"/>
              </w:rPr>
              <w:t xml:space="preserve"> </w:t>
            </w:r>
          </w:p>
          <w:p w14:paraId="13175B25">
            <w:pPr>
              <w:keepNext w:val="0"/>
              <w:keepLines w:val="0"/>
              <w:pageBreakBefore w:val="0"/>
              <w:kinsoku/>
              <w:wordWrap/>
              <w:overflowPunct/>
              <w:topLinePunct w:val="0"/>
              <w:autoSpaceDE/>
              <w:autoSpaceDN/>
              <w:bidi w:val="0"/>
              <w:adjustRightInd/>
              <w:snapToGrid w:val="0"/>
              <w:spacing w:after="0" w:line="24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一档:</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；二档：</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0.7</w:t>
            </w:r>
            <w:r>
              <w:rPr>
                <w:rFonts w:hint="eastAsia" w:ascii="宋体" w:hAnsi="宋体" w:eastAsia="宋体" w:cs="宋体"/>
                <w:color w:val="auto"/>
                <w:sz w:val="18"/>
                <w:szCs w:val="18"/>
              </w:rPr>
              <w:t>；三档：</w:t>
            </w:r>
            <w:r>
              <w:rPr>
                <w:rFonts w:hint="eastAsia" w:ascii="宋体" w:hAnsi="宋体" w:eastAsia="宋体" w:cs="宋体"/>
                <w:color w:val="auto"/>
                <w:sz w:val="18"/>
                <w:szCs w:val="18"/>
                <w:lang w:val="en-US" w:eastAsia="zh-CN"/>
              </w:rPr>
              <w:t>0.6</w:t>
            </w:r>
            <w:r>
              <w:rPr>
                <w:rFonts w:hint="eastAsia" w:ascii="宋体" w:hAnsi="宋体" w:eastAsia="宋体" w:cs="宋体"/>
                <w:color w:val="auto"/>
                <w:sz w:val="18"/>
                <w:szCs w:val="18"/>
              </w:rPr>
              <w:t>-0；</w:t>
            </w:r>
          </w:p>
          <w:p w14:paraId="57FF954B">
            <w:pPr>
              <w:keepNext w:val="0"/>
              <w:keepLines w:val="0"/>
              <w:spacing w:before="0" w:after="0" w:line="240" w:lineRule="auto"/>
              <w:ind w:left="0" w:firstLine="0"/>
              <w:jc w:val="left"/>
              <w:outlineLvl w:val="9"/>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rPr>
              <w:t>注：供应商所提供的优惠条件、承诺等，作为签订合同的重要依据。</w:t>
            </w:r>
          </w:p>
        </w:tc>
      </w:tr>
      <w:tr w14:paraId="1D96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40" w:type="dxa"/>
            <w:gridSpan w:val="3"/>
            <w:shd w:val="clear" w:color="auto" w:fill="auto"/>
            <w:noWrap w:val="0"/>
            <w:vAlign w:val="center"/>
          </w:tcPr>
          <w:p w14:paraId="4D6119E7">
            <w:pPr>
              <w:pStyle w:val="13"/>
              <w:ind w:firstLine="0" w:firstLineChars="0"/>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注：</w:t>
            </w:r>
          </w:p>
          <w:p w14:paraId="34D4C960">
            <w:pPr>
              <w:pStyle w:val="13"/>
              <w:ind w:firstLine="36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1)评标委员会、采购机构在项目评审直至合同签订、履约期间，有权要求</w:t>
            </w:r>
            <w:r>
              <w:rPr>
                <w:rFonts w:hint="eastAsia" w:ascii="宋体" w:hAnsi="宋体" w:eastAsia="宋体" w:cs="宋体"/>
                <w:b w:val="0"/>
                <w:bCs w:val="0"/>
                <w:color w:val="auto"/>
                <w:sz w:val="18"/>
                <w:szCs w:val="18"/>
                <w:highlight w:val="none"/>
                <w:lang w:eastAsia="zh-CN"/>
              </w:rPr>
              <w:t>投标人</w:t>
            </w:r>
            <w:r>
              <w:rPr>
                <w:rFonts w:hint="eastAsia" w:ascii="宋体" w:hAnsi="宋体" w:eastAsia="宋体" w:cs="宋体"/>
                <w:b w:val="0"/>
                <w:bCs w:val="0"/>
                <w:color w:val="auto"/>
                <w:sz w:val="18"/>
                <w:szCs w:val="18"/>
                <w:highlight w:val="none"/>
              </w:rPr>
              <w:t>出具投标文件中的合同文本，予以确认其的真实性和有效性，如出现与事实不符等情况，将根据有关规定以“提供虚假材料谋取中标”予以处理</w:t>
            </w:r>
            <w:r>
              <w:rPr>
                <w:rFonts w:hint="eastAsia" w:ascii="宋体" w:hAnsi="宋体" w:eastAsia="宋体" w:cs="宋体"/>
                <w:b w:val="0"/>
                <w:bCs w:val="0"/>
                <w:color w:val="auto"/>
                <w:sz w:val="18"/>
                <w:szCs w:val="18"/>
                <w:highlight w:val="none"/>
                <w:lang w:eastAsia="zh-CN"/>
              </w:rPr>
              <w:t>；</w:t>
            </w:r>
          </w:p>
          <w:p w14:paraId="652E384B">
            <w:pPr>
              <w:pStyle w:val="13"/>
              <w:ind w:firstLine="36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2）投标人应保证所提供文件资料的真实性，所有文件资料必须是针对本次采购的。如发现投标人提供了虚假文件</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资料，其投标将作无效标处理，并自行承担相应的法律责任；</w:t>
            </w:r>
          </w:p>
          <w:p w14:paraId="6B26971C">
            <w:pPr>
              <w:pStyle w:val="13"/>
              <w:ind w:firstLine="360" w:firstLineChars="200"/>
              <w:rPr>
                <w:rFonts w:hint="eastAsia" w:ascii="宋体" w:hAnsi="宋体" w:eastAsia="宋体" w:cs="宋体"/>
                <w:b w:val="0"/>
                <w:bCs w:val="0"/>
                <w:sz w:val="18"/>
                <w:szCs w:val="18"/>
                <w:lang w:val="en-US" w:eastAsia="zh-CN"/>
              </w:rPr>
            </w:pPr>
            <w:r>
              <w:rPr>
                <w:rFonts w:hint="eastAsia" w:ascii="宋体" w:hAnsi="宋体" w:eastAsia="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）投标人提供的相关证明资料、截图查询证明等资料模糊不清，评委无法判断或者难以辨认时，评委评审时将视作未提供相关资料处理。</w:t>
            </w:r>
          </w:p>
        </w:tc>
      </w:tr>
      <w:bookmarkEnd w:id="236"/>
    </w:tbl>
    <w:p w14:paraId="401320EA">
      <w:pPr>
        <w:overflowPunct w:val="0"/>
        <w:ind w:firstLine="0" w:firstLineChars="0"/>
        <w:rPr>
          <w:rFonts w:hint="eastAsia" w:ascii="宋体" w:hAnsi="宋体" w:eastAsia="宋体" w:cs="宋体"/>
          <w:b/>
          <w:color w:val="auto"/>
          <w:sz w:val="22"/>
          <w:highlight w:val="none"/>
        </w:rPr>
      </w:pPr>
      <w:bookmarkStart w:id="237" w:name="_Hlk11188594"/>
    </w:p>
    <w:p w14:paraId="6792390E">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2、商务（报价）评分（</w:t>
      </w:r>
      <w:r>
        <w:rPr>
          <w:rFonts w:hint="eastAsia" w:ascii="宋体" w:hAnsi="宋体" w:eastAsia="宋体" w:cs="宋体"/>
          <w:b/>
          <w:color w:val="auto"/>
          <w:sz w:val="22"/>
          <w:highlight w:val="none"/>
          <w:lang w:val="en-US" w:eastAsia="zh-CN"/>
        </w:rPr>
        <w:t>10</w:t>
      </w:r>
      <w:r>
        <w:rPr>
          <w:rFonts w:hint="eastAsia" w:ascii="宋体" w:hAnsi="宋体" w:eastAsia="宋体" w:cs="宋体"/>
          <w:b/>
          <w:color w:val="auto"/>
          <w:sz w:val="22"/>
          <w:highlight w:val="none"/>
        </w:rPr>
        <w:t>分）：</w:t>
      </w:r>
    </w:p>
    <w:bookmarkEnd w:id="237"/>
    <w:p w14:paraId="664EEF6B">
      <w:pPr>
        <w:ind w:firstLine="420" w:firstLineChars="200"/>
        <w:rPr>
          <w:rFonts w:hint="eastAsia" w:ascii="宋体" w:hAnsi="宋体" w:eastAsia="宋体" w:cs="宋体"/>
        </w:rPr>
      </w:pPr>
      <w:r>
        <w:rPr>
          <w:rFonts w:hint="eastAsia" w:ascii="宋体" w:hAnsi="宋体" w:eastAsia="宋体" w:cs="宋体"/>
        </w:rPr>
        <w:t>满足</w:t>
      </w:r>
      <w:r>
        <w:rPr>
          <w:rFonts w:hint="eastAsia" w:ascii="宋体" w:hAnsi="宋体" w:eastAsia="宋体" w:cs="宋体"/>
          <w:lang w:eastAsia="zh-CN"/>
        </w:rPr>
        <w:t>采购文件</w:t>
      </w:r>
      <w:r>
        <w:rPr>
          <w:rFonts w:hint="eastAsia" w:ascii="宋体" w:hAnsi="宋体" w:eastAsia="宋体" w:cs="宋体"/>
        </w:rPr>
        <w:t>要求且投标报价最低的投标报价</w:t>
      </w:r>
      <w:r>
        <w:rPr>
          <w:rFonts w:hint="eastAsia" w:ascii="宋体" w:hAnsi="宋体" w:eastAsia="宋体" w:cs="宋体"/>
          <w:lang w:eastAsia="zh-CN"/>
        </w:rPr>
        <w:t>（总价）</w:t>
      </w:r>
      <w:r>
        <w:rPr>
          <w:rFonts w:hint="eastAsia" w:ascii="宋体" w:hAnsi="宋体" w:eastAsia="宋体" w:cs="宋体"/>
        </w:rPr>
        <w:t>为评标基准价，其余投标人投标报价与该基准价对比，计算出商务报价评分值（保留小数2位）：</w:t>
      </w:r>
    </w:p>
    <w:p w14:paraId="6ADFCA47">
      <w:pPr>
        <w:ind w:firstLine="420" w:firstLineChars="200"/>
        <w:rPr>
          <w:rFonts w:hint="eastAsia" w:ascii="宋体" w:hAnsi="宋体" w:eastAsia="宋体" w:cs="宋体"/>
        </w:rPr>
      </w:pPr>
      <w:r>
        <w:rPr>
          <w:rFonts w:hint="eastAsia" w:ascii="宋体" w:hAnsi="宋体" w:eastAsia="宋体" w:cs="宋体"/>
        </w:rPr>
        <w:t>1）有效投标人的投标报价等于评标基准价时其报价分为满分</w:t>
      </w:r>
      <w:r>
        <w:rPr>
          <w:rFonts w:hint="eastAsia" w:ascii="宋体" w:hAnsi="宋体" w:eastAsia="宋体" w:cs="宋体"/>
          <w:lang w:val="en-US" w:eastAsia="zh-CN"/>
        </w:rPr>
        <w:t>1</w:t>
      </w:r>
      <w:r>
        <w:rPr>
          <w:rFonts w:hint="eastAsia" w:ascii="宋体" w:hAnsi="宋体" w:eastAsia="宋体" w:cs="宋体"/>
        </w:rPr>
        <w:t>0分；</w:t>
      </w:r>
    </w:p>
    <w:p w14:paraId="41F54F40">
      <w:pPr>
        <w:ind w:firstLine="420" w:firstLineChars="200"/>
        <w:rPr>
          <w:rFonts w:hint="eastAsia" w:ascii="宋体" w:hAnsi="宋体" w:eastAsia="宋体" w:cs="宋体"/>
        </w:rPr>
      </w:pPr>
      <w:r>
        <w:rPr>
          <w:rFonts w:hint="eastAsia" w:ascii="宋体" w:hAnsi="宋体" w:eastAsia="宋体" w:cs="宋体"/>
        </w:rPr>
        <w:t>2）其他投标人的价格分按以下公式计算：</w:t>
      </w:r>
    </w:p>
    <w:p w14:paraId="4A7999EA">
      <w:pPr>
        <w:ind w:firstLine="420" w:firstLineChars="200"/>
        <w:rPr>
          <w:rFonts w:hint="eastAsia" w:ascii="宋体" w:hAnsi="宋体" w:eastAsia="宋体" w:cs="宋体"/>
        </w:rPr>
      </w:pPr>
      <w:r>
        <w:rPr>
          <w:rFonts w:hint="eastAsia" w:ascii="宋体" w:hAnsi="宋体" w:eastAsia="宋体" w:cs="宋体"/>
        </w:rPr>
        <w:t>投标报价得分=（评分基准价/投标人投标报价）×价格权值</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rPr>
        <w:t>0%</w:t>
      </w:r>
      <w:r>
        <w:rPr>
          <w:rFonts w:hint="eastAsia" w:ascii="宋体" w:hAnsi="宋体" w:eastAsia="宋体" w:cs="宋体"/>
          <w:lang w:eastAsia="zh-CN"/>
        </w:rPr>
        <w:t>）</w:t>
      </w:r>
      <w:r>
        <w:rPr>
          <w:rFonts w:hint="eastAsia" w:ascii="宋体" w:hAnsi="宋体" w:eastAsia="宋体" w:cs="宋体"/>
        </w:rPr>
        <w:t>×100（保留小数2位）</w:t>
      </w:r>
    </w:p>
    <w:p w14:paraId="7D8C211C">
      <w:pPr>
        <w:rPr>
          <w:rFonts w:hint="eastAsia" w:ascii="宋体" w:hAnsi="宋体" w:eastAsia="宋体" w:cs="宋体"/>
        </w:rPr>
      </w:pPr>
      <w:r>
        <w:rPr>
          <w:rFonts w:hint="eastAsia" w:ascii="宋体" w:hAnsi="宋体" w:eastAsia="宋体" w:cs="宋体"/>
        </w:rPr>
        <w:t>3、有效投标人的综合得分为</w:t>
      </w:r>
      <w:r>
        <w:rPr>
          <w:rFonts w:hint="eastAsia" w:ascii="宋体" w:hAnsi="宋体" w:eastAsia="宋体" w:cs="宋体"/>
          <w:lang w:eastAsia="zh-CN"/>
        </w:rPr>
        <w:t>技术资信分</w:t>
      </w:r>
      <w:r>
        <w:rPr>
          <w:rFonts w:hint="eastAsia" w:ascii="宋体" w:hAnsi="宋体" w:eastAsia="宋体" w:cs="宋体"/>
        </w:rPr>
        <w:t>和商务（报价）分的总和。</w:t>
      </w:r>
    </w:p>
    <w:p w14:paraId="411292CF">
      <w:pPr>
        <w:rPr>
          <w:rFonts w:hint="eastAsia" w:ascii="宋体" w:hAnsi="宋体" w:eastAsia="宋体" w:cs="宋体"/>
        </w:rPr>
      </w:pPr>
      <w:r>
        <w:rPr>
          <w:rFonts w:hint="eastAsia" w:ascii="宋体" w:hAnsi="宋体" w:eastAsia="宋体" w:cs="宋体"/>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391B0C9">
      <w:pPr>
        <w:pStyle w:val="11"/>
        <w:keepNext w:val="0"/>
        <w:keepLines w:val="0"/>
        <w:pageBreakBefore w:val="0"/>
        <w:widowControl w:val="0"/>
        <w:kinsoku/>
        <w:wordWrap/>
        <w:topLinePunct w:val="0"/>
        <w:autoSpaceDE/>
        <w:autoSpaceDN/>
        <w:bidi w:val="0"/>
        <w:adjustRightInd/>
        <w:snapToGrid/>
        <w:spacing w:line="240" w:lineRule="auto"/>
        <w:ind w:left="0" w:firstLine="0" w:firstLineChars="0"/>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六、定标办法</w:t>
      </w:r>
    </w:p>
    <w:p w14:paraId="74722D1D">
      <w:pPr>
        <w:ind w:firstLine="420" w:firstLineChars="200"/>
        <w:rPr>
          <w:rFonts w:hint="eastAsia" w:ascii="宋体" w:hAnsi="宋体" w:eastAsia="宋体" w:cs="宋体"/>
        </w:rPr>
      </w:pPr>
      <w:r>
        <w:rPr>
          <w:rFonts w:hint="eastAsia" w:ascii="宋体" w:hAnsi="宋体" w:eastAsia="宋体" w:cs="宋体"/>
        </w:rPr>
        <w:t>1、评标委员会依据法律、法规及采购文件有关规定在有效标中按投标供应商的综合得分由高到低的顺序进行排序，综合得分第一、第二</w:t>
      </w:r>
      <w:r>
        <w:rPr>
          <w:rFonts w:hint="eastAsia" w:ascii="宋体" w:hAnsi="宋体" w:eastAsia="宋体" w:cs="宋体"/>
          <w:lang w:val="en-US" w:eastAsia="zh-CN"/>
        </w:rPr>
        <w:t>名</w:t>
      </w:r>
      <w:r>
        <w:rPr>
          <w:rFonts w:hint="eastAsia" w:ascii="宋体" w:hAnsi="宋体" w:eastAsia="宋体" w:cs="宋体"/>
        </w:rPr>
        <w:t>的投标人作为第一、第二中标候选人（综合得分相同的，按投标报价由低到高进行排序；综合得分且投标报价相同的，由评标委员会在所有得分均相同者中随机抽取名次优先者。）</w:t>
      </w:r>
      <w:r>
        <w:rPr>
          <w:rFonts w:hint="eastAsia" w:ascii="宋体" w:hAnsi="宋体" w:eastAsia="宋体" w:cs="宋体"/>
          <w:lang w:eastAsia="zh-CN"/>
        </w:rPr>
        <w:t>。</w:t>
      </w:r>
    </w:p>
    <w:p w14:paraId="523E2CB5">
      <w:pPr>
        <w:ind w:firstLine="420" w:firstLineChars="200"/>
        <w:rPr>
          <w:rFonts w:hint="eastAsia" w:ascii="宋体" w:hAnsi="宋体" w:eastAsia="宋体" w:cs="宋体"/>
        </w:rPr>
      </w:pPr>
      <w:r>
        <w:rPr>
          <w:rFonts w:hint="eastAsia" w:ascii="宋体" w:hAnsi="宋体" w:eastAsia="宋体" w:cs="宋体"/>
        </w:rPr>
        <w:t>当有效投标供应商＜3家时，本次采购按废标处理，重新组织采购。</w:t>
      </w:r>
    </w:p>
    <w:p w14:paraId="27270A8B">
      <w:pPr>
        <w:ind w:firstLine="420" w:firstLineChars="200"/>
        <w:rPr>
          <w:rFonts w:hint="eastAsia" w:ascii="宋体" w:hAnsi="宋体" w:eastAsia="宋体" w:cs="宋体"/>
        </w:rPr>
      </w:pPr>
      <w:r>
        <w:rPr>
          <w:rFonts w:hint="eastAsia" w:ascii="宋体" w:hAnsi="宋体" w:eastAsia="宋体" w:cs="宋体"/>
        </w:rPr>
        <w:t>2、采购人根据评标委员会的意见进行最终确认中标候选人。</w:t>
      </w:r>
    </w:p>
    <w:p w14:paraId="0F4E7809">
      <w:pPr>
        <w:ind w:firstLine="420" w:firstLineChars="200"/>
        <w:rPr>
          <w:rFonts w:hint="eastAsia" w:ascii="宋体" w:hAnsi="宋体" w:eastAsia="宋体" w:cs="宋体"/>
        </w:rPr>
      </w:pPr>
      <w:r>
        <w:rPr>
          <w:rFonts w:hint="eastAsia" w:ascii="宋体" w:hAnsi="宋体" w:eastAsia="宋体" w:cs="宋体"/>
        </w:rPr>
        <w:t>3、如排名第一的中标候选人放弃中标、或者采购文件规定应当提交履约保证金而在规定的期限内未能提交的；或未能在规定时间内与采购单位签订合同的；或者经质疑，采购人审查后，确因排名第一的中标候选人在本次采购活动中存在违法违规行为或其他原因使质疑成立的，采购人可以视情况直接确定</w:t>
      </w:r>
      <w:r>
        <w:rPr>
          <w:rFonts w:hint="eastAsia" w:ascii="宋体" w:hAnsi="宋体" w:eastAsia="宋体" w:cs="宋体"/>
          <w:lang w:val="en-US" w:eastAsia="zh-CN"/>
        </w:rPr>
        <w:t>第二中标</w:t>
      </w:r>
      <w:r>
        <w:rPr>
          <w:rFonts w:hint="eastAsia" w:ascii="宋体" w:hAnsi="宋体" w:eastAsia="宋体" w:cs="宋体"/>
        </w:rPr>
        <w:t>候选人作为</w:t>
      </w:r>
      <w:r>
        <w:rPr>
          <w:rFonts w:hint="eastAsia" w:ascii="宋体" w:hAnsi="宋体" w:eastAsia="宋体" w:cs="宋体"/>
          <w:lang w:val="en-US" w:eastAsia="zh-CN"/>
        </w:rPr>
        <w:t>中标人</w:t>
      </w:r>
      <w:r>
        <w:rPr>
          <w:rFonts w:hint="eastAsia" w:ascii="宋体" w:hAnsi="宋体" w:eastAsia="宋体" w:cs="宋体"/>
        </w:rPr>
        <w:t>或重新组织采购活动。</w:t>
      </w:r>
    </w:p>
    <w:p w14:paraId="6F059FF9">
      <w:pPr>
        <w:ind w:firstLine="420" w:firstLineChars="200"/>
        <w:rPr>
          <w:rFonts w:hint="eastAsia" w:ascii="宋体" w:hAnsi="宋体" w:eastAsia="宋体" w:cs="宋体"/>
        </w:rPr>
      </w:pPr>
      <w:r>
        <w:rPr>
          <w:rFonts w:hint="eastAsia" w:ascii="宋体" w:hAnsi="宋体" w:eastAsia="宋体" w:cs="宋体"/>
        </w:rPr>
        <w:t>4、中标人确定后，采购人将在发布采购公告的网站上公</w:t>
      </w:r>
      <w:r>
        <w:rPr>
          <w:rFonts w:hint="eastAsia" w:ascii="宋体" w:hAnsi="宋体" w:eastAsia="宋体" w:cs="宋体"/>
          <w:lang w:val="en-US" w:eastAsia="zh-CN"/>
        </w:rPr>
        <w:t>告</w:t>
      </w:r>
      <w:r>
        <w:rPr>
          <w:rFonts w:hint="eastAsia" w:ascii="宋体" w:hAnsi="宋体" w:eastAsia="宋体" w:cs="宋体"/>
        </w:rPr>
        <w:t>中标结果。中标公告期为3日，中标公告期限结束无异议的，采购人向中标人发出中标通知书。</w:t>
      </w:r>
    </w:p>
    <w:p w14:paraId="50D09646">
      <w:pPr>
        <w:ind w:firstLine="420" w:firstLineChars="200"/>
        <w:rPr>
          <w:rFonts w:hint="eastAsia" w:ascii="宋体" w:hAnsi="宋体" w:eastAsia="宋体" w:cs="宋体"/>
        </w:rPr>
      </w:pPr>
      <w:r>
        <w:rPr>
          <w:rFonts w:hint="eastAsia" w:ascii="宋体" w:hAnsi="宋体" w:eastAsia="宋体" w:cs="宋体"/>
        </w:rPr>
        <w:t>各投标人对评标结果如有</w:t>
      </w:r>
      <w:r>
        <w:rPr>
          <w:rFonts w:hint="eastAsia" w:ascii="宋体" w:hAnsi="宋体" w:eastAsia="宋体" w:cs="宋体"/>
          <w:lang w:val="en-US" w:eastAsia="zh-CN"/>
        </w:rPr>
        <w:t>质疑（</w:t>
      </w:r>
      <w:r>
        <w:rPr>
          <w:rFonts w:hint="eastAsia" w:ascii="宋体" w:hAnsi="宋体" w:eastAsia="宋体" w:cs="宋体"/>
        </w:rPr>
        <w:t>异议</w:t>
      </w:r>
      <w:r>
        <w:rPr>
          <w:rFonts w:hint="eastAsia" w:ascii="宋体" w:hAnsi="宋体" w:eastAsia="宋体" w:cs="宋体"/>
          <w:lang w:eastAsia="zh-CN"/>
        </w:rPr>
        <w:t>）</w:t>
      </w:r>
      <w:r>
        <w:rPr>
          <w:rFonts w:hint="eastAsia" w:ascii="宋体" w:hAnsi="宋体" w:eastAsia="宋体" w:cs="宋体"/>
        </w:rPr>
        <w:t>，</w:t>
      </w:r>
      <w:r>
        <w:rPr>
          <w:rFonts w:hint="eastAsia" w:ascii="宋体" w:hAnsi="宋体" w:eastAsia="宋体" w:cs="宋体"/>
          <w:lang w:val="en-US" w:eastAsia="zh-CN"/>
        </w:rPr>
        <w:t>应</w:t>
      </w:r>
      <w:r>
        <w:rPr>
          <w:rFonts w:hint="eastAsia" w:ascii="宋体" w:hAnsi="宋体" w:eastAsia="宋体" w:cs="宋体"/>
        </w:rPr>
        <w:t>在中标公告期内以书面形式向采购人进行署名提出，但需对质疑内容的真实性承担法律责任。</w:t>
      </w:r>
    </w:p>
    <w:p w14:paraId="08EFF53D">
      <w:pPr>
        <w:ind w:firstLine="420" w:firstLineChars="200"/>
        <w:rPr>
          <w:rFonts w:hint="eastAsia" w:ascii="宋体" w:hAnsi="宋体" w:eastAsia="宋体" w:cs="宋体"/>
        </w:rPr>
      </w:pPr>
      <w:r>
        <w:rPr>
          <w:rFonts w:hint="eastAsia" w:ascii="宋体" w:hAnsi="宋体" w:eastAsia="宋体" w:cs="宋体"/>
        </w:rPr>
        <w:t>七、投标人义务</w:t>
      </w:r>
    </w:p>
    <w:p w14:paraId="558C6E33">
      <w:pPr>
        <w:ind w:firstLine="420" w:firstLineChars="200"/>
        <w:rPr>
          <w:rFonts w:hint="eastAsia" w:ascii="宋体" w:hAnsi="宋体" w:eastAsia="宋体" w:cs="宋体"/>
          <w:szCs w:val="24"/>
          <w:highlight w:val="none"/>
        </w:rPr>
      </w:pPr>
      <w:r>
        <w:rPr>
          <w:rFonts w:hint="eastAsia" w:ascii="宋体" w:hAnsi="宋体" w:eastAsia="宋体" w:cs="宋体"/>
        </w:rPr>
        <w:t>投标人应随时接受评标委员会的询标，解答包括有关的商务、技术问题等。评标结束，所有评标资料存采购代理机构备查。</w:t>
      </w:r>
    </w:p>
    <w:sectPr>
      <w:pgSz w:w="11906" w:h="16838"/>
      <w:pgMar w:top="1474" w:right="1474" w:bottom="1417" w:left="1474"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94EA1">
    <w:pPr>
      <w:pStyle w:val="3"/>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14:paraId="50CE3B57">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EA3AE">
    <w:pPr>
      <w:pStyle w:val="1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A2D5C1F0"/>
    <w:multiLevelType w:val="singleLevel"/>
    <w:tmpl w:val="A2D5C1F0"/>
    <w:lvl w:ilvl="0" w:tentative="0">
      <w:start w:val="1"/>
      <w:numFmt w:val="decimal"/>
      <w:suff w:val="nothing"/>
      <w:lvlText w:val="（%1）"/>
      <w:lvlJc w:val="left"/>
    </w:lvl>
  </w:abstractNum>
  <w:abstractNum w:abstractNumId="3">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C623CD80"/>
    <w:multiLevelType w:val="singleLevel"/>
    <w:tmpl w:val="C623CD80"/>
    <w:lvl w:ilvl="0" w:tentative="0">
      <w:start w:val="9"/>
      <w:numFmt w:val="decimal"/>
      <w:suff w:val="nothing"/>
      <w:lvlText w:val="%1、"/>
      <w:lvlJc w:val="left"/>
    </w:lvl>
  </w:abstractNum>
  <w:abstractNum w:abstractNumId="5">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9">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9">
    <w:nsid w:val="004F3682"/>
    <w:multiLevelType w:val="singleLevel"/>
    <w:tmpl w:val="004F3682"/>
    <w:lvl w:ilvl="0" w:tentative="0">
      <w:start w:val="1"/>
      <w:numFmt w:val="decimal"/>
      <w:suff w:val="space"/>
      <w:lvlText w:val="%1)"/>
      <w:lvlJc w:val="left"/>
    </w:lvl>
  </w:abstractNum>
  <w:abstractNum w:abstractNumId="20">
    <w:nsid w:val="152824CC"/>
    <w:multiLevelType w:val="singleLevel"/>
    <w:tmpl w:val="152824CC"/>
    <w:lvl w:ilvl="0" w:tentative="0">
      <w:start w:val="1"/>
      <w:numFmt w:val="decimal"/>
      <w:suff w:val="nothing"/>
      <w:lvlText w:val="%1）"/>
      <w:lvlJc w:val="left"/>
    </w:lvl>
  </w:abstractNum>
  <w:abstractNum w:abstractNumId="21">
    <w:nsid w:val="3D5CCA71"/>
    <w:multiLevelType w:val="singleLevel"/>
    <w:tmpl w:val="3D5CCA71"/>
    <w:lvl w:ilvl="0" w:tentative="0">
      <w:start w:val="12"/>
      <w:numFmt w:val="chineseCounting"/>
      <w:suff w:val="space"/>
      <w:lvlText w:val="第%1条"/>
      <w:lvlJc w:val="left"/>
      <w:rPr>
        <w:rFonts w:hint="eastAsia"/>
      </w:rPr>
    </w:lvl>
  </w:abstractNum>
  <w:abstractNum w:abstractNumId="22">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23">
    <w:nsid w:val="61C91FB3"/>
    <w:multiLevelType w:val="multilevel"/>
    <w:tmpl w:val="61C91FB3"/>
    <w:lvl w:ilvl="0" w:tentative="0">
      <w:start w:val="1"/>
      <w:numFmt w:val="decimal"/>
      <w:pStyle w:val="56"/>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4">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5">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3"/>
  </w:num>
  <w:num w:numId="2">
    <w:abstractNumId w:val="25"/>
  </w:num>
  <w:num w:numId="3">
    <w:abstractNumId w:val="7"/>
  </w:num>
  <w:num w:numId="4">
    <w:abstractNumId w:val="6"/>
  </w:num>
  <w:num w:numId="5">
    <w:abstractNumId w:val="9"/>
  </w:num>
  <w:num w:numId="6">
    <w:abstractNumId w:val="17"/>
  </w:num>
  <w:num w:numId="7">
    <w:abstractNumId w:val="14"/>
  </w:num>
  <w:num w:numId="8">
    <w:abstractNumId w:val="16"/>
  </w:num>
  <w:num w:numId="9">
    <w:abstractNumId w:val="26"/>
  </w:num>
  <w:num w:numId="10">
    <w:abstractNumId w:val="12"/>
  </w:num>
  <w:num w:numId="11">
    <w:abstractNumId w:val="13"/>
  </w:num>
  <w:num w:numId="12">
    <w:abstractNumId w:val="8"/>
  </w:num>
  <w:num w:numId="13">
    <w:abstractNumId w:val="1"/>
  </w:num>
  <w:num w:numId="14">
    <w:abstractNumId w:val="15"/>
  </w:num>
  <w:num w:numId="15">
    <w:abstractNumId w:val="10"/>
  </w:num>
  <w:num w:numId="16">
    <w:abstractNumId w:val="19"/>
  </w:num>
  <w:num w:numId="17">
    <w:abstractNumId w:val="11"/>
  </w:num>
  <w:num w:numId="18">
    <w:abstractNumId w:val="18"/>
  </w:num>
  <w:num w:numId="19">
    <w:abstractNumId w:val="5"/>
  </w:num>
  <w:num w:numId="20">
    <w:abstractNumId w:val="0"/>
  </w:num>
  <w:num w:numId="21">
    <w:abstractNumId w:val="24"/>
  </w:num>
  <w:num w:numId="22">
    <w:abstractNumId w:val="3"/>
  </w:num>
  <w:num w:numId="23">
    <w:abstractNumId w:val="20"/>
  </w:num>
  <w:num w:numId="24">
    <w:abstractNumId w:val="2"/>
  </w:num>
  <w:num w:numId="25">
    <w:abstractNumId w:val="21"/>
  </w:num>
  <w:num w:numId="26">
    <w:abstractNumId w:val="2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jOTBkMTM2NTFiZTgyZThjMmVjYWFlOGJjYTJlNGMifQ=="/>
  </w:docVars>
  <w:rsids>
    <w:rsidRoot w:val="00CD6746"/>
    <w:rsid w:val="00002209"/>
    <w:rsid w:val="00010E87"/>
    <w:rsid w:val="00017920"/>
    <w:rsid w:val="00046C7A"/>
    <w:rsid w:val="000802B4"/>
    <w:rsid w:val="000B78F9"/>
    <w:rsid w:val="000C1346"/>
    <w:rsid w:val="000D11D0"/>
    <w:rsid w:val="000E618F"/>
    <w:rsid w:val="001362B5"/>
    <w:rsid w:val="001722E2"/>
    <w:rsid w:val="001B5FCD"/>
    <w:rsid w:val="001C6521"/>
    <w:rsid w:val="00224B63"/>
    <w:rsid w:val="0026550F"/>
    <w:rsid w:val="002822D0"/>
    <w:rsid w:val="00293F84"/>
    <w:rsid w:val="002F4EEF"/>
    <w:rsid w:val="003525B4"/>
    <w:rsid w:val="00367145"/>
    <w:rsid w:val="00371AB3"/>
    <w:rsid w:val="003A00F9"/>
    <w:rsid w:val="003B1312"/>
    <w:rsid w:val="00411F28"/>
    <w:rsid w:val="00427082"/>
    <w:rsid w:val="0044502A"/>
    <w:rsid w:val="00450D7D"/>
    <w:rsid w:val="00451648"/>
    <w:rsid w:val="00451C63"/>
    <w:rsid w:val="004C0DAD"/>
    <w:rsid w:val="004C5425"/>
    <w:rsid w:val="004D7813"/>
    <w:rsid w:val="00553944"/>
    <w:rsid w:val="00561D6D"/>
    <w:rsid w:val="005B0A7C"/>
    <w:rsid w:val="005B7971"/>
    <w:rsid w:val="00643E84"/>
    <w:rsid w:val="0064661C"/>
    <w:rsid w:val="006609C0"/>
    <w:rsid w:val="006A31BD"/>
    <w:rsid w:val="006A6A05"/>
    <w:rsid w:val="006A7317"/>
    <w:rsid w:val="006E7A33"/>
    <w:rsid w:val="00763F7B"/>
    <w:rsid w:val="007C268B"/>
    <w:rsid w:val="00810666"/>
    <w:rsid w:val="00895C97"/>
    <w:rsid w:val="008C23B2"/>
    <w:rsid w:val="00993496"/>
    <w:rsid w:val="00995E81"/>
    <w:rsid w:val="009D2146"/>
    <w:rsid w:val="00AB610C"/>
    <w:rsid w:val="00AC4A5E"/>
    <w:rsid w:val="00AC4E1A"/>
    <w:rsid w:val="00B048F6"/>
    <w:rsid w:val="00B11B43"/>
    <w:rsid w:val="00B5717E"/>
    <w:rsid w:val="00BB31F2"/>
    <w:rsid w:val="00BB3236"/>
    <w:rsid w:val="00C13189"/>
    <w:rsid w:val="00C16302"/>
    <w:rsid w:val="00C946C8"/>
    <w:rsid w:val="00CA71C7"/>
    <w:rsid w:val="00CC659D"/>
    <w:rsid w:val="00CD6746"/>
    <w:rsid w:val="00D32D61"/>
    <w:rsid w:val="00D4194F"/>
    <w:rsid w:val="00DC5486"/>
    <w:rsid w:val="00DD5DF5"/>
    <w:rsid w:val="00E156D7"/>
    <w:rsid w:val="00E47644"/>
    <w:rsid w:val="00E6656A"/>
    <w:rsid w:val="00E931CA"/>
    <w:rsid w:val="00ED7B43"/>
    <w:rsid w:val="00F03F37"/>
    <w:rsid w:val="00F213A8"/>
    <w:rsid w:val="00F56231"/>
    <w:rsid w:val="00FC1656"/>
    <w:rsid w:val="011D0AED"/>
    <w:rsid w:val="01274FF8"/>
    <w:rsid w:val="019D07D0"/>
    <w:rsid w:val="01E43A9D"/>
    <w:rsid w:val="02197961"/>
    <w:rsid w:val="02950267"/>
    <w:rsid w:val="02D24484"/>
    <w:rsid w:val="02DE2204"/>
    <w:rsid w:val="02DF0C93"/>
    <w:rsid w:val="03773FE8"/>
    <w:rsid w:val="0390360A"/>
    <w:rsid w:val="039C74BF"/>
    <w:rsid w:val="04824617"/>
    <w:rsid w:val="04D83AD1"/>
    <w:rsid w:val="05380AFF"/>
    <w:rsid w:val="055022DD"/>
    <w:rsid w:val="05576B53"/>
    <w:rsid w:val="05C046F7"/>
    <w:rsid w:val="06671240"/>
    <w:rsid w:val="06770D8A"/>
    <w:rsid w:val="07293FAA"/>
    <w:rsid w:val="07B211EB"/>
    <w:rsid w:val="07E27C7A"/>
    <w:rsid w:val="08162983"/>
    <w:rsid w:val="08172D08"/>
    <w:rsid w:val="089B0E7C"/>
    <w:rsid w:val="097769B8"/>
    <w:rsid w:val="09C111EB"/>
    <w:rsid w:val="0A0C1598"/>
    <w:rsid w:val="0A0D1766"/>
    <w:rsid w:val="0A474359"/>
    <w:rsid w:val="0B681B73"/>
    <w:rsid w:val="0E4B7188"/>
    <w:rsid w:val="0E5C24EC"/>
    <w:rsid w:val="0EF123DD"/>
    <w:rsid w:val="0EF80208"/>
    <w:rsid w:val="0FA90764"/>
    <w:rsid w:val="10A1167F"/>
    <w:rsid w:val="10B37458"/>
    <w:rsid w:val="10DC4179"/>
    <w:rsid w:val="11224314"/>
    <w:rsid w:val="127D5FE1"/>
    <w:rsid w:val="12D60804"/>
    <w:rsid w:val="13181873"/>
    <w:rsid w:val="131F731B"/>
    <w:rsid w:val="134C3973"/>
    <w:rsid w:val="13577F51"/>
    <w:rsid w:val="13855179"/>
    <w:rsid w:val="13936671"/>
    <w:rsid w:val="14341D36"/>
    <w:rsid w:val="14362C14"/>
    <w:rsid w:val="144607CD"/>
    <w:rsid w:val="14E775D9"/>
    <w:rsid w:val="157B6C80"/>
    <w:rsid w:val="15F61AE2"/>
    <w:rsid w:val="164B7BD7"/>
    <w:rsid w:val="16F0162C"/>
    <w:rsid w:val="17204078"/>
    <w:rsid w:val="175D20E7"/>
    <w:rsid w:val="17951D53"/>
    <w:rsid w:val="17F42F7B"/>
    <w:rsid w:val="189F6425"/>
    <w:rsid w:val="18CC24B9"/>
    <w:rsid w:val="194873ED"/>
    <w:rsid w:val="194A795A"/>
    <w:rsid w:val="197850CB"/>
    <w:rsid w:val="1A832753"/>
    <w:rsid w:val="1AB7139C"/>
    <w:rsid w:val="1B55070F"/>
    <w:rsid w:val="1C1A3373"/>
    <w:rsid w:val="1C490519"/>
    <w:rsid w:val="1C74219B"/>
    <w:rsid w:val="1CA9457D"/>
    <w:rsid w:val="1CFE561E"/>
    <w:rsid w:val="1D1852BE"/>
    <w:rsid w:val="1FBD745A"/>
    <w:rsid w:val="1FED6319"/>
    <w:rsid w:val="201179B6"/>
    <w:rsid w:val="20512598"/>
    <w:rsid w:val="20643D84"/>
    <w:rsid w:val="20E12C42"/>
    <w:rsid w:val="211D2FFF"/>
    <w:rsid w:val="22734A08"/>
    <w:rsid w:val="22AE0075"/>
    <w:rsid w:val="22CE17D6"/>
    <w:rsid w:val="23701F89"/>
    <w:rsid w:val="23E20B30"/>
    <w:rsid w:val="24A9071E"/>
    <w:rsid w:val="24E353B0"/>
    <w:rsid w:val="25074D3A"/>
    <w:rsid w:val="25722EEF"/>
    <w:rsid w:val="25DA1FEF"/>
    <w:rsid w:val="25FD0BF9"/>
    <w:rsid w:val="267E7AA6"/>
    <w:rsid w:val="27045EBD"/>
    <w:rsid w:val="27A0246B"/>
    <w:rsid w:val="27A25135"/>
    <w:rsid w:val="27A34EDC"/>
    <w:rsid w:val="27AB3D4E"/>
    <w:rsid w:val="27CB4942"/>
    <w:rsid w:val="27D52B4D"/>
    <w:rsid w:val="292170A7"/>
    <w:rsid w:val="2A4F3B9E"/>
    <w:rsid w:val="2A5D30E7"/>
    <w:rsid w:val="2ADF4204"/>
    <w:rsid w:val="2BAE17FF"/>
    <w:rsid w:val="2BE91F37"/>
    <w:rsid w:val="2C245E51"/>
    <w:rsid w:val="2C7A749B"/>
    <w:rsid w:val="2CF325E7"/>
    <w:rsid w:val="2D394F92"/>
    <w:rsid w:val="2D8C35AC"/>
    <w:rsid w:val="2D8D700C"/>
    <w:rsid w:val="2DE46FCA"/>
    <w:rsid w:val="2E8D670A"/>
    <w:rsid w:val="2F922452"/>
    <w:rsid w:val="2FD76B14"/>
    <w:rsid w:val="30856178"/>
    <w:rsid w:val="3120316A"/>
    <w:rsid w:val="323F36A4"/>
    <w:rsid w:val="335966F8"/>
    <w:rsid w:val="34122848"/>
    <w:rsid w:val="341A30EC"/>
    <w:rsid w:val="3421711A"/>
    <w:rsid w:val="34402E73"/>
    <w:rsid w:val="34F3637C"/>
    <w:rsid w:val="354655DD"/>
    <w:rsid w:val="35962BCD"/>
    <w:rsid w:val="362E285B"/>
    <w:rsid w:val="363F6564"/>
    <w:rsid w:val="367A561E"/>
    <w:rsid w:val="367B6B9F"/>
    <w:rsid w:val="370E5AB9"/>
    <w:rsid w:val="373B5261"/>
    <w:rsid w:val="37BD5008"/>
    <w:rsid w:val="37FA0B20"/>
    <w:rsid w:val="3879381B"/>
    <w:rsid w:val="38DA2725"/>
    <w:rsid w:val="38F76E7A"/>
    <w:rsid w:val="39644506"/>
    <w:rsid w:val="396E7463"/>
    <w:rsid w:val="397702BB"/>
    <w:rsid w:val="39E53C43"/>
    <w:rsid w:val="3A3B0A05"/>
    <w:rsid w:val="3A6F6B97"/>
    <w:rsid w:val="3AE92A77"/>
    <w:rsid w:val="3AF355A8"/>
    <w:rsid w:val="3AF81C33"/>
    <w:rsid w:val="3B274F84"/>
    <w:rsid w:val="3B665F58"/>
    <w:rsid w:val="3B6806F3"/>
    <w:rsid w:val="3BAF5709"/>
    <w:rsid w:val="3C294FC1"/>
    <w:rsid w:val="3D602EC0"/>
    <w:rsid w:val="3D6B3046"/>
    <w:rsid w:val="3E8B7669"/>
    <w:rsid w:val="3F2A0CE7"/>
    <w:rsid w:val="3F2D6675"/>
    <w:rsid w:val="3F460540"/>
    <w:rsid w:val="3FB26D03"/>
    <w:rsid w:val="3FC06024"/>
    <w:rsid w:val="400A66DC"/>
    <w:rsid w:val="4041523F"/>
    <w:rsid w:val="41E16035"/>
    <w:rsid w:val="43022788"/>
    <w:rsid w:val="43255009"/>
    <w:rsid w:val="436822EB"/>
    <w:rsid w:val="43E2309D"/>
    <w:rsid w:val="446316C8"/>
    <w:rsid w:val="44D956D5"/>
    <w:rsid w:val="457703BB"/>
    <w:rsid w:val="45B05F27"/>
    <w:rsid w:val="45DC5452"/>
    <w:rsid w:val="461D61E6"/>
    <w:rsid w:val="465B07E0"/>
    <w:rsid w:val="465B19C6"/>
    <w:rsid w:val="466018C5"/>
    <w:rsid w:val="46D87095"/>
    <w:rsid w:val="46F359A1"/>
    <w:rsid w:val="4766166B"/>
    <w:rsid w:val="47C64C00"/>
    <w:rsid w:val="47CF2F88"/>
    <w:rsid w:val="47E37CD6"/>
    <w:rsid w:val="47FE4D25"/>
    <w:rsid w:val="482D60AB"/>
    <w:rsid w:val="486B260B"/>
    <w:rsid w:val="489B3A79"/>
    <w:rsid w:val="48A049A1"/>
    <w:rsid w:val="490C3DF8"/>
    <w:rsid w:val="499015D2"/>
    <w:rsid w:val="49B7682C"/>
    <w:rsid w:val="4A6142EA"/>
    <w:rsid w:val="4A7C50FD"/>
    <w:rsid w:val="4B9C5A94"/>
    <w:rsid w:val="4BC573A8"/>
    <w:rsid w:val="4BCE28D3"/>
    <w:rsid w:val="4BE13907"/>
    <w:rsid w:val="4C1C3E43"/>
    <w:rsid w:val="4CBD124A"/>
    <w:rsid w:val="4D214415"/>
    <w:rsid w:val="4D3D5A3A"/>
    <w:rsid w:val="4D8F3005"/>
    <w:rsid w:val="4DF55A70"/>
    <w:rsid w:val="4EBE7CF8"/>
    <w:rsid w:val="4ECB70F3"/>
    <w:rsid w:val="4F5D3335"/>
    <w:rsid w:val="4F6164F5"/>
    <w:rsid w:val="4F6C00E7"/>
    <w:rsid w:val="4FA97952"/>
    <w:rsid w:val="506F4E1E"/>
    <w:rsid w:val="50811FB7"/>
    <w:rsid w:val="51F35615"/>
    <w:rsid w:val="52C15087"/>
    <w:rsid w:val="52DF7235"/>
    <w:rsid w:val="53F44CB7"/>
    <w:rsid w:val="540E20B0"/>
    <w:rsid w:val="55482FE4"/>
    <w:rsid w:val="55D40B98"/>
    <w:rsid w:val="56F02839"/>
    <w:rsid w:val="576D6D37"/>
    <w:rsid w:val="58A514A0"/>
    <w:rsid w:val="58D20B4F"/>
    <w:rsid w:val="59762A48"/>
    <w:rsid w:val="59B33345"/>
    <w:rsid w:val="5A431DCD"/>
    <w:rsid w:val="5A4474E6"/>
    <w:rsid w:val="5C072719"/>
    <w:rsid w:val="5D1C7AB0"/>
    <w:rsid w:val="5DFE4642"/>
    <w:rsid w:val="5E4B374D"/>
    <w:rsid w:val="5F99219D"/>
    <w:rsid w:val="60AB6EDD"/>
    <w:rsid w:val="63007260"/>
    <w:rsid w:val="63160A12"/>
    <w:rsid w:val="63B0271D"/>
    <w:rsid w:val="63B577F8"/>
    <w:rsid w:val="63F93026"/>
    <w:rsid w:val="641D786A"/>
    <w:rsid w:val="64795514"/>
    <w:rsid w:val="64B27407"/>
    <w:rsid w:val="65172004"/>
    <w:rsid w:val="65461019"/>
    <w:rsid w:val="65961C05"/>
    <w:rsid w:val="65B94194"/>
    <w:rsid w:val="65F9165C"/>
    <w:rsid w:val="660B07FD"/>
    <w:rsid w:val="66951383"/>
    <w:rsid w:val="66B7069A"/>
    <w:rsid w:val="66BF40F6"/>
    <w:rsid w:val="67404828"/>
    <w:rsid w:val="67472418"/>
    <w:rsid w:val="68D67726"/>
    <w:rsid w:val="68DF4BD1"/>
    <w:rsid w:val="69F04C89"/>
    <w:rsid w:val="6A6E2984"/>
    <w:rsid w:val="6B253BC7"/>
    <w:rsid w:val="6B924AC0"/>
    <w:rsid w:val="6BD27D33"/>
    <w:rsid w:val="6BE14F0E"/>
    <w:rsid w:val="6C0875EB"/>
    <w:rsid w:val="6C6E57C2"/>
    <w:rsid w:val="6CEE2778"/>
    <w:rsid w:val="6CF653C4"/>
    <w:rsid w:val="6D1042F2"/>
    <w:rsid w:val="6DEC77D0"/>
    <w:rsid w:val="6F2B158A"/>
    <w:rsid w:val="6F9371EB"/>
    <w:rsid w:val="6FDB3E77"/>
    <w:rsid w:val="701A5A85"/>
    <w:rsid w:val="715620D8"/>
    <w:rsid w:val="71B740EC"/>
    <w:rsid w:val="71D5645F"/>
    <w:rsid w:val="72223A16"/>
    <w:rsid w:val="72245523"/>
    <w:rsid w:val="72BB0AD8"/>
    <w:rsid w:val="72C1286E"/>
    <w:rsid w:val="73340398"/>
    <w:rsid w:val="73735B59"/>
    <w:rsid w:val="73FD2E75"/>
    <w:rsid w:val="74277D91"/>
    <w:rsid w:val="745841F5"/>
    <w:rsid w:val="7465193A"/>
    <w:rsid w:val="759E0068"/>
    <w:rsid w:val="75F546D7"/>
    <w:rsid w:val="76110A91"/>
    <w:rsid w:val="7649793B"/>
    <w:rsid w:val="77050C76"/>
    <w:rsid w:val="77A00912"/>
    <w:rsid w:val="77AD0A02"/>
    <w:rsid w:val="78121639"/>
    <w:rsid w:val="785A05EC"/>
    <w:rsid w:val="78A35E38"/>
    <w:rsid w:val="79E93803"/>
    <w:rsid w:val="79F57DFF"/>
    <w:rsid w:val="7A316A2D"/>
    <w:rsid w:val="7A5B0A89"/>
    <w:rsid w:val="7AEE79C2"/>
    <w:rsid w:val="7B933E36"/>
    <w:rsid w:val="7C097709"/>
    <w:rsid w:val="7C200EF9"/>
    <w:rsid w:val="7C2C6B59"/>
    <w:rsid w:val="7CCE23B5"/>
    <w:rsid w:val="7D712986"/>
    <w:rsid w:val="7D7B47E8"/>
    <w:rsid w:val="7E6F0C8B"/>
    <w:rsid w:val="7EA44C35"/>
    <w:rsid w:val="7EB871DC"/>
    <w:rsid w:val="7ECA3212"/>
    <w:rsid w:val="7F0A5FAD"/>
    <w:rsid w:val="7F9D77A7"/>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qFormat/>
    <w:uiPriority w:val="0"/>
    <w:pPr>
      <w:keepNext/>
      <w:jc w:val="center"/>
      <w:outlineLvl w:val="0"/>
    </w:pPr>
    <w:rPr>
      <w:rFonts w:ascii="Tahoma" w:eastAsia="Tahoma"/>
      <w:b/>
      <w:bCs/>
    </w:rPr>
  </w:style>
  <w:style w:type="paragraph" w:styleId="5">
    <w:name w:val="heading 2"/>
    <w:basedOn w:val="1"/>
    <w:next w:val="1"/>
    <w:qFormat/>
    <w:uiPriority w:val="0"/>
    <w:pPr>
      <w:keepNext/>
      <w:keepLines/>
      <w:widowControl w:val="0"/>
      <w:spacing w:before="260" w:after="260" w:line="413" w:lineRule="auto"/>
      <w:outlineLvl w:val="1"/>
    </w:pPr>
    <w:rPr>
      <w:rFonts w:ascii="Arial" w:hAnsi="Arial" w:eastAsia="黑体" w:cs="Times New Roman"/>
      <w:b/>
      <w:bCs/>
      <w:sz w:val="32"/>
      <w:szCs w:val="32"/>
    </w:rPr>
  </w:style>
  <w:style w:type="paragraph" w:styleId="6">
    <w:name w:val="heading 3"/>
    <w:basedOn w:val="1"/>
    <w:next w:val="1"/>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autoSpaceDE w:val="0"/>
      <w:autoSpaceDN w:val="0"/>
      <w:adjustRightInd w:val="0"/>
      <w:ind w:firstLine="420" w:firstLineChars="100"/>
      <w:jc w:val="left"/>
    </w:pPr>
  </w:style>
  <w:style w:type="paragraph" w:styleId="3">
    <w:name w:val="Body Text"/>
    <w:basedOn w:val="1"/>
    <w:next w:val="2"/>
    <w:qFormat/>
    <w:uiPriority w:val="0"/>
    <w:pPr>
      <w:spacing w:after="120"/>
    </w:pPr>
    <w:rPr>
      <w:rFonts w:eastAsia="宋体,Verdana,Arial"/>
    </w:rPr>
  </w:style>
  <w:style w:type="paragraph" w:styleId="9">
    <w:name w:val="Normal Indent"/>
    <w:basedOn w:val="1"/>
    <w:qFormat/>
    <w:uiPriority w:val="0"/>
    <w:pPr>
      <w:adjustRightInd w:val="0"/>
      <w:spacing w:line="312" w:lineRule="atLeast"/>
      <w:ind w:firstLine="420"/>
      <w:textAlignment w:val="baseline"/>
    </w:pPr>
    <w:rPr>
      <w:kern w:val="0"/>
      <w:szCs w:val="20"/>
    </w:rPr>
  </w:style>
  <w:style w:type="paragraph" w:styleId="10">
    <w:name w:val="annotation text"/>
    <w:basedOn w:val="1"/>
    <w:link w:val="37"/>
    <w:qFormat/>
    <w:uiPriority w:val="0"/>
    <w:pPr>
      <w:jc w:val="left"/>
    </w:pPr>
  </w:style>
  <w:style w:type="paragraph" w:styleId="11">
    <w:name w:val="Body Text Indent"/>
    <w:basedOn w:val="1"/>
    <w:next w:val="1"/>
    <w:qFormat/>
    <w:uiPriority w:val="0"/>
    <w:pPr>
      <w:ind w:left="480" w:hanging="480" w:hangingChars="200"/>
    </w:pPr>
    <w:rPr>
      <w:sz w:val="24"/>
    </w:rPr>
  </w:style>
  <w:style w:type="paragraph" w:styleId="12">
    <w:name w:val="Block Text"/>
    <w:basedOn w:val="1"/>
    <w:qFormat/>
    <w:uiPriority w:val="0"/>
    <w:pPr>
      <w:spacing w:before="156" w:beforeLines="50" w:after="156" w:afterLines="50"/>
      <w:ind w:left="426" w:right="-11" w:hanging="426" w:hangingChars="203"/>
    </w:pPr>
    <w:rPr>
      <w:rFonts w:eastAsia="楷体_GB2312"/>
    </w:rPr>
  </w:style>
  <w:style w:type="paragraph" w:styleId="13">
    <w:name w:val="Plain Text"/>
    <w:basedOn w:val="1"/>
    <w:next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4">
    <w:name w:val="Date"/>
    <w:basedOn w:val="1"/>
    <w:next w:val="1"/>
    <w:qFormat/>
    <w:uiPriority w:val="0"/>
    <w:pPr>
      <w:ind w:left="100" w:leftChars="2500"/>
    </w:pPr>
    <w:rPr>
      <w:rFonts w:ascii="Times New Roman" w:hAnsi="Times New Roman"/>
    </w:rPr>
  </w:style>
  <w:style w:type="paragraph" w:styleId="15">
    <w:name w:val="Body Text Indent 2"/>
    <w:basedOn w:val="1"/>
    <w:qFormat/>
    <w:uiPriority w:val="0"/>
    <w:pPr>
      <w:ind w:firstLine="568" w:firstLineChars="203"/>
    </w:pPr>
    <w:rPr>
      <w:rFonts w:ascii="宋体" w:hAnsi="宋体"/>
      <w:sz w:val="28"/>
    </w:rPr>
  </w:style>
  <w:style w:type="paragraph" w:styleId="16">
    <w:name w:val="Balloon Text"/>
    <w:basedOn w:val="1"/>
    <w:link w:val="63"/>
    <w:qFormat/>
    <w:uiPriority w:val="0"/>
    <w:rPr>
      <w:sz w:val="18"/>
      <w:szCs w:val="18"/>
    </w:rPr>
  </w:style>
  <w:style w:type="paragraph" w:styleId="17">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9">
    <w:name w:val="toc 1"/>
    <w:basedOn w:val="1"/>
    <w:next w:val="1"/>
    <w:qFormat/>
    <w:uiPriority w:val="39"/>
    <w:pPr>
      <w:tabs>
        <w:tab w:val="right" w:leader="dot" w:pos="9660"/>
      </w:tabs>
      <w:spacing w:line="480" w:lineRule="auto"/>
    </w:pPr>
  </w:style>
  <w:style w:type="paragraph" w:styleId="20">
    <w:name w:val="toc 4"/>
    <w:basedOn w:val="1"/>
    <w:next w:val="1"/>
    <w:qFormat/>
    <w:uiPriority w:val="0"/>
    <w:pPr>
      <w:wordWrap w:val="0"/>
      <w:ind w:left="850"/>
    </w:pPr>
  </w:style>
  <w:style w:type="paragraph" w:styleId="21">
    <w:name w:val="toc 6"/>
    <w:basedOn w:val="1"/>
    <w:next w:val="1"/>
    <w:semiHidden/>
    <w:qFormat/>
    <w:uiPriority w:val="0"/>
    <w:pPr>
      <w:ind w:left="1050"/>
      <w:jc w:val="left"/>
    </w:pPr>
    <w:rPr>
      <w:sz w:val="18"/>
      <w:szCs w:val="18"/>
    </w:rPr>
  </w:style>
  <w:style w:type="paragraph" w:styleId="22">
    <w:name w:val="Normal (Web)"/>
    <w:basedOn w:val="1"/>
    <w:qFormat/>
    <w:uiPriority w:val="0"/>
    <w:pPr>
      <w:spacing w:after="210"/>
      <w:jc w:val="left"/>
    </w:pPr>
    <w:rPr>
      <w:kern w:val="0"/>
      <w:sz w:val="24"/>
    </w:rPr>
  </w:style>
  <w:style w:type="paragraph" w:styleId="23">
    <w:name w:val="annotation subject"/>
    <w:basedOn w:val="10"/>
    <w:next w:val="10"/>
    <w:link w:val="38"/>
    <w:qFormat/>
    <w:uiPriority w:val="0"/>
    <w:rPr>
      <w:b/>
      <w:bCs/>
    </w:rPr>
  </w:style>
  <w:style w:type="paragraph" w:styleId="24">
    <w:name w:val="Body Text First Indent 2"/>
    <w:basedOn w:val="11"/>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FollowedHyperlink"/>
    <w:basedOn w:val="27"/>
    <w:qFormat/>
    <w:uiPriority w:val="0"/>
    <w:rPr>
      <w:color w:val="1890FF"/>
      <w:u w:val="none"/>
    </w:rPr>
  </w:style>
  <w:style w:type="character" w:styleId="30">
    <w:name w:val="HTML Definition"/>
    <w:basedOn w:val="27"/>
    <w:qFormat/>
    <w:uiPriority w:val="0"/>
    <w:rPr>
      <w:i/>
      <w:iCs/>
    </w:rPr>
  </w:style>
  <w:style w:type="character" w:styleId="31">
    <w:name w:val="Hyperlink"/>
    <w:qFormat/>
    <w:uiPriority w:val="99"/>
    <w:rPr>
      <w:color w:val="0000FF"/>
      <w:u w:val="single"/>
    </w:rPr>
  </w:style>
  <w:style w:type="character" w:styleId="32">
    <w:name w:val="HTML Code"/>
    <w:basedOn w:val="27"/>
    <w:qFormat/>
    <w:uiPriority w:val="0"/>
    <w:rPr>
      <w:rFonts w:ascii="Consolas" w:hAnsi="Consolas" w:eastAsia="Consolas" w:cs="Consolas"/>
      <w:sz w:val="21"/>
      <w:szCs w:val="21"/>
    </w:rPr>
  </w:style>
  <w:style w:type="character" w:styleId="33">
    <w:name w:val="annotation reference"/>
    <w:basedOn w:val="27"/>
    <w:qFormat/>
    <w:uiPriority w:val="0"/>
    <w:rPr>
      <w:sz w:val="21"/>
      <w:szCs w:val="21"/>
    </w:rPr>
  </w:style>
  <w:style w:type="character" w:styleId="34">
    <w:name w:val="HTML Keyboard"/>
    <w:basedOn w:val="27"/>
    <w:qFormat/>
    <w:uiPriority w:val="0"/>
    <w:rPr>
      <w:rFonts w:hint="default" w:ascii="Consolas" w:hAnsi="Consolas" w:eastAsia="Consolas" w:cs="Consolas"/>
      <w:sz w:val="21"/>
      <w:szCs w:val="21"/>
    </w:rPr>
  </w:style>
  <w:style w:type="character" w:styleId="35">
    <w:name w:val="HTML Sample"/>
    <w:basedOn w:val="27"/>
    <w:qFormat/>
    <w:uiPriority w:val="0"/>
    <w:rPr>
      <w:rFonts w:hint="default" w:ascii="Consolas" w:hAnsi="Consolas" w:eastAsia="Consolas" w:cs="Consolas"/>
      <w:sz w:val="21"/>
      <w:szCs w:val="21"/>
    </w:rPr>
  </w:style>
  <w:style w:type="paragraph" w:customStyle="1" w:styleId="36">
    <w:name w:val="正文文本首行缩进1"/>
    <w:basedOn w:val="3"/>
    <w:qFormat/>
    <w:uiPriority w:val="0"/>
    <w:pPr>
      <w:ind w:firstLine="420" w:firstLineChars="100"/>
    </w:pPr>
    <w:rPr>
      <w:szCs w:val="21"/>
    </w:rPr>
  </w:style>
  <w:style w:type="character" w:customStyle="1" w:styleId="37">
    <w:name w:val="批注文字 Char"/>
    <w:basedOn w:val="27"/>
    <w:link w:val="10"/>
    <w:qFormat/>
    <w:uiPriority w:val="0"/>
    <w:rPr>
      <w:rFonts w:ascii="等线" w:hAnsi="等线" w:eastAsia="等线"/>
      <w:kern w:val="2"/>
      <w:sz w:val="21"/>
      <w:szCs w:val="22"/>
    </w:rPr>
  </w:style>
  <w:style w:type="character" w:customStyle="1" w:styleId="38">
    <w:name w:val="批注主题 Char"/>
    <w:basedOn w:val="37"/>
    <w:link w:val="23"/>
    <w:qFormat/>
    <w:uiPriority w:val="0"/>
    <w:rPr>
      <w:rFonts w:ascii="等线" w:hAnsi="等线" w:eastAsia="等线"/>
      <w:b/>
      <w:bCs/>
      <w:kern w:val="2"/>
      <w:sz w:val="21"/>
      <w:szCs w:val="22"/>
    </w:rPr>
  </w:style>
  <w:style w:type="character" w:customStyle="1" w:styleId="39">
    <w:name w:val="user-acct"/>
    <w:basedOn w:val="27"/>
    <w:qFormat/>
    <w:uiPriority w:val="0"/>
    <w:rPr>
      <w:color w:val="7C7070"/>
    </w:rPr>
  </w:style>
  <w:style w:type="character" w:customStyle="1" w:styleId="40">
    <w:name w:val="hover12"/>
    <w:basedOn w:val="27"/>
    <w:qFormat/>
    <w:uiPriority w:val="0"/>
  </w:style>
  <w:style w:type="character" w:customStyle="1" w:styleId="41">
    <w:name w:val="current"/>
    <w:basedOn w:val="27"/>
    <w:qFormat/>
    <w:uiPriority w:val="0"/>
    <w:rPr>
      <w:color w:val="00C1DE"/>
    </w:rPr>
  </w:style>
  <w:style w:type="character" w:customStyle="1" w:styleId="42">
    <w:name w:val="current1"/>
    <w:basedOn w:val="27"/>
    <w:qFormat/>
    <w:uiPriority w:val="0"/>
    <w:rPr>
      <w:color w:val="00C1DE"/>
    </w:rPr>
  </w:style>
  <w:style w:type="character" w:customStyle="1" w:styleId="43">
    <w:name w:val="selected"/>
    <w:basedOn w:val="27"/>
    <w:qFormat/>
    <w:uiPriority w:val="0"/>
    <w:rPr>
      <w:color w:val="1C81FE"/>
    </w:rPr>
  </w:style>
  <w:style w:type="character" w:customStyle="1" w:styleId="44">
    <w:name w:val="selected1"/>
    <w:basedOn w:val="27"/>
    <w:qFormat/>
    <w:uiPriority w:val="0"/>
    <w:rPr>
      <w:color w:val="1C81FE"/>
    </w:rPr>
  </w:style>
  <w:style w:type="character" w:customStyle="1" w:styleId="45">
    <w:name w:val="desc"/>
    <w:basedOn w:val="27"/>
    <w:qFormat/>
    <w:uiPriority w:val="0"/>
    <w:rPr>
      <w:b/>
      <w:bCs/>
      <w:color w:val="404040"/>
    </w:rPr>
  </w:style>
  <w:style w:type="character" w:customStyle="1" w:styleId="46">
    <w:name w:val="desc1"/>
    <w:basedOn w:val="27"/>
    <w:qFormat/>
    <w:uiPriority w:val="0"/>
    <w:rPr>
      <w:b/>
      <w:bCs/>
      <w:color w:val="404040"/>
    </w:rPr>
  </w:style>
  <w:style w:type="character" w:customStyle="1" w:styleId="47">
    <w:name w:val="helper"/>
    <w:basedOn w:val="27"/>
    <w:qFormat/>
    <w:uiPriority w:val="0"/>
    <w:rPr>
      <w:b/>
      <w:bCs/>
      <w:color w:val="404040"/>
      <w:sz w:val="38"/>
      <w:szCs w:val="38"/>
    </w:rPr>
  </w:style>
  <w:style w:type="character" w:customStyle="1" w:styleId="48">
    <w:name w:val="icon6"/>
    <w:basedOn w:val="27"/>
    <w:qFormat/>
    <w:uiPriority w:val="0"/>
  </w:style>
  <w:style w:type="character" w:customStyle="1" w:styleId="49">
    <w:name w:val="ant-typography-ellipsis"/>
    <w:basedOn w:val="27"/>
    <w:qFormat/>
    <w:uiPriority w:val="0"/>
  </w:style>
  <w:style w:type="character" w:customStyle="1" w:styleId="50">
    <w:name w:val="ant-radio+*"/>
    <w:basedOn w:val="27"/>
    <w:qFormat/>
    <w:uiPriority w:val="0"/>
  </w:style>
  <w:style w:type="character" w:customStyle="1" w:styleId="51">
    <w:name w:val="content72"/>
    <w:basedOn w:val="27"/>
    <w:qFormat/>
    <w:uiPriority w:val="0"/>
    <w:rPr>
      <w:color w:val="7C7070"/>
      <w:sz w:val="14"/>
      <w:szCs w:val="14"/>
    </w:rPr>
  </w:style>
  <w:style w:type="character" w:customStyle="1" w:styleId="52">
    <w:name w:val="info-label"/>
    <w:basedOn w:val="27"/>
    <w:qFormat/>
    <w:uiPriority w:val="0"/>
    <w:rPr>
      <w:b/>
      <w:bCs/>
    </w:rPr>
  </w:style>
  <w:style w:type="character" w:customStyle="1" w:styleId="53">
    <w:name w:val="info-content"/>
    <w:basedOn w:val="27"/>
    <w:qFormat/>
    <w:uiPriority w:val="0"/>
    <w:rPr>
      <w:color w:val="808080"/>
    </w:rPr>
  </w:style>
  <w:style w:type="character" w:customStyle="1" w:styleId="54">
    <w:name w:val="phone-number1"/>
    <w:basedOn w:val="27"/>
    <w:qFormat/>
    <w:uiPriority w:val="0"/>
    <w:rPr>
      <w:color w:val="0876FF"/>
    </w:rPr>
  </w:style>
  <w:style w:type="paragraph" w:styleId="55">
    <w:name w:val="List Paragraph"/>
    <w:basedOn w:val="1"/>
    <w:qFormat/>
    <w:uiPriority w:val="34"/>
    <w:pPr>
      <w:ind w:firstLine="420" w:firstLineChars="200"/>
    </w:pPr>
  </w:style>
  <w:style w:type="paragraph" w:customStyle="1" w:styleId="56">
    <w:name w:val="格式条款-2 Char Char"/>
    <w:basedOn w:val="1"/>
    <w:qFormat/>
    <w:uiPriority w:val="99"/>
    <w:pPr>
      <w:numPr>
        <w:ilvl w:val="0"/>
        <w:numId w:val="1"/>
      </w:numPr>
      <w:tabs>
        <w:tab w:val="left" w:pos="735"/>
        <w:tab w:val="clear" w:pos="0"/>
      </w:tabs>
    </w:pPr>
    <w:rPr>
      <w:rFonts w:ascii="宋体" w:hAnsi="宋体"/>
      <w:sz w:val="24"/>
      <w:szCs w:val="24"/>
    </w:rPr>
  </w:style>
  <w:style w:type="paragraph" w:customStyle="1" w:styleId="57">
    <w:name w:val="正文_0_0"/>
    <w:basedOn w:val="1"/>
    <w:qFormat/>
    <w:uiPriority w:val="0"/>
    <w:rPr>
      <w:rFonts w:ascii="Calibri" w:hAnsi="Calibri" w:cs="Calibri"/>
      <w:szCs w:val="21"/>
    </w:rPr>
  </w:style>
  <w:style w:type="paragraph" w:customStyle="1" w:styleId="58">
    <w:name w:val="[Normal]"/>
    <w:qFormat/>
    <w:uiPriority w:val="0"/>
    <w:rPr>
      <w:rFonts w:ascii="宋体" w:hAnsi="宋体" w:eastAsia="宋体" w:cs="Times New Roman"/>
      <w:sz w:val="24"/>
      <w:szCs w:val="22"/>
      <w:lang w:val="zh-CN" w:eastAsia="zh-CN" w:bidi="ar-SA"/>
    </w:rPr>
  </w:style>
  <w:style w:type="paragraph" w:customStyle="1" w:styleId="59">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character" w:customStyle="1" w:styleId="60">
    <w:name w:val="p5"/>
    <w:basedOn w:val="27"/>
    <w:qFormat/>
    <w:uiPriority w:val="0"/>
  </w:style>
  <w:style w:type="paragraph" w:customStyle="1" w:styleId="61">
    <w:name w:val="正文首行缩进1"/>
    <w:basedOn w:val="3"/>
    <w:qFormat/>
    <w:uiPriority w:val="0"/>
    <w:pPr>
      <w:ind w:firstLine="420" w:firstLineChars="100"/>
    </w:pPr>
    <w:rPr>
      <w:rFonts w:ascii="Times New Roman" w:hAnsi="Times New Roman"/>
    </w:rPr>
  </w:style>
  <w:style w:type="paragraph" w:customStyle="1" w:styleId="62">
    <w:name w:val="列出段落1"/>
    <w:basedOn w:val="1"/>
    <w:qFormat/>
    <w:uiPriority w:val="0"/>
    <w:pPr>
      <w:ind w:firstLine="420" w:firstLineChars="200"/>
    </w:pPr>
    <w:rPr>
      <w:szCs w:val="20"/>
    </w:rPr>
  </w:style>
  <w:style w:type="character" w:customStyle="1" w:styleId="63">
    <w:name w:val="批注框文本 Char"/>
    <w:basedOn w:val="27"/>
    <w:link w:val="16"/>
    <w:qFormat/>
    <w:uiPriority w:val="0"/>
    <w:rPr>
      <w:rFonts w:ascii="等线" w:hAnsi="等线" w:eastAsia="等线"/>
      <w:kern w:val="2"/>
      <w:sz w:val="18"/>
      <w:szCs w:val="18"/>
    </w:rPr>
  </w:style>
  <w:style w:type="paragraph" w:customStyle="1" w:styleId="64">
    <w:name w:val="hb.1"/>
    <w:basedOn w:val="1"/>
    <w:qFormat/>
    <w:uiPriority w:val="0"/>
    <w:pPr>
      <w:tabs>
        <w:tab w:val="left" w:pos="992"/>
      </w:tabs>
      <w:spacing w:after="156"/>
      <w:ind w:left="992" w:hanging="567"/>
    </w:pPr>
    <w:rPr>
      <w:rFonts w:ascii="Times New Roman" w:hAnsi="Times New Roman"/>
      <w:szCs w:val="20"/>
    </w:rPr>
  </w:style>
  <w:style w:type="paragraph" w:customStyle="1" w:styleId="65">
    <w:name w:val="htbh"/>
    <w:basedOn w:val="6"/>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 w:type="paragraph" w:customStyle="1" w:styleId="66">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67">
    <w:name w:val="正文表标题"/>
    <w:next w:val="68"/>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表内文字"/>
    <w:basedOn w:val="1"/>
    <w:qFormat/>
    <w:uiPriority w:val="0"/>
    <w:pPr>
      <w:spacing w:line="240" w:lineRule="atLeast"/>
      <w:jc w:val="center"/>
    </w:pPr>
    <w:rPr>
      <w:rFonts w:ascii="Arial" w:hAnsi="Arial" w:eastAsia="宋体" w:cs="Arial"/>
      <w:b/>
      <w:bCs/>
    </w:rPr>
  </w:style>
  <w:style w:type="paragraph" w:customStyle="1" w:styleId="70">
    <w:name w:val="xl55"/>
    <w:basedOn w:val="1"/>
    <w:qFormat/>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71">
    <w:name w:val="reader-word-layer reader-word-s1-2"/>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13B23-58E6-4D0E-84C8-97738C18B4A6}">
  <ds:schemaRefs/>
</ds:datastoreItem>
</file>

<file path=docProps/app.xml><?xml version="1.0" encoding="utf-8"?>
<Properties xmlns="http://schemas.openxmlformats.org/officeDocument/2006/extended-properties" xmlns:vt="http://schemas.openxmlformats.org/officeDocument/2006/docPropsVTypes">
  <Template>Normal.dotm</Template>
  <Company>中国移动</Company>
  <Pages>48</Pages>
  <Words>12460</Words>
  <Characters>13135</Characters>
  <Lines>373</Lines>
  <Paragraphs>105</Paragraphs>
  <TotalTime>9</TotalTime>
  <ScaleCrop>false</ScaleCrop>
  <LinksUpToDate>false</LinksUpToDate>
  <CharactersWithSpaces>13228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2021-05-04T11:07:00Z</dcterms:created>
  <dc:creator>rr</dc:creator>
  <cp:lastModifiedBy>金楷啊</cp:lastModifiedBy>
  <cp:lastPrinted>2024-10-22T04:19:00Z</cp:lastPrinted>
  <dcterms:modified xsi:type="dcterms:W3CDTF">2024-11-04T01:36:57Z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8D78E076837B43E095F22CB5070C6FAF_13</vt:lpwstr>
  </property>
</Properties>
</file>