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382D2">
      <w:pPr>
        <w:autoSpaceDE w:val="0"/>
        <w:autoSpaceDN w:val="0"/>
        <w:spacing w:line="360" w:lineRule="auto"/>
        <w:jc w:val="center"/>
        <w:textAlignment w:val="bottom"/>
        <w:rPr>
          <w:rFonts w:hint="eastAsia" w:ascii="宋体" w:hAnsi="宋体" w:eastAsia="宋体" w:cs="宋体"/>
          <w:b/>
          <w:bCs/>
          <w:spacing w:val="120"/>
          <w:sz w:val="72"/>
          <w:szCs w:val="72"/>
          <w:highlight w:val="none"/>
        </w:rPr>
      </w:pPr>
    </w:p>
    <w:p w14:paraId="63005AF1">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14:paraId="4A3EE95B">
      <w:pPr>
        <w:spacing w:line="400" w:lineRule="atLeast"/>
        <w:jc w:val="center"/>
        <w:rPr>
          <w:rFonts w:hint="eastAsia" w:ascii="宋体" w:hAnsi="宋体" w:eastAsia="宋体" w:cs="宋体"/>
          <w:b/>
          <w:sz w:val="52"/>
          <w:szCs w:val="24"/>
          <w:highlight w:val="none"/>
        </w:rPr>
      </w:pPr>
    </w:p>
    <w:p w14:paraId="1EFDF5E6">
      <w:pPr>
        <w:spacing w:line="400" w:lineRule="atLeast"/>
        <w:jc w:val="center"/>
        <w:rPr>
          <w:rFonts w:hint="eastAsia" w:ascii="宋体" w:hAnsi="宋体" w:eastAsia="宋体" w:cs="宋体"/>
          <w:b/>
          <w:sz w:val="52"/>
          <w:szCs w:val="24"/>
          <w:highlight w:val="none"/>
        </w:rPr>
      </w:pPr>
    </w:p>
    <w:p w14:paraId="722BCB78">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14:paraId="033F056C">
      <w:pPr>
        <w:spacing w:line="400" w:lineRule="exact"/>
        <w:jc w:val="center"/>
        <w:rPr>
          <w:rFonts w:hint="eastAsia" w:ascii="宋体" w:hAnsi="宋体" w:eastAsia="宋体" w:cs="宋体"/>
          <w:b/>
          <w:sz w:val="32"/>
          <w:szCs w:val="24"/>
          <w:highlight w:val="none"/>
        </w:rPr>
      </w:pPr>
    </w:p>
    <w:p w14:paraId="3702F311">
      <w:pPr>
        <w:spacing w:line="400" w:lineRule="exact"/>
        <w:jc w:val="center"/>
        <w:rPr>
          <w:rFonts w:hint="eastAsia" w:ascii="宋体" w:hAnsi="宋体" w:eastAsia="宋体" w:cs="宋体"/>
          <w:b/>
          <w:sz w:val="32"/>
          <w:szCs w:val="24"/>
          <w:highlight w:val="none"/>
        </w:rPr>
      </w:pPr>
    </w:p>
    <w:tbl>
      <w:tblPr>
        <w:tblStyle w:val="25"/>
        <w:tblW w:w="0" w:type="auto"/>
        <w:jc w:val="center"/>
        <w:tblLayout w:type="fixed"/>
        <w:tblCellMar>
          <w:top w:w="0" w:type="dxa"/>
          <w:left w:w="108" w:type="dxa"/>
          <w:bottom w:w="0" w:type="dxa"/>
          <w:right w:w="108" w:type="dxa"/>
        </w:tblCellMar>
      </w:tblPr>
      <w:tblGrid>
        <w:gridCol w:w="2340"/>
        <w:gridCol w:w="360"/>
        <w:gridCol w:w="3233"/>
      </w:tblGrid>
      <w:tr w14:paraId="5F155CA4">
        <w:tblPrEx>
          <w:tblCellMar>
            <w:top w:w="0" w:type="dxa"/>
            <w:left w:w="108" w:type="dxa"/>
            <w:bottom w:w="0" w:type="dxa"/>
            <w:right w:w="108" w:type="dxa"/>
          </w:tblCellMar>
        </w:tblPrEx>
        <w:trPr>
          <w:trHeight w:val="659" w:hRule="atLeast"/>
          <w:jc w:val="center"/>
        </w:trPr>
        <w:tc>
          <w:tcPr>
            <w:tcW w:w="2340" w:type="dxa"/>
            <w:vAlign w:val="center"/>
          </w:tcPr>
          <w:p w14:paraId="1E9D2333">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14:paraId="0AAD20D7">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14:paraId="0CDB6A2E">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WGSS-JFJT-X-2024008</w:t>
            </w:r>
          </w:p>
        </w:tc>
      </w:tr>
      <w:tr w14:paraId="0D3C2CE6">
        <w:tblPrEx>
          <w:tblCellMar>
            <w:top w:w="0" w:type="dxa"/>
            <w:left w:w="108" w:type="dxa"/>
            <w:bottom w:w="0" w:type="dxa"/>
            <w:right w:w="108" w:type="dxa"/>
          </w:tblCellMar>
        </w:tblPrEx>
        <w:trPr>
          <w:trHeight w:val="614" w:hRule="atLeast"/>
          <w:jc w:val="center"/>
        </w:trPr>
        <w:tc>
          <w:tcPr>
            <w:tcW w:w="2340" w:type="dxa"/>
            <w:vAlign w:val="center"/>
          </w:tcPr>
          <w:p w14:paraId="26175245">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14:paraId="168B9CD2">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14:paraId="35479B1E">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陶山服务区物业项目</w:t>
            </w:r>
          </w:p>
        </w:tc>
      </w:tr>
      <w:tr w14:paraId="5B261DBB">
        <w:tblPrEx>
          <w:tblCellMar>
            <w:top w:w="0" w:type="dxa"/>
            <w:left w:w="108" w:type="dxa"/>
            <w:bottom w:w="0" w:type="dxa"/>
            <w:right w:w="108" w:type="dxa"/>
          </w:tblCellMar>
        </w:tblPrEx>
        <w:trPr>
          <w:trHeight w:val="614" w:hRule="atLeast"/>
          <w:jc w:val="center"/>
        </w:trPr>
        <w:tc>
          <w:tcPr>
            <w:tcW w:w="2340" w:type="dxa"/>
            <w:vAlign w:val="center"/>
          </w:tcPr>
          <w:p w14:paraId="23035045">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360" w:type="dxa"/>
            <w:vAlign w:val="center"/>
          </w:tcPr>
          <w:p w14:paraId="0ABF3E27">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14:paraId="2BBF3017">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14:paraId="265BA81C">
      <w:pPr>
        <w:jc w:val="center"/>
        <w:rPr>
          <w:rFonts w:hint="eastAsia" w:ascii="宋体" w:hAnsi="宋体" w:eastAsia="宋体" w:cs="宋体"/>
          <w:b/>
          <w:sz w:val="24"/>
          <w:szCs w:val="24"/>
          <w:highlight w:val="none"/>
        </w:rPr>
      </w:pPr>
    </w:p>
    <w:p w14:paraId="1F4FC811">
      <w:pPr>
        <w:jc w:val="center"/>
        <w:rPr>
          <w:rFonts w:hint="eastAsia" w:ascii="宋体" w:hAnsi="宋体" w:eastAsia="宋体" w:cs="宋体"/>
          <w:b/>
          <w:sz w:val="24"/>
          <w:szCs w:val="24"/>
          <w:highlight w:val="none"/>
        </w:rPr>
      </w:pPr>
    </w:p>
    <w:p w14:paraId="046FBBE3">
      <w:pPr>
        <w:jc w:val="center"/>
        <w:rPr>
          <w:rFonts w:hint="eastAsia" w:ascii="宋体" w:hAnsi="宋体" w:eastAsia="宋体" w:cs="宋体"/>
          <w:b/>
          <w:sz w:val="24"/>
          <w:szCs w:val="24"/>
          <w:highlight w:val="none"/>
        </w:rPr>
      </w:pPr>
    </w:p>
    <w:p w14:paraId="128E1FC7">
      <w:pPr>
        <w:jc w:val="center"/>
        <w:rPr>
          <w:rFonts w:hint="eastAsia" w:ascii="宋体" w:hAnsi="宋体" w:eastAsia="宋体" w:cs="宋体"/>
          <w:b/>
          <w:sz w:val="24"/>
          <w:szCs w:val="24"/>
          <w:highlight w:val="none"/>
        </w:rPr>
      </w:pPr>
    </w:p>
    <w:p w14:paraId="52D1AADC">
      <w:pPr>
        <w:jc w:val="center"/>
        <w:rPr>
          <w:rFonts w:hint="eastAsia" w:ascii="宋体" w:hAnsi="宋体" w:eastAsia="宋体" w:cs="宋体"/>
          <w:b/>
          <w:sz w:val="24"/>
          <w:szCs w:val="24"/>
          <w:highlight w:val="none"/>
        </w:rPr>
      </w:pPr>
    </w:p>
    <w:p w14:paraId="0BB4DA0C">
      <w:pPr>
        <w:jc w:val="center"/>
        <w:rPr>
          <w:rFonts w:hint="eastAsia" w:ascii="宋体" w:hAnsi="宋体" w:eastAsia="宋体" w:cs="宋体"/>
          <w:b/>
          <w:sz w:val="24"/>
          <w:szCs w:val="24"/>
          <w:highlight w:val="none"/>
        </w:rPr>
      </w:pPr>
    </w:p>
    <w:p w14:paraId="79BA49DE">
      <w:pPr>
        <w:jc w:val="center"/>
        <w:rPr>
          <w:rFonts w:hint="eastAsia" w:ascii="宋体" w:hAnsi="宋体" w:eastAsia="宋体" w:cs="宋体"/>
          <w:b/>
          <w:sz w:val="24"/>
          <w:szCs w:val="24"/>
          <w:highlight w:val="none"/>
        </w:rPr>
      </w:pPr>
    </w:p>
    <w:p w14:paraId="4109BFD5">
      <w:pPr>
        <w:jc w:val="center"/>
        <w:rPr>
          <w:rFonts w:hint="eastAsia" w:ascii="宋体" w:hAnsi="宋体" w:eastAsia="宋体" w:cs="宋体"/>
          <w:b/>
          <w:sz w:val="24"/>
          <w:szCs w:val="24"/>
          <w:highlight w:val="none"/>
        </w:rPr>
      </w:pPr>
    </w:p>
    <w:p w14:paraId="1AD7CA16">
      <w:pPr>
        <w:jc w:val="center"/>
        <w:rPr>
          <w:rFonts w:hint="eastAsia" w:ascii="宋体" w:hAnsi="宋体" w:eastAsia="宋体" w:cs="宋体"/>
          <w:b/>
          <w:sz w:val="24"/>
          <w:szCs w:val="24"/>
          <w:highlight w:val="none"/>
        </w:rPr>
      </w:pPr>
    </w:p>
    <w:p w14:paraId="7BCD71BF">
      <w:pPr>
        <w:jc w:val="center"/>
        <w:rPr>
          <w:rFonts w:hint="eastAsia" w:ascii="宋体" w:hAnsi="宋体" w:eastAsia="宋体" w:cs="宋体"/>
          <w:b/>
          <w:sz w:val="24"/>
          <w:szCs w:val="24"/>
          <w:highlight w:val="none"/>
        </w:rPr>
      </w:pPr>
    </w:p>
    <w:p w14:paraId="2CB9F497">
      <w:pPr>
        <w:jc w:val="center"/>
        <w:rPr>
          <w:rFonts w:hint="eastAsia" w:ascii="宋体" w:hAnsi="宋体" w:eastAsia="宋体" w:cs="宋体"/>
          <w:b/>
          <w:sz w:val="24"/>
          <w:szCs w:val="24"/>
          <w:highlight w:val="none"/>
        </w:rPr>
      </w:pPr>
    </w:p>
    <w:tbl>
      <w:tblPr>
        <w:tblStyle w:val="25"/>
        <w:tblW w:w="0" w:type="auto"/>
        <w:jc w:val="center"/>
        <w:tblLayout w:type="fixed"/>
        <w:tblCellMar>
          <w:top w:w="0" w:type="dxa"/>
          <w:left w:w="108" w:type="dxa"/>
          <w:bottom w:w="0" w:type="dxa"/>
          <w:right w:w="108" w:type="dxa"/>
        </w:tblCellMar>
      </w:tblPr>
      <w:tblGrid>
        <w:gridCol w:w="2199"/>
        <w:gridCol w:w="360"/>
        <w:gridCol w:w="4789"/>
      </w:tblGrid>
      <w:tr w14:paraId="0C4310FF">
        <w:tblPrEx>
          <w:tblCellMar>
            <w:top w:w="0" w:type="dxa"/>
            <w:left w:w="108" w:type="dxa"/>
            <w:bottom w:w="0" w:type="dxa"/>
            <w:right w:w="108" w:type="dxa"/>
          </w:tblCellMar>
        </w:tblPrEx>
        <w:trPr>
          <w:trHeight w:val="614" w:hRule="atLeast"/>
          <w:jc w:val="center"/>
        </w:trPr>
        <w:tc>
          <w:tcPr>
            <w:tcW w:w="2199" w:type="dxa"/>
            <w:vAlign w:val="center"/>
          </w:tcPr>
          <w:p w14:paraId="25F11D89">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14:paraId="219661E6">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14:paraId="3486CEE6">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温州市高速公路资产经营有限公司</w:t>
            </w:r>
          </w:p>
        </w:tc>
      </w:tr>
      <w:tr w14:paraId="48688E88">
        <w:tblPrEx>
          <w:tblCellMar>
            <w:top w:w="0" w:type="dxa"/>
            <w:left w:w="108" w:type="dxa"/>
            <w:bottom w:w="0" w:type="dxa"/>
            <w:right w:w="108" w:type="dxa"/>
          </w:tblCellMar>
        </w:tblPrEx>
        <w:trPr>
          <w:trHeight w:val="614" w:hRule="atLeast"/>
          <w:jc w:val="center"/>
        </w:trPr>
        <w:tc>
          <w:tcPr>
            <w:tcW w:w="2199" w:type="dxa"/>
            <w:vAlign w:val="center"/>
          </w:tcPr>
          <w:p w14:paraId="061051E6">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14:paraId="04FA9DEA">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14:paraId="4E719540">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14:paraId="18678976">
      <w:pPr>
        <w:spacing w:before="156" w:beforeLines="50" w:line="360" w:lineRule="auto"/>
        <w:jc w:val="center"/>
        <w:rPr>
          <w:rFonts w:hint="eastAsia" w:ascii="宋体" w:hAnsi="宋体" w:eastAsia="宋体" w:cs="宋体"/>
          <w:spacing w:val="40"/>
          <w:sz w:val="30"/>
          <w:szCs w:val="30"/>
          <w:highlight w:val="none"/>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四</w:t>
      </w:r>
      <w:r>
        <w:rPr>
          <w:rFonts w:hint="eastAsia" w:ascii="宋体" w:hAnsi="宋体" w:eastAsia="宋体" w:cs="宋体"/>
          <w:spacing w:val="40"/>
          <w:sz w:val="30"/>
          <w:szCs w:val="30"/>
          <w:highlight w:val="none"/>
        </w:rPr>
        <w:t>年</w:t>
      </w:r>
    </w:p>
    <w:p w14:paraId="46D00EE0">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6FDD5237">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14:paraId="7E23D238">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14:paraId="0F40B90A">
      <w:pPr>
        <w:tabs>
          <w:tab w:val="right" w:leader="dot" w:pos="9660"/>
        </w:tabs>
        <w:spacing w:line="480" w:lineRule="auto"/>
        <w:rPr>
          <w:rFonts w:hint="eastAsia" w:ascii="宋体" w:hAnsi="宋体" w:eastAsia="宋体" w:cs="宋体"/>
          <w:spacing w:val="0"/>
          <w:szCs w:val="24"/>
          <w:highlight w:val="none"/>
          <w:u w:val="single"/>
        </w:rPr>
      </w:pPr>
      <w:r>
        <w:rPr>
          <w:rFonts w:hint="eastAsia" w:ascii="宋体" w:hAnsi="宋体" w:eastAsia="宋体" w:cs="宋体"/>
          <w:snapToGrid/>
          <w:spacing w:val="0"/>
          <w:kern w:val="2"/>
          <w:szCs w:val="24"/>
          <w:highlight w:val="none"/>
          <w:u w:val="single"/>
          <w:lang w:eastAsia="zh-CN"/>
        </w:rPr>
        <w:t>温州市交发集团所属温州市高速公路资产经营有限公司关于</w:t>
      </w:r>
      <w:r>
        <w:rPr>
          <w:rFonts w:hint="eastAsia" w:ascii="宋体" w:hAnsi="宋体" w:eastAsia="宋体" w:cs="宋体"/>
          <w:szCs w:val="24"/>
          <w:highlight w:val="none"/>
          <w:u w:val="single"/>
        </w:rPr>
        <w:fldChar w:fldCharType="begin"/>
      </w:r>
      <w:r>
        <w:rPr>
          <w:rFonts w:hint="eastAsia" w:ascii="宋体" w:hAnsi="宋体" w:eastAsia="宋体" w:cs="宋体"/>
          <w:szCs w:val="24"/>
          <w:highlight w:val="none"/>
          <w:u w:val="single"/>
        </w:rPr>
        <w:instrText xml:space="preserve"> HYPERLINK \l "_Toc491780521" </w:instrText>
      </w:r>
      <w:r>
        <w:rPr>
          <w:rFonts w:hint="eastAsia" w:ascii="宋体" w:hAnsi="宋体" w:eastAsia="宋体" w:cs="宋体"/>
          <w:szCs w:val="24"/>
          <w:highlight w:val="none"/>
          <w:u w:val="single"/>
        </w:rPr>
        <w:fldChar w:fldCharType="separate"/>
      </w:r>
      <w:r>
        <w:rPr>
          <w:rFonts w:hint="eastAsia" w:ascii="宋体" w:hAnsi="宋体" w:eastAsia="宋体" w:cs="宋体"/>
          <w:snapToGrid/>
          <w:spacing w:val="0"/>
          <w:kern w:val="2"/>
          <w:szCs w:val="24"/>
          <w:highlight w:val="none"/>
          <w:u w:val="single"/>
          <w:lang w:eastAsia="zh-CN"/>
        </w:rPr>
        <w:t>陶山服务区物业项目</w:t>
      </w:r>
      <w:r>
        <w:rPr>
          <w:rFonts w:hint="eastAsia" w:ascii="宋体" w:hAnsi="宋体" w:eastAsia="宋体" w:cs="宋体"/>
          <w:snapToGrid/>
          <w:spacing w:val="0"/>
          <w:kern w:val="2"/>
          <w:szCs w:val="24"/>
          <w:highlight w:val="none"/>
          <w:u w:val="single"/>
        </w:rPr>
        <w:t>的采购公告</w:t>
      </w:r>
      <w:r>
        <w:rPr>
          <w:rFonts w:hint="eastAsia" w:ascii="宋体" w:hAnsi="宋体" w:eastAsia="宋体" w:cs="宋体"/>
          <w:snapToGrid/>
          <w:spacing w:val="0"/>
          <w:kern w:val="2"/>
          <w:szCs w:val="24"/>
          <w:highlight w:val="none"/>
          <w:u w:val="single"/>
        </w:rPr>
        <w:tab/>
      </w:r>
      <w:r>
        <w:rPr>
          <w:rFonts w:hint="eastAsia" w:ascii="宋体" w:hAnsi="宋体" w:eastAsia="宋体" w:cs="宋体"/>
          <w:snapToGrid/>
          <w:spacing w:val="0"/>
          <w:kern w:val="2"/>
          <w:szCs w:val="24"/>
          <w:highlight w:val="none"/>
          <w:u w:val="single"/>
        </w:rPr>
        <w:t>3</w:t>
      </w:r>
      <w:r>
        <w:rPr>
          <w:rFonts w:hint="eastAsia" w:ascii="宋体" w:hAnsi="宋体" w:eastAsia="宋体" w:cs="宋体"/>
          <w:snapToGrid/>
          <w:spacing w:val="0"/>
          <w:kern w:val="2"/>
          <w:szCs w:val="24"/>
          <w:highlight w:val="none"/>
          <w:u w:val="single"/>
        </w:rPr>
        <w:fldChar w:fldCharType="end"/>
      </w:r>
    </w:p>
    <w:p w14:paraId="260485FB">
      <w:pPr>
        <w:tabs>
          <w:tab w:val="right" w:leader="dot" w:pos="9660"/>
        </w:tabs>
        <w:spacing w:line="480" w:lineRule="auto"/>
        <w:rPr>
          <w:rFonts w:hint="eastAsia" w:ascii="宋体" w:hAnsi="宋体" w:eastAsia="宋体" w:cs="宋体"/>
          <w:spacing w:val="0"/>
          <w:szCs w:val="24"/>
          <w:highlight w:val="none"/>
          <w:u w:val="single"/>
        </w:rPr>
      </w:pPr>
      <w:r>
        <w:rPr>
          <w:rFonts w:hint="eastAsia" w:ascii="宋体" w:hAnsi="宋体" w:eastAsia="宋体" w:cs="宋体"/>
          <w:spacing w:val="0"/>
          <w:szCs w:val="24"/>
          <w:highlight w:val="none"/>
          <w:u w:val="single"/>
          <w:lang w:eastAsia="zh-CN"/>
        </w:rPr>
        <w:t>温州市交发集团所属温州市高速公路资产经营有限公司关于</w:t>
      </w:r>
      <w:r>
        <w:rPr>
          <w:rFonts w:hint="eastAsia" w:ascii="宋体" w:hAnsi="宋体" w:eastAsia="宋体" w:cs="宋体"/>
          <w:szCs w:val="24"/>
          <w:highlight w:val="none"/>
          <w:u w:val="single"/>
        </w:rPr>
        <w:fldChar w:fldCharType="begin"/>
      </w:r>
      <w:r>
        <w:rPr>
          <w:rFonts w:hint="eastAsia" w:ascii="宋体" w:hAnsi="宋体" w:eastAsia="宋体" w:cs="宋体"/>
          <w:szCs w:val="24"/>
          <w:highlight w:val="none"/>
          <w:u w:val="single"/>
        </w:rPr>
        <w:instrText xml:space="preserve"> HYPERLINK \l "_Toc491780522" </w:instrText>
      </w:r>
      <w:r>
        <w:rPr>
          <w:rFonts w:hint="eastAsia" w:ascii="宋体" w:hAnsi="宋体" w:eastAsia="宋体" w:cs="宋体"/>
          <w:szCs w:val="24"/>
          <w:highlight w:val="none"/>
          <w:u w:val="single"/>
        </w:rPr>
        <w:fldChar w:fldCharType="separate"/>
      </w:r>
      <w:r>
        <w:rPr>
          <w:rFonts w:hint="eastAsia" w:ascii="宋体" w:hAnsi="宋体" w:eastAsia="宋体" w:cs="宋体"/>
          <w:spacing w:val="0"/>
          <w:szCs w:val="24"/>
          <w:highlight w:val="none"/>
          <w:u w:val="single"/>
          <w:lang w:eastAsia="zh-CN"/>
        </w:rPr>
        <w:t>陶山服务区物业项目</w:t>
      </w:r>
      <w:r>
        <w:rPr>
          <w:rFonts w:hint="eastAsia" w:ascii="宋体" w:hAnsi="宋体" w:eastAsia="宋体" w:cs="宋体"/>
          <w:spacing w:val="0"/>
          <w:szCs w:val="24"/>
          <w:highlight w:val="none"/>
          <w:u w:val="single"/>
          <w:lang w:val="en-US" w:eastAsia="zh-CN"/>
        </w:rPr>
        <w:t>项目</w:t>
      </w:r>
      <w:r>
        <w:rPr>
          <w:rFonts w:hint="eastAsia" w:ascii="宋体" w:hAnsi="宋体" w:eastAsia="宋体" w:cs="宋体"/>
          <w:spacing w:val="0"/>
          <w:szCs w:val="24"/>
          <w:highlight w:val="none"/>
          <w:u w:val="single"/>
        </w:rPr>
        <w:t>征求意见公示</w:t>
      </w:r>
      <w:r>
        <w:rPr>
          <w:rFonts w:hint="eastAsia" w:ascii="宋体" w:hAnsi="宋体" w:eastAsia="宋体" w:cs="宋体"/>
          <w:spacing w:val="0"/>
          <w:szCs w:val="24"/>
          <w:highlight w:val="none"/>
          <w:u w:val="single"/>
        </w:rPr>
        <w:tab/>
      </w:r>
      <w:r>
        <w:rPr>
          <w:rFonts w:hint="eastAsia" w:ascii="宋体" w:hAnsi="宋体" w:eastAsia="宋体" w:cs="宋体"/>
          <w:spacing w:val="0"/>
          <w:szCs w:val="24"/>
          <w:highlight w:val="none"/>
          <w:u w:val="single"/>
        </w:rPr>
        <w:t>5</w:t>
      </w:r>
      <w:r>
        <w:rPr>
          <w:rFonts w:hint="eastAsia" w:ascii="宋体" w:hAnsi="宋体" w:eastAsia="宋体" w:cs="宋体"/>
          <w:spacing w:val="0"/>
          <w:szCs w:val="24"/>
          <w:highlight w:val="none"/>
          <w:u w:val="single"/>
        </w:rPr>
        <w:fldChar w:fldCharType="end"/>
      </w:r>
    </w:p>
    <w:p w14:paraId="33BF25BB">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14:paraId="518E09C7">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18</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p>
    <w:p w14:paraId="69EDB00D">
      <w:pPr>
        <w:tabs>
          <w:tab w:val="right" w:leader="dot" w:pos="9660"/>
        </w:tabs>
        <w:spacing w:line="480" w:lineRule="auto"/>
        <w:rPr>
          <w:rFonts w:hint="default"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40</w:t>
      </w:r>
    </w:p>
    <w:p w14:paraId="62A01741">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59</w:t>
      </w:r>
    </w:p>
    <w:p w14:paraId="507C10C5">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67</w:t>
      </w:r>
    </w:p>
    <w:p w14:paraId="44D68F92">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的条款，为采购文件的实质性要求和条件，着重提醒各投标人注意（不响应</w:t>
      </w:r>
      <w:r>
        <w:rPr>
          <w:rFonts w:hint="eastAsia" w:ascii="宋体" w:hAnsi="宋体" w:eastAsia="宋体" w:cs="宋体"/>
          <w:b/>
          <w:bCs/>
          <w:sz w:val="28"/>
          <w:szCs w:val="30"/>
          <w:highlight w:val="none"/>
          <w:lang w:val="en-US" w:eastAsia="zh-CN"/>
        </w:rPr>
        <w:t>加</w:t>
      </w:r>
      <w:r>
        <w:rPr>
          <w:rFonts w:hint="eastAsia" w:ascii="宋体" w:hAnsi="宋体" w:eastAsia="宋体" w:cs="宋体"/>
          <w:b/>
          <w:bCs/>
          <w:sz w:val="28"/>
          <w:szCs w:val="30"/>
          <w:highlight w:val="none"/>
        </w:rPr>
        <w:t>“▲”</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条款的作无效标处理），并认真查看采购文件中的每一个条款及要求，因误读采购文件而造成的后果，采购人概不负责。</w:t>
      </w:r>
    </w:p>
    <w:p w14:paraId="7C255563">
      <w:pPr>
        <w:jc w:val="center"/>
        <w:rPr>
          <w:rFonts w:hint="eastAsia" w:ascii="宋体" w:hAnsi="宋体" w:eastAsia="宋体" w:cs="宋体"/>
          <w:sz w:val="24"/>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sz w:val="24"/>
          <w:highlight w:val="none"/>
          <w:lang w:eastAsia="zh-CN"/>
        </w:rPr>
        <w:t>温州市交发集团</w:t>
      </w:r>
      <w:r>
        <w:rPr>
          <w:rFonts w:hint="eastAsia" w:ascii="宋体" w:hAnsi="宋体" w:eastAsia="宋体" w:cs="宋体"/>
          <w:sz w:val="24"/>
          <w:highlight w:val="none"/>
          <w:lang w:val="en-US" w:eastAsia="zh-CN"/>
        </w:rPr>
        <w:t>所属</w:t>
      </w:r>
      <w:r>
        <w:rPr>
          <w:rFonts w:hint="eastAsia" w:ascii="宋体" w:hAnsi="宋体" w:eastAsia="宋体" w:cs="宋体"/>
          <w:sz w:val="24"/>
          <w:highlight w:val="none"/>
          <w:lang w:eastAsia="zh-CN"/>
        </w:rPr>
        <w:t>温州市高速公路资产经营有限公司关于陶山服务区物业项目</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的采购公告</w:t>
      </w:r>
    </w:p>
    <w:p w14:paraId="263F7404">
      <w:pPr>
        <w:jc w:val="center"/>
        <w:rPr>
          <w:rFonts w:hint="eastAsia" w:ascii="宋体" w:hAnsi="宋体" w:eastAsia="宋体" w:cs="宋体"/>
          <w:highlight w:val="none"/>
        </w:rPr>
      </w:pPr>
    </w:p>
    <w:p w14:paraId="24DE39A6">
      <w:pPr>
        <w:widowControl/>
        <w:spacing w:before="60" w:after="60"/>
        <w:ind w:right="60" w:firstLine="420" w:firstLineChars="200"/>
        <w:jc w:val="left"/>
        <w:rPr>
          <w:rFonts w:hint="eastAsia" w:ascii="宋体" w:hAnsi="宋体" w:eastAsia="宋体" w:cs="宋体"/>
          <w:color w:val="auto"/>
          <w:highlight w:val="none"/>
        </w:rPr>
      </w:pPr>
      <w:r>
        <w:rPr>
          <w:rFonts w:hint="eastAsia" w:ascii="宋体" w:hAnsi="宋体" w:eastAsia="宋体" w:cs="宋体"/>
          <w:highlight w:val="none"/>
        </w:rPr>
        <w:t>根据《温州市市属国有企业采购管理办法》</w:t>
      </w:r>
      <w:r>
        <w:rPr>
          <w:rFonts w:hint="eastAsia" w:ascii="宋体" w:hAnsi="宋体" w:eastAsia="宋体" w:cs="宋体"/>
          <w:color w:val="auto"/>
          <w:highlight w:val="none"/>
        </w:rPr>
        <w:t>（温国资委〔2024〕第51号）等有关规定，</w:t>
      </w:r>
      <w:r>
        <w:rPr>
          <w:rFonts w:hint="eastAsia" w:ascii="宋体" w:hAnsi="宋体" w:eastAsia="宋体" w:cs="宋体"/>
          <w:color w:val="auto"/>
          <w:highlight w:val="none"/>
          <w:lang w:eastAsia="zh-CN"/>
        </w:rPr>
        <w:t>浙江国际招投标有限公司</w:t>
      </w:r>
      <w:r>
        <w:rPr>
          <w:rFonts w:hint="eastAsia" w:ascii="宋体" w:hAnsi="宋体" w:eastAsia="宋体" w:cs="宋体"/>
          <w:color w:val="auto"/>
          <w:highlight w:val="none"/>
        </w:rPr>
        <w:t>受</w:t>
      </w:r>
      <w:r>
        <w:rPr>
          <w:rFonts w:hint="eastAsia" w:ascii="宋体" w:hAnsi="宋体" w:eastAsia="宋体" w:cs="宋体"/>
          <w:color w:val="auto"/>
          <w:highlight w:val="none"/>
          <w:lang w:eastAsia="zh-CN"/>
        </w:rPr>
        <w:t>温州市高速公路资产经营有限公司</w:t>
      </w:r>
      <w:r>
        <w:rPr>
          <w:rFonts w:hint="eastAsia" w:ascii="宋体" w:hAnsi="宋体" w:eastAsia="宋体" w:cs="宋体"/>
          <w:color w:val="auto"/>
          <w:highlight w:val="none"/>
        </w:rPr>
        <w:t>的委托，就</w:t>
      </w:r>
      <w:r>
        <w:rPr>
          <w:rFonts w:hint="eastAsia" w:ascii="宋体" w:hAnsi="宋体" w:eastAsia="宋体" w:cs="宋体"/>
          <w:color w:val="auto"/>
          <w:highlight w:val="none"/>
          <w:lang w:eastAsia="zh-CN"/>
        </w:rPr>
        <w:t>陶山服务区物业项目</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以公开招标方式进行国企采购，欢迎国内合格的投标供应商前来投标。</w:t>
      </w:r>
    </w:p>
    <w:p w14:paraId="520EDD25">
      <w:pPr>
        <w:widowControl/>
        <w:spacing w:before="60" w:after="60"/>
        <w:ind w:right="60"/>
        <w:jc w:val="left"/>
        <w:rPr>
          <w:rFonts w:hint="eastAsia" w:ascii="宋体" w:hAnsi="宋体" w:eastAsia="宋体" w:cs="宋体"/>
          <w:bCs/>
          <w:color w:val="auto"/>
          <w:kern w:val="0"/>
          <w:szCs w:val="21"/>
          <w:highlight w:val="none"/>
          <w:lang w:eastAsia="zh-CN"/>
        </w:rPr>
      </w:pPr>
      <w:r>
        <w:rPr>
          <w:rFonts w:hint="eastAsia" w:ascii="宋体" w:hAnsi="宋体" w:eastAsia="宋体" w:cs="宋体"/>
          <w:b/>
          <w:bCs w:val="0"/>
          <w:color w:val="auto"/>
          <w:kern w:val="0"/>
          <w:szCs w:val="21"/>
          <w:highlight w:val="none"/>
          <w:lang w:val="en-US" w:eastAsia="zh-CN"/>
        </w:rPr>
        <w:t>一</w:t>
      </w:r>
      <w:r>
        <w:rPr>
          <w:rFonts w:hint="eastAsia" w:ascii="宋体" w:hAnsi="宋体" w:eastAsia="宋体" w:cs="宋体"/>
          <w:b/>
          <w:bCs w:val="0"/>
          <w:color w:val="auto"/>
          <w:kern w:val="0"/>
          <w:szCs w:val="21"/>
          <w:highlight w:val="none"/>
        </w:rPr>
        <w:t>、项目编号：</w:t>
      </w:r>
      <w:r>
        <w:rPr>
          <w:rFonts w:hint="eastAsia" w:ascii="宋体" w:hAnsi="宋体" w:eastAsia="宋体" w:cs="宋体"/>
          <w:bCs/>
          <w:color w:val="auto"/>
          <w:kern w:val="0"/>
          <w:szCs w:val="21"/>
          <w:highlight w:val="none"/>
          <w:lang w:eastAsia="zh-CN"/>
        </w:rPr>
        <w:t>WGSS-JFJT-X-2024008</w:t>
      </w:r>
    </w:p>
    <w:p w14:paraId="50CDC20E">
      <w:pPr>
        <w:widowControl/>
        <w:spacing w:before="60" w:after="60"/>
        <w:ind w:right="60"/>
        <w:jc w:val="left"/>
        <w:rPr>
          <w:rFonts w:hint="eastAsia" w:ascii="宋体" w:hAnsi="宋体" w:eastAsia="宋体" w:cs="宋体"/>
          <w:b w:val="0"/>
          <w:bCs/>
          <w:color w:val="auto"/>
          <w:kern w:val="0"/>
          <w:szCs w:val="21"/>
          <w:highlight w:val="none"/>
          <w:lang w:eastAsia="zh-CN"/>
        </w:rPr>
      </w:pPr>
      <w:r>
        <w:rPr>
          <w:rFonts w:hint="eastAsia" w:ascii="宋体" w:hAnsi="宋体" w:eastAsia="宋体" w:cs="宋体"/>
          <w:b/>
          <w:bCs w:val="0"/>
          <w:color w:val="auto"/>
          <w:kern w:val="0"/>
          <w:szCs w:val="21"/>
          <w:highlight w:val="none"/>
          <w:lang w:val="en-US" w:eastAsia="zh-CN"/>
        </w:rPr>
        <w:t>二</w:t>
      </w:r>
      <w:r>
        <w:rPr>
          <w:rFonts w:hint="eastAsia" w:ascii="宋体" w:hAnsi="宋体" w:eastAsia="宋体" w:cs="宋体"/>
          <w:b/>
          <w:bCs w:val="0"/>
          <w:color w:val="auto"/>
          <w:kern w:val="0"/>
          <w:szCs w:val="21"/>
          <w:highlight w:val="none"/>
        </w:rPr>
        <w:t>、项目名称：</w:t>
      </w:r>
      <w:r>
        <w:rPr>
          <w:rFonts w:hint="eastAsia" w:ascii="宋体" w:hAnsi="宋体" w:eastAsia="宋体" w:cs="宋体"/>
          <w:b w:val="0"/>
          <w:bCs/>
          <w:color w:val="auto"/>
          <w:kern w:val="0"/>
          <w:szCs w:val="21"/>
          <w:highlight w:val="none"/>
        </w:rPr>
        <w:t>陶山服务区物业项目</w:t>
      </w:r>
    </w:p>
    <w:p w14:paraId="05A12544">
      <w:pPr>
        <w:widowControl/>
        <w:spacing w:before="60" w:after="60"/>
        <w:ind w:right="60"/>
        <w:jc w:val="left"/>
        <w:rPr>
          <w:rFonts w:hint="eastAsia" w:ascii="宋体" w:hAnsi="宋体" w:eastAsia="宋体" w:cs="宋体"/>
          <w:bCs/>
          <w:color w:val="auto"/>
          <w:kern w:val="0"/>
          <w:szCs w:val="21"/>
          <w:highlight w:val="none"/>
        </w:rPr>
      </w:pPr>
      <w:r>
        <w:rPr>
          <w:rFonts w:hint="eastAsia" w:ascii="宋体" w:hAnsi="宋体" w:eastAsia="宋体" w:cs="宋体"/>
          <w:b/>
          <w:bCs w:val="0"/>
          <w:color w:val="auto"/>
          <w:kern w:val="0"/>
          <w:szCs w:val="21"/>
          <w:highlight w:val="none"/>
          <w:lang w:val="en-US" w:eastAsia="zh-CN"/>
        </w:rPr>
        <w:t>三</w:t>
      </w:r>
      <w:r>
        <w:rPr>
          <w:rFonts w:hint="eastAsia" w:ascii="宋体" w:hAnsi="宋体" w:eastAsia="宋体" w:cs="宋体"/>
          <w:b/>
          <w:bCs w:val="0"/>
          <w:color w:val="auto"/>
          <w:kern w:val="0"/>
          <w:szCs w:val="21"/>
          <w:highlight w:val="none"/>
        </w:rPr>
        <w:t>、采购性质：</w:t>
      </w:r>
      <w:r>
        <w:rPr>
          <w:rFonts w:hint="eastAsia" w:ascii="宋体" w:hAnsi="宋体" w:eastAsia="宋体" w:cs="宋体"/>
          <w:bCs/>
          <w:color w:val="auto"/>
          <w:kern w:val="0"/>
          <w:szCs w:val="21"/>
          <w:highlight w:val="none"/>
        </w:rPr>
        <w:t>国企采购（非政府采购）</w:t>
      </w:r>
    </w:p>
    <w:p w14:paraId="46FB2736">
      <w:pPr>
        <w:widowControl/>
        <w:spacing w:before="60" w:after="60"/>
        <w:ind w:right="60"/>
        <w:jc w:val="left"/>
        <w:rPr>
          <w:rFonts w:hint="eastAsia" w:ascii="宋体" w:hAnsi="宋体" w:eastAsia="宋体" w:cs="宋体"/>
          <w:bCs/>
          <w:color w:val="auto"/>
          <w:kern w:val="0"/>
          <w:szCs w:val="21"/>
          <w:highlight w:val="none"/>
        </w:rPr>
      </w:pPr>
      <w:r>
        <w:rPr>
          <w:rFonts w:hint="eastAsia" w:ascii="宋体" w:hAnsi="宋体" w:eastAsia="宋体" w:cs="宋体"/>
          <w:b/>
          <w:bCs w:val="0"/>
          <w:color w:val="auto"/>
          <w:kern w:val="0"/>
          <w:szCs w:val="21"/>
          <w:highlight w:val="none"/>
          <w:lang w:val="en-US" w:eastAsia="zh-CN"/>
        </w:rPr>
        <w:t>四</w:t>
      </w:r>
      <w:r>
        <w:rPr>
          <w:rFonts w:hint="eastAsia" w:ascii="宋体" w:hAnsi="宋体" w:eastAsia="宋体" w:cs="宋体"/>
          <w:b/>
          <w:bCs w:val="0"/>
          <w:color w:val="auto"/>
          <w:kern w:val="0"/>
          <w:szCs w:val="21"/>
          <w:highlight w:val="none"/>
        </w:rPr>
        <w:t>、预算金额：</w:t>
      </w:r>
      <w:r>
        <w:rPr>
          <w:rFonts w:hint="eastAsia" w:ascii="宋体" w:hAnsi="宋体" w:eastAsia="宋体" w:cs="宋体"/>
          <w:bCs/>
          <w:color w:val="auto"/>
          <w:kern w:val="0"/>
          <w:szCs w:val="21"/>
          <w:highlight w:val="none"/>
        </w:rPr>
        <w:t>人民币</w:t>
      </w:r>
      <w:r>
        <w:rPr>
          <w:rFonts w:hint="eastAsia" w:ascii="宋体" w:hAnsi="宋体" w:eastAsia="宋体" w:cs="宋体"/>
          <w:bCs/>
          <w:color w:val="auto"/>
          <w:kern w:val="0"/>
          <w:szCs w:val="21"/>
          <w:highlight w:val="none"/>
          <w:lang w:val="en-US" w:eastAsia="zh-CN"/>
        </w:rPr>
        <w:t>384</w:t>
      </w:r>
      <w:r>
        <w:rPr>
          <w:rFonts w:hint="eastAsia" w:ascii="宋体" w:hAnsi="宋体" w:eastAsia="宋体" w:cs="宋体"/>
          <w:bCs/>
          <w:color w:val="auto"/>
          <w:kern w:val="0"/>
          <w:szCs w:val="21"/>
          <w:highlight w:val="none"/>
        </w:rPr>
        <w:t>万元</w:t>
      </w:r>
    </w:p>
    <w:p w14:paraId="5A179513">
      <w:pPr>
        <w:widowControl/>
        <w:spacing w:before="60" w:after="60"/>
        <w:ind w:right="60"/>
        <w:jc w:val="left"/>
        <w:rPr>
          <w:rFonts w:hint="eastAsia" w:ascii="宋体" w:hAnsi="宋体" w:eastAsia="宋体" w:cs="宋体"/>
          <w:b/>
          <w:bCs w:val="0"/>
          <w:color w:val="auto"/>
          <w:highlight w:val="none"/>
        </w:rPr>
      </w:pPr>
      <w:r>
        <w:rPr>
          <w:rFonts w:hint="eastAsia" w:ascii="宋体" w:hAnsi="宋体" w:eastAsia="宋体" w:cs="宋体"/>
          <w:b/>
          <w:bCs w:val="0"/>
          <w:color w:val="auto"/>
          <w:kern w:val="0"/>
          <w:szCs w:val="21"/>
          <w:highlight w:val="none"/>
          <w:lang w:val="en-US" w:eastAsia="zh-CN"/>
        </w:rPr>
        <w:t>五</w:t>
      </w:r>
      <w:r>
        <w:rPr>
          <w:rFonts w:hint="eastAsia" w:ascii="宋体" w:hAnsi="宋体" w:eastAsia="宋体" w:cs="宋体"/>
          <w:b/>
          <w:bCs w:val="0"/>
          <w:color w:val="auto"/>
          <w:kern w:val="0"/>
          <w:szCs w:val="21"/>
          <w:highlight w:val="none"/>
        </w:rPr>
        <w:t>、采购内容（具体采购内容及详细技术要求见采购文件相关部分）：</w:t>
      </w:r>
    </w:p>
    <w:tbl>
      <w:tblPr>
        <w:tblStyle w:val="25"/>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
        <w:gridCol w:w="1242"/>
        <w:gridCol w:w="621"/>
        <w:gridCol w:w="653"/>
        <w:gridCol w:w="1105"/>
        <w:gridCol w:w="4863"/>
      </w:tblGrid>
      <w:tr w14:paraId="70D6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tcMar>
              <w:top w:w="0" w:type="dxa"/>
              <w:left w:w="108" w:type="dxa"/>
              <w:bottom w:w="0" w:type="dxa"/>
              <w:right w:w="108" w:type="dxa"/>
            </w:tcMar>
            <w:vAlign w:val="center"/>
          </w:tcPr>
          <w:p w14:paraId="27B1EFBD">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序号</w:t>
            </w:r>
          </w:p>
        </w:tc>
        <w:tc>
          <w:tcPr>
            <w:tcW w:w="1242" w:type="dxa"/>
            <w:tcMar>
              <w:top w:w="0" w:type="dxa"/>
              <w:left w:w="108" w:type="dxa"/>
              <w:bottom w:w="0" w:type="dxa"/>
              <w:right w:w="108" w:type="dxa"/>
            </w:tcMar>
            <w:vAlign w:val="center"/>
          </w:tcPr>
          <w:p w14:paraId="37BC203F">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标项内容</w:t>
            </w:r>
          </w:p>
        </w:tc>
        <w:tc>
          <w:tcPr>
            <w:tcW w:w="621" w:type="dxa"/>
            <w:tcMar>
              <w:top w:w="0" w:type="dxa"/>
              <w:left w:w="108" w:type="dxa"/>
              <w:bottom w:w="0" w:type="dxa"/>
              <w:right w:w="108" w:type="dxa"/>
            </w:tcMar>
            <w:vAlign w:val="center"/>
          </w:tcPr>
          <w:p w14:paraId="0AA54D44">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数量</w:t>
            </w:r>
          </w:p>
        </w:tc>
        <w:tc>
          <w:tcPr>
            <w:tcW w:w="653" w:type="dxa"/>
            <w:tcMar>
              <w:top w:w="0" w:type="dxa"/>
              <w:left w:w="108" w:type="dxa"/>
              <w:bottom w:w="0" w:type="dxa"/>
              <w:right w:w="108" w:type="dxa"/>
            </w:tcMar>
            <w:vAlign w:val="center"/>
          </w:tcPr>
          <w:p w14:paraId="02365DB3">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单位</w:t>
            </w:r>
          </w:p>
        </w:tc>
        <w:tc>
          <w:tcPr>
            <w:tcW w:w="1105" w:type="dxa"/>
            <w:tcMar>
              <w:top w:w="0" w:type="dxa"/>
              <w:left w:w="108" w:type="dxa"/>
              <w:bottom w:w="0" w:type="dxa"/>
              <w:right w:w="108" w:type="dxa"/>
            </w:tcMar>
            <w:vAlign w:val="center"/>
          </w:tcPr>
          <w:p w14:paraId="5850DC2C">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预算金额(万元)</w:t>
            </w:r>
          </w:p>
        </w:tc>
        <w:tc>
          <w:tcPr>
            <w:tcW w:w="4863" w:type="dxa"/>
            <w:tcMar>
              <w:top w:w="0" w:type="dxa"/>
              <w:left w:w="108" w:type="dxa"/>
              <w:bottom w:w="0" w:type="dxa"/>
              <w:right w:w="108" w:type="dxa"/>
            </w:tcMar>
            <w:vAlign w:val="center"/>
          </w:tcPr>
          <w:p w14:paraId="299F5734">
            <w:pPr>
              <w:widowControl/>
              <w:spacing w:before="60" w:after="60" w:line="240" w:lineRule="exact"/>
              <w:ind w:left="60" w:right="60"/>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简要技术要求、用途</w:t>
            </w:r>
          </w:p>
        </w:tc>
      </w:tr>
      <w:tr w14:paraId="6624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dxa"/>
            <w:tcMar>
              <w:top w:w="0" w:type="dxa"/>
              <w:left w:w="108" w:type="dxa"/>
              <w:bottom w:w="0" w:type="dxa"/>
              <w:right w:w="108" w:type="dxa"/>
            </w:tcMar>
            <w:vAlign w:val="center"/>
          </w:tcPr>
          <w:p w14:paraId="4273EE55">
            <w:pPr>
              <w:widowControl/>
              <w:spacing w:before="60" w:after="60" w:line="240" w:lineRule="exact"/>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1</w:t>
            </w:r>
          </w:p>
        </w:tc>
        <w:tc>
          <w:tcPr>
            <w:tcW w:w="1242" w:type="dxa"/>
            <w:tcMar>
              <w:top w:w="0" w:type="dxa"/>
              <w:left w:w="108" w:type="dxa"/>
              <w:bottom w:w="0" w:type="dxa"/>
              <w:right w:w="108" w:type="dxa"/>
            </w:tcMar>
            <w:vAlign w:val="center"/>
          </w:tcPr>
          <w:p w14:paraId="6D888C46">
            <w:pPr>
              <w:widowControl/>
              <w:spacing w:before="60" w:after="60" w:line="240" w:lineRule="exact"/>
              <w:jc w:val="center"/>
              <w:rPr>
                <w:rFonts w:hint="eastAsia" w:ascii="宋体" w:hAnsi="宋体" w:eastAsia="宋体" w:cs="宋体"/>
                <w:bCs/>
                <w:color w:val="auto"/>
                <w:kern w:val="0"/>
                <w:sz w:val="18"/>
                <w:szCs w:val="18"/>
                <w:highlight w:val="none"/>
                <w:lang w:eastAsia="zh-CN"/>
              </w:rPr>
            </w:pPr>
            <w:r>
              <w:rPr>
                <w:rFonts w:hint="eastAsia" w:ascii="宋体" w:hAnsi="宋体" w:eastAsia="宋体" w:cs="宋体"/>
                <w:bCs/>
                <w:color w:val="auto"/>
                <w:kern w:val="0"/>
                <w:sz w:val="18"/>
                <w:szCs w:val="18"/>
                <w:highlight w:val="none"/>
                <w:lang w:eastAsia="zh-CN"/>
              </w:rPr>
              <w:t>陶山服务区物业项目</w:t>
            </w:r>
          </w:p>
        </w:tc>
        <w:tc>
          <w:tcPr>
            <w:tcW w:w="621" w:type="dxa"/>
            <w:tcMar>
              <w:top w:w="0" w:type="dxa"/>
              <w:left w:w="108" w:type="dxa"/>
              <w:bottom w:w="0" w:type="dxa"/>
              <w:right w:w="108" w:type="dxa"/>
            </w:tcMar>
            <w:vAlign w:val="center"/>
          </w:tcPr>
          <w:p w14:paraId="338E1549">
            <w:pPr>
              <w:widowControl/>
              <w:spacing w:before="60" w:after="60" w:line="240" w:lineRule="exact"/>
              <w:jc w:val="center"/>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1</w:t>
            </w:r>
          </w:p>
        </w:tc>
        <w:tc>
          <w:tcPr>
            <w:tcW w:w="653" w:type="dxa"/>
            <w:tcMar>
              <w:top w:w="0" w:type="dxa"/>
              <w:left w:w="108" w:type="dxa"/>
              <w:bottom w:w="0" w:type="dxa"/>
              <w:right w:w="108" w:type="dxa"/>
            </w:tcMar>
            <w:vAlign w:val="center"/>
          </w:tcPr>
          <w:p w14:paraId="78E4B9A4">
            <w:pPr>
              <w:widowControl/>
              <w:spacing w:before="60" w:after="60" w:line="24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项</w:t>
            </w:r>
          </w:p>
        </w:tc>
        <w:tc>
          <w:tcPr>
            <w:tcW w:w="1105" w:type="dxa"/>
            <w:tcMar>
              <w:top w:w="0" w:type="dxa"/>
              <w:left w:w="108" w:type="dxa"/>
              <w:bottom w:w="0" w:type="dxa"/>
              <w:right w:w="108" w:type="dxa"/>
            </w:tcMar>
            <w:vAlign w:val="center"/>
          </w:tcPr>
          <w:p w14:paraId="46390BD0">
            <w:pPr>
              <w:widowControl/>
              <w:spacing w:before="60" w:after="60" w:line="240" w:lineRule="exact"/>
              <w:jc w:val="center"/>
              <w:rPr>
                <w:rFonts w:hint="default"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384</w:t>
            </w:r>
          </w:p>
        </w:tc>
        <w:tc>
          <w:tcPr>
            <w:tcW w:w="4863" w:type="dxa"/>
            <w:tcMar>
              <w:top w:w="0" w:type="dxa"/>
              <w:left w:w="108" w:type="dxa"/>
              <w:bottom w:w="0" w:type="dxa"/>
              <w:right w:w="108" w:type="dxa"/>
            </w:tcMar>
            <w:vAlign w:val="center"/>
          </w:tcPr>
          <w:p w14:paraId="734036AC">
            <w:pPr>
              <w:widowControl/>
              <w:spacing w:before="60" w:after="60" w:line="240" w:lineRule="exact"/>
              <w:rPr>
                <w:rFonts w:hint="eastAsia"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lang w:eastAsia="zh-CN"/>
              </w:rPr>
              <w:t>陶山服务区物业项目</w:t>
            </w:r>
            <w:r>
              <w:rPr>
                <w:rFonts w:hint="eastAsia" w:ascii="宋体" w:hAnsi="宋体" w:eastAsia="宋体" w:cs="宋体"/>
                <w:color w:val="auto"/>
                <w:sz w:val="18"/>
                <w:szCs w:val="18"/>
                <w:highlight w:val="none"/>
              </w:rPr>
              <w:t>，服务内容包括陶山服务区物业服务</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kern w:val="0"/>
                <w:sz w:val="18"/>
                <w:szCs w:val="18"/>
                <w:highlight w:val="none"/>
                <w:lang w:eastAsia="zh-CN"/>
              </w:rPr>
              <w:t>瓯江红·畅美高速”党群服务中心物业服务</w:t>
            </w:r>
            <w:r>
              <w:rPr>
                <w:rFonts w:hint="eastAsia" w:ascii="宋体" w:hAnsi="宋体" w:eastAsia="宋体" w:cs="宋体"/>
                <w:bCs/>
                <w:color w:val="auto"/>
                <w:kern w:val="0"/>
                <w:sz w:val="18"/>
                <w:szCs w:val="18"/>
                <w:highlight w:val="none"/>
                <w:lang w:val="en-US" w:eastAsia="zh-CN"/>
              </w:rPr>
              <w:t>两部分</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内容及详细技术要求见采购文件相关部分。</w:t>
            </w:r>
          </w:p>
        </w:tc>
      </w:tr>
    </w:tbl>
    <w:p w14:paraId="7F385308">
      <w:pPr>
        <w:widowControl/>
        <w:spacing w:before="60" w:after="60"/>
        <w:ind w:right="60"/>
        <w:jc w:val="left"/>
        <w:rPr>
          <w:rFonts w:hint="eastAsia" w:ascii="宋体" w:hAnsi="宋体" w:eastAsia="宋体" w:cs="宋体"/>
          <w:b/>
          <w:bCs w:val="0"/>
          <w:kern w:val="0"/>
          <w:szCs w:val="21"/>
          <w:highlight w:val="none"/>
        </w:rPr>
      </w:pPr>
      <w:bookmarkStart w:id="3" w:name="B09_招标内容"/>
      <w:bookmarkEnd w:id="3"/>
      <w:r>
        <w:rPr>
          <w:rFonts w:hint="eastAsia" w:ascii="宋体" w:hAnsi="宋体" w:eastAsia="宋体" w:cs="宋体"/>
          <w:b/>
          <w:bCs w:val="0"/>
          <w:kern w:val="0"/>
          <w:szCs w:val="21"/>
          <w:highlight w:val="none"/>
          <w:lang w:val="en-US" w:eastAsia="zh-CN"/>
        </w:rPr>
        <w:t>六</w:t>
      </w:r>
      <w:r>
        <w:rPr>
          <w:rFonts w:hint="eastAsia" w:ascii="宋体" w:hAnsi="宋体" w:eastAsia="宋体" w:cs="宋体"/>
          <w:b/>
          <w:bCs w:val="0"/>
          <w:kern w:val="0"/>
          <w:szCs w:val="21"/>
          <w:highlight w:val="none"/>
        </w:rPr>
        <w:t>、投标供应商资格要求：</w:t>
      </w:r>
    </w:p>
    <w:p w14:paraId="7919E45E">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1、符合《温州市市属国有企业采购管理办法》（温国资委〔2024〕第51号）第十</w:t>
      </w:r>
      <w:r>
        <w:rPr>
          <w:rFonts w:hint="eastAsia" w:ascii="宋体" w:hAnsi="宋体" w:eastAsia="宋体" w:cs="宋体"/>
          <w:kern w:val="0"/>
          <w:szCs w:val="21"/>
          <w:highlight w:val="none"/>
          <w:lang w:val="en-US" w:eastAsia="zh-CN"/>
        </w:rPr>
        <w:t>八</w:t>
      </w:r>
      <w:r>
        <w:rPr>
          <w:rFonts w:hint="eastAsia" w:ascii="宋体" w:hAnsi="宋体" w:eastAsia="宋体" w:cs="宋体"/>
          <w:kern w:val="0"/>
          <w:szCs w:val="21"/>
          <w:highlight w:val="none"/>
        </w:rPr>
        <w:t>条对投标供应商参加温州市国有企业采购活动应当具备的基本资格条件；</w:t>
      </w:r>
    </w:p>
    <w:p w14:paraId="1A716A29">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color w:val="auto"/>
          <w:kern w:val="0"/>
          <w:szCs w:val="21"/>
          <w:highlight w:val="none"/>
          <w:lang w:val="en-US" w:eastAsia="zh-CN"/>
        </w:rPr>
        <w:t>至本项目投标截止前未被列入“信用中国”网站(www.creditchina.gov.cn)“记录失信被执行人或重大税收违法案件当事人名单”记录名单</w:t>
      </w:r>
      <w:r>
        <w:rPr>
          <w:rFonts w:hint="eastAsia" w:ascii="宋体" w:hAnsi="宋体" w:eastAsia="宋体" w:cs="宋体"/>
          <w:szCs w:val="21"/>
          <w:highlight w:val="none"/>
        </w:rPr>
        <w:t>；</w:t>
      </w:r>
    </w:p>
    <w:p w14:paraId="4213A0EA">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、单位负责人为同一人或者存在直接控股、管理关系的不同供应商，不得同时参加本项目投标活动；</w:t>
      </w:r>
    </w:p>
    <w:p w14:paraId="264A422F">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14:paraId="5C26F4A6">
      <w:pPr>
        <w:widowControl/>
        <w:spacing w:before="60" w:after="60"/>
        <w:ind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lang w:val="en-US" w:eastAsia="zh-CN"/>
        </w:rPr>
        <w:t>七</w:t>
      </w:r>
      <w:r>
        <w:rPr>
          <w:rFonts w:hint="eastAsia" w:ascii="宋体" w:hAnsi="宋体" w:eastAsia="宋体" w:cs="宋体"/>
          <w:b/>
          <w:bCs w:val="0"/>
          <w:kern w:val="0"/>
          <w:szCs w:val="21"/>
          <w:highlight w:val="none"/>
        </w:rPr>
        <w:t>、发售采购文件时间及地点：</w:t>
      </w:r>
    </w:p>
    <w:p w14:paraId="328E2637">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1.报名时间及采购文件发售时间：公告发布之日起至投标截止时间止（上午08：30-11：30，下午14：30-17：00，节假日除外，未购买采购文件的潜在投标供应商拒绝参加投标）。</w:t>
      </w:r>
    </w:p>
    <w:p w14:paraId="19F9AF23">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2.购领采购文件地点：乐采云平台</w:t>
      </w:r>
    </w:p>
    <w:p w14:paraId="6A6E5DDB">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3.采购文件售价：人民币500元整（售后不退）</w:t>
      </w:r>
    </w:p>
    <w:p w14:paraId="5824AB7C">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4.报名方式、购买标书及注意事项：</w:t>
      </w:r>
    </w:p>
    <w:p w14:paraId="6DCE67B3">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网上报名（乐采云报名）：请供应商登录乐采云平台（https://www.lecaiyun.com），进入“乐采云”平台进行注册并报名（未注册的供应商请尽早注册，客服电话：95763）。操作路径：乐采云平台-登录-项目采购-获取采购文件-申请获取采购文件。网上报名后，请将标书购买费汇入代理公司账户（缴纳报名费后将缴费截图、可以拷贝的开票信息等资料发代理机构电子邮箱1826066763@qq.com，并马上联系采购代理公司审核），标书款汇入账户信息：</w:t>
      </w:r>
    </w:p>
    <w:p w14:paraId="4854B294">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单位名称：浙江国际招投标有限公司</w:t>
      </w:r>
    </w:p>
    <w:p w14:paraId="628FB9FA">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开户银行：工商银行杭州市武林支行</w:t>
      </w:r>
    </w:p>
    <w:p w14:paraId="24FF1F48">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账    号：1202021209906782015</w:t>
      </w:r>
    </w:p>
    <w:p w14:paraId="5B86F611">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提示：仅需浏览采购文件的供应商可点击“游客，浏览采购文件”直接下载采购文件浏览，供应商只有在“乐采云平台”完成获取采购文件申请并下载了采购文件后才视作依法获取采购文件（法律法规所指的供应商获取采购文件时间以供应商完成获取采购文件申请后下载采购文件的时间为准）。</w:t>
      </w:r>
    </w:p>
    <w:p w14:paraId="0F333922">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注：请供应商按上述要求获取采购文件，如未在“乐采云”系统内完成相关流程，引起的投标无效责任自负。</w:t>
      </w:r>
    </w:p>
    <w:p w14:paraId="1CA7782D">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5.标供应商获取采购文件时须提交的文件资料：</w:t>
      </w:r>
      <w:r>
        <w:rPr>
          <w:rFonts w:hint="eastAsia" w:ascii="宋体" w:hAnsi="宋体" w:eastAsia="宋体" w:cs="宋体"/>
          <w:szCs w:val="21"/>
          <w:highlight w:val="none"/>
          <w:lang w:eastAsia="zh-CN"/>
        </w:rPr>
        <w:t>无</w:t>
      </w:r>
      <w:r>
        <w:rPr>
          <w:rFonts w:hint="eastAsia" w:ascii="宋体" w:hAnsi="宋体" w:eastAsia="宋体" w:cs="宋体"/>
          <w:szCs w:val="21"/>
          <w:highlight w:val="none"/>
        </w:rPr>
        <w:t>。</w:t>
      </w:r>
    </w:p>
    <w:p w14:paraId="4B685622">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
          <w:bCs w:val="0"/>
          <w:kern w:val="0"/>
          <w:szCs w:val="21"/>
          <w:highlight w:val="none"/>
          <w:lang w:val="en-US" w:eastAsia="zh-CN"/>
        </w:rPr>
        <w:t>八</w:t>
      </w:r>
      <w:r>
        <w:rPr>
          <w:rFonts w:hint="eastAsia" w:ascii="宋体" w:hAnsi="宋体" w:eastAsia="宋体" w:cs="宋体"/>
          <w:b/>
          <w:bCs w:val="0"/>
          <w:kern w:val="0"/>
          <w:szCs w:val="21"/>
          <w:highlight w:val="none"/>
        </w:rPr>
        <w:t>、投标截止时间：</w:t>
      </w:r>
      <w:bookmarkStart w:id="4" w:name="B23_谈判响应文件提交截止日期"/>
      <w:bookmarkEnd w:id="4"/>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4</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11</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13</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14</w:t>
      </w:r>
      <w:r>
        <w:rPr>
          <w:rFonts w:hint="eastAsia" w:ascii="宋体" w:hAnsi="宋体" w:eastAsia="宋体" w:cs="宋体"/>
          <w:bCs/>
          <w:color w:val="0000FF"/>
          <w:kern w:val="0"/>
          <w:szCs w:val="21"/>
          <w:highlight w:val="none"/>
        </w:rPr>
        <w:t>时30分</w:t>
      </w:r>
      <w:r>
        <w:rPr>
          <w:rFonts w:hint="eastAsia" w:ascii="宋体" w:hAnsi="宋体" w:eastAsia="宋体" w:cs="宋体"/>
          <w:bCs/>
          <w:color w:val="auto"/>
          <w:kern w:val="0"/>
          <w:szCs w:val="21"/>
          <w:highlight w:val="none"/>
        </w:rPr>
        <w:t>(北京时间，下同)。</w:t>
      </w:r>
    </w:p>
    <w:p w14:paraId="5B72B2D6">
      <w:pPr>
        <w:widowControl/>
        <w:spacing w:before="60" w:after="60"/>
        <w:ind w:left="578" w:leftChars="29" w:right="60" w:hanging="517" w:hangingChars="245"/>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lang w:val="en-US" w:eastAsia="zh-CN"/>
        </w:rPr>
        <w:t>九</w:t>
      </w:r>
      <w:r>
        <w:rPr>
          <w:rFonts w:hint="eastAsia" w:ascii="宋体" w:hAnsi="宋体" w:eastAsia="宋体" w:cs="宋体"/>
          <w:b/>
          <w:bCs w:val="0"/>
          <w:kern w:val="0"/>
          <w:szCs w:val="21"/>
          <w:highlight w:val="none"/>
        </w:rPr>
        <w:t>、投标文件提交地点：</w:t>
      </w:r>
      <w:r>
        <w:rPr>
          <w:rFonts w:hint="eastAsia" w:ascii="宋体" w:hAnsi="宋体" w:eastAsia="宋体" w:cs="宋体"/>
          <w:bCs/>
          <w:kern w:val="0"/>
          <w:szCs w:val="21"/>
          <w:highlight w:val="none"/>
        </w:rPr>
        <w:t>温州市政务服务管理中心收标区 (温州市鹿城区会展路1268号温州市民中心A座3楼公共资源交易专区)（详见当天大厅大屏幕）。</w:t>
      </w:r>
    </w:p>
    <w:p w14:paraId="51169A82">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
          <w:bCs w:val="0"/>
          <w:kern w:val="0"/>
          <w:szCs w:val="21"/>
          <w:highlight w:val="none"/>
        </w:rPr>
        <w:t>十、开标时间：</w:t>
      </w:r>
      <w:bookmarkStart w:id="5" w:name="B26_谈判时间日期"/>
      <w:bookmarkEnd w:id="5"/>
      <w:r>
        <w:rPr>
          <w:rFonts w:hint="eastAsia" w:ascii="宋体" w:hAnsi="宋体" w:eastAsia="宋体" w:cs="宋体"/>
          <w:bCs/>
          <w:kern w:val="0"/>
          <w:szCs w:val="21"/>
          <w:highlight w:val="none"/>
        </w:rPr>
        <w:t>同投标截止时间。</w:t>
      </w:r>
    </w:p>
    <w:p w14:paraId="7CE3D796">
      <w:pPr>
        <w:widowControl/>
        <w:spacing w:before="60" w:after="60"/>
        <w:ind w:left="578" w:leftChars="29" w:right="60" w:hanging="517" w:hangingChars="245"/>
        <w:jc w:val="left"/>
        <w:rPr>
          <w:rFonts w:hint="eastAsia" w:ascii="宋体" w:hAnsi="宋体" w:eastAsia="宋体" w:cs="宋体"/>
          <w:szCs w:val="21"/>
          <w:highlight w:val="none"/>
          <w:shd w:val="clear" w:color="auto" w:fill="FFFFFF"/>
        </w:rPr>
      </w:pPr>
      <w:r>
        <w:rPr>
          <w:rFonts w:hint="eastAsia" w:ascii="宋体" w:hAnsi="宋体" w:eastAsia="宋体" w:cs="宋体"/>
          <w:b/>
          <w:bCs w:val="0"/>
          <w:kern w:val="0"/>
          <w:szCs w:val="21"/>
          <w:highlight w:val="none"/>
        </w:rPr>
        <w:t>十</w:t>
      </w:r>
      <w:r>
        <w:rPr>
          <w:rFonts w:hint="eastAsia" w:ascii="宋体" w:hAnsi="宋体" w:eastAsia="宋体" w:cs="宋体"/>
          <w:b/>
          <w:bCs w:val="0"/>
          <w:kern w:val="0"/>
          <w:szCs w:val="21"/>
          <w:highlight w:val="none"/>
          <w:lang w:val="en-US" w:eastAsia="zh-CN"/>
        </w:rPr>
        <w:t>一</w:t>
      </w:r>
      <w:r>
        <w:rPr>
          <w:rFonts w:hint="eastAsia" w:ascii="宋体" w:hAnsi="宋体" w:eastAsia="宋体" w:cs="宋体"/>
          <w:b/>
          <w:bCs w:val="0"/>
          <w:kern w:val="0"/>
          <w:szCs w:val="21"/>
          <w:highlight w:val="none"/>
        </w:rPr>
        <w:t>、开标地点：</w:t>
      </w:r>
      <w:r>
        <w:rPr>
          <w:rFonts w:hint="eastAsia" w:ascii="宋体" w:hAnsi="宋体" w:eastAsia="宋体" w:cs="宋体"/>
          <w:kern w:val="0"/>
          <w:szCs w:val="21"/>
          <w:highlight w:val="none"/>
        </w:rPr>
        <w:t>温州市政务服务管理中心</w:t>
      </w:r>
      <w:r>
        <w:rPr>
          <w:rFonts w:hint="eastAsia" w:ascii="宋体" w:hAnsi="宋体" w:eastAsia="宋体" w:cs="宋体"/>
          <w:bCs/>
          <w:kern w:val="0"/>
          <w:szCs w:val="21"/>
          <w:highlight w:val="none"/>
        </w:rPr>
        <w:t>开标区</w:t>
      </w:r>
      <w:r>
        <w:rPr>
          <w:rFonts w:hint="eastAsia" w:ascii="宋体" w:hAnsi="宋体" w:eastAsia="宋体" w:cs="宋体"/>
          <w:szCs w:val="21"/>
          <w:highlight w:val="none"/>
          <w:shd w:val="clear" w:color="auto" w:fill="FFFFFF"/>
        </w:rPr>
        <w:t>。</w:t>
      </w:r>
    </w:p>
    <w:p w14:paraId="656D34E4">
      <w:pPr>
        <w:widowControl/>
        <w:spacing w:before="60" w:after="60"/>
        <w:ind w:left="60" w:right="60"/>
        <w:jc w:val="left"/>
        <w:rPr>
          <w:rFonts w:hint="eastAsia" w:ascii="宋体" w:hAnsi="宋体" w:eastAsia="宋体" w:cs="宋体"/>
          <w:b/>
          <w:bCs w:val="0"/>
          <w:kern w:val="0"/>
          <w:szCs w:val="21"/>
          <w:highlight w:val="none"/>
        </w:rPr>
      </w:pPr>
      <w:r>
        <w:rPr>
          <w:rFonts w:hint="eastAsia" w:ascii="宋体" w:hAnsi="宋体" w:eastAsia="宋体" w:cs="宋体"/>
          <w:b/>
          <w:bCs w:val="0"/>
          <w:kern w:val="0"/>
          <w:szCs w:val="21"/>
          <w:highlight w:val="none"/>
        </w:rPr>
        <w:t>十</w:t>
      </w:r>
      <w:r>
        <w:rPr>
          <w:rFonts w:hint="eastAsia" w:ascii="宋体" w:hAnsi="宋体" w:eastAsia="宋体" w:cs="宋体"/>
          <w:b/>
          <w:bCs w:val="0"/>
          <w:kern w:val="0"/>
          <w:szCs w:val="21"/>
          <w:highlight w:val="none"/>
          <w:lang w:val="en-US" w:eastAsia="zh-CN"/>
        </w:rPr>
        <w:t>二</w:t>
      </w:r>
      <w:r>
        <w:rPr>
          <w:rFonts w:hint="eastAsia" w:ascii="宋体" w:hAnsi="宋体" w:eastAsia="宋体" w:cs="宋体"/>
          <w:b/>
          <w:bCs w:val="0"/>
          <w:kern w:val="0"/>
          <w:szCs w:val="21"/>
          <w:highlight w:val="none"/>
        </w:rPr>
        <w:t>、投标保证金及交付方式：</w:t>
      </w:r>
    </w:p>
    <w:p w14:paraId="2384C120">
      <w:pPr>
        <w:widowControl/>
        <w:spacing w:before="60" w:after="60" w:line="280" w:lineRule="exact"/>
        <w:ind w:right="62" w:firstLine="420" w:firstLineChars="200"/>
        <w:jc w:val="left"/>
        <w:rPr>
          <w:rFonts w:hint="eastAsia" w:ascii="宋体" w:hAnsi="宋体" w:eastAsia="宋体" w:cs="宋体"/>
          <w:b/>
          <w:bCs/>
          <w:color w:val="auto"/>
          <w:kern w:val="0"/>
          <w:szCs w:val="21"/>
          <w:highlight w:val="none"/>
        </w:rPr>
      </w:pPr>
      <w:bookmarkStart w:id="6" w:name="B29_谈判保证金"/>
      <w:bookmarkEnd w:id="6"/>
      <w:bookmarkStart w:id="7" w:name="_Hlk516555339"/>
      <w:bookmarkStart w:id="8" w:name="_Hlk3381632"/>
      <w:r>
        <w:rPr>
          <w:rFonts w:hint="eastAsia" w:ascii="宋体" w:hAnsi="宋体" w:eastAsia="宋体" w:cs="宋体"/>
          <w:kern w:val="0"/>
          <w:szCs w:val="21"/>
          <w:highlight w:val="none"/>
        </w:rPr>
        <w:t>投标保证金：人民币</w:t>
      </w:r>
      <w:r>
        <w:rPr>
          <w:rFonts w:hint="eastAsia" w:ascii="宋体" w:hAnsi="宋体" w:eastAsia="宋体" w:cs="宋体"/>
          <w:kern w:val="0"/>
          <w:szCs w:val="21"/>
          <w:highlight w:val="none"/>
          <w:lang w:val="en-US" w:eastAsia="zh-CN"/>
        </w:rPr>
        <w:t>35</w:t>
      </w:r>
      <w:r>
        <w:rPr>
          <w:rFonts w:hint="eastAsia" w:ascii="宋体" w:hAnsi="宋体" w:eastAsia="宋体" w:cs="宋体"/>
          <w:kern w:val="0"/>
          <w:szCs w:val="21"/>
          <w:highlight w:val="none"/>
        </w:rPr>
        <w:t>000元整，采用银行转账形式，保证金缴纳截止时间：与投标截止时间相同。</w:t>
      </w:r>
      <w:r>
        <w:rPr>
          <w:rFonts w:hint="eastAsia" w:ascii="宋体" w:hAnsi="宋体" w:eastAsia="宋体" w:cs="宋体"/>
          <w:b/>
          <w:bCs/>
          <w:kern w:val="0"/>
          <w:szCs w:val="21"/>
          <w:u w:val="single"/>
        </w:rPr>
        <w:t>投标保证金要求从投标人</w:t>
      </w:r>
      <w:r>
        <w:rPr>
          <w:rFonts w:hint="eastAsia" w:ascii="宋体" w:hAnsi="宋体" w:eastAsia="宋体" w:cs="宋体"/>
          <w:b/>
          <w:bCs/>
          <w:kern w:val="0"/>
          <w:szCs w:val="21"/>
          <w:u w:val="single"/>
          <w:lang w:val="en-US" w:eastAsia="zh-CN"/>
        </w:rPr>
        <w:t>的</w:t>
      </w:r>
      <w:r>
        <w:rPr>
          <w:rFonts w:hint="eastAsia" w:ascii="宋体" w:hAnsi="宋体" w:eastAsia="宋体" w:cs="宋体"/>
          <w:b/>
          <w:bCs/>
          <w:kern w:val="0"/>
          <w:szCs w:val="21"/>
          <w:u w:val="single"/>
        </w:rPr>
        <w:t>银行账号汇出，保证金缴纳时间以到账时间为准</w:t>
      </w:r>
      <w:r>
        <w:rPr>
          <w:rFonts w:hint="eastAsia" w:ascii="宋体" w:hAnsi="宋体" w:eastAsia="宋体" w:cs="宋体"/>
          <w:kern w:val="0"/>
          <w:szCs w:val="21"/>
        </w:rPr>
        <w:t>。保证金缴纳账户信息：与标书款汇入账户信息相同。</w:t>
      </w:r>
    </w:p>
    <w:bookmarkEnd w:id="7"/>
    <w:bookmarkEnd w:id="8"/>
    <w:p w14:paraId="019BA25C">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十</w:t>
      </w:r>
      <w:r>
        <w:rPr>
          <w:rFonts w:hint="eastAsia" w:ascii="宋体" w:hAnsi="宋体" w:eastAsia="宋体" w:cs="宋体"/>
          <w:bCs/>
          <w:color w:val="auto"/>
          <w:kern w:val="0"/>
          <w:szCs w:val="21"/>
          <w:highlight w:val="none"/>
          <w:lang w:val="en-US" w:eastAsia="zh-CN"/>
        </w:rPr>
        <w:t>三</w:t>
      </w:r>
      <w:r>
        <w:rPr>
          <w:rFonts w:hint="eastAsia" w:ascii="宋体" w:hAnsi="宋体" w:eastAsia="宋体" w:cs="宋体"/>
          <w:bCs/>
          <w:color w:val="auto"/>
          <w:kern w:val="0"/>
          <w:szCs w:val="21"/>
          <w:highlight w:val="none"/>
        </w:rPr>
        <w:t>、其他事项：</w:t>
      </w:r>
    </w:p>
    <w:p w14:paraId="5DBC0016">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u w:val="single"/>
        </w:rPr>
        <w:t>1、供应商认为采购文件使自己的权益受到损害的，可以自采购公告发出之日（采购公告发布当天不算）起6日内，以书面形式向采购人和采购代理机构提出质疑。</w:t>
      </w:r>
    </w:p>
    <w:p w14:paraId="6B81B051">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color w:val="auto"/>
          <w:kern w:val="0"/>
          <w:szCs w:val="21"/>
          <w:highlight w:val="none"/>
          <w:u w:val="single"/>
        </w:rPr>
      </w:pPr>
      <w:r>
        <w:rPr>
          <w:rFonts w:hint="eastAsia" w:ascii="宋体" w:hAnsi="宋体" w:eastAsia="宋体" w:cs="宋体"/>
          <w:bCs/>
          <w:color w:val="auto"/>
          <w:kern w:val="0"/>
          <w:szCs w:val="21"/>
          <w:highlight w:val="none"/>
          <w:u w:val="single"/>
          <w:lang w:eastAsia="zh-CN"/>
        </w:rPr>
        <w:t>2</w:t>
      </w:r>
      <w:r>
        <w:rPr>
          <w:rFonts w:hint="eastAsia" w:ascii="宋体" w:hAnsi="宋体" w:eastAsia="宋体" w:cs="宋体"/>
          <w:bCs/>
          <w:color w:val="auto"/>
          <w:kern w:val="0"/>
          <w:szCs w:val="21"/>
          <w:highlight w:val="none"/>
          <w:u w:val="single"/>
          <w:lang w:val="en-US" w:eastAsia="zh-CN"/>
        </w:rPr>
        <w:t>.</w:t>
      </w:r>
      <w:r>
        <w:rPr>
          <w:rFonts w:hint="eastAsia" w:ascii="宋体" w:hAnsi="宋体" w:eastAsia="宋体" w:cs="宋体"/>
          <w:bCs/>
          <w:color w:val="auto"/>
          <w:kern w:val="0"/>
          <w:szCs w:val="21"/>
          <w:highlight w:val="none"/>
          <w:u w:val="single"/>
        </w:rPr>
        <w:t>质疑投标人对采购人、采购代理机构的答复不满意或者采购人、采购代理机构未在规定的时间内作出答复的，可以在答复期满后15个工作日内向采购人（集团）的内设监管职能部门投诉。</w:t>
      </w:r>
    </w:p>
    <w:p w14:paraId="4DAA8D44">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strike/>
          <w:dstrike w:val="0"/>
          <w:kern w:val="0"/>
          <w:szCs w:val="21"/>
          <w:highlight w:val="none"/>
          <w:u w:val="single"/>
        </w:rPr>
      </w:pPr>
      <w:r>
        <w:rPr>
          <w:rFonts w:hint="eastAsia" w:ascii="宋体" w:hAnsi="宋体" w:eastAsia="宋体" w:cs="宋体"/>
          <w:bCs/>
          <w:strike w:val="0"/>
          <w:dstrike w:val="0"/>
          <w:color w:val="auto"/>
          <w:kern w:val="0"/>
          <w:szCs w:val="21"/>
          <w:highlight w:val="none"/>
          <w:u w:val="single"/>
          <w:lang w:eastAsia="zh-CN"/>
        </w:rPr>
        <w:t>3</w:t>
      </w:r>
      <w:r>
        <w:rPr>
          <w:rFonts w:hint="eastAsia" w:ascii="宋体" w:hAnsi="宋体" w:eastAsia="宋体" w:cs="宋体"/>
          <w:bCs/>
          <w:strike w:val="0"/>
          <w:dstrike w:val="0"/>
          <w:color w:val="auto"/>
          <w:kern w:val="0"/>
          <w:szCs w:val="21"/>
          <w:highlight w:val="none"/>
          <w:u w:val="single"/>
          <w:lang w:val="en-US" w:eastAsia="zh-CN"/>
        </w:rPr>
        <w:t>.</w:t>
      </w:r>
      <w:r>
        <w:rPr>
          <w:rFonts w:hint="eastAsia" w:ascii="宋体" w:hAnsi="宋体" w:eastAsia="宋体" w:cs="宋体"/>
          <w:bCs/>
          <w:strike w:val="0"/>
          <w:dstrike w:val="0"/>
          <w:color w:val="auto"/>
          <w:kern w:val="0"/>
          <w:szCs w:val="21"/>
          <w:highlight w:val="none"/>
          <w:u w:val="single"/>
          <w:lang w:eastAsia="zh-CN"/>
        </w:rPr>
        <w:t>温州市交通发展集团有限公司</w:t>
      </w:r>
      <w:r>
        <w:rPr>
          <w:rFonts w:hint="eastAsia" w:ascii="宋体" w:hAnsi="宋体" w:eastAsia="宋体" w:cs="宋体"/>
          <w:bCs/>
          <w:strike w:val="0"/>
          <w:dstrike w:val="0"/>
          <w:color w:val="auto"/>
          <w:kern w:val="0"/>
          <w:szCs w:val="21"/>
          <w:highlight w:val="none"/>
          <w:u w:val="single"/>
        </w:rPr>
        <w:t>负责对投标人反映的企业本部及所属企业在采购活动中出现的违法违规问题</w:t>
      </w:r>
      <w:r>
        <w:rPr>
          <w:rFonts w:hint="eastAsia" w:ascii="宋体" w:hAnsi="宋体" w:eastAsia="宋体" w:cs="宋体"/>
          <w:bCs/>
          <w:strike w:val="0"/>
          <w:dstrike w:val="0"/>
          <w:kern w:val="0"/>
          <w:szCs w:val="21"/>
          <w:highlight w:val="none"/>
          <w:u w:val="single"/>
        </w:rPr>
        <w:t>进行</w:t>
      </w:r>
      <w:r>
        <w:rPr>
          <w:rFonts w:hint="eastAsia" w:ascii="宋体" w:hAnsi="宋体" w:eastAsia="宋体" w:cs="宋体"/>
          <w:bCs/>
          <w:strike w:val="0"/>
          <w:dstrike w:val="0"/>
          <w:kern w:val="0"/>
          <w:szCs w:val="21"/>
          <w:highlight w:val="none"/>
          <w:u w:val="single"/>
          <w:lang w:val="en-US" w:eastAsia="zh-CN"/>
        </w:rPr>
        <w:t>投诉</w:t>
      </w:r>
      <w:r>
        <w:rPr>
          <w:rFonts w:hint="eastAsia" w:ascii="宋体" w:hAnsi="宋体" w:eastAsia="宋体" w:cs="宋体"/>
          <w:bCs/>
          <w:strike w:val="0"/>
          <w:dstrike w:val="0"/>
          <w:kern w:val="0"/>
          <w:szCs w:val="21"/>
          <w:highlight w:val="none"/>
          <w:u w:val="single"/>
        </w:rPr>
        <w:t>回复。投标人认为</w:t>
      </w:r>
      <w:r>
        <w:rPr>
          <w:rFonts w:hint="eastAsia" w:ascii="宋体" w:hAnsi="宋体" w:eastAsia="宋体" w:cs="宋体"/>
          <w:bCs/>
          <w:strike w:val="0"/>
          <w:dstrike w:val="0"/>
          <w:kern w:val="0"/>
          <w:szCs w:val="21"/>
          <w:highlight w:val="none"/>
          <w:u w:val="single"/>
          <w:lang w:eastAsia="zh-CN"/>
        </w:rPr>
        <w:t>温州市交通发展集团有限公司</w:t>
      </w:r>
      <w:r>
        <w:rPr>
          <w:rFonts w:hint="eastAsia" w:ascii="宋体" w:hAnsi="宋体" w:eastAsia="宋体" w:cs="宋体"/>
          <w:bCs/>
          <w:strike w:val="0"/>
          <w:dstrike w:val="0"/>
          <w:kern w:val="0"/>
          <w:szCs w:val="21"/>
          <w:highlight w:val="none"/>
          <w:u w:val="single"/>
          <w:lang w:val="en-US" w:eastAsia="zh-CN"/>
        </w:rPr>
        <w:t>投诉</w:t>
      </w:r>
      <w:r>
        <w:rPr>
          <w:rFonts w:hint="eastAsia" w:ascii="宋体" w:hAnsi="宋体" w:eastAsia="宋体" w:cs="宋体"/>
          <w:bCs/>
          <w:strike w:val="0"/>
          <w:dstrike w:val="0"/>
          <w:kern w:val="0"/>
          <w:szCs w:val="21"/>
          <w:highlight w:val="none"/>
          <w:u w:val="single"/>
        </w:rPr>
        <w:t>回复处理结果不合法的，可以采购人或采购代理机构为对象依法向人民法院提起诉讼。</w:t>
      </w:r>
    </w:p>
    <w:p w14:paraId="7C3D6040">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4</w:t>
      </w:r>
      <w:r>
        <w:rPr>
          <w:rFonts w:hint="eastAsia" w:ascii="宋体" w:hAnsi="宋体" w:eastAsia="宋体" w:cs="宋体"/>
          <w:bCs/>
          <w:kern w:val="0"/>
          <w:szCs w:val="21"/>
          <w:highlight w:val="none"/>
          <w:lang w:val="en-US" w:eastAsia="zh-CN"/>
        </w:rPr>
        <w:t>.</w:t>
      </w:r>
      <w:r>
        <w:rPr>
          <w:rFonts w:hint="eastAsia" w:ascii="宋体" w:hAnsi="宋体" w:eastAsia="宋体" w:cs="宋体"/>
          <w:bCs/>
          <w:kern w:val="0"/>
          <w:szCs w:val="21"/>
          <w:highlight w:val="none"/>
        </w:rPr>
        <w:t>采购公告附件的采购文件仅供阅览使用，未按照本公告规定的方式获取采购文件的潜在供应商提起的质疑，采购人及采购组织机构将不予受理、答复。</w:t>
      </w:r>
    </w:p>
    <w:p w14:paraId="70CDE8C1">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5</w:t>
      </w:r>
      <w:r>
        <w:rPr>
          <w:rFonts w:hint="eastAsia" w:ascii="宋体" w:hAnsi="宋体" w:eastAsia="宋体" w:cs="宋体"/>
          <w:bCs/>
          <w:kern w:val="0"/>
          <w:szCs w:val="21"/>
          <w:highlight w:val="none"/>
          <w:lang w:val="en-US" w:eastAsia="zh-CN"/>
        </w:rPr>
        <w:t>.</w:t>
      </w:r>
      <w:r>
        <w:rPr>
          <w:rFonts w:hint="eastAsia" w:ascii="宋体" w:hAnsi="宋体" w:eastAsia="宋体" w:cs="宋体"/>
          <w:bCs/>
          <w:kern w:val="0"/>
          <w:szCs w:val="21"/>
          <w:highlight w:val="none"/>
        </w:rPr>
        <w:t>供应商如对采购文件有疑问应按采购文件规定的询疑截止时间前提出，逾期提出的，采购组织机构可以不予受理、答复。</w:t>
      </w:r>
    </w:p>
    <w:p w14:paraId="14F8D988">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、联系方式</w:t>
      </w:r>
    </w:p>
    <w:p w14:paraId="28633534">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温州市高速公路资产经营有限公司</w:t>
      </w:r>
    </w:p>
    <w:p w14:paraId="67736623">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温州市汤家桥国大广场东首5-6楼</w:t>
      </w:r>
    </w:p>
    <w:p w14:paraId="2707B154">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蔡先生</w:t>
      </w:r>
      <w:r>
        <w:rPr>
          <w:rFonts w:hint="eastAsia" w:ascii="宋体" w:hAnsi="宋体" w:eastAsia="宋体" w:cs="宋体"/>
          <w:highlight w:val="none"/>
        </w:rPr>
        <w:t>，联系电话：</w:t>
      </w:r>
      <w:r>
        <w:rPr>
          <w:rFonts w:hint="eastAsia" w:ascii="宋体" w:hAnsi="宋体" w:eastAsia="宋体" w:cs="宋体"/>
          <w:highlight w:val="none"/>
          <w:lang w:eastAsia="zh-CN"/>
        </w:rPr>
        <w:t>13376871622</w:t>
      </w:r>
    </w:p>
    <w:p w14:paraId="6F882D3F">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14:paraId="79EFFDDF">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联系人：冯先生</w:t>
      </w:r>
      <w:bookmarkStart w:id="230" w:name="_GoBack"/>
      <w:bookmarkEnd w:id="230"/>
    </w:p>
    <w:p w14:paraId="760B4EA1">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14:paraId="6CB3B435">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14:paraId="129B592A">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书面质疑受理地点：温州市黎明西路342号人保财险鹿城支公司办公大楼401室</w:t>
      </w:r>
    </w:p>
    <w:p w14:paraId="45345656">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采购监管部门：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14:paraId="0F3E9A95">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联系电话：0577-85559092</w:t>
      </w:r>
    </w:p>
    <w:p w14:paraId="76402FF6">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温州市高速公路资产经营有限公司</w:t>
      </w:r>
      <w:r>
        <w:rPr>
          <w:rFonts w:hint="eastAsia" w:ascii="宋体" w:hAnsi="宋体" w:eastAsia="宋体" w:cs="宋体"/>
          <w:bCs/>
          <w:kern w:val="0"/>
          <w:szCs w:val="21"/>
          <w:highlight w:val="none"/>
        </w:rPr>
        <w:t xml:space="preserve"> </w:t>
      </w:r>
    </w:p>
    <w:p w14:paraId="36737716">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14:paraId="2B2B0CD0">
      <w:pPr>
        <w:widowControl/>
        <w:spacing w:before="60" w:after="60"/>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4</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10</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23</w:t>
      </w:r>
      <w:r>
        <w:rPr>
          <w:rFonts w:hint="eastAsia" w:ascii="宋体" w:hAnsi="宋体" w:eastAsia="宋体" w:cs="宋体"/>
          <w:color w:val="0000FF"/>
          <w:kern w:val="0"/>
          <w:szCs w:val="21"/>
          <w:highlight w:val="none"/>
        </w:rPr>
        <w:t>日</w:t>
      </w:r>
    </w:p>
    <w:p w14:paraId="616FFDBB">
      <w:pPr>
        <w:jc w:val="center"/>
        <w:rPr>
          <w:rFonts w:hint="eastAsia" w:ascii="宋体" w:hAnsi="宋体" w:eastAsia="宋体" w:cs="宋体"/>
          <w:sz w:val="24"/>
          <w:highlight w:val="none"/>
        </w:rPr>
      </w:pPr>
      <w:bookmarkStart w:id="9" w:name="_Toc491780522"/>
    </w:p>
    <w:p w14:paraId="713416AD">
      <w:pPr>
        <w:jc w:val="center"/>
        <w:rPr>
          <w:rFonts w:hint="eastAsia" w:ascii="宋体" w:hAnsi="宋体" w:eastAsia="宋体" w:cs="宋体"/>
          <w:sz w:val="24"/>
          <w:highlight w:val="none"/>
        </w:rPr>
      </w:pPr>
      <w:r>
        <w:rPr>
          <w:rFonts w:hint="eastAsia" w:ascii="宋体" w:hAnsi="宋体" w:eastAsia="宋体" w:cs="宋体"/>
          <w:sz w:val="24"/>
          <w:highlight w:val="none"/>
          <w:lang w:eastAsia="zh-CN"/>
        </w:rPr>
        <w:t>温州市交发集团</w:t>
      </w:r>
      <w:r>
        <w:rPr>
          <w:rFonts w:hint="eastAsia" w:ascii="宋体" w:hAnsi="宋体" w:eastAsia="宋体" w:cs="宋体"/>
          <w:sz w:val="24"/>
          <w:highlight w:val="none"/>
          <w:lang w:val="en-US" w:eastAsia="zh-CN"/>
        </w:rPr>
        <w:t>所属</w:t>
      </w:r>
      <w:r>
        <w:rPr>
          <w:rFonts w:hint="eastAsia" w:ascii="宋体" w:hAnsi="宋体" w:eastAsia="宋体" w:cs="宋体"/>
          <w:sz w:val="24"/>
          <w:highlight w:val="none"/>
          <w:lang w:eastAsia="zh-CN"/>
        </w:rPr>
        <w:t>温州市高速公路资产经营有限公司关于陶山服务区物业项目</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的征求意见公示</w:t>
      </w:r>
      <w:bookmarkEnd w:id="9"/>
    </w:p>
    <w:p w14:paraId="6A6D8D19">
      <w:pPr>
        <w:rPr>
          <w:rFonts w:hint="eastAsia" w:ascii="宋体" w:hAnsi="宋体" w:eastAsia="宋体" w:cs="宋体"/>
          <w:highlight w:val="none"/>
        </w:rPr>
      </w:pPr>
    </w:p>
    <w:p w14:paraId="3BC97ABE">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受</w:t>
      </w:r>
      <w:r>
        <w:rPr>
          <w:rFonts w:hint="eastAsia" w:ascii="宋体" w:hAnsi="宋体" w:eastAsia="宋体" w:cs="宋体"/>
          <w:bCs/>
          <w:kern w:val="0"/>
          <w:szCs w:val="21"/>
          <w:highlight w:val="none"/>
          <w:lang w:eastAsia="zh-CN"/>
        </w:rPr>
        <w:t>温州市高速公路资产经营有限公司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陶山服务区物业项目</w:t>
      </w:r>
      <w:r>
        <w:rPr>
          <w:rFonts w:hint="eastAsia" w:ascii="宋体" w:hAnsi="宋体" w:eastAsia="宋体" w:cs="宋体"/>
          <w:bCs/>
          <w:kern w:val="0"/>
          <w:szCs w:val="21"/>
          <w:highlight w:val="none"/>
        </w:rPr>
        <w:t>以公开招标方式进行采购。现将本项目采购文件公布如下（详见附件），并公开征求投标供应商及专家意见。</w:t>
      </w:r>
    </w:p>
    <w:p w14:paraId="79D59144">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14:paraId="30B0CA3A">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14:paraId="0E1749A1">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2、投标供应商资格条件是否具有明显倾向性和歧视性；</w:t>
      </w:r>
    </w:p>
    <w:p w14:paraId="18E8FA64">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14:paraId="75F524A5">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14:paraId="0A1ADA11">
      <w:pPr>
        <w:widowControl/>
        <w:spacing w:before="60" w:after="60"/>
        <w:ind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各投标供应商及专家提出修改理由和建议的，请于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4</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10</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29</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17</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温州市黎明西路342号人保财险鹿城支公司办公大楼401室</w:t>
      </w:r>
      <w:r>
        <w:rPr>
          <w:rFonts w:hint="eastAsia" w:ascii="宋体" w:hAnsi="宋体" w:eastAsia="宋体" w:cs="宋体"/>
          <w:bCs/>
          <w:kern w:val="0"/>
          <w:szCs w:val="21"/>
          <w:highlight w:val="none"/>
        </w:rPr>
        <w:t>采购代理公司，或先将扫描件及电子版发送至邮箱</w:t>
      </w:r>
      <w:r>
        <w:rPr>
          <w:rFonts w:hint="eastAsia" w:ascii="宋体" w:hAnsi="宋体" w:eastAsia="宋体" w:cs="宋体"/>
          <w:bCs/>
          <w:kern w:val="0"/>
          <w:szCs w:val="21"/>
          <w:highlight w:val="none"/>
          <w:lang w:eastAsia="zh-CN"/>
        </w:rPr>
        <w:t>1826066763</w:t>
      </w:r>
      <w:r>
        <w:rPr>
          <w:rFonts w:hint="eastAsia" w:ascii="宋体" w:hAnsi="宋体" w:eastAsia="宋体" w:cs="宋体"/>
          <w:bCs/>
          <w:kern w:val="0"/>
          <w:szCs w:val="21"/>
          <w:highlight w:val="none"/>
        </w:rPr>
        <w:t>3@qq.com，并同时将该原件书面寄至</w:t>
      </w: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w:t>
      </w:r>
    </w:p>
    <w:p w14:paraId="5CDA6647">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w:t>
      </w:r>
      <w:r>
        <w:rPr>
          <w:rFonts w:hint="eastAsia" w:ascii="宋体" w:hAnsi="宋体" w:eastAsia="宋体" w:cs="宋体"/>
          <w:highlight w:val="none"/>
        </w:rPr>
        <w:t>15305718087</w:t>
      </w:r>
      <w:r>
        <w:rPr>
          <w:rFonts w:hint="eastAsia" w:ascii="宋体" w:hAnsi="宋体" w:eastAsia="宋体" w:cs="宋体"/>
          <w:bCs/>
          <w:kern w:val="0"/>
          <w:szCs w:val="21"/>
          <w:highlight w:val="none"/>
        </w:rPr>
        <w:t>。</w:t>
      </w:r>
    </w:p>
    <w:p w14:paraId="3F79E23C">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14:paraId="780D1E43">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14:paraId="7F5E76B7">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温州市高速公路资产经营有限公司</w:t>
      </w:r>
    </w:p>
    <w:p w14:paraId="632FA85B">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14:paraId="7B12F734">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4</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10</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23</w:t>
      </w:r>
      <w:r>
        <w:rPr>
          <w:rFonts w:hint="eastAsia" w:ascii="宋体" w:hAnsi="宋体" w:eastAsia="宋体" w:cs="宋体"/>
          <w:bCs/>
          <w:color w:val="0000FF"/>
          <w:kern w:val="0"/>
          <w:szCs w:val="21"/>
          <w:highlight w:val="none"/>
        </w:rPr>
        <w:t>日</w:t>
      </w:r>
      <w:bookmarkEnd w:id="2"/>
    </w:p>
    <w:p w14:paraId="1D126F99">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27056845"/>
      <w:bookmarkStart w:id="11" w:name="_Toc491780523"/>
      <w:bookmarkStart w:id="12" w:name="_Toc219538612"/>
      <w:bookmarkStart w:id="13" w:name="_Toc223717603"/>
      <w:bookmarkStart w:id="14" w:name="_Toc223933220"/>
      <w:bookmarkStart w:id="15" w:name="_Toc227057032"/>
      <w:bookmarkStart w:id="16" w:name="_Toc217460684"/>
      <w:bookmarkStart w:id="17" w:name="_Toc227489886"/>
      <w:bookmarkStart w:id="18" w:name="_Toc218041725"/>
      <w:bookmarkStart w:id="19" w:name="_Toc215415529"/>
      <w:bookmarkStart w:id="20" w:name="_Toc216667819"/>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14:paraId="709A5BF0">
      <w:pPr>
        <w:spacing w:before="156" w:beforeLines="50" w:after="156" w:afterLines="50"/>
        <w:jc w:val="center"/>
        <w:rPr>
          <w:rFonts w:hint="eastAsia" w:ascii="宋体" w:hAnsi="宋体" w:eastAsia="宋体" w:cs="宋体"/>
          <w:b/>
          <w:sz w:val="28"/>
          <w:szCs w:val="28"/>
          <w:highlight w:val="none"/>
        </w:rPr>
      </w:pPr>
      <w:bookmarkStart w:id="21" w:name="_Toc433729304"/>
      <w:bookmarkStart w:id="22" w:name="_Toc401243876"/>
      <w:bookmarkStart w:id="23" w:name="_Toc227056846"/>
      <w:bookmarkStart w:id="24" w:name="_Toc217460685"/>
      <w:bookmarkStart w:id="25" w:name="_Toc223717604"/>
      <w:bookmarkStart w:id="26" w:name="_Toc227057033"/>
      <w:bookmarkStart w:id="27" w:name="_Toc227489887"/>
      <w:bookmarkStart w:id="28" w:name="_Toc215415530"/>
      <w:bookmarkStart w:id="29" w:name="_Toc216667820"/>
      <w:bookmarkStart w:id="30" w:name="_Toc219538613"/>
      <w:bookmarkStart w:id="31" w:name="_Toc223933221"/>
      <w:bookmarkStart w:id="32" w:name="_Toc218041726"/>
      <w:r>
        <w:rPr>
          <w:rFonts w:hint="eastAsia" w:ascii="宋体" w:hAnsi="宋体" w:eastAsia="宋体" w:cs="宋体"/>
          <w:b/>
          <w:sz w:val="28"/>
          <w:szCs w:val="28"/>
          <w:highlight w:val="none"/>
        </w:rPr>
        <w:t>投标人须知前附表</w:t>
      </w:r>
      <w:bookmarkEnd w:id="21"/>
      <w:bookmarkEnd w:id="22"/>
    </w:p>
    <w:tbl>
      <w:tblPr>
        <w:tblStyle w:val="25"/>
        <w:tblW w:w="0" w:type="auto"/>
        <w:jc w:val="center"/>
        <w:tblLayout w:type="fixed"/>
        <w:tblCellMar>
          <w:top w:w="0" w:type="dxa"/>
          <w:left w:w="108" w:type="dxa"/>
          <w:bottom w:w="0" w:type="dxa"/>
          <w:right w:w="108" w:type="dxa"/>
        </w:tblCellMar>
      </w:tblPr>
      <w:tblGrid>
        <w:gridCol w:w="836"/>
        <w:gridCol w:w="1624"/>
        <w:gridCol w:w="6528"/>
      </w:tblGrid>
      <w:tr w14:paraId="5D2A3F4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C45A42A">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14:paraId="5263F638">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14:paraId="344D19DE">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14:paraId="635608D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6ADA38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C61B3A1">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14:paraId="72D4BFB2">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陶山服务区物业项目</w:t>
            </w:r>
          </w:p>
        </w:tc>
      </w:tr>
      <w:tr w14:paraId="66F9D368">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58DE93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F0D47A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14:paraId="5C01A059">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WGSS-JFJT-X-2024008</w:t>
            </w:r>
          </w:p>
        </w:tc>
      </w:tr>
      <w:tr w14:paraId="7D336EBF">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5C6003E">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5941B3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14:paraId="648282BA">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温州市高速公路资产经营有限公司</w:t>
            </w:r>
          </w:p>
          <w:p w14:paraId="3C707C44">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温州市汤家桥国大广场东首5-6楼</w:t>
            </w:r>
          </w:p>
          <w:p w14:paraId="40104371">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蔡先生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13376871622</w:t>
            </w:r>
          </w:p>
        </w:tc>
      </w:tr>
      <w:tr w14:paraId="2FBA81CD">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6DF556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A214CDA">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14:paraId="3F0B094F">
            <w:pPr>
              <w:spacing w:line="240" w:lineRule="exac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代理机构名称：</w:t>
            </w:r>
            <w:r>
              <w:rPr>
                <w:rFonts w:hint="eastAsia" w:ascii="宋体" w:hAnsi="宋体" w:eastAsia="宋体" w:cs="宋体"/>
                <w:color w:val="auto"/>
                <w:kern w:val="0"/>
                <w:sz w:val="18"/>
                <w:szCs w:val="18"/>
                <w:highlight w:val="none"/>
                <w:lang w:eastAsia="zh-CN"/>
              </w:rPr>
              <w:t>浙江国际招投标有限公司</w:t>
            </w:r>
          </w:p>
          <w:p w14:paraId="68EE8EAB">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代理机构地址：温州市黎明西路342号人保财险鹿城支公司办公大楼401室</w:t>
            </w:r>
          </w:p>
          <w:p w14:paraId="77EF5DAC">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联系人：冯先生</w:t>
            </w:r>
          </w:p>
          <w:p w14:paraId="34305905">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联系方式：13857723185 邮箱：1826066763@qq.com</w:t>
            </w:r>
          </w:p>
        </w:tc>
      </w:tr>
      <w:tr w14:paraId="28CB292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399C7B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AA407A6">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14:paraId="233BCB06">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eastAsia="zh-CN"/>
              </w:rPr>
              <w:t>陶山服务区物业项目</w:t>
            </w:r>
            <w:r>
              <w:rPr>
                <w:rFonts w:hint="eastAsia" w:ascii="宋体" w:hAnsi="宋体" w:eastAsia="宋体" w:cs="宋体"/>
                <w:color w:val="auto"/>
                <w:sz w:val="18"/>
                <w:szCs w:val="18"/>
                <w:highlight w:val="none"/>
              </w:rPr>
              <w:t>，服务内容包括陶山服务区物业服务、“瓯江红·畅美高速”党群服务中心物业服务两部分，</w:t>
            </w:r>
            <w:r>
              <w:rPr>
                <w:rFonts w:hint="eastAsia" w:ascii="宋体" w:hAnsi="宋体" w:eastAsia="宋体" w:cs="宋体"/>
                <w:color w:val="auto"/>
                <w:sz w:val="18"/>
                <w:szCs w:val="18"/>
                <w:highlight w:val="none"/>
                <w:lang w:val="en-US" w:eastAsia="zh-CN"/>
              </w:rPr>
              <w:t>采购</w:t>
            </w:r>
            <w:r>
              <w:rPr>
                <w:rFonts w:hint="eastAsia" w:ascii="宋体" w:hAnsi="宋体" w:eastAsia="宋体" w:cs="宋体"/>
                <w:color w:val="auto"/>
                <w:sz w:val="18"/>
                <w:szCs w:val="18"/>
                <w:highlight w:val="none"/>
              </w:rPr>
              <w:t>内容及详细技术要求见采购文件相关部分。</w:t>
            </w:r>
          </w:p>
        </w:tc>
      </w:tr>
      <w:tr w14:paraId="738AF4A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41B3465">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302B5EB">
            <w:pPr>
              <w:widowControl/>
              <w:snapToGrid w:val="0"/>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采购预算</w:t>
            </w:r>
          </w:p>
        </w:tc>
        <w:tc>
          <w:tcPr>
            <w:tcW w:w="6528" w:type="dxa"/>
            <w:tcBorders>
              <w:top w:val="single" w:color="auto" w:sz="4" w:space="0"/>
              <w:left w:val="single" w:color="auto" w:sz="4" w:space="0"/>
              <w:bottom w:val="single" w:color="auto" w:sz="4" w:space="0"/>
              <w:right w:val="single" w:color="auto" w:sz="4" w:space="0"/>
            </w:tcBorders>
            <w:vAlign w:val="center"/>
          </w:tcPr>
          <w:p w14:paraId="244D346D">
            <w:pPr>
              <w:spacing w:line="240" w:lineRule="exac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u w:val="single"/>
              </w:rPr>
              <w:t>▲本项目采购</w:t>
            </w:r>
            <w:r>
              <w:rPr>
                <w:rFonts w:hint="eastAsia" w:ascii="宋体" w:hAnsi="宋体" w:eastAsia="宋体" w:cs="宋体"/>
                <w:b/>
                <w:color w:val="auto"/>
                <w:kern w:val="0"/>
                <w:sz w:val="18"/>
                <w:szCs w:val="18"/>
                <w:highlight w:val="none"/>
                <w:u w:val="single"/>
                <w:lang w:val="en-US" w:eastAsia="zh-CN"/>
              </w:rPr>
              <w:t>总</w:t>
            </w:r>
            <w:r>
              <w:rPr>
                <w:rFonts w:hint="eastAsia" w:ascii="宋体" w:hAnsi="宋体" w:eastAsia="宋体" w:cs="宋体"/>
                <w:b/>
                <w:color w:val="auto"/>
                <w:kern w:val="0"/>
                <w:sz w:val="18"/>
                <w:szCs w:val="18"/>
                <w:highlight w:val="none"/>
                <w:u w:val="single"/>
              </w:rPr>
              <w:t>预算为人民币</w:t>
            </w:r>
            <w:r>
              <w:rPr>
                <w:rFonts w:hint="eastAsia" w:ascii="宋体" w:hAnsi="宋体" w:eastAsia="宋体" w:cs="宋体"/>
                <w:b/>
                <w:color w:val="auto"/>
                <w:kern w:val="0"/>
                <w:sz w:val="18"/>
                <w:szCs w:val="18"/>
                <w:highlight w:val="none"/>
                <w:u w:val="single"/>
                <w:lang w:val="en-US" w:eastAsia="zh-CN"/>
              </w:rPr>
              <w:t>384</w:t>
            </w:r>
            <w:r>
              <w:rPr>
                <w:rFonts w:hint="eastAsia" w:ascii="宋体" w:hAnsi="宋体" w:eastAsia="宋体" w:cs="宋体"/>
                <w:b/>
                <w:color w:val="auto"/>
                <w:kern w:val="0"/>
                <w:sz w:val="18"/>
                <w:szCs w:val="18"/>
                <w:highlight w:val="none"/>
                <w:u w:val="single"/>
              </w:rPr>
              <w:t>万元</w:t>
            </w:r>
            <w:r>
              <w:rPr>
                <w:rFonts w:hint="eastAsia" w:ascii="宋体" w:hAnsi="宋体" w:eastAsia="宋体" w:cs="宋体"/>
                <w:b/>
                <w:color w:val="auto"/>
                <w:kern w:val="0"/>
                <w:sz w:val="18"/>
                <w:szCs w:val="18"/>
                <w:highlight w:val="none"/>
                <w:u w:val="single"/>
                <w:lang w:eastAsia="zh-CN"/>
              </w:rPr>
              <w:t>（</w:t>
            </w:r>
            <w:r>
              <w:rPr>
                <w:rFonts w:hint="eastAsia" w:ascii="宋体" w:hAnsi="宋体" w:eastAsia="宋体" w:cs="宋体"/>
                <w:b/>
                <w:color w:val="auto"/>
                <w:kern w:val="0"/>
                <w:sz w:val="18"/>
                <w:szCs w:val="18"/>
                <w:highlight w:val="none"/>
                <w:u w:val="single"/>
                <w:lang w:val="en-US" w:eastAsia="zh-CN"/>
              </w:rPr>
              <w:t>其中陶山服务区物业服务预算金额363万元，“瓯江红·畅美高速”党群服务中心物业服务预算金额21万元</w:t>
            </w:r>
            <w:r>
              <w:rPr>
                <w:rFonts w:hint="eastAsia" w:ascii="宋体" w:hAnsi="宋体" w:eastAsia="宋体" w:cs="宋体"/>
                <w:b/>
                <w:color w:val="auto"/>
                <w:kern w:val="0"/>
                <w:sz w:val="18"/>
                <w:szCs w:val="18"/>
                <w:highlight w:val="none"/>
                <w:u w:val="single"/>
                <w:lang w:eastAsia="zh-CN"/>
              </w:rPr>
              <w:t>）</w:t>
            </w:r>
            <w:r>
              <w:rPr>
                <w:rFonts w:hint="eastAsia" w:ascii="宋体" w:hAnsi="宋体" w:eastAsia="宋体" w:cs="宋体"/>
                <w:b/>
                <w:color w:val="auto"/>
                <w:kern w:val="0"/>
                <w:sz w:val="18"/>
                <w:szCs w:val="18"/>
                <w:highlight w:val="none"/>
                <w:u w:val="single"/>
              </w:rPr>
              <w:t>，投标供应商</w:t>
            </w:r>
            <w:r>
              <w:rPr>
                <w:rFonts w:hint="eastAsia" w:ascii="宋体" w:hAnsi="宋体" w:eastAsia="宋体" w:cs="宋体"/>
                <w:b/>
                <w:color w:val="auto"/>
                <w:kern w:val="0"/>
                <w:sz w:val="18"/>
                <w:szCs w:val="18"/>
                <w:highlight w:val="none"/>
                <w:u w:val="single"/>
                <w:lang w:val="en-US" w:eastAsia="zh-CN"/>
              </w:rPr>
              <w:t>关于陶山服务区物业服务投标报价超过363万元，或者关于“瓯江</w:t>
            </w:r>
            <w:r>
              <w:rPr>
                <w:rFonts w:hint="eastAsia" w:ascii="宋体" w:hAnsi="宋体" w:eastAsia="宋体" w:cs="宋体"/>
                <w:b/>
                <w:color w:val="auto"/>
                <w:kern w:val="0"/>
                <w:sz w:val="18"/>
                <w:szCs w:val="18"/>
                <w:highlight w:val="none"/>
                <w:u w:val="single"/>
              </w:rPr>
              <w:t>的作无效标处理</w:t>
            </w:r>
            <w:r>
              <w:rPr>
                <w:rFonts w:hint="eastAsia" w:ascii="宋体" w:hAnsi="宋体" w:eastAsia="宋体" w:cs="宋体"/>
                <w:b/>
                <w:color w:val="auto"/>
                <w:kern w:val="0"/>
                <w:sz w:val="18"/>
                <w:szCs w:val="18"/>
                <w:highlight w:val="none"/>
                <w:u w:val="single"/>
                <w:lang w:eastAsia="zh-CN"/>
              </w:rPr>
              <w:t>，</w:t>
            </w:r>
            <w:r>
              <w:rPr>
                <w:rFonts w:hint="eastAsia" w:ascii="宋体" w:hAnsi="宋体" w:eastAsia="宋体" w:cs="宋体"/>
                <w:b/>
                <w:color w:val="auto"/>
                <w:kern w:val="0"/>
                <w:sz w:val="18"/>
                <w:szCs w:val="18"/>
                <w:highlight w:val="none"/>
                <w:u w:val="single"/>
                <w:lang w:val="en-US" w:eastAsia="zh-CN"/>
              </w:rPr>
              <w:t>红·畅美高速”党群服务中心物业服务的投标报价超过21万元的作无效标处理</w:t>
            </w:r>
            <w:r>
              <w:rPr>
                <w:rFonts w:hint="eastAsia" w:ascii="宋体" w:hAnsi="宋体" w:eastAsia="宋体" w:cs="宋体"/>
                <w:b/>
                <w:color w:val="auto"/>
                <w:kern w:val="0"/>
                <w:sz w:val="18"/>
                <w:szCs w:val="18"/>
                <w:highlight w:val="none"/>
              </w:rPr>
              <w:t>。</w:t>
            </w:r>
          </w:p>
        </w:tc>
      </w:tr>
      <w:tr w14:paraId="15944BD6">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454EC5D">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E5C212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服务</w:t>
            </w:r>
            <w:r>
              <w:rPr>
                <w:rFonts w:hint="eastAsia" w:ascii="宋体" w:hAnsi="宋体" w:eastAsia="宋体" w:cs="宋体"/>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vAlign w:val="center"/>
          </w:tcPr>
          <w:p w14:paraId="45EFA533">
            <w:pPr>
              <w:spacing w:line="240" w:lineRule="exac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合同签订之日起1年，采用“1+1</w:t>
            </w:r>
            <w:r>
              <w:rPr>
                <w:rFonts w:hint="eastAsia" w:ascii="宋体" w:hAnsi="宋体" w:eastAsia="宋体" w:cs="宋体"/>
                <w:color w:val="auto"/>
                <w:kern w:val="0"/>
                <w:sz w:val="18"/>
                <w:szCs w:val="18"/>
                <w:highlight w:val="none"/>
                <w:lang w:val="en-US" w:eastAsia="zh-CN"/>
              </w:rPr>
              <w:t>年</w:t>
            </w:r>
            <w:r>
              <w:rPr>
                <w:rFonts w:hint="eastAsia" w:ascii="宋体" w:hAnsi="宋体" w:eastAsia="宋体" w:cs="宋体"/>
                <w:color w:val="auto"/>
                <w:kern w:val="0"/>
                <w:sz w:val="18"/>
                <w:szCs w:val="18"/>
                <w:highlight w:val="none"/>
              </w:rPr>
              <w:t>”模式，合同期满后，经经营公司各项考核合格后，合同可以顺延1年。</w:t>
            </w:r>
          </w:p>
        </w:tc>
      </w:tr>
      <w:tr w14:paraId="7FD371C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DC1C469">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BE0798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投标供应商资格要求</w:t>
            </w:r>
          </w:p>
        </w:tc>
        <w:tc>
          <w:tcPr>
            <w:tcW w:w="6528" w:type="dxa"/>
            <w:tcBorders>
              <w:top w:val="single" w:color="auto" w:sz="4" w:space="0"/>
              <w:left w:val="single" w:color="auto" w:sz="4" w:space="0"/>
              <w:bottom w:val="single" w:color="auto" w:sz="4" w:space="0"/>
              <w:right w:val="single" w:color="auto" w:sz="4" w:space="0"/>
            </w:tcBorders>
            <w:vAlign w:val="center"/>
          </w:tcPr>
          <w:p w14:paraId="3BF26713">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b/>
                <w:bCs/>
                <w:kern w:val="0"/>
                <w:sz w:val="18"/>
                <w:szCs w:val="18"/>
                <w:highlight w:val="none"/>
              </w:rPr>
              <w:t>见采购公告中的要求</w:t>
            </w:r>
            <w:r>
              <w:rPr>
                <w:rFonts w:hint="eastAsia" w:ascii="宋体" w:hAnsi="宋体" w:eastAsia="宋体" w:cs="宋体"/>
                <w:b/>
                <w:bCs/>
                <w:kern w:val="0"/>
                <w:sz w:val="18"/>
                <w:szCs w:val="18"/>
                <w:highlight w:val="none"/>
                <w:lang w:eastAsia="zh-CN"/>
              </w:rPr>
              <w:t>。</w:t>
            </w:r>
          </w:p>
        </w:tc>
      </w:tr>
      <w:tr w14:paraId="42B3414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60DEED5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C0D6F6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14:paraId="79E3D5B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14:paraId="6E1097E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1E26FF4">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5337E2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14:paraId="08F8B217">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不组织</w:t>
            </w:r>
            <w:r>
              <w:rPr>
                <w:rFonts w:hint="eastAsia" w:ascii="宋体" w:hAnsi="宋体" w:eastAsia="宋体" w:cs="宋体"/>
                <w:kern w:val="0"/>
                <w:sz w:val="18"/>
                <w:szCs w:val="18"/>
                <w:highlight w:val="none"/>
                <w:lang w:eastAsia="zh-CN"/>
              </w:rPr>
              <w:t>，投标供应商若需踏勘现场，请联系</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人</w:t>
            </w:r>
          </w:p>
        </w:tc>
      </w:tr>
      <w:tr w14:paraId="26596DB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082A0F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024737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14:paraId="7258D52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14:paraId="15D4A491">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7032C00">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EE2D0B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14:paraId="5C4187D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w:t>
            </w:r>
            <w:r>
              <w:rPr>
                <w:rFonts w:hint="eastAsia" w:ascii="宋体" w:hAnsi="宋体" w:eastAsia="宋体" w:cs="宋体"/>
                <w:kern w:val="0"/>
                <w:sz w:val="18"/>
                <w:szCs w:val="18"/>
                <w:highlight w:val="none"/>
              </w:rPr>
              <w:t>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4</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10</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29</w:t>
            </w:r>
            <w:r>
              <w:rPr>
                <w:rFonts w:hint="eastAsia" w:ascii="宋体" w:hAnsi="宋体" w:eastAsia="宋体" w:cs="宋体"/>
                <w:color w:val="0000FF"/>
                <w:kern w:val="0"/>
                <w:sz w:val="18"/>
                <w:szCs w:val="18"/>
                <w:highlight w:val="none"/>
              </w:rPr>
              <w:t>日</w:t>
            </w:r>
            <w:r>
              <w:rPr>
                <w:rFonts w:hint="eastAsia" w:ascii="宋体" w:hAnsi="宋体" w:eastAsia="宋体" w:cs="宋体"/>
                <w:color w:val="0000FF"/>
                <w:kern w:val="0"/>
                <w:sz w:val="18"/>
                <w:szCs w:val="18"/>
                <w:highlight w:val="none"/>
                <w:lang w:val="en-US" w:eastAsia="zh-CN"/>
              </w:rPr>
              <w:t>17</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14:paraId="234177E5">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澄清文件提交：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1"/>
                <w:rFonts w:hint="eastAsia" w:ascii="宋体" w:hAnsi="宋体" w:eastAsia="宋体" w:cs="宋体"/>
                <w:color w:val="auto"/>
                <w:kern w:val="0"/>
                <w:sz w:val="18"/>
                <w:szCs w:val="18"/>
                <w:highlight w:val="none"/>
              </w:rPr>
              <w:t>澄清文件加盖公章后以扫描件发送至邮箱</w:t>
            </w:r>
            <w:r>
              <w:rPr>
                <w:rStyle w:val="31"/>
                <w:rFonts w:hint="eastAsia" w:ascii="宋体" w:hAnsi="宋体" w:eastAsia="宋体" w:cs="宋体"/>
                <w:color w:val="auto"/>
                <w:kern w:val="0"/>
                <w:sz w:val="18"/>
                <w:szCs w:val="18"/>
                <w:highlight w:val="none"/>
                <w:lang w:eastAsia="zh-CN"/>
              </w:rPr>
              <w:t>1826066763</w:t>
            </w:r>
            <w:r>
              <w:rPr>
                <w:rStyle w:val="31"/>
                <w:rFonts w:hint="eastAsia" w:ascii="宋体" w:hAnsi="宋体" w:eastAsia="宋体" w:cs="宋体"/>
                <w:color w:val="auto"/>
                <w:kern w:val="0"/>
                <w:sz w:val="18"/>
                <w:szCs w:val="18"/>
                <w:highlight w:val="none"/>
              </w:rPr>
              <w:t>@qq.com</w:t>
            </w:r>
            <w:r>
              <w:rPr>
                <w:rStyle w:val="31"/>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14:paraId="4491139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57489B4">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2CB4704D">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14:paraId="484B3651">
            <w:pPr>
              <w:adjustRightInd w:val="0"/>
              <w:spacing w:line="24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14:paraId="421D6DB9">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81979EA">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2A78D7E">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14:paraId="50767CAC">
            <w:pPr>
              <w:widowControl/>
              <w:adjustRightInd w:val="0"/>
              <w:spacing w:line="24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14:paraId="22F1D30A">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0A9606F2">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0A72BE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14:paraId="3671A86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14:paraId="7A6BA903">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842688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B46F07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14:paraId="7BE05DF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14:paraId="07139EB0">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2B075A2">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02ED9A6">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14:paraId="3796E584">
            <w:pPr>
              <w:spacing w:line="24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14:paraId="5B05B20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F438F92">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6536ACE">
            <w:pPr>
              <w:spacing w:line="24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14:paraId="71A35991">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p w14:paraId="3878F2AB">
            <w:pPr>
              <w:spacing w:line="240" w:lineRule="exact"/>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tc>
      </w:tr>
      <w:tr w14:paraId="64690B6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74061D3B">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73504C1">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14:paraId="14C613E6">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4</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11</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13</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14</w:t>
            </w:r>
            <w:r>
              <w:rPr>
                <w:rFonts w:hint="eastAsia" w:ascii="宋体" w:hAnsi="宋体" w:eastAsia="宋体" w:cs="宋体"/>
                <w:b/>
                <w:bCs/>
                <w:color w:val="0000FF"/>
                <w:kern w:val="0"/>
                <w:sz w:val="18"/>
                <w:szCs w:val="18"/>
                <w:highlight w:val="none"/>
              </w:rPr>
              <w:t>时30分</w:t>
            </w:r>
          </w:p>
          <w:p w14:paraId="6C882642">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w:t>
            </w:r>
            <w:r>
              <w:rPr>
                <w:rFonts w:hint="eastAsia" w:ascii="宋体" w:hAnsi="宋体" w:eastAsia="宋体" w:cs="宋体"/>
                <w:bCs/>
                <w:kern w:val="0"/>
                <w:sz w:val="18"/>
                <w:szCs w:val="18"/>
                <w:highlight w:val="none"/>
              </w:rPr>
              <w:t>温州市政务服务管理中心收标区 (温州市鹿城区会展路1268号温州市民中心A座3楼公共资源交易专区)（详见当天大厅大屏幕）</w:t>
            </w:r>
          </w:p>
        </w:tc>
      </w:tr>
      <w:tr w14:paraId="7A123F5E">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61CD841">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94D06A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14:paraId="62642004">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14:paraId="42FB0BF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14:paraId="6D02D213">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w:t>
            </w:r>
            <w:r>
              <w:rPr>
                <w:rFonts w:hint="eastAsia" w:ascii="宋体" w:hAnsi="宋体" w:eastAsia="宋体" w:cs="宋体"/>
                <w:bCs/>
                <w:kern w:val="0"/>
                <w:sz w:val="18"/>
                <w:szCs w:val="18"/>
                <w:highlight w:val="none"/>
              </w:rPr>
              <w:t>温州市政务服务管理中心开标区</w:t>
            </w:r>
          </w:p>
        </w:tc>
      </w:tr>
      <w:tr w14:paraId="4023D16B">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3691B7C">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585C653B">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14:paraId="4FC82A2A">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14:paraId="34CBCE7E">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2.公布在投标截止时间前递交投标文件的投标供应商名称，并点名确认投标供应商是否派授权代表到场；</w:t>
            </w:r>
          </w:p>
          <w:p w14:paraId="5BD22F67">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14:paraId="7729EADA">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4.密封情况检查：由投标供应商或其推选的代表检查投标文件密封情况；</w:t>
            </w:r>
          </w:p>
          <w:p w14:paraId="7AEDAA08">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开启技术资信部分投标文件、开启商务（报价）文件；</w:t>
            </w:r>
            <w:r>
              <w:rPr>
                <w:rFonts w:hint="eastAsia" w:ascii="宋体" w:hAnsi="宋体" w:eastAsia="宋体" w:cs="宋体"/>
                <w:bCs/>
                <w:sz w:val="18"/>
                <w:szCs w:val="18"/>
                <w:highlight w:val="none"/>
              </w:rPr>
              <w:t>宣读“开标一览表”中包括投标报价等内容。</w:t>
            </w:r>
          </w:p>
          <w:p w14:paraId="5DCDE150">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6.确认开标结果：投标供应商授权代表对开标记录进行当场校核及勘误，并签字确认；并同时由记录人、核对人当场签字确认。</w:t>
            </w:r>
          </w:p>
          <w:p w14:paraId="1466E42C">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14:paraId="7B251945">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8.投标供应商授权代表未参加开标会议；未到场签字确认的，不影响开标，评标过程，视同认可开标结果；事后不得对采购相关人员、开标过程和开标结果提出异议。</w:t>
            </w:r>
          </w:p>
        </w:tc>
      </w:tr>
      <w:tr w14:paraId="717C2E27">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85D72E2">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4CB93D2F">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14:paraId="3DA92DC8">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14:paraId="383533DF">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14:paraId="42019567">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1F4BED3">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30401E7B">
            <w:pPr>
              <w:spacing w:line="24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14:paraId="59B92EB1">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履约担保的形式：履约保证金（转账形式）</w:t>
            </w:r>
          </w:p>
          <w:p w14:paraId="08E841CC">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履约担保的金额：合同价的</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w:t>
            </w:r>
          </w:p>
          <w:p w14:paraId="06595086">
            <w:pPr>
              <w:spacing w:line="240" w:lineRule="exac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须按规定向采购人一次性提交履约保证金。</w:t>
            </w:r>
          </w:p>
        </w:tc>
      </w:tr>
      <w:tr w14:paraId="6186C16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04D8E45">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0ACF6597">
            <w:pPr>
              <w:spacing w:line="24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14:paraId="6CDFAD0C">
            <w:pPr>
              <w:autoSpaceDE w:val="0"/>
              <w:autoSpaceDN w:val="0"/>
              <w:spacing w:line="24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14:paraId="67D3A15E">
            <w:pPr>
              <w:spacing w:line="24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w:t>
            </w:r>
            <w:r>
              <w:rPr>
                <w:rFonts w:hint="eastAsia" w:ascii="宋体" w:hAnsi="宋体" w:eastAsia="宋体" w:cs="宋体"/>
                <w:bCs/>
                <w:snapToGrid w:val="0"/>
                <w:sz w:val="18"/>
                <w:szCs w:val="18"/>
                <w:highlight w:val="none"/>
              </w:rPr>
              <w:t>@qq.com。</w:t>
            </w:r>
          </w:p>
        </w:tc>
      </w:tr>
      <w:tr w14:paraId="2196FD64">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F7B50CE">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79172FAA">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7F72E1E7">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1、采购文件、采购公告中如有前后不一致的，一律以本“投标供应商须知前附表”为准；</w:t>
            </w:r>
          </w:p>
          <w:p w14:paraId="641E2566">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14:paraId="636D698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14:paraId="596F7266">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温州市高速公路资产经营有限公司</w:t>
            </w:r>
            <w:r>
              <w:rPr>
                <w:rFonts w:hint="eastAsia" w:ascii="宋体" w:hAnsi="宋体" w:eastAsia="宋体" w:cs="宋体"/>
                <w:kern w:val="0"/>
                <w:sz w:val="18"/>
                <w:szCs w:val="18"/>
                <w:highlight w:val="none"/>
              </w:rPr>
              <w:t>纪检监察室</w:t>
            </w:r>
          </w:p>
          <w:p w14:paraId="3A6479F9">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联系电话：0577-85559092</w:t>
            </w:r>
          </w:p>
        </w:tc>
      </w:tr>
      <w:tr w14:paraId="669DAA02">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B94DC17">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14:paraId="64B733E7">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14:paraId="77352E55">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14:paraId="6ABD8FCF">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14:paraId="5E9BC85E">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14:paraId="670B55C2">
      <w:pPr>
        <w:rPr>
          <w:rFonts w:hint="eastAsia" w:ascii="宋体" w:hAnsi="宋体" w:eastAsia="宋体" w:cs="宋体"/>
          <w:szCs w:val="24"/>
          <w:highlight w:val="none"/>
        </w:rPr>
      </w:pPr>
    </w:p>
    <w:p w14:paraId="2F90FA41">
      <w:pPr>
        <w:spacing w:before="156" w:beforeLines="50" w:after="156"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14:paraId="4B6192A9">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14:paraId="303A05C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本次采购工作是按照《温州市市属国有企业采购管理办法》等有关法律、法规组织和实施的。</w:t>
      </w:r>
    </w:p>
    <w:p w14:paraId="79E87C62">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14:paraId="76CB72C6">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14:paraId="365F12FC">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14:paraId="1545835D">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，须持有《</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授权书》。</w:t>
      </w:r>
    </w:p>
    <w:p w14:paraId="5A25112F">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14:paraId="760463A9">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14:paraId="6C3DD5D4">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14:paraId="2025DDBB">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14:paraId="59D0CAFD">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14:paraId="556BECE2">
      <w:pPr>
        <w:spacing w:before="156" w:beforeLines="50" w:after="156" w:afterLines="50"/>
        <w:jc w:val="center"/>
        <w:rPr>
          <w:rFonts w:hint="eastAsia" w:ascii="宋体" w:hAnsi="宋体" w:eastAsia="宋体" w:cs="宋体"/>
          <w:b/>
          <w:sz w:val="28"/>
          <w:szCs w:val="28"/>
          <w:highlight w:val="none"/>
        </w:rPr>
      </w:pPr>
      <w:bookmarkStart w:id="33" w:name="_Toc205877558"/>
      <w:bookmarkStart w:id="34" w:name="_Toc227057034"/>
      <w:bookmarkStart w:id="35" w:name="_Toc223933222"/>
      <w:bookmarkStart w:id="36" w:name="_Toc205877453"/>
      <w:bookmarkStart w:id="37" w:name="_Toc204491318"/>
      <w:bookmarkStart w:id="38" w:name="_Toc215415531"/>
      <w:bookmarkStart w:id="39" w:name="_Toc227489888"/>
      <w:bookmarkStart w:id="40" w:name="_Toc223717605"/>
      <w:bookmarkStart w:id="41" w:name="_Toc205005287"/>
      <w:bookmarkStart w:id="42" w:name="_Toc219538614"/>
      <w:bookmarkStart w:id="43" w:name="_Toc209250720"/>
      <w:bookmarkStart w:id="44" w:name="_Toc205004969"/>
      <w:bookmarkStart w:id="45" w:name="_Toc205703103"/>
      <w:bookmarkStart w:id="46" w:name="_Toc214365791"/>
      <w:bookmarkStart w:id="47" w:name="_Toc209261366"/>
      <w:bookmarkStart w:id="48" w:name="_Toc204578576"/>
      <w:bookmarkStart w:id="49" w:name="_Toc210879709"/>
      <w:bookmarkStart w:id="50" w:name="_Toc216667821"/>
      <w:bookmarkStart w:id="51" w:name="_Toc209261433"/>
      <w:bookmarkStart w:id="52" w:name="_Toc209332634"/>
      <w:bookmarkStart w:id="53" w:name="_Toc209251128"/>
      <w:bookmarkStart w:id="54" w:name="_Toc218041727"/>
      <w:bookmarkStart w:id="55" w:name="_Toc217460686"/>
      <w:bookmarkStart w:id="56" w:name="_Toc207609182"/>
      <w:bookmarkStart w:id="57" w:name="_Toc227056847"/>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9CE425D">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14:paraId="04BE9B0F">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14:paraId="4BA9305C">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eastAsia="zh-CN"/>
        </w:rPr>
        <w:t>询疑</w:t>
      </w:r>
      <w:r>
        <w:rPr>
          <w:rFonts w:hint="eastAsia" w:ascii="宋体" w:hAnsi="宋体" w:eastAsia="宋体" w:cs="宋体"/>
          <w:sz w:val="22"/>
          <w:highlight w:val="none"/>
        </w:rPr>
        <w:t>期内未收到有关疑问，视为投标人完全同意采购文件所有条款，且对于采购文件相关表述以及未尽事宜如有争议，以采购人解释为准。</w:t>
      </w:r>
    </w:p>
    <w:p w14:paraId="7060AF20">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14:paraId="04048FB4">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5日前发布更正公告，不足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14:paraId="205DB402">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14:paraId="2DC62DA2">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14:paraId="2D75BBE1">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14:paraId="33CBA62D">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w:t>
      </w:r>
      <w:r>
        <w:rPr>
          <w:rFonts w:hint="eastAsia" w:ascii="宋体" w:hAnsi="宋体" w:eastAsia="宋体" w:cs="宋体"/>
          <w:sz w:val="22"/>
          <w:highlight w:val="none"/>
          <w:lang w:eastAsia="zh-CN"/>
        </w:rPr>
        <w:t>询疑</w:t>
      </w:r>
      <w:r>
        <w:rPr>
          <w:rFonts w:hint="eastAsia" w:ascii="宋体" w:hAnsi="宋体" w:eastAsia="宋体" w:cs="宋体"/>
          <w:sz w:val="22"/>
          <w:highlight w:val="none"/>
        </w:rPr>
        <w:t>截止时间后，经采购人及采购机构同意购买采购文件的投标人不得对采购文件及其补充文件提出澄清</w:t>
      </w:r>
      <w:r>
        <w:rPr>
          <w:rFonts w:hint="eastAsia" w:ascii="宋体" w:hAnsi="宋体" w:eastAsia="宋体" w:cs="宋体"/>
          <w:sz w:val="22"/>
          <w:highlight w:val="none"/>
          <w:lang w:eastAsia="zh-CN"/>
        </w:rPr>
        <w:t>询疑</w:t>
      </w:r>
      <w:r>
        <w:rPr>
          <w:rFonts w:hint="eastAsia" w:ascii="宋体" w:hAnsi="宋体" w:eastAsia="宋体" w:cs="宋体"/>
          <w:sz w:val="22"/>
          <w:highlight w:val="none"/>
        </w:rPr>
        <w:t>要求。</w:t>
      </w:r>
    </w:p>
    <w:p w14:paraId="1E84676B">
      <w:pPr>
        <w:spacing w:before="156" w:beforeLines="50" w:after="156" w:afterLines="50"/>
        <w:jc w:val="center"/>
        <w:rPr>
          <w:rFonts w:hint="eastAsia" w:ascii="宋体" w:hAnsi="宋体" w:eastAsia="宋体" w:cs="宋体"/>
          <w:b/>
          <w:sz w:val="28"/>
          <w:szCs w:val="28"/>
          <w:highlight w:val="none"/>
        </w:rPr>
      </w:pPr>
      <w:bookmarkStart w:id="58" w:name="_Toc205703104"/>
      <w:bookmarkStart w:id="59" w:name="_Toc209261367"/>
      <w:bookmarkStart w:id="60" w:name="_Toc204491319"/>
      <w:bookmarkStart w:id="61" w:name="_Toc214365792"/>
      <w:bookmarkStart w:id="62" w:name="_Toc227057035"/>
      <w:bookmarkStart w:id="63" w:name="_Toc227056848"/>
      <w:bookmarkStart w:id="64" w:name="_Toc215415532"/>
      <w:bookmarkStart w:id="65" w:name="_Toc216667822"/>
      <w:bookmarkStart w:id="66" w:name="_Toc207609183"/>
      <w:bookmarkStart w:id="67" w:name="_Toc217460687"/>
      <w:bookmarkStart w:id="68" w:name="_Toc205877454"/>
      <w:bookmarkStart w:id="69" w:name="_Toc209332635"/>
      <w:bookmarkStart w:id="70" w:name="_Toc205005288"/>
      <w:bookmarkStart w:id="71" w:name="_Toc210879710"/>
      <w:bookmarkStart w:id="72" w:name="_Toc209261434"/>
      <w:bookmarkStart w:id="73" w:name="_Toc227489889"/>
      <w:bookmarkStart w:id="74" w:name="_Toc218041728"/>
      <w:bookmarkStart w:id="75" w:name="_Toc204578577"/>
      <w:bookmarkStart w:id="76" w:name="_Toc219538615"/>
      <w:bookmarkStart w:id="77" w:name="_Toc223933223"/>
      <w:bookmarkStart w:id="78" w:name="_Toc205877559"/>
      <w:bookmarkStart w:id="79" w:name="_Toc205004970"/>
      <w:bookmarkStart w:id="80" w:name="_Toc209250721"/>
      <w:bookmarkStart w:id="81" w:name="_Toc223717606"/>
      <w:bookmarkStart w:id="82" w:name="_Toc209251129"/>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240FC5F">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14:paraId="252962C4">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14:paraId="3CF063BE">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14:paraId="40FA795C">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14:paraId="02B6E5D1">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2DC0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17" w:type="dxa"/>
            <w:vAlign w:val="center"/>
          </w:tcPr>
          <w:p w14:paraId="205DB1D3">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14:paraId="1D9E1A10">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14:paraId="6C2B339E">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1A65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6405379">
            <w:pPr>
              <w:jc w:val="center"/>
              <w:rPr>
                <w:rFonts w:hint="eastAsia" w:ascii="宋体" w:hAnsi="宋体" w:eastAsia="宋体" w:cs="宋体"/>
                <w:b/>
                <w:sz w:val="18"/>
                <w:szCs w:val="18"/>
                <w:highlight w:val="none"/>
              </w:rPr>
            </w:pPr>
          </w:p>
        </w:tc>
        <w:tc>
          <w:tcPr>
            <w:tcW w:w="7122" w:type="dxa"/>
            <w:vAlign w:val="center"/>
          </w:tcPr>
          <w:p w14:paraId="281910B7">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14:paraId="33636D90">
            <w:pPr>
              <w:jc w:val="center"/>
              <w:rPr>
                <w:rFonts w:hint="eastAsia" w:ascii="宋体" w:hAnsi="宋体" w:eastAsia="宋体" w:cs="宋体"/>
                <w:b/>
                <w:sz w:val="18"/>
                <w:szCs w:val="18"/>
                <w:highlight w:val="none"/>
              </w:rPr>
            </w:pPr>
          </w:p>
        </w:tc>
      </w:tr>
      <w:tr w14:paraId="0AF4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688015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7FA32067">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14:paraId="66393E9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5A8D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218943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666F09EF">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14:paraId="4FF726F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0AA5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97BE61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7540A958">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14:paraId="70BCB7D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14:paraId="2D12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FFF9B9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1E4E3499">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14:paraId="59A69D8A">
            <w:pPr>
              <w:jc w:val="center"/>
              <w:rPr>
                <w:rFonts w:hint="eastAsia" w:ascii="宋体" w:hAnsi="宋体" w:eastAsia="宋体" w:cs="宋体"/>
                <w:sz w:val="18"/>
                <w:szCs w:val="18"/>
                <w:highlight w:val="none"/>
              </w:rPr>
            </w:pPr>
          </w:p>
        </w:tc>
      </w:tr>
      <w:tr w14:paraId="4FE0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B9D4AE5">
            <w:pPr>
              <w:jc w:val="center"/>
              <w:rPr>
                <w:rFonts w:hint="eastAsia" w:ascii="宋体" w:hAnsi="宋体" w:eastAsia="宋体" w:cs="宋体"/>
                <w:sz w:val="18"/>
                <w:szCs w:val="18"/>
                <w:highlight w:val="none"/>
              </w:rPr>
            </w:pPr>
          </w:p>
        </w:tc>
        <w:tc>
          <w:tcPr>
            <w:tcW w:w="7122" w:type="dxa"/>
            <w:vAlign w:val="center"/>
          </w:tcPr>
          <w:p w14:paraId="46701A22">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14:paraId="7D66144E">
            <w:pPr>
              <w:jc w:val="center"/>
              <w:rPr>
                <w:rFonts w:hint="eastAsia" w:ascii="宋体" w:hAnsi="宋体" w:eastAsia="宋体" w:cs="宋体"/>
                <w:sz w:val="18"/>
                <w:szCs w:val="18"/>
                <w:highlight w:val="none"/>
              </w:rPr>
            </w:pPr>
          </w:p>
        </w:tc>
      </w:tr>
      <w:tr w14:paraId="5E63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E8ABD4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13B8F8BF">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14:paraId="575BF95F">
            <w:pPr>
              <w:jc w:val="center"/>
              <w:rPr>
                <w:rFonts w:hint="eastAsia" w:ascii="宋体" w:hAnsi="宋体" w:eastAsia="宋体" w:cs="宋体"/>
                <w:sz w:val="18"/>
                <w:szCs w:val="18"/>
                <w:highlight w:val="none"/>
              </w:rPr>
            </w:pPr>
          </w:p>
        </w:tc>
      </w:tr>
      <w:tr w14:paraId="09BD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C97A7C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6717DB8D">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14:paraId="4B79C9C2">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14:paraId="0FA2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4C9BFA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14:paraId="6542037A">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参加国企采购活动前三年内，在经营活动中没有重大违法记录。请在投标声明书中如实填写（新成立不满三年的组织机构自成立之日起算）</w:t>
            </w:r>
          </w:p>
        </w:tc>
        <w:tc>
          <w:tcPr>
            <w:tcW w:w="1105" w:type="dxa"/>
            <w:vAlign w:val="center"/>
          </w:tcPr>
          <w:p w14:paraId="7244F607">
            <w:pPr>
              <w:jc w:val="center"/>
              <w:rPr>
                <w:rFonts w:hint="eastAsia" w:ascii="宋体" w:hAnsi="宋体" w:eastAsia="宋体" w:cs="宋体"/>
                <w:sz w:val="18"/>
                <w:szCs w:val="18"/>
                <w:highlight w:val="none"/>
              </w:rPr>
            </w:pPr>
          </w:p>
        </w:tc>
      </w:tr>
      <w:tr w14:paraId="005C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FF7E08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14:paraId="7054CA34">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5D49C012">
            <w:pPr>
              <w:jc w:val="center"/>
              <w:rPr>
                <w:rFonts w:hint="eastAsia" w:ascii="宋体" w:hAnsi="宋体" w:eastAsia="宋体" w:cs="宋体"/>
                <w:sz w:val="18"/>
                <w:szCs w:val="18"/>
                <w:highlight w:val="none"/>
              </w:rPr>
            </w:pPr>
          </w:p>
        </w:tc>
      </w:tr>
      <w:tr w14:paraId="65F4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C613A7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14:paraId="4DC6F840">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14:paraId="4CA411B8">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14:paraId="2F2F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CCFFB5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14:paraId="58B0855A">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14:paraId="39F05B19">
            <w:pPr>
              <w:jc w:val="center"/>
              <w:rPr>
                <w:rFonts w:hint="eastAsia" w:ascii="宋体" w:hAnsi="宋体" w:eastAsia="宋体" w:cs="宋体"/>
                <w:sz w:val="18"/>
                <w:szCs w:val="18"/>
                <w:highlight w:val="none"/>
              </w:rPr>
            </w:pPr>
          </w:p>
        </w:tc>
      </w:tr>
      <w:tr w14:paraId="2130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50CEE8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14:paraId="181D68B4">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14:paraId="581B7AF4">
            <w:pPr>
              <w:jc w:val="center"/>
              <w:rPr>
                <w:rFonts w:hint="eastAsia" w:ascii="宋体" w:hAnsi="宋体" w:eastAsia="宋体" w:cs="宋体"/>
                <w:sz w:val="18"/>
                <w:szCs w:val="18"/>
                <w:highlight w:val="none"/>
              </w:rPr>
            </w:pPr>
          </w:p>
        </w:tc>
      </w:tr>
      <w:tr w14:paraId="2C43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EE78AA7">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14:paraId="061ECFE6">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14:paraId="699381AE">
            <w:pPr>
              <w:jc w:val="center"/>
              <w:rPr>
                <w:rFonts w:hint="eastAsia" w:ascii="宋体" w:hAnsi="宋体" w:eastAsia="宋体" w:cs="宋体"/>
                <w:sz w:val="18"/>
                <w:szCs w:val="18"/>
                <w:highlight w:val="none"/>
              </w:rPr>
            </w:pPr>
          </w:p>
        </w:tc>
      </w:tr>
      <w:tr w14:paraId="3FB1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A14D64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14:paraId="160B7D34">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14:paraId="5404432A">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14:paraId="0F3E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9FAAAE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14:paraId="3356DBF4">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14:paraId="34269CB0">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14:paraId="6A0E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1BB373E">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14:paraId="74BD849A">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14:paraId="4DC49440">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14:paraId="7922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DF32417">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14:paraId="459985B2">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2021年1月1日以来</w:t>
            </w:r>
            <w:r>
              <w:rPr>
                <w:rFonts w:hint="eastAsia" w:ascii="宋体" w:hAnsi="宋体" w:eastAsia="宋体" w:cs="宋体"/>
                <w:sz w:val="18"/>
                <w:szCs w:val="18"/>
                <w:highlight w:val="none"/>
              </w:rPr>
              <w:t>同类项目业绩一览表</w:t>
            </w:r>
          </w:p>
        </w:tc>
        <w:tc>
          <w:tcPr>
            <w:tcW w:w="1105" w:type="dxa"/>
            <w:vAlign w:val="center"/>
          </w:tcPr>
          <w:p w14:paraId="6EEEA4DF">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14:paraId="45B0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22F3DC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shd w:val="clear" w:color="auto" w:fill="auto"/>
            <w:vAlign w:val="center"/>
          </w:tcPr>
          <w:p w14:paraId="0C10DCDA">
            <w:pP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服务人员人均月工资承诺函</w:t>
            </w:r>
          </w:p>
        </w:tc>
        <w:tc>
          <w:tcPr>
            <w:tcW w:w="1105" w:type="dxa"/>
            <w:vAlign w:val="center"/>
          </w:tcPr>
          <w:p w14:paraId="4E9D0225">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w:t>
            </w:r>
          </w:p>
        </w:tc>
      </w:tr>
      <w:tr w14:paraId="2CAA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8903E6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shd w:val="clear" w:color="auto" w:fill="auto"/>
            <w:vAlign w:val="center"/>
          </w:tcPr>
          <w:p w14:paraId="311E6B74">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rPr>
              <w:t>根据采购文件中的采购内容及要求以及技术资信评分项目逐项编制</w:t>
            </w:r>
            <w:r>
              <w:rPr>
                <w:rFonts w:hint="eastAsia" w:ascii="宋体" w:hAnsi="宋体" w:eastAsia="宋体" w:cs="宋体"/>
                <w:sz w:val="18"/>
                <w:szCs w:val="18"/>
                <w:highlight w:val="none"/>
                <w:lang w:eastAsia="zh-CN"/>
              </w:rPr>
              <w:t>）</w:t>
            </w:r>
          </w:p>
        </w:tc>
        <w:tc>
          <w:tcPr>
            <w:tcW w:w="1105" w:type="dxa"/>
            <w:vAlign w:val="center"/>
          </w:tcPr>
          <w:p w14:paraId="33969362">
            <w:pPr>
              <w:jc w:val="center"/>
              <w:rPr>
                <w:rFonts w:hint="eastAsia" w:ascii="宋体" w:hAnsi="宋体" w:eastAsia="宋体" w:cs="宋体"/>
                <w:sz w:val="18"/>
                <w:szCs w:val="18"/>
                <w:highlight w:val="none"/>
                <w:lang w:val="en-US" w:eastAsia="zh-CN"/>
              </w:rPr>
            </w:pPr>
          </w:p>
        </w:tc>
      </w:tr>
    </w:tbl>
    <w:p w14:paraId="6A355873">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14:paraId="43C17205">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1）投标供应商可根据采购文件中的技术规格书以及技术资信评分表，提供投标供应商认为需要提供的文件和资料。</w:t>
      </w:r>
    </w:p>
    <w:p w14:paraId="3CDD5449">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2）投标文件中应承诺：投标供应商所提供的服务及货物在合同执行过程中如若发生侵权事件，其侵权责任与</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人及</w:t>
      </w:r>
      <w:r>
        <w:rPr>
          <w:rFonts w:hint="eastAsia" w:ascii="宋体" w:hAnsi="宋体" w:eastAsia="宋体" w:cs="宋体"/>
          <w:sz w:val="22"/>
          <w:highlight w:val="none"/>
          <w:lang w:eastAsia="zh-CN"/>
        </w:rPr>
        <w:t>采购</w:t>
      </w:r>
      <w:r>
        <w:rPr>
          <w:rFonts w:hint="eastAsia" w:ascii="宋体" w:hAnsi="宋体" w:eastAsia="宋体" w:cs="宋体"/>
          <w:sz w:val="22"/>
          <w:highlight w:val="none"/>
        </w:rPr>
        <w:t>代理机构无关，由投标供应商承担全部责任。侵权造成的所有相关费用，均由投标供应商支付，保证不伤害</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人的利益。</w:t>
      </w:r>
    </w:p>
    <w:p w14:paraId="026BFCCB">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w:t>
      </w:r>
      <w:r>
        <w:rPr>
          <w:rFonts w:hint="eastAsia" w:ascii="宋体" w:hAnsi="宋体" w:eastAsia="宋体" w:cs="宋体"/>
          <w:b/>
          <w:bCs/>
          <w:sz w:val="22"/>
          <w:highlight w:val="none"/>
          <w:u w:val="single"/>
        </w:rPr>
        <w:t>以上所需的各种证书、证件、证明、执照若系复印件，须在复印件上加盖投标供应商有效的公章</w:t>
      </w:r>
      <w:r>
        <w:rPr>
          <w:rFonts w:hint="eastAsia" w:ascii="宋体" w:hAnsi="宋体" w:eastAsia="宋体" w:cs="宋体"/>
          <w:sz w:val="22"/>
          <w:highlight w:val="none"/>
        </w:rPr>
        <w:t>。</w:t>
      </w:r>
    </w:p>
    <w:p w14:paraId="77246E9F">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4）投标供应商可在采购文件中对采购服务的技术规格和要求选用替代标准，但这些替代标准必须相当于或优于采购文件中提出的相应要求，并使采购人满意。同时在技术偏离表中作出详细说明。</w:t>
      </w:r>
    </w:p>
    <w:p w14:paraId="2BF2BE64">
      <w:pPr>
        <w:tabs>
          <w:tab w:val="left" w:pos="5355"/>
        </w:tabs>
        <w:rPr>
          <w:rFonts w:hint="eastAsia" w:ascii="宋体" w:hAnsi="宋体" w:eastAsia="宋体" w:cs="宋体"/>
          <w:b/>
          <w:sz w:val="22"/>
          <w:highlight w:val="none"/>
        </w:rPr>
      </w:pPr>
    </w:p>
    <w:p w14:paraId="6F83D4B4">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14:paraId="4511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75BD2E8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14:paraId="6F7BC8A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14:paraId="24426CA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14:paraId="4C3B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193054D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14:paraId="3EC2E0DB">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14:paraId="27A27EE0">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一</w:t>
            </w:r>
          </w:p>
        </w:tc>
      </w:tr>
      <w:tr w14:paraId="5AE5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14:paraId="2EC7D64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14:paraId="3152031B">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14:paraId="4065CE2F">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二</w:t>
            </w:r>
          </w:p>
        </w:tc>
      </w:tr>
    </w:tbl>
    <w:p w14:paraId="31879A85">
      <w:pPr>
        <w:rPr>
          <w:rFonts w:hint="eastAsia" w:ascii="宋体" w:hAnsi="宋体" w:eastAsia="宋体" w:cs="宋体"/>
          <w:b/>
          <w:sz w:val="22"/>
          <w:highlight w:val="none"/>
        </w:rPr>
      </w:pPr>
    </w:p>
    <w:p w14:paraId="7E5F4C56">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14:paraId="27431B0C">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sz w:val="22"/>
          <w:highlight w:val="none"/>
        </w:rPr>
        <w:t>。</w:t>
      </w:r>
    </w:p>
    <w:p w14:paraId="450F950A">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14:paraId="00E50F5A">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14:paraId="6B5FEDC7">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14:paraId="3DA6BCCF">
      <w:pPr>
        <w:ind w:left="526" w:hanging="526" w:hangingChars="238"/>
        <w:rPr>
          <w:rFonts w:hint="eastAsia" w:ascii="宋体" w:hAnsi="宋体" w:eastAsia="宋体" w:cs="宋体"/>
          <w:b/>
          <w:bCs/>
          <w:sz w:val="22"/>
          <w:szCs w:val="22"/>
          <w:highlight w:val="none"/>
        </w:rPr>
      </w:pPr>
      <w:r>
        <w:rPr>
          <w:rFonts w:hint="eastAsia" w:ascii="宋体" w:hAnsi="宋体" w:eastAsia="宋体" w:cs="宋体"/>
          <w:b/>
          <w:bCs/>
          <w:sz w:val="22"/>
          <w:highlight w:val="none"/>
        </w:rPr>
        <w:t>12.1</w:t>
      </w:r>
      <w:r>
        <w:rPr>
          <w:rFonts w:hint="eastAsia" w:ascii="宋体" w:hAnsi="宋体" w:eastAsia="宋体" w:cs="宋体"/>
          <w:b/>
          <w:bCs/>
          <w:sz w:val="22"/>
          <w:szCs w:val="22"/>
          <w:highlight w:val="none"/>
        </w:rPr>
        <w:t xml:space="preserve"> </w:t>
      </w:r>
      <w:r>
        <w:rPr>
          <w:rFonts w:hint="eastAsia" w:ascii="宋体" w:hAnsi="宋体" w:eastAsia="宋体" w:cs="宋体"/>
          <w:b/>
          <w:sz w:val="22"/>
          <w:szCs w:val="22"/>
          <w:highlight w:val="none"/>
          <w:u w:val="single"/>
        </w:rPr>
        <w:t>▲本项目投标报价为期限壹年的承包费用报价。投标报价是指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包括工人工资、奖金、房补、劳保福利、社保、工伤费、教育培训费、暂住费及处理一切伤亡事故等费用）、消防远程监控维保费用、服装摊销、除四害费用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价</w:t>
      </w:r>
      <w:r>
        <w:rPr>
          <w:rFonts w:hint="eastAsia" w:ascii="宋体" w:hAnsi="宋体" w:eastAsia="宋体" w:cs="宋体"/>
          <w:b/>
          <w:bCs/>
          <w:sz w:val="22"/>
          <w:szCs w:val="22"/>
          <w:highlight w:val="none"/>
        </w:rPr>
        <w:t>。</w:t>
      </w:r>
    </w:p>
    <w:p w14:paraId="06856265">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sz w:val="22"/>
          <w:highlight w:val="none"/>
        </w:rPr>
        <w:t>12.2 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14:paraId="4B537661">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w:t>
      </w:r>
      <w:r>
        <w:rPr>
          <w:rFonts w:hint="eastAsia" w:ascii="宋体" w:hAnsi="宋体" w:eastAsia="宋体" w:cs="宋体"/>
          <w:b/>
          <w:bCs/>
          <w:sz w:val="22"/>
          <w:highlight w:val="none"/>
          <w:lang w:eastAsia="zh-CN"/>
        </w:rPr>
        <w:t>法定代表人</w:t>
      </w:r>
      <w:r>
        <w:rPr>
          <w:rFonts w:hint="eastAsia" w:ascii="宋体" w:hAnsi="宋体" w:eastAsia="宋体" w:cs="宋体"/>
          <w:b/>
          <w:bCs/>
          <w:sz w:val="22"/>
          <w:highlight w:val="none"/>
        </w:rPr>
        <w:t>或投标人代表签署。</w:t>
      </w:r>
    </w:p>
    <w:p w14:paraId="4EFBF66C">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14:paraId="5722AD71">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14:paraId="1A79E141">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12.6采购单位要求分类报价是为了方便评标，但在任何情况下不限制采购人以其认为最合适的条款、条件签订合同的权利。</w:t>
      </w:r>
    </w:p>
    <w:p w14:paraId="17156ECB">
      <w:pPr>
        <w:keepNext w:val="0"/>
        <w:keepLines w:val="0"/>
        <w:pageBreakBefore w:val="0"/>
        <w:widowControl w:val="0"/>
        <w:tabs>
          <w:tab w:val="left" w:pos="-180"/>
          <w:tab w:val="left" w:pos="180"/>
          <w:tab w:val="left" w:pos="360"/>
        </w:tabs>
        <w:kinsoku/>
        <w:wordWrap w:val="0"/>
        <w:overflowPunct/>
        <w:topLinePunct w:val="0"/>
        <w:autoSpaceDE/>
        <w:autoSpaceDN/>
        <w:bidi w:val="0"/>
        <w:adjustRightInd/>
        <w:snapToGrid/>
        <w:textAlignment w:val="auto"/>
        <w:rPr>
          <w:rFonts w:hint="eastAsia" w:ascii="宋体" w:hAnsi="宋体" w:eastAsia="宋体" w:cs="宋体"/>
          <w:sz w:val="22"/>
          <w:highlight w:val="non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投标报价报出后，投标人不得以任何理由予以变更。任何包含价格调整的要求，将被认为是非实质性响应投标而予以拒绝。</w:t>
      </w:r>
    </w:p>
    <w:p w14:paraId="3CB8C347">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14:paraId="146B953F">
      <w:pPr>
        <w:numPr>
          <w:ilvl w:val="0"/>
          <w:numId w:val="3"/>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p>
    <w:p w14:paraId="2EEEE628">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13.1 </w:t>
      </w:r>
      <w:r>
        <w:rPr>
          <w:rFonts w:hint="eastAsia" w:ascii="宋体" w:hAnsi="宋体" w:eastAsia="宋体" w:cs="宋体"/>
          <w:b/>
          <w:bCs/>
          <w:sz w:val="22"/>
          <w:highlight w:val="none"/>
          <w:u w:val="single"/>
        </w:rPr>
        <w:t>投标人须按投标人须知前附表规定交纳投标保证金，否则将</w:t>
      </w:r>
      <w:r>
        <w:rPr>
          <w:rFonts w:hint="eastAsia" w:ascii="宋体" w:hAnsi="宋体" w:eastAsia="宋体" w:cs="宋体"/>
          <w:b/>
          <w:bCs/>
          <w:sz w:val="22"/>
          <w:highlight w:val="none"/>
          <w:u w:val="single"/>
          <w:lang w:val="en-US" w:eastAsia="zh-CN"/>
        </w:rPr>
        <w:t>作无效标处理</w:t>
      </w:r>
      <w:r>
        <w:rPr>
          <w:rFonts w:hint="eastAsia" w:ascii="宋体" w:hAnsi="宋体" w:eastAsia="宋体" w:cs="宋体"/>
          <w:sz w:val="22"/>
          <w:highlight w:val="none"/>
        </w:rPr>
        <w:t>。</w:t>
      </w:r>
    </w:p>
    <w:p w14:paraId="512D7237">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13.2</w:t>
      </w:r>
      <w:r>
        <w:rPr>
          <w:rFonts w:hint="eastAsia" w:ascii="宋体" w:hAnsi="宋体" w:eastAsia="宋体" w:cs="宋体"/>
          <w:b/>
          <w:bCs/>
          <w:sz w:val="22"/>
          <w:highlight w:val="none"/>
          <w:u w:val="single"/>
        </w:rPr>
        <w:t>投标保证金金额及形式详见采购公告及投标须知前附表规定。</w:t>
      </w:r>
    </w:p>
    <w:p w14:paraId="2B8B8D36">
      <w:pPr>
        <w:tabs>
          <w:tab w:val="left" w:pos="851"/>
          <w:tab w:val="left" w:pos="1080"/>
        </w:tabs>
        <w:ind w:left="524" w:hanging="523" w:hangingChars="238"/>
        <w:rPr>
          <w:rFonts w:hint="eastAsia" w:ascii="宋体" w:hAnsi="宋体" w:eastAsia="宋体" w:cs="宋体"/>
          <w:b/>
          <w:bCs/>
          <w:sz w:val="22"/>
          <w:highlight w:val="none"/>
        </w:rPr>
      </w:pPr>
      <w:r>
        <w:rPr>
          <w:rFonts w:hint="eastAsia" w:ascii="宋体" w:hAnsi="宋体" w:eastAsia="宋体" w:cs="宋体"/>
          <w:sz w:val="22"/>
          <w:highlight w:val="none"/>
        </w:rPr>
        <w:t>13.3 投标人的投标保证金在中标人提交履约担保并与采购人签订了合同且合同经备案后无息退还，未中标投标人的投标保证金将在确定中标人后无息退还。</w:t>
      </w:r>
    </w:p>
    <w:p w14:paraId="27378ABE">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14:paraId="326A22BD">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14:paraId="669FEE8A">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14:paraId="7D92D875">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中标人在规定期限内未能根据采购文件要求提供履约担保；</w:t>
      </w:r>
    </w:p>
    <w:p w14:paraId="5A7840B3">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投标人在投标文件中提供虚假技术指标及参数，经评标委员会确认属实的；</w:t>
      </w:r>
    </w:p>
    <w:p w14:paraId="0F60869F">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经国企采购监督管理部门审查认定投标供应商有违反《温州市市属国有企业采购管理办法（试行）》等有关法律法规的行为。</w:t>
      </w:r>
    </w:p>
    <w:p w14:paraId="2691A27A">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14:paraId="1581BB7E">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14:paraId="0D1BB258">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14:paraId="7FF17FBB">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18B8C42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14:paraId="60AEA87C">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五</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四</w:t>
      </w:r>
      <w:r>
        <w:rPr>
          <w:rFonts w:hint="eastAsia" w:ascii="宋体" w:hAnsi="宋体" w:eastAsia="宋体" w:cs="宋体"/>
          <w:b/>
          <w:sz w:val="22"/>
          <w:highlight w:val="none"/>
        </w:rPr>
        <w:t>份，每套投标文件的封面应清楚标明“正本”或“副本”字样，若“正本”与“副本”不符，以“正本”为准。</w:t>
      </w:r>
    </w:p>
    <w:p w14:paraId="09EF4D58">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或其授权代表签署，副本可用正本的复印件。</w:t>
      </w:r>
    </w:p>
    <w:p w14:paraId="70E8C8B7">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14:paraId="0B2D7893">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14:paraId="19EDB157">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14:paraId="1A3DF01D">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或其授权代表签字。</w:t>
      </w:r>
      <w:r>
        <w:rPr>
          <w:rFonts w:hint="eastAsia" w:ascii="宋体" w:hAnsi="宋体" w:eastAsia="宋体" w:cs="宋体"/>
          <w:b/>
          <w:sz w:val="22"/>
          <w:highlight w:val="none"/>
        </w:rPr>
        <w:t>封皮上写明投标项目名称、采购编号，并注明“开标时启封”字样。</w:t>
      </w:r>
    </w:p>
    <w:p w14:paraId="73139E8A">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14:paraId="76EC5412">
      <w:pPr>
        <w:spacing w:before="156" w:beforeLines="50" w:after="156" w:afterLines="50"/>
        <w:jc w:val="center"/>
        <w:rPr>
          <w:rFonts w:hint="eastAsia" w:ascii="宋体" w:hAnsi="宋体" w:eastAsia="宋体" w:cs="宋体"/>
          <w:b/>
          <w:sz w:val="28"/>
          <w:szCs w:val="28"/>
          <w:highlight w:val="none"/>
        </w:rPr>
      </w:pPr>
      <w:bookmarkStart w:id="83" w:name="_Toc217460688"/>
      <w:bookmarkStart w:id="84" w:name="_Toc205877455"/>
      <w:bookmarkStart w:id="85" w:name="_Toc219538616"/>
      <w:bookmarkStart w:id="86" w:name="_Toc205005289"/>
      <w:bookmarkStart w:id="87" w:name="_Toc216667823"/>
      <w:bookmarkStart w:id="88" w:name="_Toc209251130"/>
      <w:bookmarkStart w:id="89" w:name="_Toc227057036"/>
      <w:bookmarkStart w:id="90" w:name="_Toc223933224"/>
      <w:bookmarkStart w:id="91" w:name="_Toc209332636"/>
      <w:bookmarkStart w:id="92" w:name="_Toc223717607"/>
      <w:bookmarkStart w:id="93" w:name="_Toc209261435"/>
      <w:bookmarkStart w:id="94" w:name="_Toc227056849"/>
      <w:bookmarkStart w:id="95" w:name="_Toc227489890"/>
      <w:bookmarkStart w:id="96" w:name="_Toc204491320"/>
      <w:bookmarkStart w:id="97" w:name="_Toc218041729"/>
      <w:bookmarkStart w:id="98" w:name="_Toc207609184"/>
      <w:bookmarkStart w:id="99" w:name="_Toc204578578"/>
      <w:bookmarkStart w:id="100" w:name="_Toc210879711"/>
      <w:bookmarkStart w:id="101" w:name="_Toc209250722"/>
      <w:bookmarkStart w:id="102" w:name="_Toc214365793"/>
      <w:bookmarkStart w:id="103" w:name="_Toc205703105"/>
      <w:bookmarkStart w:id="104" w:name="_Toc215415533"/>
      <w:bookmarkStart w:id="105" w:name="_Toc205877560"/>
      <w:bookmarkStart w:id="106" w:name="_Toc209261368"/>
      <w:bookmarkStart w:id="107" w:name="_Toc205004971"/>
      <w:r>
        <w:rPr>
          <w:rFonts w:hint="eastAsia" w:ascii="宋体" w:hAnsi="宋体" w:eastAsia="宋体" w:cs="宋体"/>
          <w:b/>
          <w:sz w:val="28"/>
          <w:szCs w:val="28"/>
          <w:highlight w:val="none"/>
        </w:rPr>
        <w:t>四、 投标文件的递交</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94A626A">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14:paraId="5759AD83">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14:paraId="0AB2CC53">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14:paraId="1F07A54A">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投标保证金缴纳凭证；</w:t>
      </w:r>
    </w:p>
    <w:p w14:paraId="6DDE8314">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w:t>
      </w:r>
    </w:p>
    <w:p w14:paraId="3135ADCF">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如企业/事业单位</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委派投标人代表的，需提交</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授权书（原件）。</w:t>
      </w:r>
    </w:p>
    <w:p w14:paraId="19D1E486">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14:paraId="22C3576B">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在投标文件递交截止时间前，投标人可以用书面形式提出修改或撤回其投标并送达到采购人，但不得影响开标活动的正常进行。</w:t>
      </w:r>
    </w:p>
    <w:p w14:paraId="097D1444">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补充、修改的内容作为投标文件的组成部分。补充、修改的内容与投标文件不一致的，以补充、修改的内容为准。投标供应商在提交投标文件截止时间前提交的补充、修改或者撤回申请要求，应当以原件书面形式并由投标供应商代表签署，或者加盖投标供应商单位公章方可生效，否则采购人、采购代理机构将视为无效补充、修改或者撤回。采购人、采购代理机构不接受投标供应商口头、电话、传真或电子邮件形式提交的补充、修改或者撤回。</w:t>
      </w:r>
    </w:p>
    <w:p w14:paraId="7A99FAB1">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“投标文件修改”或“投标文件撤回通知”都应密封并在密封袋上写明投标项目名称、编号、投标单位名称，并注明“投标文件修改”或“投标文件撤回通知”字样。</w:t>
      </w:r>
    </w:p>
    <w:p w14:paraId="76EF3795">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从投标文件递交截止时间起至投标有效期满这段时间内，投标人不得撤回其投标，否则投标保证金将被不予退还。</w:t>
      </w:r>
    </w:p>
    <w:p w14:paraId="3012D33D">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14:paraId="029597CA">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14:paraId="6B6689F4">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14:paraId="0913C8B9">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未密封或未装订的投标文件及由于包装不妥在送达</w:t>
      </w:r>
      <w:r>
        <w:rPr>
          <w:rFonts w:hint="eastAsia" w:ascii="宋体" w:hAnsi="宋体" w:eastAsia="宋体" w:cs="宋体"/>
          <w:bCs/>
          <w:sz w:val="22"/>
          <w:highlight w:val="none"/>
          <w:u w:val="single"/>
          <w:lang w:val="en-US" w:eastAsia="zh-CN"/>
        </w:rPr>
        <w:t>时</w:t>
      </w:r>
      <w:r>
        <w:rPr>
          <w:rFonts w:hint="eastAsia" w:ascii="宋体" w:hAnsi="宋体" w:eastAsia="宋体" w:cs="宋体"/>
          <w:bCs/>
          <w:sz w:val="22"/>
          <w:highlight w:val="none"/>
          <w:u w:val="single"/>
        </w:rPr>
        <w:t>严重破损或失散的投标文件；</w:t>
      </w:r>
    </w:p>
    <w:p w14:paraId="726374D4">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14:paraId="56BFF0F4">
      <w:pPr>
        <w:spacing w:before="156" w:beforeLines="50" w:after="156" w:afterLines="50"/>
        <w:jc w:val="center"/>
        <w:rPr>
          <w:rFonts w:hint="eastAsia" w:ascii="宋体" w:hAnsi="宋体" w:eastAsia="宋体" w:cs="宋体"/>
          <w:b/>
          <w:sz w:val="28"/>
          <w:szCs w:val="28"/>
          <w:highlight w:val="none"/>
        </w:rPr>
      </w:pPr>
      <w:bookmarkStart w:id="108" w:name="_Toc215415534"/>
      <w:bookmarkStart w:id="109" w:name="_Toc227057037"/>
      <w:bookmarkStart w:id="110" w:name="_Toc214365794"/>
      <w:bookmarkStart w:id="111" w:name="_Toc205877561"/>
      <w:bookmarkStart w:id="112" w:name="_Toc217460689"/>
      <w:bookmarkStart w:id="113" w:name="_Toc205703106"/>
      <w:bookmarkStart w:id="114" w:name="_Toc227489891"/>
      <w:bookmarkStart w:id="115" w:name="_Toc204578579"/>
      <w:bookmarkStart w:id="116" w:name="_Toc218041730"/>
      <w:bookmarkStart w:id="117" w:name="_Toc209251131"/>
      <w:bookmarkStart w:id="118" w:name="_Toc210879712"/>
      <w:bookmarkStart w:id="119" w:name="_Toc209261436"/>
      <w:bookmarkStart w:id="120" w:name="_Toc207609185"/>
      <w:bookmarkStart w:id="121" w:name="_Toc219538617"/>
      <w:bookmarkStart w:id="122" w:name="_Toc227056850"/>
      <w:bookmarkStart w:id="123" w:name="_Toc204491321"/>
      <w:bookmarkStart w:id="124" w:name="_Toc205877456"/>
      <w:bookmarkStart w:id="125" w:name="_Toc205005290"/>
      <w:bookmarkStart w:id="126" w:name="_Toc223717608"/>
      <w:bookmarkStart w:id="127" w:name="_Toc209332637"/>
      <w:bookmarkStart w:id="128" w:name="_Toc209250723"/>
      <w:bookmarkStart w:id="129" w:name="_Toc216667824"/>
      <w:bookmarkStart w:id="130" w:name="_Toc223933225"/>
      <w:bookmarkStart w:id="131" w:name="_Toc205004972"/>
      <w:bookmarkStart w:id="132" w:name="_Toc209261369"/>
      <w:r>
        <w:rPr>
          <w:rFonts w:hint="eastAsia" w:ascii="宋体" w:hAnsi="宋体" w:eastAsia="宋体" w:cs="宋体"/>
          <w:b/>
          <w:sz w:val="28"/>
          <w:szCs w:val="28"/>
          <w:highlight w:val="none"/>
        </w:rPr>
        <w:t>五、 开标和评审</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F9E3AB8">
      <w:pPr>
        <w:numPr>
          <w:ilvl w:val="0"/>
          <w:numId w:val="3"/>
        </w:numPr>
        <w:tabs>
          <w:tab w:val="left" w:pos="525"/>
          <w:tab w:val="left" w:pos="900"/>
        </w:tabs>
        <w:ind w:left="525" w:hanging="525"/>
        <w:rPr>
          <w:rFonts w:hint="eastAsia" w:ascii="宋体" w:hAnsi="宋体" w:eastAsia="宋体" w:cs="宋体"/>
          <w:sz w:val="22"/>
          <w:highlight w:val="none"/>
        </w:rPr>
      </w:pPr>
      <w:bookmarkStart w:id="133" w:name="_Toc207609186"/>
      <w:bookmarkStart w:id="134" w:name="_Toc218041731"/>
      <w:bookmarkStart w:id="135" w:name="_Toc227056851"/>
      <w:bookmarkStart w:id="136" w:name="_Toc209250724"/>
      <w:bookmarkStart w:id="137" w:name="_Toc205005291"/>
      <w:bookmarkStart w:id="138" w:name="_Toc205004973"/>
      <w:bookmarkStart w:id="139" w:name="_Toc217460690"/>
      <w:bookmarkStart w:id="140" w:name="_Toc209332638"/>
      <w:bookmarkStart w:id="141" w:name="_Toc204578580"/>
      <w:bookmarkStart w:id="142" w:name="_Toc204491322"/>
      <w:bookmarkStart w:id="143" w:name="_Toc205703107"/>
      <w:bookmarkStart w:id="144" w:name="_Toc214365795"/>
      <w:bookmarkStart w:id="145" w:name="_Toc210879713"/>
      <w:bookmarkStart w:id="146" w:name="_Toc209261437"/>
      <w:bookmarkStart w:id="147" w:name="_Toc209261370"/>
      <w:bookmarkStart w:id="148" w:name="_Toc209251132"/>
      <w:bookmarkStart w:id="149" w:name="_Toc216667825"/>
      <w:bookmarkStart w:id="150" w:name="_Toc227057038"/>
      <w:bookmarkStart w:id="151" w:name="_Toc205877562"/>
      <w:bookmarkStart w:id="152" w:name="_Toc223717609"/>
      <w:bookmarkStart w:id="153" w:name="_Toc227489892"/>
      <w:bookmarkStart w:id="154" w:name="_Toc219538618"/>
      <w:bookmarkStart w:id="155" w:name="_Toc223933226"/>
      <w:bookmarkStart w:id="156" w:name="_Toc205877457"/>
      <w:bookmarkStart w:id="157" w:name="_Toc215415535"/>
      <w:r>
        <w:rPr>
          <w:rFonts w:hint="eastAsia" w:ascii="宋体" w:hAnsi="宋体" w:eastAsia="宋体" w:cs="宋体"/>
          <w:sz w:val="22"/>
          <w:highlight w:val="none"/>
        </w:rPr>
        <w:t>评标委员会</w:t>
      </w:r>
    </w:p>
    <w:p w14:paraId="12A707EE">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14:paraId="005C49D2">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14:paraId="28214548">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14:paraId="0F57B834">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14:paraId="36DA25FF">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14:paraId="7E5A2A3A">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14:paraId="59CB9ACE">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公布在投标截止时间前递交投标文件的投标供应商名称，并点名确认投标供应商是否派授权代表到场；</w:t>
      </w:r>
    </w:p>
    <w:p w14:paraId="60BDBBC8">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14:paraId="34241E27">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密封情况检查：由投标供应商或其推选的代表检查投标文件密封情况；</w:t>
      </w:r>
    </w:p>
    <w:p w14:paraId="124AB540">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w:t>
      </w:r>
      <w:r>
        <w:rPr>
          <w:rFonts w:hint="eastAsia" w:ascii="宋体" w:hAnsi="宋体" w:eastAsia="宋体" w:cs="宋体"/>
          <w:bCs/>
          <w:sz w:val="22"/>
          <w:highlight w:val="none"/>
          <w:lang w:val="en-US" w:eastAsia="zh-CN"/>
        </w:rPr>
        <w:t>同时</w:t>
      </w:r>
      <w:r>
        <w:rPr>
          <w:rFonts w:hint="eastAsia" w:ascii="宋体" w:hAnsi="宋体" w:eastAsia="宋体" w:cs="宋体"/>
          <w:bCs/>
          <w:sz w:val="22"/>
          <w:highlight w:val="none"/>
        </w:rPr>
        <w:t>开启技术资信部分投标文件、开启商务（报价）文件；</w:t>
      </w:r>
    </w:p>
    <w:p w14:paraId="4FF94FB6">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确认开标结果：投标供应商授权代表对开标书面记录进行当场校核及勘误，并签字确认；并同时由记录人、核对人当场签字确认。</w:t>
      </w:r>
    </w:p>
    <w:p w14:paraId="3226FA76">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14:paraId="725F2A35">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投标供应商授权代表未参加开标会议；未到场签字确认的，不影响开标，评标过程，视同认可开标结果；事后不得对采购相关人员、开标过程和开标结果提出异议。</w:t>
      </w:r>
    </w:p>
    <w:p w14:paraId="3FCE0DD1">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14:paraId="55CAE47A">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14:paraId="659165C7">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highlight w:val="none"/>
          <w:lang w:eastAsia="zh-CN"/>
        </w:rPr>
        <w:t>法定代表人</w:t>
      </w:r>
      <w:r>
        <w:rPr>
          <w:rFonts w:hint="eastAsia" w:ascii="宋体" w:hAnsi="宋体" w:eastAsia="宋体" w:cs="宋体"/>
          <w:bCs/>
          <w:sz w:val="22"/>
          <w:highlight w:val="none"/>
        </w:rPr>
        <w:t>授权书（原件）、投标代表人有效身份证件、投标保证金缴纳凭证，以及投标文件所提交证明材料是否能证明符合本项目对投标人资格的实质性要求。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14:paraId="11A5827E">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p>
    <w:p w14:paraId="6E055B98">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▲通过资格性审查与符合性审查的技术资信标由评委进行综合评审，审查确认未通过的作无效标处理。</w:t>
      </w:r>
    </w:p>
    <w:p w14:paraId="2B645641">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14:paraId="502D0AF6">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w:t>
      </w:r>
      <w:r>
        <w:rPr>
          <w:rFonts w:hint="eastAsia" w:ascii="宋体" w:hAnsi="宋体" w:eastAsia="宋体" w:cs="宋体"/>
          <w:bCs/>
          <w:sz w:val="22"/>
          <w:highlight w:val="none"/>
          <w:u w:val="single"/>
          <w:lang w:val="en-US" w:eastAsia="zh-CN"/>
        </w:rPr>
        <w:t>主要内容</w:t>
      </w:r>
      <w:r>
        <w:rPr>
          <w:rFonts w:hint="eastAsia" w:ascii="宋体" w:hAnsi="宋体" w:eastAsia="宋体" w:cs="宋体"/>
          <w:bCs/>
          <w:sz w:val="22"/>
          <w:highlight w:val="none"/>
          <w:u w:val="single"/>
        </w:rPr>
        <w:t>未按要求加盖单位公章、无</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或其授权代表签字或盖章的；</w:t>
      </w:r>
    </w:p>
    <w:p w14:paraId="197D02F9">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14:paraId="1F2A8A8A">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合法、有效委托的；</w:t>
      </w:r>
    </w:p>
    <w:p w14:paraId="5C84BFC1">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14:paraId="46E03D63">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14:paraId="35C887BE">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w:t>
      </w:r>
      <w:r>
        <w:rPr>
          <w:rFonts w:hint="eastAsia" w:ascii="宋体" w:hAnsi="宋体" w:eastAsia="宋体" w:cs="宋体"/>
          <w:bCs/>
          <w:sz w:val="22"/>
          <w:highlight w:val="none"/>
          <w:u w:val="single"/>
          <w:lang w:val="en-US" w:eastAsia="zh-CN"/>
        </w:rPr>
        <w:t>加</w:t>
      </w:r>
      <w:r>
        <w:rPr>
          <w:rFonts w:hint="eastAsia" w:ascii="宋体" w:hAnsi="宋体" w:eastAsia="宋体" w:cs="宋体"/>
          <w:bCs/>
          <w:sz w:val="22"/>
          <w:highlight w:val="none"/>
          <w:u w:val="single"/>
        </w:rPr>
        <w:t>“▲”同时加下划线</w:t>
      </w:r>
      <w:r>
        <w:rPr>
          <w:rFonts w:hint="eastAsia" w:ascii="宋体" w:hAnsi="宋体" w:eastAsia="宋体" w:cs="宋体"/>
          <w:bCs/>
          <w:sz w:val="22"/>
          <w:highlight w:val="none"/>
          <w:u w:val="single"/>
          <w:lang w:val="en-US" w:eastAsia="zh-CN"/>
        </w:rPr>
        <w:t>的</w:t>
      </w:r>
      <w:r>
        <w:rPr>
          <w:rFonts w:hint="eastAsia" w:ascii="宋体" w:hAnsi="宋体" w:eastAsia="宋体" w:cs="宋体"/>
          <w:bCs/>
          <w:sz w:val="22"/>
          <w:highlight w:val="none"/>
          <w:u w:val="single"/>
        </w:rPr>
        <w:t>条款；</w:t>
      </w:r>
    </w:p>
    <w:p w14:paraId="2F909521">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投标报价超过</w:t>
      </w:r>
      <w:r>
        <w:rPr>
          <w:rFonts w:hint="eastAsia" w:ascii="宋体" w:hAnsi="宋体" w:eastAsia="宋体" w:cs="宋体"/>
          <w:bCs/>
          <w:sz w:val="22"/>
          <w:highlight w:val="none"/>
          <w:u w:val="single"/>
          <w:lang w:eastAsia="zh-CN"/>
        </w:rPr>
        <w:t>采购预算</w:t>
      </w:r>
      <w:r>
        <w:rPr>
          <w:rFonts w:hint="eastAsia" w:ascii="宋体" w:hAnsi="宋体" w:eastAsia="宋体" w:cs="宋体"/>
          <w:bCs/>
          <w:sz w:val="22"/>
          <w:highlight w:val="none"/>
          <w:u w:val="single"/>
        </w:rPr>
        <w:t>（大于</w:t>
      </w:r>
      <w:r>
        <w:rPr>
          <w:rFonts w:hint="eastAsia" w:ascii="宋体" w:hAnsi="宋体" w:eastAsia="宋体" w:cs="宋体"/>
          <w:bCs/>
          <w:sz w:val="22"/>
          <w:highlight w:val="none"/>
          <w:u w:val="single"/>
          <w:lang w:val="en-US" w:eastAsia="zh-CN"/>
        </w:rPr>
        <w:t>384</w:t>
      </w:r>
      <w:r>
        <w:rPr>
          <w:rFonts w:hint="eastAsia" w:ascii="宋体" w:hAnsi="宋体" w:eastAsia="宋体" w:cs="宋体"/>
          <w:bCs/>
          <w:sz w:val="22"/>
          <w:highlight w:val="none"/>
          <w:u w:val="single"/>
        </w:rPr>
        <w:t>万元）的；</w:t>
      </w:r>
    </w:p>
    <w:p w14:paraId="4730B7DF">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14:paraId="1EA16625">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14:paraId="05F59AE7">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14:paraId="1DAE5350">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14:paraId="26E438F7">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2）除22.4条款以外，出现其它明显不符合服务内容要求、技术服务标准要求或不满足采购文件“</w:t>
      </w:r>
      <w:r>
        <w:rPr>
          <w:rFonts w:hint="eastAsia" w:ascii="宋体" w:hAnsi="宋体" w:eastAsia="宋体" w:cs="宋体"/>
          <w:kern w:val="0"/>
          <w:sz w:val="22"/>
          <w:highlight w:val="none"/>
          <w:u w:val="single"/>
          <w:lang w:val="en-US" w:eastAsia="zh-CN"/>
        </w:rPr>
        <w:t>采购</w:t>
      </w:r>
      <w:r>
        <w:rPr>
          <w:rFonts w:hint="eastAsia" w:ascii="宋体" w:hAnsi="宋体" w:eastAsia="宋体" w:cs="宋体"/>
          <w:kern w:val="0"/>
          <w:sz w:val="22"/>
          <w:highlight w:val="none"/>
          <w:u w:val="single"/>
        </w:rPr>
        <w:t>内容及要求”中的主要</w:t>
      </w:r>
      <w:r>
        <w:rPr>
          <w:rFonts w:hint="eastAsia" w:ascii="宋体" w:hAnsi="宋体" w:eastAsia="宋体" w:cs="宋体"/>
          <w:kern w:val="0"/>
          <w:sz w:val="22"/>
          <w:highlight w:val="none"/>
          <w:u w:val="single"/>
          <w:lang w:val="en-US" w:eastAsia="zh-CN"/>
        </w:rPr>
        <w:t>服务要求</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14:paraId="6333E0C5">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3）除22.4条款以外，出现投标项目服务工作量与采购文件对比出现较大偏差；商务报价明细表计算错误，出现较大差错；</w:t>
      </w:r>
    </w:p>
    <w:p w14:paraId="48E61AC6">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14:paraId="529DD98F">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有下列情形之一的，视为投标供应商串通投标，其投标无效</w:t>
      </w:r>
      <w:r>
        <w:rPr>
          <w:rFonts w:hint="eastAsia" w:ascii="宋体" w:hAnsi="宋体" w:eastAsia="宋体" w:cs="宋体"/>
          <w:kern w:val="0"/>
          <w:sz w:val="22"/>
          <w:highlight w:val="none"/>
        </w:rPr>
        <w:t>：</w:t>
      </w:r>
    </w:p>
    <w:p w14:paraId="4D9464ED">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1)不同投标供应商的投标文件由同一单位或者个人编制；</w:t>
      </w:r>
    </w:p>
    <w:p w14:paraId="51E8634A">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2)不同投标供应商委托同一单位或者个人办理投标事宜；</w:t>
      </w:r>
    </w:p>
    <w:p w14:paraId="228BF9A9">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3)不同投标供应商的投标文件载明的项目管理成员或者联系人员为同一人；</w:t>
      </w:r>
    </w:p>
    <w:p w14:paraId="4F087D1E">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4）不同投标供应商的投标文件异常一致或者投标报价呈规律性差异；</w:t>
      </w:r>
    </w:p>
    <w:p w14:paraId="6DD6891D">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5）不同投标供应商的投标文件相互混装；</w:t>
      </w:r>
    </w:p>
    <w:p w14:paraId="7128C6B3">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6）不同投标供应商的投标保证金从同一单位或者个人的账户转出。</w:t>
      </w:r>
    </w:p>
    <w:p w14:paraId="771EA0DF">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14:paraId="004CA4C5">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14:paraId="2B8C9B4A">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14:paraId="6B7699E5">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14:paraId="49FE4988">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14:paraId="2B59488B">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同时出现两种以上不一致的，按照前款规定的顺序修正（前款优先顺序为1）→2）→3）→4））。</w:t>
      </w:r>
    </w:p>
    <w:p w14:paraId="64A0A09B">
      <w:pPr>
        <w:tabs>
          <w:tab w:val="left" w:pos="735"/>
        </w:tabs>
        <w:ind w:left="420"/>
        <w:rPr>
          <w:rFonts w:hint="eastAsia" w:ascii="宋体" w:hAnsi="宋体" w:eastAsia="宋体" w:cs="宋体"/>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14:paraId="45FE3C26">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14:paraId="64802567">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实质上没有响应采购文件要求的投标将被拒绝，投标人不得通过修正或撤消不合要求的偏离或保留从而使其投标成为实质上响应的投标。</w:t>
      </w:r>
    </w:p>
    <w:p w14:paraId="4FED801D">
      <w:pPr>
        <w:numPr>
          <w:ilvl w:val="1"/>
          <w:numId w:val="12"/>
        </w:numPr>
        <w:tabs>
          <w:tab w:val="left" w:pos="525"/>
        </w:tabs>
        <w:ind w:left="525" w:hanging="525"/>
        <w:rPr>
          <w:rFonts w:hint="eastAsia" w:ascii="宋体" w:hAnsi="宋体" w:eastAsia="宋体" w:cs="宋体"/>
          <w:szCs w:val="24"/>
          <w:highlight w:val="none"/>
        </w:rPr>
      </w:pP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highlight w:val="none"/>
        </w:rPr>
        <w:t>。</w:t>
      </w:r>
    </w:p>
    <w:p w14:paraId="3200DE17">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评标委员会对审查合格的投标文件按照采购文件中制订的评标方法进行综合评定打分。</w:t>
      </w:r>
    </w:p>
    <w:p w14:paraId="27392BBA">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评标过程中遇到特殊情况，由评标委员会遵循公开、公正原则，采取投票方式按照少数服从多数原则决定。</w:t>
      </w:r>
    </w:p>
    <w:p w14:paraId="7DB40712">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sz w:val="22"/>
          <w:highlight w:val="none"/>
          <w:u w:val="single"/>
        </w:rPr>
        <w:t>▲如果供应商的报价超出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，则该供应商的报价作无效标处理。本次采购如果所有供应商的报价均超出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，则本采购项目做废标处理。</w:t>
      </w:r>
    </w:p>
    <w:p w14:paraId="3641F9E1">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14:paraId="75DF010A">
      <w:pPr>
        <w:numPr>
          <w:ilvl w:val="1"/>
          <w:numId w:val="17"/>
        </w:numPr>
        <w:tabs>
          <w:tab w:val="left" w:pos="420"/>
          <w:tab w:val="left" w:pos="450"/>
        </w:tabs>
        <w:ind w:left="525" w:hanging="525"/>
        <w:rPr>
          <w:rFonts w:hint="eastAsia" w:ascii="宋体" w:hAnsi="宋体" w:eastAsia="宋体" w:cs="宋体"/>
          <w:sz w:val="22"/>
          <w:highlight w:val="none"/>
          <w:u w:val="singl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r>
        <w:rPr>
          <w:rFonts w:hint="eastAsia" w:ascii="宋体" w:hAnsi="宋体" w:eastAsia="宋体" w:cs="宋体"/>
          <w:sz w:val="22"/>
          <w:highlight w:val="none"/>
          <w:u w:val="non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u w:val="single"/>
        </w:rPr>
        <w:t>。</w:t>
      </w:r>
    </w:p>
    <w:p w14:paraId="3422C635">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u w:val="single"/>
        </w:rPr>
        <w:t>▲经澄清后，若偏差仍存在，且不可接受，</w:t>
      </w:r>
      <w:r>
        <w:rPr>
          <w:rFonts w:hint="eastAsia" w:ascii="宋体" w:hAnsi="宋体" w:eastAsia="宋体" w:cs="宋体"/>
          <w:b/>
          <w:bCs/>
          <w:sz w:val="22"/>
          <w:highlight w:val="none"/>
          <w:u w:val="single"/>
          <w:lang w:val="en-US" w:eastAsia="zh-CN"/>
        </w:rPr>
        <w:t>投标人则被认为是</w:t>
      </w:r>
      <w:r>
        <w:rPr>
          <w:rFonts w:hint="eastAsia" w:ascii="宋体" w:hAnsi="宋体" w:eastAsia="宋体" w:cs="宋体"/>
          <w:b/>
          <w:bCs/>
          <w:sz w:val="22"/>
          <w:highlight w:val="none"/>
          <w:u w:val="single"/>
        </w:rPr>
        <w:t>“没有实质性响应采购文件要求”，其投标</w:t>
      </w:r>
      <w:r>
        <w:rPr>
          <w:rFonts w:hint="eastAsia" w:ascii="宋体" w:hAnsi="宋体" w:eastAsia="宋体" w:cs="宋体"/>
          <w:b/>
          <w:bCs/>
          <w:sz w:val="22"/>
          <w:highlight w:val="none"/>
          <w:u w:val="single"/>
          <w:lang w:val="en-US" w:eastAsia="zh-CN"/>
        </w:rPr>
        <w:t>将作无效标处理</w:t>
      </w:r>
      <w:r>
        <w:rPr>
          <w:rFonts w:hint="eastAsia" w:ascii="宋体" w:hAnsi="宋体" w:eastAsia="宋体" w:cs="宋体"/>
          <w:sz w:val="22"/>
          <w:highlight w:val="none"/>
          <w:u w:val="single"/>
        </w:rPr>
        <w:t>。</w:t>
      </w:r>
    </w:p>
    <w:p w14:paraId="3BA005F9">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14:paraId="0BD8A3D4">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14:paraId="1840D318">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14:paraId="1577D797">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14:paraId="679710CD">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14:paraId="75E0498B">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14:paraId="6C37A16C">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14:paraId="2C096212">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如本项目第一次采购因有效投标人数量不足3家作废标处理，根据《温州市市属国有企业采购管理办法（试行）的通知》相关条款规定，采购人将重新组织采购。</w:t>
      </w:r>
    </w:p>
    <w:p w14:paraId="6EFD8DE5">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自主采购项目，如重新采购后，在投标截止时间止及评审期间，出现有效供应商不足三家的情形，采购人可根据实际情况决定本项目继续按原有采购方式继续进行采购活动或转变采购方式或流标。</w:t>
      </w:r>
    </w:p>
    <w:p w14:paraId="07D73572">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14:paraId="7BB1D236">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14:paraId="4FE34350">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9C034D5">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确定中标供应商</w:t>
      </w:r>
    </w:p>
    <w:p w14:paraId="1111477F">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人自收到评标报告之日起5个工作日内，在评标报告确定的中标候选人名单中按顺序确定中标供应商。</w:t>
      </w:r>
    </w:p>
    <w:p w14:paraId="5BB9541B">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bCs/>
          <w:sz w:val="22"/>
          <w:highlight w:val="none"/>
        </w:rPr>
        <w:t>中标供应商确定之日起2个工作日内，在发布项目采购公告的网站上公告中标结果，中标公告期限为3日。</w:t>
      </w:r>
    </w:p>
    <w:p w14:paraId="37E9DB25">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投标人对评标结果如有异议，可在中标结果公告期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温州市交通发展集团有限公司纪检监察室投诉。</w:t>
      </w:r>
    </w:p>
    <w:p w14:paraId="24C64B18">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14:paraId="205B27D7">
      <w:pPr>
        <w:numPr>
          <w:ilvl w:val="0"/>
          <w:numId w:val="20"/>
        </w:numPr>
        <w:tabs>
          <w:tab w:val="left" w:pos="540"/>
        </w:tabs>
        <w:ind w:left="450" w:leftChars="0" w:hanging="450" w:firstLineChars="0"/>
        <w:rPr>
          <w:rFonts w:hint="eastAsia" w:ascii="宋体" w:hAnsi="宋体" w:eastAsia="宋体" w:cs="宋体"/>
          <w:bCs/>
          <w:sz w:val="22"/>
          <w:szCs w:val="22"/>
          <w:highlight w:val="none"/>
        </w:rPr>
      </w:pPr>
      <w:r>
        <w:rPr>
          <w:rFonts w:hint="eastAsia" w:ascii="宋体" w:hAnsi="宋体" w:eastAsia="宋体" w:cs="宋体"/>
          <w:bCs/>
          <w:sz w:val="22"/>
          <w:szCs w:val="22"/>
          <w:highlight w:val="none"/>
        </w:rPr>
        <w:t>公告期结束后，中标投标供应商须在5个工作日内主动联系采购人或采购机构领取中标通知书。中标投标供应商应当在收到中标通知书之日起30日内与采购人签订合同。中标投标供应商未经采购人许可，在规定时间内未到采购人处与采购人签订合同，则视为拒签合同。</w:t>
      </w:r>
    </w:p>
    <w:p w14:paraId="09F97100">
      <w:pPr>
        <w:numPr>
          <w:ilvl w:val="0"/>
          <w:numId w:val="20"/>
        </w:numPr>
        <w:tabs>
          <w:tab w:val="left" w:pos="540"/>
        </w:tabs>
        <w:ind w:left="450" w:leftChars="0" w:hanging="450" w:firstLineChars="0"/>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采购文件、中标投标供应商的投标文件及投标修改文件、评标过程中有关澄清文件及经双方签字的询标纪要（承诺）和中标通知书均作为合同附件。</w:t>
      </w:r>
    </w:p>
    <w:p w14:paraId="3DF392F6">
      <w:pPr>
        <w:numPr>
          <w:ilvl w:val="0"/>
          <w:numId w:val="20"/>
        </w:numPr>
        <w:tabs>
          <w:tab w:val="left" w:pos="540"/>
        </w:tabs>
        <w:ind w:left="450" w:leftChars="0" w:hanging="450" w:firstLineChars="0"/>
        <w:rPr>
          <w:rFonts w:hint="eastAsia" w:ascii="宋体" w:hAnsi="宋体" w:eastAsia="宋体" w:cs="宋体"/>
          <w:bCs/>
          <w:sz w:val="22"/>
          <w:szCs w:val="22"/>
          <w:highlight w:val="none"/>
        </w:rPr>
      </w:pPr>
      <w:r>
        <w:rPr>
          <w:rFonts w:hint="eastAsia" w:ascii="宋体" w:hAnsi="宋体" w:eastAsia="宋体" w:cs="宋体"/>
          <w:bCs/>
          <w:sz w:val="22"/>
          <w:szCs w:val="22"/>
          <w:highlight w:val="none"/>
        </w:rPr>
        <w:t>拒签合同的责任</w:t>
      </w:r>
    </w:p>
    <w:p w14:paraId="10714625">
      <w:pPr>
        <w:numPr>
          <w:ilvl w:val="0"/>
          <w:numId w:val="20"/>
        </w:numPr>
        <w:tabs>
          <w:tab w:val="left" w:pos="540"/>
        </w:tabs>
        <w:ind w:left="450" w:leftChars="0" w:hanging="450" w:firstLineChars="0"/>
        <w:rPr>
          <w:rFonts w:hint="eastAsia" w:ascii="宋体" w:hAnsi="宋体" w:eastAsia="宋体" w:cs="宋体"/>
          <w:b w:val="0"/>
          <w:bCs/>
          <w:sz w:val="22"/>
          <w:szCs w:val="22"/>
          <w:highlight w:val="none"/>
        </w:rPr>
      </w:pPr>
      <w:r>
        <w:rPr>
          <w:rFonts w:hint="eastAsia" w:ascii="宋体" w:hAnsi="宋体" w:eastAsia="宋体" w:cs="宋体"/>
          <w:bCs/>
          <w:sz w:val="22"/>
          <w:szCs w:val="22"/>
          <w:highlight w:val="none"/>
        </w:rPr>
        <w:t>中标投标供应商在规定时间内（30日历天）借故否认已经承诺的条件、拒签合同，以投标违约处理，其投标保证金不予退回，并赔偿采购人由此造成的直接经济损失；采购人重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highlight w:val="none"/>
        </w:rPr>
        <w:t>新组织采购的，所需费用由原中标投标供应商承担。</w:t>
      </w:r>
    </w:p>
    <w:p w14:paraId="73A65948">
      <w:pPr>
        <w:numPr>
          <w:ilvl w:val="0"/>
          <w:numId w:val="20"/>
        </w:numPr>
        <w:tabs>
          <w:tab w:val="left" w:pos="540"/>
        </w:tabs>
        <w:ind w:left="450" w:leftChars="0" w:hanging="450" w:firstLineChars="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中标人须在合同签订后二个工作日内提交一份合同文本向采购代理机构备案，否则会影响投标保证金的退付。</w:t>
      </w:r>
    </w:p>
    <w:p w14:paraId="72E9C068">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w:t>
      </w:r>
    </w:p>
    <w:p w14:paraId="6E9220CC">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中标人在收到中标通知书后，须按投标须知前附表的规定向采购人提交履约担保。</w:t>
      </w:r>
    </w:p>
    <w:p w14:paraId="71D6083A">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履约担保用于补偿采购人因中标人不能履行其合同义务而蒙受的损失。</w:t>
      </w:r>
    </w:p>
    <w:p w14:paraId="1F60D259">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履约担保自合同签订之日起至项目验收合格止有效。有效期满后，采购人应及时将履约保证金无息退还给中标人。</w:t>
      </w:r>
    </w:p>
    <w:p w14:paraId="0C56C2A7">
      <w:pPr>
        <w:numPr>
          <w:ilvl w:val="0"/>
          <w:numId w:val="3"/>
        </w:numPr>
        <w:tabs>
          <w:tab w:val="left" w:pos="540"/>
          <w:tab w:val="left" w:pos="900"/>
        </w:tabs>
        <w:ind w:left="525" w:hanging="525"/>
        <w:rPr>
          <w:rFonts w:hint="eastAsia" w:ascii="宋体" w:hAnsi="宋体" w:eastAsia="宋体" w:cs="宋体"/>
          <w:b w:val="0"/>
          <w:bCs/>
          <w:sz w:val="22"/>
          <w:szCs w:val="22"/>
          <w:highlight w:val="none"/>
          <w:shd w:val="clear" w:color="auto" w:fill="FFFF00"/>
        </w:rPr>
      </w:pPr>
      <w:r>
        <w:rPr>
          <w:rFonts w:hint="eastAsia" w:ascii="宋体" w:hAnsi="宋体" w:eastAsia="宋体" w:cs="宋体"/>
          <w:b w:val="0"/>
          <w:bCs/>
          <w:sz w:val="22"/>
          <w:szCs w:val="22"/>
          <w:highlight w:val="none"/>
        </w:rPr>
        <w:t>采购代理服务费</w:t>
      </w:r>
    </w:p>
    <w:p w14:paraId="0F7192D1">
      <w:pPr>
        <w:numPr>
          <w:ilvl w:val="0"/>
          <w:numId w:val="22"/>
        </w:numPr>
        <w:tabs>
          <w:tab w:val="left" w:pos="540"/>
        </w:tabs>
        <w:ind w:left="450" w:leftChars="0" w:hanging="450" w:firstLineChars="0"/>
        <w:rPr>
          <w:rFonts w:hint="eastAsia" w:ascii="宋体" w:hAnsi="宋体" w:eastAsia="宋体" w:cs="宋体"/>
          <w:bCs/>
          <w:sz w:val="22"/>
          <w:szCs w:val="22"/>
          <w:highlight w:val="none"/>
        </w:rPr>
      </w:pPr>
      <w:bookmarkStart w:id="158" w:name="_Toc215415536"/>
      <w:bookmarkStart w:id="159" w:name="_Toc227056852"/>
      <w:bookmarkStart w:id="160" w:name="_Toc223717610"/>
      <w:bookmarkStart w:id="161" w:name="_Toc217460691"/>
      <w:bookmarkStart w:id="162" w:name="_Toc216667826"/>
      <w:bookmarkStart w:id="163" w:name="_Toc227057039"/>
      <w:bookmarkStart w:id="164" w:name="_Toc219538619"/>
      <w:bookmarkStart w:id="165" w:name="_Toc223933227"/>
      <w:bookmarkStart w:id="166" w:name="_Toc227489893"/>
      <w:bookmarkStart w:id="167" w:name="_Toc218041732"/>
      <w:r>
        <w:rPr>
          <w:rFonts w:hint="eastAsia" w:ascii="宋体" w:hAnsi="宋体" w:eastAsia="宋体" w:cs="宋体"/>
          <w:bCs/>
          <w:sz w:val="22"/>
          <w:szCs w:val="22"/>
          <w:highlight w:val="none"/>
        </w:rPr>
        <w:t>本</w:t>
      </w:r>
      <w:r>
        <w:rPr>
          <w:rFonts w:hint="eastAsia" w:ascii="宋体" w:hAnsi="宋体" w:eastAsia="宋体" w:cs="宋体"/>
          <w:b w:val="0"/>
          <w:bCs/>
          <w:sz w:val="22"/>
          <w:szCs w:val="22"/>
          <w:highlight w:val="none"/>
        </w:rPr>
        <w:t>项目</w:t>
      </w:r>
      <w:r>
        <w:rPr>
          <w:rFonts w:hint="eastAsia" w:ascii="宋体" w:hAnsi="宋体" w:eastAsia="宋体" w:cs="宋体"/>
          <w:bCs/>
          <w:sz w:val="22"/>
          <w:szCs w:val="22"/>
          <w:highlight w:val="none"/>
        </w:rPr>
        <w:t>的采购代理费</w:t>
      </w:r>
      <w:r>
        <w:rPr>
          <w:rFonts w:hint="eastAsia" w:ascii="宋体" w:hAnsi="宋体" w:eastAsia="宋体" w:cs="宋体"/>
          <w:bCs/>
          <w:sz w:val="22"/>
          <w:szCs w:val="22"/>
          <w:highlight w:val="none"/>
          <w:lang w:val="en-US" w:eastAsia="zh-CN"/>
        </w:rPr>
        <w:t>参照</w:t>
      </w:r>
      <w:r>
        <w:rPr>
          <w:rFonts w:hint="eastAsia" w:ascii="宋体" w:hAnsi="宋体" w:eastAsia="宋体" w:cs="宋体"/>
          <w:bCs/>
          <w:sz w:val="22"/>
          <w:szCs w:val="22"/>
          <w:highlight w:val="none"/>
        </w:rPr>
        <w:t>国家计委计价格［2002]1980号规定的服务类标准的80%收取</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由中标</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成交</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供应商在</w:t>
      </w:r>
      <w:r>
        <w:rPr>
          <w:rFonts w:hint="eastAsia" w:ascii="宋体" w:hAnsi="宋体" w:eastAsia="宋体" w:cs="宋体"/>
          <w:bCs/>
          <w:sz w:val="22"/>
          <w:szCs w:val="22"/>
          <w:highlight w:val="none"/>
        </w:rPr>
        <w:t>领取中标</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成交</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通知书之前支付给</w:t>
      </w:r>
      <w:r>
        <w:rPr>
          <w:rFonts w:hint="eastAsia" w:ascii="宋体" w:hAnsi="宋体" w:eastAsia="宋体" w:cs="宋体"/>
          <w:bCs/>
          <w:sz w:val="22"/>
          <w:szCs w:val="22"/>
          <w:highlight w:val="none"/>
          <w:lang w:val="en-US" w:eastAsia="zh-CN"/>
        </w:rPr>
        <w:t>采购</w:t>
      </w:r>
      <w:r>
        <w:rPr>
          <w:rFonts w:hint="eastAsia" w:ascii="宋体" w:hAnsi="宋体" w:eastAsia="宋体" w:cs="宋体"/>
          <w:bCs/>
          <w:sz w:val="22"/>
          <w:szCs w:val="22"/>
          <w:highlight w:val="none"/>
        </w:rPr>
        <w:t>代理机构</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计费标准</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费率</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rPr>
        <w:t>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3014"/>
      </w:tblGrid>
      <w:tr w14:paraId="3CCD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7" w:type="dxa"/>
            <w:noWrap w:val="0"/>
            <w:vAlign w:val="center"/>
          </w:tcPr>
          <w:p w14:paraId="34149880">
            <w:pPr>
              <w:spacing w:line="24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中标（成交）金额（万元）</w:t>
            </w:r>
          </w:p>
        </w:tc>
        <w:tc>
          <w:tcPr>
            <w:tcW w:w="3014" w:type="dxa"/>
            <w:noWrap w:val="0"/>
            <w:vAlign w:val="top"/>
          </w:tcPr>
          <w:p w14:paraId="5C22F43C">
            <w:pPr>
              <w:spacing w:line="24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服务类</w:t>
            </w:r>
          </w:p>
        </w:tc>
      </w:tr>
      <w:tr w14:paraId="661E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7" w:type="dxa"/>
            <w:noWrap w:val="0"/>
            <w:vAlign w:val="center"/>
          </w:tcPr>
          <w:p w14:paraId="1B377787">
            <w:pPr>
              <w:spacing w:line="24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100万(含)以内</w:t>
            </w:r>
          </w:p>
        </w:tc>
        <w:tc>
          <w:tcPr>
            <w:tcW w:w="3014" w:type="dxa"/>
            <w:noWrap w:val="0"/>
            <w:vAlign w:val="center"/>
          </w:tcPr>
          <w:p w14:paraId="725149D1">
            <w:pPr>
              <w:spacing w:line="24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1.5%</w:t>
            </w:r>
          </w:p>
        </w:tc>
      </w:tr>
      <w:tr w14:paraId="03F8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7" w:type="dxa"/>
            <w:noWrap w:val="0"/>
            <w:vAlign w:val="center"/>
          </w:tcPr>
          <w:p w14:paraId="48579F23">
            <w:pPr>
              <w:spacing w:line="24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100万（不含）-500万部分</w:t>
            </w:r>
          </w:p>
        </w:tc>
        <w:tc>
          <w:tcPr>
            <w:tcW w:w="3014" w:type="dxa"/>
            <w:noWrap w:val="0"/>
            <w:vAlign w:val="center"/>
          </w:tcPr>
          <w:p w14:paraId="2480DDA4">
            <w:pPr>
              <w:spacing w:line="24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0.8%</w:t>
            </w:r>
          </w:p>
        </w:tc>
      </w:tr>
    </w:tbl>
    <w:p w14:paraId="185937B4">
      <w:pPr>
        <w:tabs>
          <w:tab w:val="left" w:pos="2800"/>
        </w:tabs>
        <w:autoSpaceDE w:val="0"/>
        <w:autoSpaceDN w:val="0"/>
        <w:spacing w:line="240" w:lineRule="auto"/>
        <w:ind w:firstLine="440" w:firstLineChars="20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注：依据上述费率</w:t>
      </w:r>
      <w:r>
        <w:rPr>
          <w:rFonts w:hint="eastAsia" w:ascii="宋体" w:hAnsi="宋体" w:eastAsia="宋体" w:cs="宋体"/>
          <w:bCs/>
          <w:sz w:val="22"/>
          <w:szCs w:val="22"/>
          <w:highlight w:val="none"/>
          <w:lang w:val="en-US" w:eastAsia="zh-CN"/>
        </w:rPr>
        <w:t>标准</w:t>
      </w:r>
      <w:r>
        <w:rPr>
          <w:rFonts w:hint="eastAsia" w:ascii="宋体" w:hAnsi="宋体" w:eastAsia="宋体" w:cs="宋体"/>
          <w:bCs/>
          <w:sz w:val="22"/>
          <w:szCs w:val="22"/>
          <w:highlight w:val="none"/>
        </w:rPr>
        <w:t>，采取差额累进方式计取代理费</w:t>
      </w:r>
      <w:r>
        <w:rPr>
          <w:rFonts w:hint="eastAsia" w:ascii="宋体" w:hAnsi="宋体" w:eastAsia="宋体" w:cs="宋体"/>
          <w:bCs/>
          <w:sz w:val="22"/>
          <w:szCs w:val="22"/>
          <w:highlight w:val="none"/>
          <w:lang w:eastAsia="zh-CN"/>
        </w:rPr>
        <w:t>。</w:t>
      </w:r>
    </w:p>
    <w:p w14:paraId="71C55CC9">
      <w:pPr>
        <w:tabs>
          <w:tab w:val="left" w:pos="2800"/>
        </w:tabs>
        <w:autoSpaceDE w:val="0"/>
        <w:autoSpaceDN w:val="0"/>
        <w:spacing w:line="240" w:lineRule="auto"/>
        <w:ind w:firstLine="440" w:firstLineChars="20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例如：某</w:t>
      </w:r>
      <w:r>
        <w:rPr>
          <w:rFonts w:hint="eastAsia" w:ascii="宋体" w:hAnsi="宋体" w:eastAsia="宋体" w:cs="宋体"/>
          <w:bCs/>
          <w:sz w:val="22"/>
          <w:szCs w:val="22"/>
          <w:highlight w:val="none"/>
          <w:lang w:val="en-US" w:eastAsia="zh-CN"/>
        </w:rPr>
        <w:t>服务</w:t>
      </w:r>
      <w:r>
        <w:rPr>
          <w:rFonts w:hint="eastAsia" w:ascii="宋体" w:hAnsi="宋体" w:eastAsia="宋体" w:cs="宋体"/>
          <w:bCs/>
          <w:sz w:val="22"/>
          <w:szCs w:val="22"/>
          <w:highlight w:val="none"/>
        </w:rPr>
        <w:t>招标代理业务中标金额为</w:t>
      </w:r>
      <w:r>
        <w:rPr>
          <w:rFonts w:hint="eastAsia" w:ascii="宋体" w:hAnsi="宋体" w:eastAsia="宋体" w:cs="宋体"/>
          <w:bCs/>
          <w:sz w:val="22"/>
          <w:szCs w:val="22"/>
          <w:highlight w:val="none"/>
          <w:lang w:val="en-US" w:eastAsia="zh-CN"/>
        </w:rPr>
        <w:t>130</w:t>
      </w:r>
      <w:r>
        <w:rPr>
          <w:rFonts w:hint="eastAsia" w:ascii="宋体" w:hAnsi="宋体" w:eastAsia="宋体" w:cs="宋体"/>
          <w:bCs/>
          <w:sz w:val="22"/>
          <w:szCs w:val="22"/>
          <w:highlight w:val="none"/>
        </w:rPr>
        <w:t>万元，计算招标代理服务费额如下：</w:t>
      </w:r>
    </w:p>
    <w:p w14:paraId="5519ED51">
      <w:pPr>
        <w:tabs>
          <w:tab w:val="left" w:pos="2800"/>
        </w:tabs>
        <w:autoSpaceDE w:val="0"/>
        <w:autoSpaceDN w:val="0"/>
        <w:spacing w:line="240" w:lineRule="auto"/>
        <w:ind w:firstLine="440" w:firstLineChars="200"/>
        <w:jc w:val="left"/>
        <w:rPr>
          <w:rFonts w:hint="eastAsia" w:ascii="宋体" w:hAnsi="宋体" w:eastAsia="宋体" w:cs="宋体"/>
          <w:bCs/>
          <w:sz w:val="22"/>
          <w:szCs w:val="22"/>
          <w:highlight w:val="none"/>
          <w:lang w:eastAsia="zh-CN"/>
        </w:rPr>
      </w:pPr>
      <w:r>
        <w:rPr>
          <w:rFonts w:hint="eastAsia" w:ascii="宋体" w:hAnsi="宋体" w:eastAsia="宋体" w:cs="宋体"/>
          <w:bCs/>
          <w:sz w:val="22"/>
          <w:szCs w:val="22"/>
          <w:highlight w:val="none"/>
        </w:rPr>
        <w:t>100万元×1.</w:t>
      </w:r>
      <w:r>
        <w:rPr>
          <w:rFonts w:hint="eastAsia" w:ascii="宋体" w:hAnsi="宋体" w:eastAsia="宋体" w:cs="宋体"/>
          <w:bCs/>
          <w:sz w:val="22"/>
          <w:szCs w:val="22"/>
          <w:highlight w:val="none"/>
          <w:lang w:val="en-US" w:eastAsia="zh-CN"/>
        </w:rPr>
        <w:t>5</w:t>
      </w:r>
      <w:r>
        <w:rPr>
          <w:rFonts w:hint="eastAsia" w:ascii="宋体" w:hAnsi="宋体" w:eastAsia="宋体" w:cs="宋体"/>
          <w:bCs/>
          <w:sz w:val="22"/>
          <w:szCs w:val="22"/>
          <w:highlight w:val="none"/>
        </w:rPr>
        <w:t>％＝1</w:t>
      </w:r>
      <w:r>
        <w:rPr>
          <w:rFonts w:hint="eastAsia" w:ascii="宋体" w:hAnsi="宋体" w:eastAsia="宋体" w:cs="宋体"/>
          <w:bCs/>
          <w:sz w:val="22"/>
          <w:szCs w:val="22"/>
          <w:highlight w:val="none"/>
          <w:lang w:val="en-US" w:eastAsia="zh-CN"/>
        </w:rPr>
        <w:t>.5</w:t>
      </w:r>
      <w:r>
        <w:rPr>
          <w:rFonts w:hint="eastAsia" w:ascii="宋体" w:hAnsi="宋体" w:eastAsia="宋体" w:cs="宋体"/>
          <w:bCs/>
          <w:sz w:val="22"/>
          <w:szCs w:val="22"/>
          <w:highlight w:val="none"/>
        </w:rPr>
        <w:t>万元</w:t>
      </w:r>
    </w:p>
    <w:p w14:paraId="0F268A16">
      <w:pPr>
        <w:tabs>
          <w:tab w:val="left" w:pos="2800"/>
        </w:tabs>
        <w:autoSpaceDE w:val="0"/>
        <w:autoSpaceDN w:val="0"/>
        <w:spacing w:line="240" w:lineRule="auto"/>
        <w:ind w:firstLine="440" w:firstLineChars="200"/>
        <w:jc w:val="left"/>
        <w:rPr>
          <w:rFonts w:hint="eastAsia" w:ascii="宋体" w:hAnsi="宋体" w:eastAsia="宋体" w:cs="宋体"/>
          <w:bCs/>
          <w:sz w:val="22"/>
          <w:szCs w:val="22"/>
          <w:highlight w:val="none"/>
        </w:rPr>
      </w:pP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130</w:t>
      </w:r>
      <w:r>
        <w:rPr>
          <w:rFonts w:hint="eastAsia" w:ascii="宋体" w:hAnsi="宋体" w:eastAsia="宋体" w:cs="宋体"/>
          <w:bCs/>
          <w:sz w:val="22"/>
          <w:szCs w:val="22"/>
          <w:highlight w:val="none"/>
        </w:rPr>
        <w:t>－100）万元×0.</w:t>
      </w:r>
      <w:r>
        <w:rPr>
          <w:rFonts w:hint="eastAsia" w:ascii="宋体" w:hAnsi="宋体" w:eastAsia="宋体" w:cs="宋体"/>
          <w:bCs/>
          <w:sz w:val="22"/>
          <w:szCs w:val="22"/>
          <w:highlight w:val="none"/>
          <w:lang w:val="en-US" w:eastAsia="zh-CN"/>
        </w:rPr>
        <w:t>8</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0.24</w:t>
      </w:r>
      <w:r>
        <w:rPr>
          <w:rFonts w:hint="eastAsia" w:ascii="宋体" w:hAnsi="宋体" w:eastAsia="宋体" w:cs="宋体"/>
          <w:bCs/>
          <w:sz w:val="22"/>
          <w:szCs w:val="22"/>
          <w:highlight w:val="none"/>
        </w:rPr>
        <w:t>万元</w:t>
      </w:r>
    </w:p>
    <w:p w14:paraId="3F658FD1">
      <w:pPr>
        <w:tabs>
          <w:tab w:val="left" w:pos="2800"/>
        </w:tabs>
        <w:autoSpaceDE w:val="0"/>
        <w:autoSpaceDN w:val="0"/>
        <w:spacing w:line="240" w:lineRule="auto"/>
        <w:ind w:firstLine="440" w:firstLineChars="200"/>
        <w:jc w:val="left"/>
        <w:rPr>
          <w:rFonts w:hint="eastAsia" w:ascii="宋体" w:hAnsi="宋体" w:eastAsia="宋体" w:cs="宋体"/>
          <w:bCs/>
          <w:sz w:val="22"/>
          <w:szCs w:val="22"/>
          <w:highlight w:val="none"/>
          <w:lang w:val="en-US" w:eastAsia="zh-CN"/>
        </w:rPr>
      </w:pPr>
      <w:r>
        <w:rPr>
          <w:rFonts w:hint="eastAsia" w:ascii="宋体" w:hAnsi="宋体" w:eastAsia="宋体" w:cs="宋体"/>
          <w:bCs/>
          <w:sz w:val="22"/>
          <w:szCs w:val="22"/>
          <w:highlight w:val="none"/>
          <w:lang w:val="en-US" w:eastAsia="zh-CN"/>
        </w:rPr>
        <w:t>按标准</w:t>
      </w:r>
      <w:r>
        <w:rPr>
          <w:rFonts w:hint="eastAsia" w:ascii="宋体" w:hAnsi="宋体" w:eastAsia="宋体" w:cs="宋体"/>
          <w:bCs/>
          <w:sz w:val="22"/>
          <w:szCs w:val="22"/>
          <w:highlight w:val="none"/>
        </w:rPr>
        <w:t>合计收费＝1</w:t>
      </w:r>
      <w:r>
        <w:rPr>
          <w:rFonts w:hint="eastAsia" w:ascii="宋体" w:hAnsi="宋体" w:eastAsia="宋体" w:cs="宋体"/>
          <w:bCs/>
          <w:sz w:val="22"/>
          <w:szCs w:val="22"/>
          <w:highlight w:val="none"/>
          <w:lang w:val="en-US" w:eastAsia="zh-CN"/>
        </w:rPr>
        <w:t>.5</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0.24</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1.74</w:t>
      </w:r>
      <w:r>
        <w:rPr>
          <w:rFonts w:hint="eastAsia" w:ascii="宋体" w:hAnsi="宋体" w:eastAsia="宋体" w:cs="宋体"/>
          <w:bCs/>
          <w:sz w:val="22"/>
          <w:szCs w:val="22"/>
          <w:highlight w:val="none"/>
        </w:rPr>
        <w:t>(万元)</w:t>
      </w:r>
      <w:r>
        <w:rPr>
          <w:rFonts w:hint="eastAsia" w:ascii="宋体" w:hAnsi="宋体" w:eastAsia="宋体" w:cs="宋体"/>
          <w:bCs/>
          <w:sz w:val="22"/>
          <w:szCs w:val="22"/>
          <w:highlight w:val="none"/>
          <w:lang w:eastAsia="zh-CN"/>
        </w:rPr>
        <w:t>，</w:t>
      </w:r>
      <w:r>
        <w:rPr>
          <w:rFonts w:hint="eastAsia" w:ascii="宋体" w:hAnsi="宋体" w:eastAsia="宋体" w:cs="宋体"/>
          <w:bCs/>
          <w:sz w:val="22"/>
          <w:szCs w:val="22"/>
          <w:highlight w:val="none"/>
          <w:lang w:val="en-US" w:eastAsia="zh-CN"/>
        </w:rPr>
        <w:t>打折后收费1.392万元</w:t>
      </w:r>
    </w:p>
    <w:p w14:paraId="0E5A40E3">
      <w:pPr>
        <w:numPr>
          <w:ilvl w:val="0"/>
          <w:numId w:val="22"/>
        </w:numPr>
        <w:tabs>
          <w:tab w:val="left" w:pos="540"/>
        </w:tabs>
        <w:ind w:left="450" w:leftChars="0" w:hanging="450" w:firstLineChars="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采购代理服务费包含在投标总价中（报价不需要单列）</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代理服务费汇入以下账号：</w:t>
      </w:r>
    </w:p>
    <w:p w14:paraId="7B4FDE54">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开户银行：工商银行杭州市武林支行</w:t>
      </w:r>
    </w:p>
    <w:p w14:paraId="3536F981">
      <w:pPr>
        <w:ind w:left="538" w:leftChars="256" w:firstLine="440" w:firstLineChars="200"/>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开户名称：</w:t>
      </w:r>
      <w:r>
        <w:rPr>
          <w:rFonts w:hint="eastAsia" w:ascii="宋体" w:hAnsi="宋体" w:eastAsia="宋体" w:cs="宋体"/>
          <w:b w:val="0"/>
          <w:bCs/>
          <w:sz w:val="22"/>
          <w:szCs w:val="22"/>
          <w:highlight w:val="none"/>
          <w:lang w:eastAsia="zh-CN"/>
        </w:rPr>
        <w:t>浙江国际招投标有限公司</w:t>
      </w:r>
    </w:p>
    <w:p w14:paraId="4D7D8136">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开户账号：1202021209906782015</w:t>
      </w:r>
    </w:p>
    <w:p w14:paraId="325C0AD4">
      <w:pPr>
        <w:tabs>
          <w:tab w:val="left" w:pos="2800"/>
        </w:tabs>
        <w:autoSpaceDE w:val="0"/>
        <w:autoSpaceDN w:val="0"/>
        <w:ind w:left="0" w:leftChars="0" w:firstLine="440" w:firstLineChars="200"/>
        <w:jc w:val="left"/>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采购代理服务费可以是现金、支票或汇票。</w:t>
      </w:r>
    </w:p>
    <w:p w14:paraId="73A4BCBD">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sz w:val="22"/>
          <w:lang w:val="en-US" w:eastAsia="zh-CN"/>
        </w:rPr>
        <w:t>乐采云技术服务费：</w:t>
      </w:r>
    </w:p>
    <w:p w14:paraId="6BBF59BB">
      <w:pPr>
        <w:keepNext w:val="0"/>
        <w:keepLines w:val="0"/>
        <w:pageBreakBefore w:val="0"/>
        <w:widowControl w:val="0"/>
        <w:kinsoku/>
        <w:wordWrap w:val="0"/>
        <w:overflowPunct/>
        <w:topLinePunct w:val="0"/>
        <w:autoSpaceDE/>
        <w:autoSpaceDN/>
        <w:bidi w:val="0"/>
        <w:adjustRightInd/>
        <w:snapToGrid/>
        <w:ind w:left="538" w:leftChars="256"/>
        <w:textAlignment w:val="auto"/>
        <w:rPr>
          <w:rFonts w:hint="eastAsia" w:ascii="宋体" w:hAnsi="宋体" w:eastAsia="宋体" w:cs="宋体"/>
          <w:b/>
          <w:sz w:val="22"/>
          <w:lang w:val="en-US" w:eastAsia="zh-CN"/>
        </w:rPr>
      </w:pPr>
      <w:r>
        <w:rPr>
          <w:rFonts w:hint="eastAsia" w:ascii="宋体" w:hAnsi="宋体" w:eastAsia="宋体" w:cs="宋体"/>
          <w:b/>
          <w:sz w:val="22"/>
          <w:lang w:val="en-US" w:eastAsia="zh-CN"/>
        </w:rPr>
        <w:t>根据乐采云（https://www.lecaiyun.com/helpcenter/document#/document/detail?siteCode=lecaiyun&amp;manualId=2061&amp;topicId=8625）2023年9月6日发布的乐采云国企采购平台项目采购收费标准（温州市市属国企区）规定，本项目乐采云技术服务费由中标供应商于中标结果公示后支付该项目的技术服务费。各供应商投标总报价须包含该乐采云技术服务费。收费标准如下图（具体以系统实际收费为准）：</w:t>
      </w:r>
    </w:p>
    <w:p w14:paraId="51B1C493">
      <w:pPr>
        <w:pStyle w:val="12"/>
        <w:rPr>
          <w:rFonts w:hint="eastAsia"/>
        </w:rPr>
      </w:pPr>
      <w:r>
        <w:rPr>
          <w:rFonts w:hint="eastAsia" w:ascii="宋体" w:hAnsi="宋体" w:eastAsia="宋体" w:cs="宋体"/>
        </w:rPr>
        <w:drawing>
          <wp:inline distT="0" distB="0" distL="114300" distR="114300">
            <wp:extent cx="5588635" cy="2760980"/>
            <wp:effectExtent l="0" t="0" r="444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588635" cy="2760980"/>
                    </a:xfrm>
                    <a:prstGeom prst="rect">
                      <a:avLst/>
                    </a:prstGeom>
                    <a:noFill/>
                    <a:ln>
                      <a:noFill/>
                    </a:ln>
                  </pic:spPr>
                </pic:pic>
              </a:graphicData>
            </a:graphic>
          </wp:inline>
        </w:drawing>
      </w:r>
    </w:p>
    <w:p w14:paraId="1262B362">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解释权</w:t>
      </w:r>
    </w:p>
    <w:p w14:paraId="0ECE2CBF">
      <w:pPr>
        <w:autoSpaceDE w:val="0"/>
        <w:autoSpaceDN w:val="0"/>
        <w:adjustRightInd w:val="0"/>
        <w:spacing w:after="120"/>
        <w:ind w:firstLine="220" w:firstLineChars="1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采购文件的解释权均属于采购人和浙江国际招投标有限公司。</w:t>
      </w:r>
    </w:p>
    <w:p w14:paraId="66179A60">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七、 质疑与投诉</w:t>
      </w:r>
    </w:p>
    <w:p w14:paraId="1A9E7A17">
      <w:pPr>
        <w:tabs>
          <w:tab w:val="left" w:pos="210"/>
        </w:tabs>
        <w:snapToGrid w:val="0"/>
        <w:ind w:firstLine="442" w:firstLineChars="2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供应商质疑</w:t>
      </w:r>
    </w:p>
    <w:p w14:paraId="52A852EA">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1.1</w:t>
      </w:r>
      <w:r>
        <w:rPr>
          <w:rFonts w:hint="eastAsia" w:ascii="宋体" w:hAnsi="宋体" w:eastAsia="宋体" w:cs="宋体"/>
          <w:bCs/>
          <w:color w:val="auto"/>
          <w:sz w:val="22"/>
          <w:szCs w:val="22"/>
          <w:highlight w:val="none"/>
          <w:lang w:val="zh-CN"/>
        </w:rPr>
        <w:t>提出质疑的供应商（以下简称质疑供应商）应当是参与所质疑项目采购活动的供应商。潜在供应商已依法获取其可质疑的采购文件的，可以对该文件提出质疑。</w:t>
      </w:r>
    </w:p>
    <w:p w14:paraId="12580915">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1.2</w:t>
      </w:r>
      <w:r>
        <w:rPr>
          <w:rFonts w:hint="eastAsia" w:ascii="宋体" w:hAnsi="宋体" w:eastAsia="宋体" w:cs="宋体"/>
          <w:bCs/>
          <w:color w:val="auto"/>
          <w:sz w:val="22"/>
          <w:szCs w:val="22"/>
          <w:highlight w:val="none"/>
          <w:lang w:val="zh-CN"/>
        </w:rPr>
        <w:t>供应商认为采购文件、采购过程、中标</w:t>
      </w:r>
      <w:r>
        <w:rPr>
          <w:rFonts w:hint="eastAsia" w:ascii="宋体" w:hAnsi="宋体" w:eastAsia="宋体" w:cs="宋体"/>
          <w:bCs/>
          <w:color w:val="auto"/>
          <w:sz w:val="22"/>
          <w:szCs w:val="22"/>
          <w:highlight w:val="none"/>
        </w:rPr>
        <w:t>或者成交</w:t>
      </w:r>
      <w:r>
        <w:rPr>
          <w:rFonts w:hint="eastAsia" w:ascii="宋体" w:hAnsi="宋体" w:eastAsia="宋体" w:cs="宋体"/>
          <w:bCs/>
          <w:color w:val="auto"/>
          <w:sz w:val="22"/>
          <w:szCs w:val="22"/>
          <w:highlight w:val="none"/>
          <w:lang w:val="zh-CN"/>
        </w:rPr>
        <w:t>结果使自己的权益受到损害的，可以在知道或者应知其权益受到损害之日起</w:t>
      </w:r>
      <w:r>
        <w:rPr>
          <w:rFonts w:hint="eastAsia" w:ascii="宋体" w:hAnsi="宋体" w:eastAsia="宋体" w:cs="宋体"/>
          <w:bCs/>
          <w:color w:val="auto"/>
          <w:sz w:val="22"/>
          <w:szCs w:val="22"/>
          <w:highlight w:val="none"/>
        </w:rPr>
        <w:t>规定的时间</w:t>
      </w:r>
      <w:r>
        <w:rPr>
          <w:rFonts w:hint="eastAsia" w:ascii="宋体" w:hAnsi="宋体" w:eastAsia="宋体" w:cs="宋体"/>
          <w:bCs/>
          <w:color w:val="auto"/>
          <w:sz w:val="22"/>
          <w:szCs w:val="22"/>
          <w:highlight w:val="none"/>
          <w:lang w:val="zh-CN"/>
        </w:rPr>
        <w:t>内，以书面形式向采购人或者采购代理机构提出质疑，否则，采购人或者采购代理机构不予受理：</w:t>
      </w:r>
    </w:p>
    <w:p w14:paraId="09A0C6BB">
      <w:pPr>
        <w:numPr>
          <w:ilvl w:val="0"/>
          <w:numId w:val="0"/>
        </w:numPr>
        <w:tabs>
          <w:tab w:val="left" w:pos="210"/>
          <w:tab w:val="left" w:pos="105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highlight w:val="none"/>
          <w:lang w:val="en-US" w:eastAsia="zh-CN"/>
        </w:rPr>
        <w:t>1）对采购文件提出质疑的，质疑期限为自采购公告发出之日（采购公告发布当天不算）起6日内，以书面形式向采购人和采购代理机构提出质疑。</w:t>
      </w:r>
    </w:p>
    <w:p w14:paraId="35408503">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对采购结果提出质疑的，质疑</w:t>
      </w:r>
      <w:r>
        <w:rPr>
          <w:rFonts w:hint="eastAsia" w:ascii="宋体" w:hAnsi="宋体" w:eastAsia="宋体" w:cs="宋体"/>
          <w:bCs/>
          <w:color w:val="auto"/>
          <w:sz w:val="22"/>
          <w:szCs w:val="22"/>
          <w:highlight w:val="none"/>
          <w:lang w:val="en-US" w:eastAsia="zh-CN"/>
        </w:rPr>
        <w:t>须在</w:t>
      </w:r>
      <w:r>
        <w:rPr>
          <w:rFonts w:hint="eastAsia" w:ascii="宋体" w:hAnsi="宋体" w:eastAsia="宋体" w:cs="宋体"/>
          <w:bCs/>
          <w:color w:val="auto"/>
          <w:sz w:val="22"/>
          <w:szCs w:val="22"/>
          <w:highlight w:val="none"/>
        </w:rPr>
        <w:t>采购结果公</w:t>
      </w:r>
      <w:r>
        <w:rPr>
          <w:rFonts w:hint="eastAsia" w:ascii="宋体" w:hAnsi="宋体" w:eastAsia="宋体" w:cs="宋体"/>
          <w:bCs/>
          <w:color w:val="auto"/>
          <w:sz w:val="22"/>
          <w:szCs w:val="22"/>
          <w:highlight w:val="none"/>
          <w:lang w:val="en-US" w:eastAsia="zh-CN"/>
        </w:rPr>
        <w:t>告</w:t>
      </w:r>
      <w:r>
        <w:rPr>
          <w:rFonts w:hint="eastAsia" w:ascii="宋体" w:hAnsi="宋体" w:eastAsia="宋体" w:cs="宋体"/>
          <w:bCs/>
          <w:color w:val="auto"/>
          <w:sz w:val="22"/>
          <w:szCs w:val="22"/>
          <w:highlight w:val="none"/>
        </w:rPr>
        <w:t>期</w:t>
      </w:r>
      <w:r>
        <w:rPr>
          <w:rFonts w:hint="eastAsia" w:ascii="宋体" w:hAnsi="宋体" w:eastAsia="宋体" w:cs="宋体"/>
          <w:bCs/>
          <w:color w:val="auto"/>
          <w:sz w:val="22"/>
          <w:szCs w:val="22"/>
          <w:highlight w:val="none"/>
          <w:lang w:val="zh-CN"/>
        </w:rPr>
        <w:t>内提出。</w:t>
      </w:r>
    </w:p>
    <w:p w14:paraId="2D38AEF5">
      <w:pPr>
        <w:tabs>
          <w:tab w:val="left" w:pos="210"/>
        </w:tabs>
        <w:snapToGrid w:val="0"/>
        <w:ind w:left="402"/>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1.3</w:t>
      </w:r>
      <w:r>
        <w:rPr>
          <w:rFonts w:hint="eastAsia" w:ascii="宋体" w:hAnsi="宋体" w:eastAsia="宋体" w:cs="宋体"/>
          <w:bCs/>
          <w:color w:val="auto"/>
          <w:sz w:val="22"/>
          <w:szCs w:val="22"/>
          <w:highlight w:val="none"/>
          <w:lang w:val="zh-CN"/>
        </w:rPr>
        <w:t>供应商提出质疑应当提交质疑函和必要的证明材料。质疑函应当包括下列内容：</w:t>
      </w:r>
    </w:p>
    <w:p w14:paraId="364913D0">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w:t>
      </w:r>
      <w:r>
        <w:rPr>
          <w:rFonts w:hint="eastAsia" w:ascii="宋体" w:hAnsi="宋体" w:eastAsia="宋体" w:cs="宋体"/>
          <w:bCs/>
          <w:color w:val="auto"/>
          <w:sz w:val="22"/>
          <w:szCs w:val="22"/>
          <w:highlight w:val="none"/>
          <w:lang w:val="zh-CN"/>
        </w:rPr>
        <w:t>供应商的姓名或者名称、地址、邮编、联系人及联系电话；</w:t>
      </w:r>
    </w:p>
    <w:p w14:paraId="1E9C4A87">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zh-CN"/>
        </w:rPr>
        <w:t>质疑项目的名称、编号；</w:t>
      </w:r>
    </w:p>
    <w:p w14:paraId="772D5266">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lang w:val="zh-CN"/>
        </w:rPr>
        <w:t>具体、明确的质疑事项和与质疑事项相关的请求；</w:t>
      </w:r>
    </w:p>
    <w:p w14:paraId="6B1297CA">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zh-CN"/>
        </w:rPr>
        <w:t>事实依据；</w:t>
      </w:r>
    </w:p>
    <w:p w14:paraId="0EEFD60F">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zh-CN"/>
        </w:rPr>
        <w:t>必要的法律依据；</w:t>
      </w:r>
    </w:p>
    <w:p w14:paraId="42206672">
      <w:pPr>
        <w:numPr>
          <w:ilvl w:val="0"/>
          <w:numId w:val="0"/>
        </w:numPr>
        <w:tabs>
          <w:tab w:val="left" w:pos="210"/>
          <w:tab w:val="left" w:pos="1050"/>
        </w:tabs>
        <w:snapToGrid w:val="0"/>
        <w:ind w:left="402" w:leftChars="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zh-CN"/>
        </w:rPr>
        <w:t>提出质疑的日期。</w:t>
      </w:r>
    </w:p>
    <w:p w14:paraId="33C6656F">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21EC053A">
      <w:pPr>
        <w:tabs>
          <w:tab w:val="left" w:pos="210"/>
        </w:tabs>
        <w:wordWrap w:val="0"/>
        <w:snapToGrid w:val="0"/>
        <w:ind w:firstLine="440" w:firstLineChars="200"/>
        <w:jc w:val="left"/>
        <w:outlineLvl w:val="2"/>
        <w:rPr>
          <w:rFonts w:hint="eastAsia" w:ascii="宋体" w:hAnsi="宋体" w:eastAsia="宋体" w:cs="宋体"/>
          <w:b w:val="0"/>
          <w:bCs/>
          <w:color w:val="auto"/>
          <w:sz w:val="22"/>
          <w:szCs w:val="22"/>
          <w:highlight w:val="none"/>
          <w:u w:val="none"/>
          <w:lang w:val="zh-CN"/>
        </w:rPr>
      </w:pPr>
      <w:r>
        <w:rPr>
          <w:rFonts w:hint="eastAsia" w:ascii="宋体" w:hAnsi="宋体" w:eastAsia="宋体" w:cs="宋体"/>
          <w:b w:val="0"/>
          <w:bCs/>
          <w:color w:val="auto"/>
          <w:sz w:val="22"/>
          <w:szCs w:val="22"/>
          <w:highlight w:val="none"/>
          <w:u w:val="none"/>
          <w:lang w:val="zh-CN"/>
        </w:rPr>
        <w:t>质疑供应商的《质疑函》可参考政府采购质疑函范本的格式进行编写。下载地址如下：“https://sitecdn.zcycdn.com/site_group/prod/site_1/2018/06/12/15-22-570613413750772.docx”。供应商可以先发电子版质疑函，但质疑函的收到日期以招标代理或采购人收到纸质原件的日期为准。</w:t>
      </w:r>
    </w:p>
    <w:p w14:paraId="620BA04D">
      <w:pPr>
        <w:tabs>
          <w:tab w:val="left" w:pos="210"/>
          <w:tab w:val="left" w:pos="840"/>
        </w:tabs>
        <w:snapToGrid w:val="0"/>
        <w:ind w:firstLine="442" w:firstLineChars="200"/>
        <w:jc w:val="left"/>
        <w:outlineLvl w:val="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lang w:val="en-US" w:eastAsia="zh-CN"/>
        </w:rPr>
        <w:t>1.4</w:t>
      </w:r>
      <w:r>
        <w:rPr>
          <w:rFonts w:hint="eastAsia" w:ascii="宋体" w:hAnsi="宋体" w:eastAsia="宋体" w:cs="宋体"/>
          <w:b/>
          <w:color w:val="auto"/>
          <w:sz w:val="22"/>
          <w:szCs w:val="22"/>
          <w:highlight w:val="none"/>
          <w:u w:val="single"/>
          <w:lang w:val="zh-CN"/>
        </w:rPr>
        <w:t>对同一采购程序环节的质疑</w:t>
      </w:r>
      <w:r>
        <w:rPr>
          <w:rFonts w:hint="eastAsia" w:ascii="宋体" w:hAnsi="宋体" w:eastAsia="宋体" w:cs="宋体"/>
          <w:b/>
          <w:color w:val="auto"/>
          <w:sz w:val="22"/>
          <w:szCs w:val="22"/>
          <w:highlight w:val="none"/>
          <w:u w:val="single"/>
        </w:rPr>
        <w:t>时</w:t>
      </w:r>
      <w:r>
        <w:rPr>
          <w:rFonts w:hint="eastAsia" w:ascii="宋体" w:hAnsi="宋体" w:eastAsia="宋体" w:cs="宋体"/>
          <w:b/>
          <w:color w:val="auto"/>
          <w:sz w:val="22"/>
          <w:szCs w:val="22"/>
          <w:highlight w:val="none"/>
          <w:u w:val="single"/>
          <w:lang w:val="zh-CN"/>
        </w:rPr>
        <w:t>，供应商须在法定质疑期内一次性提出，</w:t>
      </w:r>
      <w:r>
        <w:rPr>
          <w:rFonts w:hint="eastAsia" w:ascii="宋体" w:hAnsi="宋体" w:eastAsia="宋体" w:cs="宋体"/>
          <w:b/>
          <w:color w:val="auto"/>
          <w:sz w:val="22"/>
          <w:highlight w:val="none"/>
          <w:u w:val="single"/>
          <w:lang w:val="zh-CN"/>
        </w:rPr>
        <w:t>已经提出过质疑的投标供应商在质疑期内不能提出新的质疑。</w:t>
      </w:r>
    </w:p>
    <w:p w14:paraId="3F6095F3">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1.5</w:t>
      </w:r>
      <w:r>
        <w:rPr>
          <w:rFonts w:hint="eastAsia" w:ascii="宋体" w:hAnsi="宋体" w:eastAsia="宋体" w:cs="宋体"/>
          <w:bCs/>
          <w:color w:val="auto"/>
          <w:sz w:val="22"/>
          <w:szCs w:val="22"/>
          <w:highlight w:val="none"/>
          <w:lang w:val="zh-CN"/>
        </w:rPr>
        <w:t>采购人负责供应商质疑答复。采购人委托采购代理机构采购的，采购代理机构对委托授权范围内质疑事项作出答复。委托授权范围应当在采购代理协议中明确。</w:t>
      </w:r>
    </w:p>
    <w:p w14:paraId="5BC5C586">
      <w:pPr>
        <w:tabs>
          <w:tab w:val="left" w:pos="210"/>
          <w:tab w:val="left" w:pos="84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1.6</w:t>
      </w:r>
      <w:r>
        <w:rPr>
          <w:rFonts w:hint="eastAsia" w:ascii="宋体" w:hAnsi="宋体" w:eastAsia="宋体" w:cs="宋体"/>
          <w:bCs/>
          <w:color w:val="auto"/>
          <w:sz w:val="22"/>
          <w:szCs w:val="22"/>
          <w:highlight w:val="none"/>
          <w:lang w:val="zh-CN"/>
        </w:rPr>
        <w:t>采购人或者采购代理机构应当在收到供应商的书面质疑后七个工作日内作出答复，但答复的内容不得涉及商业秘密。</w:t>
      </w:r>
    </w:p>
    <w:p w14:paraId="08311AEA">
      <w:pPr>
        <w:tabs>
          <w:tab w:val="left" w:pos="210"/>
        </w:tabs>
        <w:snapToGrid w:val="0"/>
        <w:ind w:firstLine="442" w:firstLineChars="200"/>
        <w:jc w:val="left"/>
        <w:outlineLvl w:val="2"/>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rPr>
        <w:t>2</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lang w:val="zh-CN"/>
        </w:rPr>
        <w:t>供应商投诉</w:t>
      </w:r>
    </w:p>
    <w:p w14:paraId="4B48C315">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2.1</w:t>
      </w:r>
      <w:r>
        <w:rPr>
          <w:rFonts w:hint="eastAsia" w:ascii="宋体" w:hAnsi="宋体" w:eastAsia="宋体" w:cs="宋体"/>
          <w:bCs/>
          <w:color w:val="auto"/>
          <w:sz w:val="22"/>
          <w:szCs w:val="22"/>
          <w:highlight w:val="none"/>
          <w:lang w:val="zh-CN"/>
        </w:rPr>
        <w:t>质疑供应商对采购人、采购代理机构的答复不满意或者采购人、采购代理机构未在规定的时间内作出答复的，可以在答复期满后</w:t>
      </w:r>
      <w:r>
        <w:rPr>
          <w:rFonts w:hint="eastAsia" w:ascii="宋体" w:hAnsi="宋体" w:eastAsia="宋体" w:cs="宋体"/>
          <w:bCs/>
          <w:color w:val="auto"/>
          <w:sz w:val="22"/>
          <w:szCs w:val="22"/>
          <w:highlight w:val="none"/>
        </w:rPr>
        <w:t>15</w:t>
      </w:r>
      <w:r>
        <w:rPr>
          <w:rFonts w:hint="eastAsia" w:ascii="宋体" w:hAnsi="宋体" w:eastAsia="宋体" w:cs="宋体"/>
          <w:bCs/>
          <w:color w:val="auto"/>
          <w:sz w:val="22"/>
          <w:szCs w:val="22"/>
          <w:highlight w:val="none"/>
          <w:lang w:val="zh-CN"/>
        </w:rPr>
        <w:t>个工作日内向采购人（集团）的内设监管职能部门投诉。</w:t>
      </w:r>
    </w:p>
    <w:p w14:paraId="3A046265">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val="zh-CN"/>
        </w:rPr>
        <w:t>供应商投诉的事项不得超出已质疑事项的范围，基于质疑答复内容提出的投诉事项除外。</w:t>
      </w:r>
    </w:p>
    <w:p w14:paraId="46FF5465">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lang w:val="zh-CN"/>
        </w:rPr>
        <w:t>供应商投诉应当有明确的请求和必要的证明材料。</w:t>
      </w:r>
    </w:p>
    <w:p w14:paraId="52EE1E87">
      <w:pPr>
        <w:tabs>
          <w:tab w:val="left" w:pos="210"/>
        </w:tabs>
        <w:snapToGrid w:val="0"/>
        <w:ind w:firstLine="440" w:firstLineChars="200"/>
        <w:jc w:val="left"/>
        <w:outlineLvl w:val="2"/>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2.4</w:t>
      </w:r>
      <w:r>
        <w:rPr>
          <w:rFonts w:hint="eastAsia" w:ascii="宋体" w:hAnsi="宋体" w:eastAsia="宋体" w:cs="宋体"/>
          <w:bCs/>
          <w:color w:val="auto"/>
          <w:sz w:val="22"/>
          <w:szCs w:val="22"/>
          <w:highlight w:val="none"/>
          <w:lang w:val="zh-CN"/>
        </w:rPr>
        <w:t>以联合体形式参加采购活动的，其投诉应当由组成联合体的所有供应商共同提出。</w:t>
      </w:r>
    </w:p>
    <w:p w14:paraId="37AB6116">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2.5投诉供应商认为投诉回复处理结果不合法的，可以依法向采购人所在地人民法院提起诉讼。</w:t>
      </w:r>
    </w:p>
    <w:p w14:paraId="7AD0636D">
      <w:pPr>
        <w:ind w:firstLine="442" w:firstLineChars="200"/>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3.其他</w:t>
      </w:r>
    </w:p>
    <w:p w14:paraId="2A353091">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en-US" w:eastAsia="zh-CN"/>
        </w:rPr>
        <w:t>3.1</w:t>
      </w:r>
      <w:r>
        <w:rPr>
          <w:rFonts w:hint="eastAsia" w:ascii="宋体" w:hAnsi="宋体" w:eastAsia="宋体" w:cs="宋体"/>
          <w:bCs/>
          <w:color w:val="auto"/>
          <w:sz w:val="22"/>
          <w:szCs w:val="22"/>
          <w:highlight w:val="none"/>
          <w:lang w:val="zh-CN"/>
        </w:rPr>
        <w:t>质疑供应商或投诉供应商应当承担投诉事项的举证责任，质疑供应商或投诉供应商未提供相关证据、依据和其他有关材料的，视为该质疑或投诉事项不成立；被质疑供应商或被投诉供应商未按照质疑答复通知书或投诉答复通知书要求提交相关证据、依据和其他有关材料的，视同其放弃说明权利，依法承担不利后果。</w:t>
      </w:r>
    </w:p>
    <w:p w14:paraId="3D8E794E">
      <w:pPr>
        <w:ind w:firstLine="440" w:firstLineChars="200"/>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3.2如有发现不实的质疑或投诉（包括但不限于未提供证据、证据与质疑或投诉内容无关联、虚假证据等），采购人有权视其为不实的质疑投诉，并有权将该供应商纳入集团黑名单，同时保留对外公布的权利。</w:t>
      </w:r>
    </w:p>
    <w:p w14:paraId="05A0E076">
      <w:pPr>
        <w:keepNext/>
        <w:spacing w:before="312"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22"/>
          <w:szCs w:val="22"/>
          <w:highlight w:val="none"/>
        </w:rPr>
        <w:br w:type="page"/>
      </w:r>
      <w:bookmarkStart w:id="168" w:name="_Toc491780524"/>
      <w:r>
        <w:rPr>
          <w:rFonts w:hint="eastAsia" w:ascii="宋体" w:hAnsi="宋体" w:eastAsia="宋体" w:cs="宋体"/>
          <w:b/>
          <w:bCs/>
          <w:sz w:val="36"/>
          <w:szCs w:val="36"/>
          <w:highlight w:val="none"/>
        </w:rPr>
        <w:t>第二部分 合同条款</w:t>
      </w:r>
      <w:bookmarkEnd w:id="168"/>
    </w:p>
    <w:bookmarkEnd w:id="158"/>
    <w:bookmarkEnd w:id="159"/>
    <w:bookmarkEnd w:id="160"/>
    <w:bookmarkEnd w:id="161"/>
    <w:bookmarkEnd w:id="162"/>
    <w:bookmarkEnd w:id="163"/>
    <w:bookmarkEnd w:id="164"/>
    <w:bookmarkEnd w:id="165"/>
    <w:bookmarkEnd w:id="166"/>
    <w:bookmarkEnd w:id="167"/>
    <w:p w14:paraId="172BF9F6">
      <w:pPr>
        <w:rPr>
          <w:rFonts w:hint="eastAsia" w:ascii="宋体" w:hAnsi="宋体" w:eastAsia="宋体" w:cs="宋体"/>
          <w:szCs w:val="21"/>
          <w:highlight w:val="none"/>
        </w:rPr>
      </w:pPr>
      <w:bookmarkStart w:id="169" w:name="_Toc227056853"/>
      <w:bookmarkStart w:id="170" w:name="_Toc219538620"/>
      <w:bookmarkStart w:id="171" w:name="_Toc216667827"/>
      <w:bookmarkStart w:id="172" w:name="_Toc227057040"/>
      <w:bookmarkStart w:id="173" w:name="_Toc217460692"/>
      <w:bookmarkStart w:id="174" w:name="_Toc218041733"/>
      <w:bookmarkStart w:id="175" w:name="_Toc223933228"/>
      <w:bookmarkStart w:id="176" w:name="_Toc223717611"/>
      <w:bookmarkStart w:id="177" w:name="_Toc215415537"/>
      <w:bookmarkStart w:id="178" w:name="_Toc227489894"/>
      <w:bookmarkStart w:id="179" w:name="_Toc227057041"/>
      <w:bookmarkStart w:id="180" w:name="_Toc227489895"/>
      <w:bookmarkStart w:id="181" w:name="_Toc223717612"/>
      <w:bookmarkStart w:id="182" w:name="_Toc216667828"/>
      <w:bookmarkStart w:id="183" w:name="_Toc219538621"/>
      <w:bookmarkStart w:id="184" w:name="_Toc215415538"/>
      <w:bookmarkStart w:id="185" w:name="_Toc218041734"/>
      <w:bookmarkStart w:id="186" w:name="_Toc217460693"/>
      <w:bookmarkStart w:id="187" w:name="_Toc223933229"/>
      <w:bookmarkStart w:id="188" w:name="_Toc227056854"/>
    </w:p>
    <w:p w14:paraId="27D895FE">
      <w:pPr>
        <w:jc w:val="center"/>
        <w:rPr>
          <w:rFonts w:hint="eastAsia" w:ascii="宋体" w:hAnsi="宋体" w:eastAsia="宋体" w:cs="宋体"/>
          <w:kern w:val="2"/>
          <w:highlight w:val="none"/>
        </w:rPr>
      </w:pPr>
      <w:r>
        <w:rPr>
          <w:rFonts w:hint="eastAsia" w:ascii="宋体" w:hAnsi="宋体" w:eastAsia="宋体" w:cs="宋体"/>
          <w:b/>
          <w:bCs/>
          <w:sz w:val="28"/>
          <w:szCs w:val="28"/>
          <w:highlight w:val="none"/>
          <w:lang w:val="en-US" w:eastAsia="zh-CN"/>
        </w:rPr>
        <w:t>陶山服务区物业项目</w:t>
      </w:r>
      <w:r>
        <w:rPr>
          <w:rFonts w:hint="eastAsia" w:ascii="宋体" w:hAnsi="宋体" w:eastAsia="宋体" w:cs="宋体"/>
          <w:b/>
          <w:bCs/>
          <w:sz w:val="28"/>
          <w:szCs w:val="28"/>
          <w:highlight w:val="none"/>
        </w:rPr>
        <w:t>合同条款</w:t>
      </w:r>
    </w:p>
    <w:p w14:paraId="685F584B">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号：</w:t>
      </w:r>
    </w:p>
    <w:p w14:paraId="21C72311">
      <w:pPr>
        <w:spacing w:line="240" w:lineRule="auto"/>
        <w:ind w:firstLine="420" w:firstLineChars="200"/>
        <w:rPr>
          <w:rFonts w:hint="eastAsia" w:ascii="宋体" w:hAnsi="宋体" w:eastAsia="宋体" w:cs="宋体"/>
          <w:color w:val="auto"/>
          <w:sz w:val="21"/>
          <w:szCs w:val="21"/>
          <w:highlight w:val="none"/>
          <w:lang w:val="zh-CN"/>
        </w:rPr>
      </w:pPr>
    </w:p>
    <w:p w14:paraId="129262D3">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委托方：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（以下简称甲方）</w:t>
      </w:r>
    </w:p>
    <w:p w14:paraId="66326B58">
      <w:pPr>
        <w:tabs>
          <w:tab w:val="left" w:pos="4800"/>
        </w:tabs>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受托方：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（以下简称乙方）</w:t>
      </w:r>
    </w:p>
    <w:p w14:paraId="2929C7C2">
      <w:pPr>
        <w:spacing w:line="240" w:lineRule="auto"/>
        <w:ind w:firstLine="420" w:firstLineChars="200"/>
        <w:rPr>
          <w:rFonts w:hint="eastAsia" w:ascii="宋体" w:hAnsi="宋体" w:eastAsia="宋体" w:cs="宋体"/>
          <w:color w:val="auto"/>
          <w:sz w:val="21"/>
          <w:szCs w:val="21"/>
          <w:highlight w:val="none"/>
        </w:rPr>
      </w:pPr>
    </w:p>
    <w:p w14:paraId="4DF721C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》等法律法规，本着平等互利的原则，经甲、乙双方友好协商，就乙方为甲方提供物业管理服务事宜达成如下协议：</w:t>
      </w:r>
    </w:p>
    <w:p w14:paraId="4C69CE6E">
      <w:pPr>
        <w:spacing w:line="240" w:lineRule="auto"/>
        <w:ind w:firstLine="422" w:firstLineChars="200"/>
        <w:jc w:val="center"/>
        <w:rPr>
          <w:rFonts w:hint="eastAsia" w:ascii="宋体" w:hAnsi="宋体" w:eastAsia="宋体" w:cs="宋体"/>
          <w:b/>
          <w:bCs/>
          <w:color w:val="auto"/>
          <w:sz w:val="21"/>
          <w:szCs w:val="21"/>
          <w:highlight w:val="none"/>
        </w:rPr>
      </w:pPr>
    </w:p>
    <w:p w14:paraId="20804727">
      <w:pPr>
        <w:spacing w:line="240" w:lineRule="auto"/>
        <w:ind w:firstLine="422" w:firstLineChars="20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第一章  总则</w:t>
      </w:r>
    </w:p>
    <w:p w14:paraId="3506FE84">
      <w:pPr>
        <w:autoSpaceDE w:val="0"/>
        <w:autoSpaceDN w:val="0"/>
        <w:adjustRightInd w:val="0"/>
        <w:spacing w:line="24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lang w:val="zh-CN"/>
        </w:rPr>
        <w:t>第一条</w:t>
      </w:r>
      <w:r>
        <w:rPr>
          <w:rFonts w:hint="eastAsia" w:ascii="宋体" w:hAnsi="宋体" w:eastAsia="宋体" w:cs="宋体"/>
          <w:bCs/>
          <w:color w:val="auto"/>
          <w:sz w:val="21"/>
          <w:szCs w:val="21"/>
          <w:highlight w:val="none"/>
          <w:lang w:val="zh-CN"/>
        </w:rPr>
        <w:t>项目基本情况</w:t>
      </w:r>
    </w:p>
    <w:p w14:paraId="7848AE5A">
      <w:pPr>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物业类型</w:t>
      </w:r>
      <w:r>
        <w:rPr>
          <w:rFonts w:hint="eastAsia" w:ascii="宋体" w:hAnsi="宋体" w:eastAsia="宋体" w:cs="宋体"/>
          <w:color w:val="auto"/>
          <w:sz w:val="21"/>
          <w:szCs w:val="21"/>
          <w:highlight w:val="none"/>
          <w:u w:val="single"/>
        </w:rPr>
        <w:t>：综合型（办公、商铺、餐厅、停车场、卫生间、设施设备等物业服务）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党群服务</w:t>
      </w:r>
      <w:r>
        <w:rPr>
          <w:rFonts w:hint="eastAsia" w:ascii="宋体" w:hAnsi="宋体" w:eastAsia="宋体" w:cs="宋体"/>
          <w:color w:val="auto"/>
          <w:sz w:val="21"/>
          <w:szCs w:val="21"/>
          <w:highlight w:val="none"/>
          <w:u w:val="single"/>
        </w:rPr>
        <w:t xml:space="preserve"> </w:t>
      </w:r>
    </w:p>
    <w:p w14:paraId="12D72A47">
      <w:pPr>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座落位置：</w:t>
      </w:r>
      <w:r>
        <w:rPr>
          <w:rFonts w:hint="eastAsia" w:ascii="宋体" w:hAnsi="宋体" w:eastAsia="宋体" w:cs="宋体"/>
          <w:color w:val="auto"/>
          <w:sz w:val="21"/>
          <w:szCs w:val="21"/>
          <w:highlight w:val="none"/>
          <w:u w:val="single"/>
        </w:rPr>
        <w:t xml:space="preserve">                                                                         </w:t>
      </w:r>
    </w:p>
    <w:p w14:paraId="2F8E3669">
      <w:pPr>
        <w:spacing w:line="24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占地面积</w:t>
      </w:r>
      <w:r>
        <w:rPr>
          <w:rFonts w:hint="eastAsia" w:ascii="宋体" w:hAnsi="宋体" w:eastAsia="宋体" w:cs="宋体"/>
          <w:color w:val="auto"/>
          <w:sz w:val="21"/>
          <w:szCs w:val="21"/>
          <w:highlight w:val="none"/>
          <w:u w:val="single"/>
        </w:rPr>
        <w:t xml:space="preserve">：                                                                         </w:t>
      </w:r>
    </w:p>
    <w:p w14:paraId="781325D1">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第二条  </w:t>
      </w:r>
      <w:r>
        <w:rPr>
          <w:rFonts w:hint="eastAsia" w:ascii="宋体" w:hAnsi="宋体" w:eastAsia="宋体" w:cs="宋体"/>
          <w:color w:val="auto"/>
          <w:sz w:val="21"/>
          <w:szCs w:val="21"/>
          <w:highlight w:val="none"/>
        </w:rPr>
        <w:t>乙方提供服务的受益人为本物业的甲方和物业使用人，甲、乙双方均应对履行本协议承担相应的责任。</w:t>
      </w:r>
    </w:p>
    <w:p w14:paraId="53384037">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物业管理服务期限</w:t>
      </w:r>
    </w:p>
    <w:p w14:paraId="7C1B699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合同期限为1年，从    年   月  日起至    年   月   日止。采用“1+1”模式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一年合同期满后由甲方对乙方服务质量进行考核，考核合格后，经双方同意合同承包期限可顺延1年。</w:t>
      </w:r>
    </w:p>
    <w:p w14:paraId="677389AF">
      <w:pPr>
        <w:pStyle w:val="36"/>
        <w:rPr>
          <w:rFonts w:hint="eastAsia" w:ascii="宋体" w:hAnsi="宋体" w:eastAsia="宋体" w:cs="宋体"/>
          <w:highlight w:val="none"/>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kern w:val="2"/>
          <w:sz w:val="22"/>
          <w:szCs w:val="22"/>
          <w:highlight w:val="none"/>
          <w:lang w:val="en-US" w:eastAsia="zh-CN" w:bidi="ar-SA"/>
        </w:rPr>
        <w:t>管理服务期满后乙方不再继续管理服务或乙方因任何原因提前解除合同的，考虑到服务区的连续性和影响力，甲方有权要求乙方依据本合同约定继续管理服务一段时间（最长6个月），直至新的单位进场。</w:t>
      </w:r>
    </w:p>
    <w:p w14:paraId="22A1B361">
      <w:pPr>
        <w:pStyle w:val="66"/>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第二章物业管理服务事项</w:t>
      </w:r>
    </w:p>
    <w:p w14:paraId="65157B0D">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第四条  </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公共卫生间、停车场和大厅（包括办公室、会议室、屋面下水沟、广场下水沟、绿化带内各种垃圾等）的清洁、清扫、除尘、公共（室内外全部）消防设施、设备的日常管理、清洁等并做好相应记录，确保正常工作。</w:t>
      </w:r>
    </w:p>
    <w:p w14:paraId="235870B8">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第五条  </w:t>
      </w:r>
      <w:r>
        <w:rPr>
          <w:rFonts w:hint="eastAsia" w:ascii="宋体" w:hAnsi="宋体" w:eastAsia="宋体" w:cs="宋体"/>
          <w:color w:val="auto"/>
          <w:sz w:val="21"/>
          <w:szCs w:val="21"/>
          <w:highlight w:val="none"/>
        </w:rPr>
        <w:t>维持公共秩序，停车广场的交通与车辆停放秩序，疏导车辆、维护秩序。维持公共卫生，重大节假日或特殊任务期间加派人员。</w:t>
      </w:r>
    </w:p>
    <w:p w14:paraId="59539030">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第六条  </w:t>
      </w:r>
      <w:r>
        <w:rPr>
          <w:rFonts w:hint="eastAsia" w:ascii="宋体" w:hAnsi="宋体" w:eastAsia="宋体" w:cs="宋体"/>
          <w:color w:val="auto"/>
          <w:sz w:val="21"/>
          <w:szCs w:val="21"/>
          <w:highlight w:val="none"/>
        </w:rPr>
        <w:t>全天候值守（双向</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停车场内场、外场均有现场保安管理），夜间巡逻并巡更、门岗、内部通道执勤、广场车辆引导、危化品车辆登记和统计、车流量统计、各类突发事件的应急处置，及时发现停车广场公共设施和路产的人为损坏情况并上报。</w:t>
      </w:r>
    </w:p>
    <w:p w14:paraId="212FBD40">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第七条  </w:t>
      </w:r>
      <w:r>
        <w:rPr>
          <w:rFonts w:hint="eastAsia" w:ascii="宋体" w:hAnsi="宋体" w:eastAsia="宋体" w:cs="宋体"/>
          <w:color w:val="auto"/>
          <w:sz w:val="21"/>
          <w:szCs w:val="21"/>
          <w:highlight w:val="none"/>
        </w:rPr>
        <w:t>对司乘人员违反物业管理制度的行为，根据情节轻重，采取批评、规劝、警告、制止、向甲方反映、向公安、巡警报警等措施。乙方保安管理人员必须在现场处理或配合相关部门进行处理，直到各类隐患消除为止。</w:t>
      </w:r>
    </w:p>
    <w:p w14:paraId="54C78DDE">
      <w:pPr>
        <w:spacing w:line="24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 xml:space="preserve">第八条  </w:t>
      </w:r>
      <w:r>
        <w:rPr>
          <w:rFonts w:hint="eastAsia" w:ascii="宋体" w:hAnsi="宋体" w:eastAsia="宋体" w:cs="宋体"/>
          <w:b/>
          <w:color w:val="auto"/>
          <w:sz w:val="21"/>
          <w:szCs w:val="21"/>
          <w:highlight w:val="none"/>
        </w:rPr>
        <w:t>乙方派遣的物业人员符合甲方要求，具体</w:t>
      </w:r>
      <w:r>
        <w:rPr>
          <w:rFonts w:hint="eastAsia" w:ascii="宋体" w:hAnsi="宋体" w:eastAsia="宋体" w:cs="宋体"/>
          <w:b/>
          <w:color w:val="auto"/>
          <w:sz w:val="21"/>
          <w:szCs w:val="21"/>
          <w:highlight w:val="none"/>
          <w:lang w:val="en-US" w:eastAsia="zh-CN"/>
        </w:rPr>
        <w:t>岗位详见合同</w:t>
      </w:r>
      <w:r>
        <w:rPr>
          <w:rFonts w:hint="eastAsia" w:ascii="宋体" w:hAnsi="宋体" w:eastAsia="宋体" w:cs="宋体"/>
          <w:b/>
          <w:color w:val="auto"/>
          <w:sz w:val="21"/>
          <w:szCs w:val="21"/>
          <w:highlight w:val="none"/>
        </w:rPr>
        <w:t>附三管理要求</w:t>
      </w:r>
      <w:r>
        <w:rPr>
          <w:rFonts w:hint="eastAsia" w:ascii="宋体" w:hAnsi="宋体" w:eastAsia="宋体" w:cs="宋体"/>
          <w:color w:val="auto"/>
          <w:sz w:val="21"/>
          <w:szCs w:val="21"/>
          <w:highlight w:val="none"/>
          <w:lang w:eastAsia="zh-CN"/>
        </w:rPr>
        <w:t>。乙方派遣物业人员人数共计52人，其中陶山服务区物业服务人数50人，党群服务中心物业服务人数2人，</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kern w:val="2"/>
          <w:sz w:val="21"/>
          <w:szCs w:val="21"/>
          <w:highlight w:val="none"/>
          <w:lang w:val="en-US" w:eastAsia="zh-CN" w:bidi="ar"/>
        </w:rPr>
        <w:t>岗位排班须满足现场要求</w:t>
      </w:r>
      <w:r>
        <w:rPr>
          <w:rFonts w:hint="eastAsia" w:ascii="宋体" w:hAnsi="宋体" w:eastAsia="宋体" w:cs="宋体"/>
          <w:color w:val="auto"/>
          <w:sz w:val="21"/>
          <w:szCs w:val="21"/>
          <w:highlight w:val="none"/>
        </w:rPr>
        <w:t>。</w:t>
      </w:r>
    </w:p>
    <w:p w14:paraId="4B18BCCE">
      <w:pPr>
        <w:spacing w:line="24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消控人员、水电工必须持证上岗（国家职业资格证书），严格按作业证许可范围分别从事各自岗位工作。</w:t>
      </w:r>
    </w:p>
    <w:p w14:paraId="3BCA7116">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 xml:space="preserve">条  </w:t>
      </w:r>
      <w:r>
        <w:rPr>
          <w:rFonts w:hint="eastAsia" w:ascii="宋体" w:hAnsi="宋体" w:eastAsia="宋体" w:cs="宋体"/>
          <w:color w:val="auto"/>
          <w:sz w:val="21"/>
          <w:szCs w:val="21"/>
          <w:highlight w:val="none"/>
        </w:rPr>
        <w:t>乙方派驻人员采用24小时不间断对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进行各项服务。就餐时间及就餐地点由甲方指定。</w:t>
      </w:r>
    </w:p>
    <w:p w14:paraId="7BAC3C2E">
      <w:pPr>
        <w:spacing w:line="240" w:lineRule="auto"/>
        <w:ind w:left="210" w:leftChars="100" w:firstLine="211" w:firstLineChars="1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 xml:space="preserve">第十条  </w:t>
      </w:r>
      <w:r>
        <w:rPr>
          <w:rFonts w:hint="eastAsia" w:ascii="宋体" w:hAnsi="宋体" w:eastAsia="宋体" w:cs="宋体"/>
          <w:b/>
          <w:bCs w:val="0"/>
          <w:color w:val="auto"/>
          <w:sz w:val="21"/>
          <w:szCs w:val="21"/>
          <w:highlight w:val="none"/>
        </w:rPr>
        <w:t>物业管理服务</w:t>
      </w:r>
      <w:r>
        <w:rPr>
          <w:rFonts w:hint="eastAsia" w:ascii="宋体" w:hAnsi="宋体" w:eastAsia="宋体" w:cs="宋体"/>
          <w:b/>
          <w:bCs w:val="0"/>
          <w:color w:val="auto"/>
          <w:sz w:val="21"/>
          <w:szCs w:val="21"/>
          <w:highlight w:val="none"/>
          <w:lang w:val="en-US" w:eastAsia="zh-CN"/>
        </w:rPr>
        <w:t>补充条款，</w:t>
      </w:r>
    </w:p>
    <w:p w14:paraId="7A049BBD">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（一）其他服务内容条款：</w:t>
      </w:r>
    </w:p>
    <w:p w14:paraId="25D7204A">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1、物业提供的车辆和设备进行保养维修（扫地车、高压清洗车、巡逻车、高压冲洗车等设备）；</w:t>
      </w:r>
    </w:p>
    <w:p w14:paraId="6A3F54C4">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2、服务区公共场所进行消杀，每月至少1次；</w:t>
      </w:r>
    </w:p>
    <w:p w14:paraId="27A79E2B">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3、消控室消防远程监控服务；</w:t>
      </w:r>
    </w:p>
    <w:p w14:paraId="01DEDF7A">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4、自行或聘请专业空调公司对空调进行维修、清洗，清洗为每年2次；</w:t>
      </w:r>
    </w:p>
    <w:p w14:paraId="775A2007">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5、负责化粪池清理清运，每年2次。</w:t>
      </w:r>
    </w:p>
    <w:p w14:paraId="44733AEF">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6、负责生活水箱清洗，每年2次。</w:t>
      </w:r>
    </w:p>
    <w:p w14:paraId="6E5E59A9">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注：投标中已承诺的服务，如在服务期内乙方未按相关承诺实施的，甲方有权将相关服务另行委托第三方实施，相关费用按实际支付情况在结算季度款项时予以扣除。</w:t>
      </w:r>
    </w:p>
    <w:p w14:paraId="7031874C">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（二）其他服务设备条款：</w:t>
      </w:r>
    </w:p>
    <w:p w14:paraId="11B58931">
      <w:pPr>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lang w:val="en-US" w:eastAsia="zh-CN"/>
        </w:rPr>
        <w:t>注：投标中已承诺的提供的增值设备，如在服务期内乙方未按相关承诺提供的或合同签订后1个月内不能到位的，甲方有权另行购置或租赁，相关费用由乙方承担，并在季度款项时予以扣除。</w:t>
      </w:r>
    </w:p>
    <w:p w14:paraId="1659DA96">
      <w:pPr>
        <w:pStyle w:val="66"/>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第三章双方权利义务</w:t>
      </w:r>
    </w:p>
    <w:p w14:paraId="3EB61475">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 xml:space="preserve">条  </w:t>
      </w:r>
      <w:r>
        <w:rPr>
          <w:rFonts w:hint="eastAsia" w:ascii="宋体" w:hAnsi="宋体" w:eastAsia="宋体" w:cs="宋体"/>
          <w:color w:val="auto"/>
          <w:sz w:val="21"/>
          <w:szCs w:val="21"/>
          <w:highlight w:val="none"/>
        </w:rPr>
        <w:t>甲方权利义务</w:t>
      </w:r>
    </w:p>
    <w:p w14:paraId="08A94C7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1.代表和维护产权人、使用人的合法权益；</w:t>
      </w:r>
    </w:p>
    <w:p w14:paraId="0A14009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2.审定乙方拟定的物业管理制度，及乙方所聘用的人员；</w:t>
      </w:r>
    </w:p>
    <w:p w14:paraId="562CFFF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3.检查监督乙方管理工作的实施及制度的执行情况；</w:t>
      </w:r>
    </w:p>
    <w:p w14:paraId="7FEF844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4.审定乙方提出的物业管理服务年度计划；</w:t>
      </w:r>
    </w:p>
    <w:p w14:paraId="2930CA0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6.协助乙方作好物业管理工作和宣传教育、文化活动；</w:t>
      </w:r>
    </w:p>
    <w:p w14:paraId="01D551F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7.向乙方无偿、及时提供必要的办公用房、保安、保洁工作所用的设备器材、清洁用品、用具等，同时甲方负责承担物业管理办公所实施的水电费用；</w:t>
      </w:r>
    </w:p>
    <w:p w14:paraId="71EEA0C8">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8.向乙方无偿提供必要的物料储藏室、员工作息间，其所有权归甲方所有；</w:t>
      </w:r>
    </w:p>
    <w:p w14:paraId="45D8EDD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9.及时足额向乙方支付相关服务费用。</w:t>
      </w:r>
    </w:p>
    <w:p w14:paraId="57113F6C">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第十</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 xml:space="preserve">条  </w:t>
      </w:r>
      <w:r>
        <w:rPr>
          <w:rFonts w:hint="eastAsia" w:ascii="宋体" w:hAnsi="宋体" w:eastAsia="宋体" w:cs="宋体"/>
          <w:color w:val="auto"/>
          <w:sz w:val="21"/>
          <w:szCs w:val="21"/>
          <w:highlight w:val="none"/>
        </w:rPr>
        <w:t>乙方权利义务</w:t>
      </w:r>
    </w:p>
    <w:p w14:paraId="240ECD2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1.根据有关法律法规、本协议及协议附件的约定，制订物业管理制度；</w:t>
      </w:r>
    </w:p>
    <w:p w14:paraId="75AB126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2.对司乘人员违反法规、规章的行为进行规劝和制止，并报甲方备案；</w:t>
      </w:r>
    </w:p>
    <w:p w14:paraId="435293A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3.未经甲方书面同意，乙方不得将本物业的管理责任转让给第三方，未经甲方同意不允许乙方分包或转包甲方服务管理事宜；</w:t>
      </w:r>
    </w:p>
    <w:p w14:paraId="1C4D79E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4.在物业日常管理过程中对超越职权无法解决的事项或物业设施需要维修、保养以及为保证正常、安全运行所需要更换的设备，要及时向甲方反映，费用由甲方承担（包括消防设施、设备）；</w:t>
      </w:r>
    </w:p>
    <w:p w14:paraId="363F9ED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5.负责编制物业管理年度管理计划；</w:t>
      </w:r>
    </w:p>
    <w:p w14:paraId="5E4C7AB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6.对本物业的公用设施不得擅自占用和改变使用功能；</w:t>
      </w:r>
    </w:p>
    <w:p w14:paraId="0169DF3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7.按每月向甲方提出设备器材（清单另列附件）、清洁用品、用具等需求（领用）计划；</w:t>
      </w:r>
    </w:p>
    <w:p w14:paraId="246E205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甲方需委托其他管理服务事项时，乙方应积极配合；</w:t>
      </w:r>
    </w:p>
    <w:p w14:paraId="02641C30">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9.合同终止时，乙方必须向甲方移交物业管理的全部档案资料；</w:t>
      </w:r>
    </w:p>
    <w:p w14:paraId="595E6CA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10.及时足额向甲方收取相关服务费用；</w:t>
      </w:r>
    </w:p>
    <w:p w14:paraId="3142FC6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11.乙方的物业管理人员要有符合国家规定的上岗证、健康证、保安员需持有保安员证，要严格政审，没有刑事犯罪记录，并报甲方备案。对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须配置物业项目工作对接人，项目工作对接人聘用要经甲方审定，国家法定假日须在现场值守。对物业聘用人员，必须向甲方提供身份证、暂住证复印件，并每月向甲方提供人员花名册；</w:t>
      </w:r>
    </w:p>
    <w:p w14:paraId="113E902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12.乙方工作人员因管理不当造成人员</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财产伤害或损失的，由乙方承担责任，</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负责赔偿；</w:t>
      </w:r>
    </w:p>
    <w:p w14:paraId="64BA404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13.乙方的物业管理人员要听从甲方调动指挥；</w:t>
      </w:r>
    </w:p>
    <w:p w14:paraId="52320A0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14．甲方对乙方员工的工作行为进行监督，如发现乙方员工有违反规定和制度行为，甲方将要求其整改，乙方员工态度恶劣拒不改正的，乙方必须予以辞退；</w:t>
      </w:r>
    </w:p>
    <w:p w14:paraId="10382000">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负责员工招聘、录用、管理工作，保持员工稳定和到位人数，乙方做好员工岗前培训且做好台帐，并按国家规定办法办好劳动保险、人身意外险手续，确保乙方员工工资和福利及时发放到位。如因乙方用工原因生产劳务纠纷，乙方自行及时妥善处理，甲方不承担任何法律责任和经济责任，不能影响</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正常运行。</w:t>
      </w:r>
    </w:p>
    <w:p w14:paraId="0D11D3AE">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16.乙方提供的物业人员服务质量不得低于附件三规定的量化标准。</w:t>
      </w:r>
    </w:p>
    <w:p w14:paraId="583F7A9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17．乙方派驻</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员工就餐由甲方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统一安排，乙方员工就餐费用按甲方员工统一标准支付甲方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w:t>
      </w:r>
    </w:p>
    <w:p w14:paraId="68444ECB">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乙方需派驻专职水电工，要求人员电气证件齐全，专业操作能力满足日常和突发工作需要，可满足24小时服务要求。</w:t>
      </w:r>
    </w:p>
    <w:p w14:paraId="79CD8F3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.乙方负责甲方服务区消控室远程监控管理安装，远程消防监控符合相关消防和安全规范要求，相关费用由乙方承担。</w:t>
      </w:r>
    </w:p>
    <w:p w14:paraId="64F81DB2">
      <w:pPr>
        <w:pStyle w:val="36"/>
        <w:ind w:firstLine="420" w:firstLineChars="200"/>
        <w:rPr>
          <w:rFonts w:hint="eastAsia" w:ascii="宋体" w:hAnsi="宋体" w:eastAsia="宋体" w:cs="宋体"/>
          <w:strike w:val="0"/>
          <w:color w:val="auto"/>
          <w:kern w:val="2"/>
          <w:sz w:val="21"/>
          <w:szCs w:val="21"/>
          <w:highlight w:val="none"/>
          <w:lang w:val="en-US" w:eastAsia="zh-CN" w:bidi="ar-SA"/>
        </w:rPr>
      </w:pPr>
      <w:r>
        <w:rPr>
          <w:rFonts w:hint="eastAsia" w:ascii="宋体" w:hAnsi="宋体" w:eastAsia="宋体" w:cs="宋体"/>
          <w:strike w:val="0"/>
          <w:color w:val="auto"/>
          <w:kern w:val="2"/>
          <w:sz w:val="21"/>
          <w:szCs w:val="21"/>
          <w:highlight w:val="none"/>
          <w:lang w:val="en-US" w:eastAsia="zh-CN" w:bidi="ar-SA"/>
        </w:rPr>
        <w:t>20.乙方负责甲方服务区环境卫生消杀工作，聘请专业第三方消杀公司定期做好消杀工作，第三方消杀工作选聘由甲方认可，产生的相关费用由乙方承担。</w:t>
      </w:r>
    </w:p>
    <w:p w14:paraId="1FE7C97C">
      <w:pPr>
        <w:pStyle w:val="36"/>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21.负责服务区内日常产生的垃圾清运工作，并将垃圾运送至垃圾中转站内处理，产生的相关费用由乙方承担。</w:t>
      </w:r>
    </w:p>
    <w:p w14:paraId="0AC09F4F">
      <w:pPr>
        <w:widowControl/>
        <w:numPr>
          <w:ilvl w:val="0"/>
          <w:numId w:val="0"/>
        </w:numPr>
        <w:spacing w:line="240" w:lineRule="auto"/>
        <w:ind w:left="0" w:firstLine="420" w:firstLineChars="20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22.因乙方自身管理不善出现双保人员集体罢工，造成现场物业服务工作失控，服务区形象在社会上造成严重恶劣影响的，当月考核视为零分。情节严重的甲方有权单方面接解除合同。</w:t>
      </w:r>
    </w:p>
    <w:p w14:paraId="4B061335">
      <w:pPr>
        <w:widowControl/>
        <w:numPr>
          <w:ilvl w:val="0"/>
          <w:numId w:val="0"/>
        </w:numPr>
        <w:spacing w:line="240" w:lineRule="auto"/>
        <w:ind w:left="0" w:firstLine="420" w:firstLineChars="20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23.乙方进场前需先提交服务区双保人员和其他工种人员的日常考核管理办法细则，每月对优秀的人员进行定量的现金奖励，对工作表现差，并多次违规的人员进行现金扣罚。并报与服务区确认备案。</w:t>
      </w:r>
    </w:p>
    <w:p w14:paraId="27C0215D">
      <w:pPr>
        <w:widowControl/>
        <w:numPr>
          <w:ilvl w:val="0"/>
          <w:numId w:val="0"/>
        </w:numPr>
        <w:spacing w:line="240" w:lineRule="auto"/>
        <w:ind w:left="0" w:firstLine="420" w:firstLineChars="20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24.乙方至少每季度组织各技术职能部门对服务区整个物业项目的所有人员，进行业务指导，对现场设备设施进行安全检查和检测，并做出纸质整改意见报服务区留档备案。</w:t>
      </w:r>
    </w:p>
    <w:p w14:paraId="6222B904">
      <w:pPr>
        <w:pStyle w:val="66"/>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第四章物业管理费用</w:t>
      </w:r>
    </w:p>
    <w:p w14:paraId="3AA5AD62">
      <w:pPr>
        <w:autoSpaceDE w:val="0"/>
        <w:autoSpaceDN w:val="0"/>
        <w:adjustRightInd w:val="0"/>
        <w:spacing w:line="24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zh-CN"/>
        </w:rPr>
        <w:t>条物业管理费用及支付方式</w:t>
      </w:r>
    </w:p>
    <w:p w14:paraId="6ABEB8DD">
      <w:pPr>
        <w:spacing w:line="24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1．物业管理壹年期费用总额为</w:t>
      </w:r>
      <w:r>
        <w:rPr>
          <w:rFonts w:hint="eastAsia" w:ascii="宋体" w:hAnsi="宋体" w:eastAsia="宋体" w:cs="宋体"/>
          <w:b/>
          <w:color w:val="auto"/>
          <w:sz w:val="21"/>
          <w:szCs w:val="21"/>
          <w:highlight w:val="none"/>
        </w:rPr>
        <w:t>人民币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kern w:val="0"/>
          <w:sz w:val="21"/>
          <w:szCs w:val="21"/>
          <w:highlight w:val="none"/>
        </w:rPr>
        <w:t>，含税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（其中陶山服务区物业服务壹年期费用总额为人民币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“瓯江红·畅美高速”党群服务中心物业服务壹年期费用总额为人民币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w:t>
      </w:r>
      <w:r>
        <w:rPr>
          <w:rFonts w:hint="eastAsia" w:ascii="宋体" w:hAnsi="宋体" w:eastAsia="宋体" w:cs="宋体"/>
          <w:b/>
          <w:bCs/>
          <w:lang w:eastAsia="zh-CN"/>
        </w:rPr>
        <w:t>包含奖励金</w:t>
      </w:r>
      <w:r>
        <w:rPr>
          <w:rFonts w:hint="eastAsia" w:ascii="宋体" w:hAnsi="宋体" w:eastAsia="宋体" w:cs="宋体"/>
          <w:b/>
          <w:bCs/>
          <w:lang w:val="en-US" w:eastAsia="zh-CN"/>
        </w:rPr>
        <w:t>400元/人月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u w:val="single"/>
        </w:rPr>
        <w:t>（根据实际岗位数量及乙方最终中标分项报价表中各岗位月工资按季度结算人工物业费；临时增加人员费用每季按实结算；</w:t>
      </w:r>
      <w:r>
        <w:rPr>
          <w:rFonts w:hint="eastAsia" w:ascii="宋体" w:hAnsi="宋体" w:eastAsia="宋体" w:cs="宋体"/>
          <w:color w:val="auto"/>
          <w:sz w:val="21"/>
          <w:szCs w:val="21"/>
          <w:highlight w:val="none"/>
          <w:lang w:val="en-US" w:eastAsia="zh-CN"/>
        </w:rPr>
        <w:t>员工奖励金由甲方人根据考核情况并结合员工表现每季按实结算，相关费用需由乙方先行垫付，足额发放至对应员工，不得扣减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none"/>
        </w:rPr>
        <w:t>）。</w:t>
      </w:r>
    </w:p>
    <w:p w14:paraId="03C3925F">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该价格已包括在</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域内提供</w:t>
      </w:r>
      <w:r>
        <w:rPr>
          <w:rFonts w:hint="eastAsia" w:ascii="宋体" w:hAnsi="宋体" w:eastAsia="宋体" w:cs="宋体"/>
          <w:color w:val="auto"/>
          <w:sz w:val="21"/>
          <w:szCs w:val="21"/>
          <w:highlight w:val="none"/>
          <w:lang w:val="en-US" w:eastAsia="zh-CN"/>
        </w:rPr>
        <w:t>秩序维护</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安保管理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卫生管理，</w:t>
      </w: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val="en-US" w:eastAsia="zh-CN"/>
        </w:rPr>
        <w:t>维护</w:t>
      </w:r>
      <w:r>
        <w:rPr>
          <w:rFonts w:hint="eastAsia" w:ascii="宋体" w:hAnsi="宋体" w:eastAsia="宋体" w:cs="宋体"/>
          <w:color w:val="auto"/>
          <w:sz w:val="21"/>
          <w:szCs w:val="21"/>
          <w:highlight w:val="none"/>
        </w:rPr>
        <w:t>及其他所有服务所需的人员工资（基本工资、辅助工资、工资性补贴、</w:t>
      </w:r>
      <w:r>
        <w:rPr>
          <w:rFonts w:hint="eastAsia" w:ascii="宋体" w:hAnsi="宋体" w:eastAsia="宋体" w:cs="宋体"/>
          <w:color w:val="auto"/>
          <w:sz w:val="21"/>
          <w:szCs w:val="21"/>
          <w:highlight w:val="none"/>
          <w:lang w:eastAsia="zh-CN"/>
        </w:rPr>
        <w:t>单休加班费、</w:t>
      </w:r>
      <w:r>
        <w:rPr>
          <w:rFonts w:hint="eastAsia" w:ascii="宋体" w:hAnsi="宋体" w:eastAsia="宋体" w:cs="宋体"/>
          <w:color w:val="auto"/>
          <w:sz w:val="21"/>
          <w:szCs w:val="21"/>
          <w:highlight w:val="none"/>
        </w:rPr>
        <w:t>奖金、节日加班费等），社会保障费（养老保险、基本医疗保险、工伤保险、失业保险、生育保险、住房公积金等），企业管理费（管理人员工资、办公费、差旅交通费、固定资产使用费、劳动保</w:t>
      </w:r>
      <w:r>
        <w:rPr>
          <w:rFonts w:hint="eastAsia" w:ascii="宋体" w:hAnsi="宋体" w:eastAsia="宋体" w:cs="宋体"/>
          <w:color w:val="auto"/>
          <w:sz w:val="21"/>
          <w:szCs w:val="21"/>
          <w:highlight w:val="none"/>
          <w:lang w:eastAsia="zh-CN"/>
        </w:rPr>
        <w:t>护</w:t>
      </w:r>
      <w:r>
        <w:rPr>
          <w:rFonts w:hint="eastAsia" w:ascii="宋体" w:hAnsi="宋体" w:eastAsia="宋体" w:cs="宋体"/>
          <w:color w:val="auto"/>
          <w:sz w:val="21"/>
          <w:szCs w:val="21"/>
          <w:highlight w:val="none"/>
        </w:rPr>
        <w:t>费、工会经费、职工教育经费、财产保险费等），工作相关的服装费，企业应缴纳的各种税费等全部费用。</w:t>
      </w:r>
    </w:p>
    <w:p w14:paraId="628F01D0">
      <w:pPr>
        <w:spacing w:line="240" w:lineRule="auto"/>
        <w:ind w:firstLine="420" w:firstLineChars="200"/>
        <w:rPr>
          <w:rFonts w:hint="eastAsia"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eastAsia="zh-CN"/>
        </w:rPr>
        <w:t>乙方</w:t>
      </w:r>
      <w:r>
        <w:rPr>
          <w:rFonts w:hint="eastAsia" w:ascii="宋体" w:hAnsi="宋体" w:eastAsia="宋体" w:cs="宋体"/>
          <w:color w:val="auto"/>
          <w:kern w:val="0"/>
          <w:sz w:val="21"/>
          <w:szCs w:val="21"/>
          <w:highlight w:val="none"/>
          <w:u w:val="single"/>
        </w:rPr>
        <w:t>在接到中标通知书后签订合同前，向</w:t>
      </w:r>
      <w:r>
        <w:rPr>
          <w:rFonts w:hint="eastAsia" w:ascii="宋体" w:hAnsi="宋体" w:eastAsia="宋体" w:cs="宋体"/>
          <w:color w:val="auto"/>
          <w:kern w:val="0"/>
          <w:sz w:val="21"/>
          <w:szCs w:val="21"/>
          <w:highlight w:val="none"/>
          <w:u w:val="single"/>
          <w:lang w:eastAsia="zh-CN"/>
        </w:rPr>
        <w:t>甲方</w:t>
      </w:r>
      <w:r>
        <w:rPr>
          <w:rFonts w:hint="eastAsia" w:ascii="宋体" w:hAnsi="宋体" w:eastAsia="宋体" w:cs="宋体"/>
          <w:color w:val="auto"/>
          <w:kern w:val="0"/>
          <w:sz w:val="21"/>
          <w:szCs w:val="21"/>
          <w:highlight w:val="none"/>
          <w:u w:val="single"/>
        </w:rPr>
        <w:t>缴纳合同价5%的履约保证金</w:t>
      </w:r>
      <w:r>
        <w:rPr>
          <w:rFonts w:hint="eastAsia" w:ascii="宋体" w:hAnsi="宋体" w:eastAsia="宋体" w:cs="宋体"/>
          <w:b/>
          <w:color w:val="auto"/>
          <w:kern w:val="0"/>
          <w:sz w:val="21"/>
          <w:szCs w:val="21"/>
          <w:highlight w:val="none"/>
          <w:u w:val="single"/>
        </w:rPr>
        <w:t>（须汇入</w:t>
      </w:r>
      <w:r>
        <w:rPr>
          <w:rFonts w:hint="eastAsia" w:ascii="宋体" w:hAnsi="宋体" w:eastAsia="宋体" w:cs="宋体"/>
          <w:b/>
          <w:color w:val="auto"/>
          <w:kern w:val="0"/>
          <w:sz w:val="21"/>
          <w:szCs w:val="21"/>
          <w:highlight w:val="none"/>
          <w:u w:val="single"/>
          <w:lang w:eastAsia="zh-CN"/>
        </w:rPr>
        <w:t>甲方</w:t>
      </w:r>
      <w:r>
        <w:rPr>
          <w:rFonts w:hint="eastAsia" w:ascii="宋体" w:hAnsi="宋体" w:eastAsia="宋体" w:cs="宋体"/>
          <w:b/>
          <w:color w:val="auto"/>
          <w:kern w:val="0"/>
          <w:sz w:val="21"/>
          <w:szCs w:val="21"/>
          <w:highlight w:val="none"/>
          <w:u w:val="single"/>
        </w:rPr>
        <w:t>指定银行账户）。</w:t>
      </w:r>
    </w:p>
    <w:p w14:paraId="3D6D336F">
      <w:pPr>
        <w:spacing w:line="24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u w:val="single"/>
        </w:rPr>
        <w:t>▲</w:t>
      </w:r>
      <w:r>
        <w:rPr>
          <w:rFonts w:hint="eastAsia" w:ascii="宋体" w:hAnsi="宋体" w:eastAsia="宋体" w:cs="宋体"/>
          <w:bCs/>
          <w:color w:val="auto"/>
          <w:sz w:val="21"/>
          <w:szCs w:val="21"/>
          <w:highlight w:val="none"/>
          <w:u w:val="single"/>
        </w:rPr>
        <w:t>如遇突发事件或甲方管理需要物业人员临时加班，加班费标准</w:t>
      </w:r>
      <w:r>
        <w:rPr>
          <w:rFonts w:hint="eastAsia" w:ascii="宋体" w:hAnsi="宋体" w:eastAsia="宋体" w:cs="宋体"/>
          <w:bCs/>
          <w:color w:val="auto"/>
          <w:sz w:val="21"/>
          <w:szCs w:val="21"/>
          <w:highlight w:val="none"/>
          <w:u w:val="single"/>
          <w:lang w:val="en-US" w:eastAsia="zh-CN"/>
        </w:rPr>
        <w:t>每人按</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u w:val="single"/>
        </w:rPr>
        <w:t>0元/班</w:t>
      </w:r>
      <w:r>
        <w:rPr>
          <w:rFonts w:hint="eastAsia" w:ascii="宋体" w:hAnsi="宋体" w:eastAsia="宋体" w:cs="宋体"/>
          <w:bCs/>
          <w:color w:val="auto"/>
          <w:sz w:val="21"/>
          <w:szCs w:val="21"/>
          <w:highlight w:val="none"/>
          <w:u w:val="single"/>
          <w:lang w:val="en-US" w:eastAsia="zh-CN"/>
        </w:rPr>
        <w:t>计付</w:t>
      </w:r>
      <w:r>
        <w:rPr>
          <w:rFonts w:hint="eastAsia" w:ascii="宋体" w:hAnsi="宋体" w:eastAsia="宋体" w:cs="宋体"/>
          <w:bCs/>
          <w:color w:val="auto"/>
          <w:sz w:val="21"/>
          <w:szCs w:val="21"/>
          <w:highlight w:val="none"/>
          <w:u w:val="single"/>
        </w:rPr>
        <w:t>，临时加班费总额</w:t>
      </w:r>
      <w:r>
        <w:rPr>
          <w:rFonts w:hint="eastAsia" w:ascii="宋体" w:hAnsi="宋体" w:eastAsia="宋体" w:cs="宋体"/>
          <w:bCs/>
          <w:color w:val="auto"/>
          <w:sz w:val="21"/>
          <w:szCs w:val="21"/>
          <w:highlight w:val="none"/>
          <w:u w:val="single"/>
          <w:lang w:val="en-US" w:eastAsia="zh-CN"/>
        </w:rPr>
        <w:t>控制在8</w:t>
      </w:r>
      <w:r>
        <w:rPr>
          <w:rFonts w:hint="eastAsia" w:ascii="宋体" w:hAnsi="宋体" w:eastAsia="宋体" w:cs="宋体"/>
          <w:bCs/>
          <w:color w:val="auto"/>
          <w:sz w:val="21"/>
          <w:szCs w:val="21"/>
          <w:highlight w:val="none"/>
          <w:u w:val="single"/>
        </w:rPr>
        <w:t>万元/年</w:t>
      </w:r>
      <w:r>
        <w:rPr>
          <w:rFonts w:hint="eastAsia" w:ascii="宋体" w:hAnsi="宋体" w:eastAsia="宋体" w:cs="宋体"/>
          <w:bCs/>
          <w:color w:val="auto"/>
          <w:sz w:val="21"/>
          <w:szCs w:val="21"/>
          <w:highlight w:val="none"/>
          <w:u w:val="single"/>
          <w:lang w:val="en-US" w:eastAsia="zh-CN"/>
        </w:rPr>
        <w:t>内</w:t>
      </w:r>
      <w:r>
        <w:rPr>
          <w:rFonts w:hint="eastAsia" w:ascii="宋体" w:hAnsi="宋体" w:eastAsia="宋体" w:cs="宋体"/>
          <w:bCs/>
          <w:color w:val="auto"/>
          <w:sz w:val="21"/>
          <w:szCs w:val="21"/>
          <w:highlight w:val="none"/>
          <w:u w:val="single"/>
        </w:rPr>
        <w:t>，在承包总价中列支。</w:t>
      </w:r>
      <w:r>
        <w:rPr>
          <w:rFonts w:hint="eastAsia" w:ascii="宋体" w:hAnsi="宋体" w:eastAsia="宋体" w:cs="宋体"/>
          <w:bCs/>
          <w:color w:val="auto"/>
          <w:sz w:val="21"/>
          <w:szCs w:val="21"/>
          <w:highlight w:val="none"/>
          <w:u w:val="single"/>
          <w:lang w:val="en-US" w:eastAsia="zh-CN"/>
        </w:rPr>
        <w:t>加班申请单需在事发当月由乙方提出申请，甲方负责人确认，超出时间期限的申请，一律不予确认计量。</w:t>
      </w:r>
    </w:p>
    <w:p w14:paraId="5E3D006B">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4．</w:t>
      </w:r>
      <w:r>
        <w:rPr>
          <w:rFonts w:hint="eastAsia" w:ascii="宋体" w:hAnsi="宋体" w:eastAsia="宋体" w:cs="宋体"/>
          <w:bCs w:val="0"/>
          <w:color w:val="auto"/>
          <w:sz w:val="21"/>
          <w:szCs w:val="21"/>
          <w:highlight w:val="none"/>
          <w:lang w:val="en-US" w:eastAsia="zh-CN"/>
        </w:rPr>
        <w:t>员工奖励金6万元整，</w:t>
      </w:r>
      <w:r>
        <w:rPr>
          <w:rFonts w:hint="eastAsia" w:ascii="宋体" w:hAnsi="宋体" w:eastAsia="宋体" w:cs="宋体"/>
          <w:color w:val="auto"/>
          <w:sz w:val="21"/>
          <w:szCs w:val="21"/>
          <w:highlight w:val="none"/>
          <w:lang w:val="en-US" w:eastAsia="zh-CN"/>
        </w:rPr>
        <w:t>用于服务区内员工的奖励，奖励金额及奖励方式由甲方根据相关员工的日常表现确定，但乙方不得因本奖励金的发放而扣减原本乙方自身应发放给员工的相关奖励。</w:t>
      </w:r>
    </w:p>
    <w:p w14:paraId="7E109349">
      <w:pPr>
        <w:spacing w:line="240" w:lineRule="auto"/>
        <w:ind w:firstLine="420" w:firstLineChars="200"/>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lang w:val="en-US" w:eastAsia="zh-CN"/>
        </w:rPr>
        <w:t>5.维修单价金额在50元以下维修费用总额控制在</w:t>
      </w:r>
      <w:r>
        <w:rPr>
          <w:rFonts w:hint="eastAsia" w:ascii="宋体" w:hAnsi="宋体" w:eastAsia="宋体" w:cs="宋体"/>
          <w:strike w:val="0"/>
          <w:color w:val="auto"/>
          <w:kern w:val="0"/>
          <w:sz w:val="21"/>
          <w:szCs w:val="21"/>
          <w:highlight w:val="none"/>
          <w:lang w:val="en-US" w:eastAsia="zh-CN"/>
        </w:rPr>
        <w:t>4万元/年内，</w:t>
      </w:r>
      <w:r>
        <w:rPr>
          <w:rFonts w:hint="eastAsia" w:ascii="宋体" w:hAnsi="宋体" w:eastAsia="宋体" w:cs="宋体"/>
          <w:bCs/>
          <w:color w:val="auto"/>
          <w:sz w:val="21"/>
          <w:szCs w:val="21"/>
          <w:highlight w:val="none"/>
          <w:u w:val="none"/>
        </w:rPr>
        <w:t>在承包总价中列支。</w:t>
      </w:r>
      <w:r>
        <w:rPr>
          <w:rFonts w:hint="eastAsia" w:ascii="宋体" w:hAnsi="宋体" w:eastAsia="宋体" w:cs="宋体"/>
          <w:bCs/>
          <w:color w:val="auto"/>
          <w:sz w:val="21"/>
          <w:szCs w:val="21"/>
          <w:highlight w:val="none"/>
          <w:u w:val="none"/>
          <w:lang w:val="en-US" w:eastAsia="zh-CN"/>
        </w:rPr>
        <w:t>维修申请单需在事发时或当月由乙方提出申请，甲方负责人确认，超出时间期限的申请，一律不予确认计量。</w:t>
      </w:r>
    </w:p>
    <w:p w14:paraId="525C2DDD">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每月乙方提供人员工资、考勤、临时加班费、员工奖励金、维修费等结算资料，给甲方审核确认。人员工资、临时加班费、维修单价金额在50元以下维修费用、员工奖励金每季度按实结算，其中人员工资支付80%，剩余20%，根据每月考核情况予以支付。其他服务费在每年服务结束后，提供结算资料按实结算支付。承包人需提供增值税专用发票，先服务后结算。相关费用需由乙方先行垫付，足额发放至对应员工，不得扣减。</w:t>
      </w:r>
    </w:p>
    <w:p w14:paraId="27AD4981">
      <w:pPr>
        <w:spacing w:line="24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．“瓯江红·畅美高速”党群服务中心物业服务付款方式：</w:t>
      </w:r>
      <w:r>
        <w:rPr>
          <w:rFonts w:hint="eastAsia" w:ascii="宋体" w:hAnsi="宋体" w:eastAsia="宋体" w:cs="宋体"/>
          <w:color w:val="auto"/>
          <w:kern w:val="0"/>
          <w:sz w:val="21"/>
          <w:szCs w:val="21"/>
          <w:highlight w:val="none"/>
        </w:rPr>
        <w:t>先服务后支付，半年支付一次，</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凭正式税务增值税专用发票向</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结算费用，</w:t>
      </w:r>
      <w:r>
        <w:rPr>
          <w:rFonts w:hint="eastAsia" w:ascii="宋体" w:hAnsi="宋体" w:eastAsia="宋体" w:cs="宋体"/>
          <w:color w:val="auto"/>
          <w:kern w:val="0"/>
          <w:sz w:val="21"/>
          <w:szCs w:val="21"/>
          <w:highlight w:val="none"/>
          <w:lang w:val="en-US" w:eastAsia="zh-CN"/>
        </w:rPr>
        <w:t>甲方根据乙方投标分项报价</w:t>
      </w:r>
      <w:r>
        <w:rPr>
          <w:rFonts w:hint="eastAsia" w:ascii="宋体" w:hAnsi="宋体" w:eastAsia="宋体" w:cs="宋体"/>
          <w:color w:val="auto"/>
          <w:kern w:val="0"/>
          <w:sz w:val="21"/>
          <w:szCs w:val="21"/>
          <w:highlight w:val="none"/>
        </w:rPr>
        <w:t>按实结算。</w:t>
      </w:r>
    </w:p>
    <w:p w14:paraId="78C8F14B">
      <w:pPr>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甲方可随时根据实际情况进行核实，一经发现存在克扣员工工资及福利或者拖欠员工工资问题及福利将按照相关要求及法律规定对相关责任人严肃查处。</w:t>
      </w:r>
    </w:p>
    <w:p w14:paraId="0029243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u w:val="single"/>
        </w:rPr>
        <w:t>▲服务期结束，且所有合同义务都已履行完毕后7天内，无息退还履约保证金。</w:t>
      </w:r>
    </w:p>
    <w:p w14:paraId="35F36141">
      <w:pPr>
        <w:pStyle w:val="66"/>
        <w:spacing w:before="120" w:after="120"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第五章履约保证金</w:t>
      </w:r>
    </w:p>
    <w:p w14:paraId="26F2CC18">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rPr>
        <w:t>乙方在合同签订后向甲方支付合同价5%的履约保证金</w:t>
      </w:r>
      <w:r>
        <w:rPr>
          <w:rFonts w:hint="eastAsia" w:ascii="宋体" w:hAnsi="宋体" w:eastAsia="宋体" w:cs="宋体"/>
          <w:b/>
          <w:color w:val="auto"/>
          <w:kern w:val="0"/>
          <w:sz w:val="21"/>
          <w:szCs w:val="21"/>
          <w:highlight w:val="none"/>
          <w:u w:val="single"/>
        </w:rPr>
        <w:t>（须汇入</w:t>
      </w:r>
      <w:r>
        <w:rPr>
          <w:rFonts w:hint="eastAsia" w:ascii="宋体" w:hAnsi="宋体" w:eastAsia="宋体" w:cs="宋体"/>
          <w:b/>
          <w:color w:val="auto"/>
          <w:kern w:val="0"/>
          <w:sz w:val="21"/>
          <w:szCs w:val="21"/>
          <w:highlight w:val="none"/>
          <w:u w:val="single"/>
          <w:lang w:eastAsia="zh-CN"/>
        </w:rPr>
        <w:t>甲方</w:t>
      </w:r>
      <w:r>
        <w:rPr>
          <w:rFonts w:hint="eastAsia" w:ascii="宋体" w:hAnsi="宋体" w:eastAsia="宋体" w:cs="宋体"/>
          <w:b/>
          <w:color w:val="auto"/>
          <w:kern w:val="0"/>
          <w:sz w:val="21"/>
          <w:szCs w:val="21"/>
          <w:highlight w:val="none"/>
          <w:u w:val="single"/>
        </w:rPr>
        <w:t>指定银行账户）</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对本合同履行过程中的事项，包括但不限于：服务质量、设施损坏、人身损害、违约赔偿金等进行担保。</w:t>
      </w:r>
    </w:p>
    <w:p w14:paraId="14A461B3">
      <w:pPr>
        <w:autoSpaceDE w:val="0"/>
        <w:autoSpaceDN w:val="0"/>
        <w:adjustRightInd w:val="0"/>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u w:val="single"/>
          <w:lang w:val="en-US" w:eastAsia="zh-CN"/>
        </w:rPr>
        <w:t>甲方发现乙方未按合同要求实施</w:t>
      </w:r>
      <w:r>
        <w:rPr>
          <w:rFonts w:hint="eastAsia" w:ascii="宋体" w:hAnsi="宋体" w:eastAsia="宋体" w:cs="宋体"/>
          <w:b/>
          <w:bCs/>
          <w:color w:val="auto"/>
          <w:sz w:val="21"/>
          <w:szCs w:val="21"/>
          <w:highlight w:val="none"/>
          <w:u w:val="single"/>
        </w:rPr>
        <w:t>车辆</w:t>
      </w:r>
      <w:r>
        <w:rPr>
          <w:rFonts w:hint="eastAsia" w:ascii="宋体" w:hAnsi="宋体" w:eastAsia="宋体" w:cs="宋体"/>
          <w:b/>
          <w:bCs/>
          <w:color w:val="auto"/>
          <w:sz w:val="21"/>
          <w:szCs w:val="21"/>
          <w:highlight w:val="none"/>
          <w:u w:val="single"/>
          <w:lang w:val="en-US" w:eastAsia="zh-CN"/>
        </w:rPr>
        <w:t>保养</w:t>
      </w:r>
      <w:r>
        <w:rPr>
          <w:rFonts w:hint="eastAsia" w:ascii="宋体" w:hAnsi="宋体" w:eastAsia="宋体" w:cs="宋体"/>
          <w:b/>
          <w:bCs/>
          <w:color w:val="auto"/>
          <w:sz w:val="21"/>
          <w:szCs w:val="21"/>
          <w:highlight w:val="none"/>
          <w:u w:val="single"/>
        </w:rPr>
        <w:t>维修</w:t>
      </w:r>
      <w:r>
        <w:rPr>
          <w:rFonts w:hint="eastAsia" w:ascii="宋体" w:hAnsi="宋体" w:eastAsia="宋体" w:cs="宋体"/>
          <w:b/>
          <w:bCs/>
          <w:color w:val="auto"/>
          <w:sz w:val="21"/>
          <w:szCs w:val="21"/>
          <w:highlight w:val="none"/>
          <w:u w:val="single"/>
          <w:lang w:eastAsia="zh-CN"/>
        </w:rPr>
        <w:t>、服务区公共场所进行消杀</w:t>
      </w:r>
      <w:r>
        <w:rPr>
          <w:rFonts w:hint="eastAsia" w:ascii="宋体" w:hAnsi="宋体" w:eastAsia="宋体" w:cs="宋体"/>
          <w:b/>
          <w:bCs/>
          <w:color w:val="auto"/>
          <w:sz w:val="21"/>
          <w:szCs w:val="21"/>
          <w:highlight w:val="none"/>
          <w:u w:val="single"/>
        </w:rPr>
        <w:t>、消防远程监控、</w:t>
      </w:r>
      <w:r>
        <w:rPr>
          <w:rFonts w:hint="eastAsia" w:ascii="宋体" w:hAnsi="宋体" w:eastAsia="宋体" w:cs="宋体"/>
          <w:b/>
          <w:bCs/>
          <w:color w:val="auto"/>
          <w:sz w:val="21"/>
          <w:szCs w:val="21"/>
          <w:highlight w:val="none"/>
          <w:u w:val="single"/>
          <w:lang w:val="en-US" w:eastAsia="zh-CN"/>
        </w:rPr>
        <w:t>空调维修清洗、</w:t>
      </w:r>
      <w:r>
        <w:rPr>
          <w:rFonts w:hint="eastAsia" w:ascii="宋体" w:hAnsi="宋体" w:eastAsia="宋体" w:cs="宋体"/>
          <w:b/>
          <w:bCs/>
          <w:color w:val="auto"/>
          <w:sz w:val="21"/>
          <w:szCs w:val="21"/>
          <w:highlight w:val="none"/>
          <w:u w:val="single"/>
        </w:rPr>
        <w:t>水池清洗、化粪池清运、生活垃圾清运</w:t>
      </w:r>
      <w:r>
        <w:rPr>
          <w:rFonts w:hint="eastAsia" w:ascii="宋体" w:hAnsi="宋体" w:eastAsia="宋体" w:cs="宋体"/>
          <w:b/>
          <w:bCs/>
          <w:color w:val="auto"/>
          <w:sz w:val="21"/>
          <w:szCs w:val="21"/>
          <w:highlight w:val="none"/>
          <w:u w:val="single"/>
          <w:lang w:val="en-US" w:eastAsia="zh-CN"/>
        </w:rPr>
        <w:t>等工作时，每缺一项处以履约保证金金额10%的罚款</w:t>
      </w:r>
      <w:r>
        <w:rPr>
          <w:rFonts w:hint="eastAsia" w:ascii="宋体" w:hAnsi="宋体" w:eastAsia="宋体" w:cs="宋体"/>
          <w:color w:val="auto"/>
          <w:sz w:val="21"/>
          <w:szCs w:val="21"/>
          <w:highlight w:val="none"/>
          <w:lang w:val="en-US" w:eastAsia="zh-CN"/>
        </w:rPr>
        <w:t>。</w:t>
      </w:r>
    </w:p>
    <w:p w14:paraId="5F74ACD9">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乙方的违约金额或其他应由乙方承担的金额，甲方有权直接在履约保证金中扣除。乙方应在甲方发出书面扣除通知之日起15日内，补足扣除额，以维持管理服务期间履约保证金的完整性。</w:t>
      </w:r>
    </w:p>
    <w:p w14:paraId="5F228F33">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因乙方原因导致合同提前解除的，乙方履约保证金不予退还，乙方还应承担由此造成的甲方经济损失，双方另有约定的除外。</w:t>
      </w:r>
    </w:p>
    <w:p w14:paraId="4AAAF234">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保证金不计利息。服务期限届满或终止之日起六个月后，甲方将剩余履约保证金无息返还给乙方。</w:t>
      </w:r>
    </w:p>
    <w:p w14:paraId="41590A27">
      <w:pPr>
        <w:pStyle w:val="66"/>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第六章合同解除</w:t>
      </w:r>
    </w:p>
    <w:p w14:paraId="37EDB9EB">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出现下列情况之一的，甲方有权单方解除合同，并没收履约保证金，乙方应在甲方解除合同之日起三日内腾退场地，并办理移交手续，物业管理费用照实结算，甲方应于结算后3日内支付；因此给甲方造成损失的，乙方还应赔偿甲方损失：</w:t>
      </w:r>
    </w:p>
    <w:p w14:paraId="777A4CE9">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1.乙方未按甲方通知的时间及金额补足履约保证金，拖欠时间超过30天的。</w:t>
      </w:r>
    </w:p>
    <w:p w14:paraId="40D934D4">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2.乙方违反本协议约定，经甲方书面通知后仍未改正的。</w:t>
      </w:r>
    </w:p>
    <w:p w14:paraId="552620DF">
      <w:pPr>
        <w:autoSpaceDE w:val="0"/>
        <w:autoSpaceDN w:val="0"/>
        <w:adjustRightInd w:val="0"/>
        <w:spacing w:line="240" w:lineRule="auto"/>
        <w:ind w:left="420" w:left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3.乙方存在以下情形的：</w:t>
      </w:r>
      <w:r>
        <w:rPr>
          <w:rFonts w:hint="eastAsia" w:ascii="宋体" w:hAnsi="宋体" w:eastAsia="宋体" w:cs="宋体"/>
          <w:color w:val="auto"/>
          <w:sz w:val="21"/>
          <w:szCs w:val="21"/>
          <w:highlight w:val="none"/>
          <w:lang w:val="zh-CN"/>
        </w:rPr>
        <w:br w:type="textWrapping"/>
      </w:r>
      <w:r>
        <w:rPr>
          <w:rFonts w:hint="eastAsia" w:ascii="宋体" w:hAnsi="宋体" w:eastAsia="宋体" w:cs="宋体"/>
          <w:color w:val="auto"/>
          <w:sz w:val="21"/>
          <w:szCs w:val="21"/>
          <w:highlight w:val="none"/>
          <w:lang w:val="zh-CN"/>
        </w:rPr>
        <w:t>（1）因乙方原因被行业主管部门、集团公司、新闻媒体等通报批评或曝光，对甲方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荣誉</w:t>
      </w:r>
      <w:r>
        <w:rPr>
          <w:rFonts w:hint="eastAsia" w:ascii="宋体" w:hAnsi="宋体" w:eastAsia="宋体" w:cs="宋体"/>
          <w:color w:val="auto"/>
          <w:sz w:val="21"/>
          <w:szCs w:val="21"/>
          <w:highlight w:val="none"/>
          <w:lang w:val="zh-CN"/>
        </w:rPr>
        <w:t>带来严重影响的；</w:t>
      </w:r>
    </w:p>
    <w:p w14:paraId="216C5BDE">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（2）不符合现行行业标准；</w:t>
      </w:r>
    </w:p>
    <w:p w14:paraId="10870B96">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（3）文明服务、管理服务规范配合明显不到位的；</w:t>
      </w:r>
    </w:p>
    <w:p w14:paraId="4EC48949">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（4）乙方累计三次遭到行政机关行政处罚的。</w:t>
      </w:r>
    </w:p>
    <w:p w14:paraId="06232DE2">
      <w:pPr>
        <w:autoSpaceDE w:val="0"/>
        <w:autoSpaceDN w:val="0"/>
        <w:adjustRightInd w:val="0"/>
        <w:spacing w:line="240" w:lineRule="auto"/>
        <w:ind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bCs/>
          <w:color w:val="auto"/>
          <w:sz w:val="21"/>
          <w:szCs w:val="21"/>
          <w:highlight w:val="none"/>
          <w:lang w:val="zh-CN"/>
        </w:rPr>
        <w:t>第十</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因甲方或上级单位发展战略调整等原因需提前与乙方解除合同的，甲方应提前三个月书面告知乙方，乙方应给予支持。</w:t>
      </w:r>
    </w:p>
    <w:p w14:paraId="02ABF6BA">
      <w:pPr>
        <w:pStyle w:val="66"/>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第七章违约责任</w:t>
      </w:r>
    </w:p>
    <w:p w14:paraId="618788E2">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zh-CN"/>
        </w:rPr>
        <w:t>十条</w:t>
      </w:r>
      <w:r>
        <w:rPr>
          <w:rFonts w:hint="eastAsia" w:ascii="宋体" w:hAnsi="宋体" w:eastAsia="宋体" w:cs="宋体"/>
          <w:color w:val="auto"/>
          <w:sz w:val="21"/>
          <w:szCs w:val="21"/>
          <w:highlight w:val="none"/>
          <w:lang w:val="zh-CN"/>
        </w:rPr>
        <w:t>甲方违反合同约定，乙方有权要求甲方在一定期限内解决，逾期未解决并造成乙方经济损失的，甲方应给予乙方经济赔偿，并承担相应的法律责任。</w:t>
      </w:r>
    </w:p>
    <w:p w14:paraId="35CE7323">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二十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乙方违反合同的约定，未达到约定的管理目标，甲方有权要求乙方限期整改，逾期未整改的，甲方有权终止合同；造成甲方经济损失的，乙方应给予甲方经济赔偿，并承担相应的法律责任。</w:t>
      </w:r>
    </w:p>
    <w:p w14:paraId="6A485A97">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二十</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乙方无正当理由提前终止合同的，应向甲方支付违约金数额为合同物业管理费总额的10%，同时甲方有权没收乙方的履约保证金；违约金不足以弥补甲方损失的，乙方还应给予足额赔偿。</w:t>
      </w:r>
    </w:p>
    <w:p w14:paraId="2C1E4D28">
      <w:pPr>
        <w:spacing w:line="24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本合同有效期内，乙方遭受行政机关行政处罚的，应每次向甲方支付违约金人民币1万元。</w:t>
      </w:r>
    </w:p>
    <w:p w14:paraId="2B716A66">
      <w:pPr>
        <w:pStyle w:val="66"/>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第八章合同终止</w:t>
      </w:r>
    </w:p>
    <w:p w14:paraId="623D0AB8">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管理服务期满后乙方不再继续管理服务或乙方因任何原因提前解除合同的，考虑到</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lang w:val="zh-CN"/>
        </w:rPr>
        <w:t>服务的连续性和影响力，甲方有权要求乙方依据本合同约定继续管理服务一段时间，直至新的单位进场。</w:t>
      </w:r>
    </w:p>
    <w:p w14:paraId="7EC7D410">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管理服务期满后乙方不再继续或合同提前解除的，在合同解除或终止之日起三日内，乙方应将场地建筑物、构筑物及设施（备）按合同规定要求移交甲方，乙方不能以任何理由拒绝办理移交。</w:t>
      </w:r>
    </w:p>
    <w:p w14:paraId="59A3B353">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第二十</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乙方移交时应达到如下标准：</w:t>
      </w:r>
    </w:p>
    <w:p w14:paraId="060EFD4A">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1.房屋及装修清洁无损坏，如有损坏，按损坏程度赔偿。</w:t>
      </w:r>
    </w:p>
    <w:p w14:paraId="445749C0">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2.设施（备）运行正常完好，如有损坏，按原价正常折旧后赔偿。</w:t>
      </w:r>
    </w:p>
    <w:p w14:paraId="180158AD">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3.设施（备）功能和外表完好。</w:t>
      </w:r>
    </w:p>
    <w:p w14:paraId="7712FA0C">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4.为新的单位提供工作便利和配合做好进场工作。</w:t>
      </w:r>
    </w:p>
    <w:p w14:paraId="5049C0A5">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乙方移交未达到以上标准的，甲方可自行或委托第三方办理，费用由乙方承担或从乙方交纳的履约保证金中扣除。</w:t>
      </w:r>
    </w:p>
    <w:p w14:paraId="08E96E81">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乙方移交时，属于乙方的物品由乙方负责搬走，乙方逾期十日未搬走的，甲方有权自行处理，费用由乙方承担。</w:t>
      </w:r>
    </w:p>
    <w:p w14:paraId="475D20B8">
      <w:pPr>
        <w:pStyle w:val="66"/>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第九章通知条款</w:t>
      </w:r>
    </w:p>
    <w:p w14:paraId="63F59E7A">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涉及本合同权利义务变化的或其他必要通知，应以书面形式传递，收到方应签收。如无法向他方直接送达或收到方不予签收，可邮寄送达，邮件寄至本合同记载之地址时，即视为送达。</w:t>
      </w:r>
    </w:p>
    <w:p w14:paraId="3DE47471">
      <w:pPr>
        <w:autoSpaceDE w:val="0"/>
        <w:autoSpaceDN w:val="0"/>
        <w:adjustRightInd w:val="0"/>
        <w:spacing w:line="24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第二十</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本合同下述的地址、电话、传真为双方通知送达的地址、电话、传真，如果任何一方变更，应在变更后3日内书面通知相对方，否则任何一方通知送达前述地址，即视为被送达方收到，由此引发的法律后果由被送达人承担。</w:t>
      </w:r>
    </w:p>
    <w:p w14:paraId="6119A464">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甲方地址：                                   乙方地址:                                     </w:t>
      </w:r>
    </w:p>
    <w:p w14:paraId="6082E067">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指定联系人:                                  指定联系人：</w:t>
      </w:r>
    </w:p>
    <w:p w14:paraId="2BF0B78E">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电话:             传真:</w:t>
      </w:r>
    </w:p>
    <w:p w14:paraId="38F4112A">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                                   电子邮箱：</w:t>
      </w:r>
    </w:p>
    <w:p w14:paraId="4F7F99C7">
      <w:pPr>
        <w:autoSpaceDE w:val="0"/>
        <w:autoSpaceDN w:val="0"/>
        <w:adjustRightInd w:val="0"/>
        <w:spacing w:line="240" w:lineRule="auto"/>
        <w:jc w:val="center"/>
        <w:rPr>
          <w:rFonts w:hint="eastAsia" w:ascii="宋体" w:hAnsi="宋体" w:eastAsia="宋体" w:cs="宋体"/>
          <w:b/>
          <w:bCs/>
          <w:color w:val="auto"/>
          <w:sz w:val="21"/>
          <w:szCs w:val="21"/>
          <w:highlight w:val="none"/>
        </w:rPr>
      </w:pPr>
    </w:p>
    <w:p w14:paraId="3204AD21">
      <w:pPr>
        <w:autoSpaceDE w:val="0"/>
        <w:autoSpaceDN w:val="0"/>
        <w:adjustRightIn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第十章适用法律和争议的解决</w:t>
      </w:r>
    </w:p>
    <w:p w14:paraId="78BCFD0D">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第二十</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lang w:val="zh-CN"/>
        </w:rPr>
        <w:t>本合同适用中华人民共和国法律。</w:t>
      </w:r>
    </w:p>
    <w:p w14:paraId="2DFBA3AB">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 xml:space="preserve">十条  </w:t>
      </w:r>
      <w:r>
        <w:rPr>
          <w:rFonts w:hint="eastAsia" w:ascii="宋体" w:hAnsi="宋体" w:eastAsia="宋体" w:cs="宋体"/>
          <w:color w:val="auto"/>
          <w:sz w:val="21"/>
          <w:szCs w:val="21"/>
          <w:highlight w:val="none"/>
          <w:lang w:val="zh-CN"/>
        </w:rPr>
        <w:t>因本合同履行引起的任何争议，在不停止</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lang w:val="zh-CN"/>
        </w:rPr>
        <w:t>物业管理服务的前提下，双方应友好协商解决；协商不成，由甲方所在地人民法院裁决。</w:t>
      </w:r>
    </w:p>
    <w:p w14:paraId="7758F199">
      <w:pPr>
        <w:pStyle w:val="66"/>
        <w:spacing w:before="120" w:after="120" w:line="24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第十一章附则</w:t>
      </w:r>
    </w:p>
    <w:p w14:paraId="033C1512">
      <w:pPr>
        <w:autoSpaceDE w:val="0"/>
        <w:autoSpaceDN w:val="0"/>
        <w:adjustRightInd w:val="0"/>
        <w:spacing w:line="240" w:lineRule="auto"/>
        <w:ind w:firstLine="422" w:firstLineChars="200"/>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三十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合同自双方签字盖章之日起生效。</w:t>
      </w:r>
    </w:p>
    <w:p w14:paraId="1BEDD857">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本合同一式</w:t>
      </w:r>
      <w:r>
        <w:rPr>
          <w:rFonts w:hint="eastAsia" w:ascii="宋体" w:hAnsi="宋体" w:eastAsia="宋体" w:cs="宋体"/>
          <w:color w:val="auto"/>
          <w:sz w:val="21"/>
          <w:szCs w:val="21"/>
          <w:highlight w:val="none"/>
        </w:rPr>
        <w:t>伍</w:t>
      </w:r>
      <w:r>
        <w:rPr>
          <w:rFonts w:hint="eastAsia" w:ascii="宋体" w:hAnsi="宋体" w:eastAsia="宋体" w:cs="宋体"/>
          <w:color w:val="auto"/>
          <w:sz w:val="21"/>
          <w:szCs w:val="21"/>
          <w:highlight w:val="none"/>
          <w:lang w:val="zh-CN"/>
        </w:rPr>
        <w:t>份，甲、乙双方各执</w:t>
      </w:r>
      <w:r>
        <w:rPr>
          <w:rFonts w:hint="eastAsia" w:ascii="宋体" w:hAnsi="宋体" w:eastAsia="宋体" w:cs="宋体"/>
          <w:color w:val="auto"/>
          <w:sz w:val="21"/>
          <w:szCs w:val="21"/>
          <w:highlight w:val="none"/>
        </w:rPr>
        <w:t>贰</w:t>
      </w:r>
      <w:r>
        <w:rPr>
          <w:rFonts w:hint="eastAsia" w:ascii="宋体" w:hAnsi="宋体" w:eastAsia="宋体" w:cs="宋体"/>
          <w:color w:val="auto"/>
          <w:sz w:val="21"/>
          <w:szCs w:val="21"/>
          <w:highlight w:val="none"/>
          <w:lang w:val="zh-CN"/>
        </w:rPr>
        <w:t>份，</w:t>
      </w:r>
      <w:r>
        <w:rPr>
          <w:rFonts w:hint="eastAsia" w:ascii="宋体" w:hAnsi="宋体" w:eastAsia="宋体" w:cs="宋体"/>
          <w:color w:val="auto"/>
          <w:sz w:val="21"/>
          <w:szCs w:val="21"/>
          <w:highlight w:val="none"/>
        </w:rPr>
        <w:t>另一份交采购代理机构备案，</w:t>
      </w:r>
      <w:r>
        <w:rPr>
          <w:rFonts w:hint="eastAsia" w:ascii="宋体" w:hAnsi="宋体" w:eastAsia="宋体" w:cs="宋体"/>
          <w:color w:val="auto"/>
          <w:sz w:val="21"/>
          <w:szCs w:val="21"/>
          <w:highlight w:val="none"/>
          <w:lang w:val="zh-CN"/>
        </w:rPr>
        <w:t>每份具有同等法律效力。</w:t>
      </w:r>
    </w:p>
    <w:p w14:paraId="77557686">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本合同未尽事宜，双方协商后另行签订补充合同。补充合同与本合同具有同等法律效力。</w:t>
      </w:r>
    </w:p>
    <w:p w14:paraId="1322BB5E">
      <w:pPr>
        <w:autoSpaceDE w:val="0"/>
        <w:autoSpaceDN w:val="0"/>
        <w:adjustRightInd w:val="0"/>
        <w:spacing w:line="24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第</w:t>
      </w:r>
      <w:r>
        <w:rPr>
          <w:rFonts w:hint="eastAsia" w:ascii="宋体" w:hAnsi="宋体" w:eastAsia="宋体" w:cs="宋体"/>
          <w:b/>
          <w:bCs/>
          <w:color w:val="auto"/>
          <w:sz w:val="21"/>
          <w:szCs w:val="21"/>
          <w:highlight w:val="none"/>
        </w:rPr>
        <w:t>三十</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val="zh-CN"/>
        </w:rPr>
        <w:t>条</w:t>
      </w:r>
      <w:r>
        <w:rPr>
          <w:rFonts w:hint="eastAsia" w:ascii="宋体" w:hAnsi="宋体" w:eastAsia="宋体" w:cs="宋体"/>
          <w:color w:val="auto"/>
          <w:sz w:val="21"/>
          <w:szCs w:val="21"/>
          <w:highlight w:val="none"/>
          <w:lang w:val="zh-CN"/>
        </w:rPr>
        <w:t>本合同之附件为合同的有效组成部分，与本合同具有同等法律效力。该附件必须经甲、乙双方签字认可，附件之间如有冲突，双方协商解决。</w:t>
      </w:r>
    </w:p>
    <w:p w14:paraId="00D134E6">
      <w:pPr>
        <w:autoSpaceDE w:val="0"/>
        <w:autoSpaceDN w:val="0"/>
        <w:adjustRightInd w:val="0"/>
        <w:spacing w:line="240" w:lineRule="auto"/>
        <w:ind w:firstLine="420" w:firstLineChars="200"/>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（以下无正文）</w:t>
      </w:r>
    </w:p>
    <w:p w14:paraId="4D96940D">
      <w:pPr>
        <w:rPr>
          <w:rFonts w:hint="eastAsia" w:ascii="宋体" w:hAnsi="宋体" w:eastAsia="宋体" w:cs="宋体"/>
          <w:b/>
          <w:color w:val="auto"/>
          <w:sz w:val="21"/>
          <w:szCs w:val="21"/>
          <w:highlight w:val="none"/>
          <w:lang w:val="zh-CN"/>
        </w:rPr>
      </w:pPr>
    </w:p>
    <w:p w14:paraId="1F1BF181">
      <w:pPr>
        <w:rPr>
          <w:rFonts w:hint="eastAsia" w:ascii="宋体" w:hAnsi="宋体" w:eastAsia="宋体" w:cs="宋体"/>
          <w:b/>
          <w:color w:val="auto"/>
          <w:sz w:val="21"/>
          <w:szCs w:val="21"/>
          <w:highlight w:val="none"/>
          <w:lang w:val="zh-CN"/>
        </w:rPr>
      </w:pPr>
    </w:p>
    <w:p w14:paraId="40DF1811">
      <w:pPr>
        <w:rPr>
          <w:rFonts w:hint="eastAsia" w:ascii="宋体" w:hAnsi="宋体" w:eastAsia="宋体" w:cs="宋体"/>
          <w:b/>
          <w:color w:val="auto"/>
          <w:sz w:val="21"/>
          <w:szCs w:val="21"/>
          <w:highlight w:val="none"/>
          <w:lang w:val="zh-CN"/>
        </w:rPr>
      </w:pPr>
    </w:p>
    <w:p w14:paraId="687D1902">
      <w:pPr>
        <w:rPr>
          <w:rFonts w:hint="eastAsia" w:ascii="宋体" w:hAnsi="宋体" w:eastAsia="宋体" w:cs="宋体"/>
          <w:b/>
          <w:color w:val="auto"/>
          <w:sz w:val="21"/>
          <w:szCs w:val="21"/>
          <w:highlight w:val="none"/>
          <w:lang w:val="zh-CN"/>
        </w:rPr>
      </w:pPr>
    </w:p>
    <w:p w14:paraId="2FEF685E">
      <w:pPr>
        <w:autoSpaceDE/>
        <w:autoSpaceDN/>
        <w:adjustRightInd/>
        <w:spacing w:line="24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合同附件：</w:t>
      </w:r>
    </w:p>
    <w:p w14:paraId="794DA6B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业务廉政合同》</w:t>
      </w:r>
    </w:p>
    <w:p w14:paraId="047B39E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附件二、《高速公路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业务安全生产暨社会治安综合治理合同》</w:t>
      </w:r>
    </w:p>
    <w:p w14:paraId="3C76A4F9">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物业工作质量量化标准</w:t>
      </w:r>
    </w:p>
    <w:p w14:paraId="6D46D2B0">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物业管理考核办法（以甲方下发的最新版本为准）</w:t>
      </w:r>
    </w:p>
    <w:p w14:paraId="1F9CC05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物业项目月度考核评分表</w:t>
      </w:r>
    </w:p>
    <w:p w14:paraId="60E5D2BC">
      <w:pPr>
        <w:bidi w:val="0"/>
        <w:ind w:firstLine="420" w:firstLineChars="200"/>
        <w:rPr>
          <w:rFonts w:hint="default" w:ascii="宋体" w:hAnsi="宋体" w:eastAsia="宋体" w:cs="宋体"/>
          <w:color w:val="0000FF"/>
          <w:highlight w:val="none"/>
          <w:lang w:val="en-US" w:eastAsia="zh-CN"/>
        </w:rPr>
      </w:pPr>
      <w:r>
        <w:rPr>
          <w:rFonts w:hint="eastAsia" w:ascii="宋体" w:hAnsi="宋体" w:eastAsia="宋体" w:cs="宋体"/>
          <w:color w:val="0000FF"/>
          <w:highlight w:val="none"/>
          <w:lang w:val="en-US" w:eastAsia="zh-CN"/>
        </w:rPr>
        <w:t>附件六、“瓯江红·畅美高速”党群服务中心物业服务考核评分表</w:t>
      </w:r>
    </w:p>
    <w:p w14:paraId="0EB29436">
      <w:pPr>
        <w:pStyle w:val="12"/>
        <w:rPr>
          <w:rFonts w:hint="eastAsia" w:ascii="宋体" w:hAnsi="宋体" w:eastAsia="宋体" w:cs="宋体"/>
          <w:highlight w:val="none"/>
        </w:rPr>
      </w:pPr>
    </w:p>
    <w:p w14:paraId="1D3909AB">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公章</w:t>
      </w:r>
      <w:r>
        <w:rPr>
          <w:rFonts w:hint="eastAsia" w:ascii="宋体" w:hAnsi="宋体" w:eastAsia="宋体" w:cs="宋体"/>
          <w:b w:val="0"/>
          <w:bCs w:val="0"/>
          <w:color w:val="auto"/>
          <w:sz w:val="21"/>
          <w:szCs w:val="21"/>
          <w:highlight w:val="none"/>
        </w:rPr>
        <w:t xml:space="preserve">） </w:t>
      </w:r>
    </w:p>
    <w:p w14:paraId="3E822081">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14:paraId="7BA03310">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14:paraId="33B389C7">
      <w:pPr>
        <w:bidi w:val="0"/>
        <w:spacing w:line="360" w:lineRule="auto"/>
        <w:rPr>
          <w:rFonts w:hint="eastAsia" w:ascii="宋体" w:hAnsi="宋体" w:eastAsia="宋体" w:cs="宋体"/>
          <w:highlight w:val="none"/>
        </w:rPr>
      </w:pPr>
    </w:p>
    <w:p w14:paraId="5A8509D3">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（盖章）</w:t>
      </w:r>
    </w:p>
    <w:p w14:paraId="00991632">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14:paraId="074D776E">
      <w:pPr>
        <w:widowControl/>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14:paraId="62178E1E">
      <w:pPr>
        <w:widowControl/>
        <w:spacing w:line="360" w:lineRule="auto"/>
        <w:jc w:val="left"/>
        <w:rPr>
          <w:rFonts w:hint="eastAsia" w:ascii="宋体" w:hAnsi="宋体" w:eastAsia="宋体" w:cs="宋体"/>
          <w:b w:val="0"/>
          <w:bCs w:val="0"/>
          <w:color w:val="auto"/>
          <w:sz w:val="21"/>
          <w:szCs w:val="21"/>
          <w:highlight w:val="none"/>
        </w:rPr>
      </w:pPr>
    </w:p>
    <w:p w14:paraId="3EB56220">
      <w:pPr>
        <w:widowControl/>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签订日期：      年    月   日</w:t>
      </w:r>
    </w:p>
    <w:p w14:paraId="016E5344">
      <w:pPr>
        <w:widowControl/>
        <w:spacing w:line="360" w:lineRule="auto"/>
        <w:jc w:val="left"/>
        <w:rPr>
          <w:rFonts w:hint="eastAsia" w:ascii="宋体" w:hAnsi="宋体" w:eastAsia="宋体" w:cs="宋体"/>
          <w:b w:val="0"/>
          <w:bCs w:val="0"/>
          <w:color w:val="auto"/>
          <w:sz w:val="21"/>
          <w:szCs w:val="21"/>
          <w:highlight w:val="none"/>
        </w:rPr>
      </w:pPr>
    </w:p>
    <w:p w14:paraId="73D29821">
      <w:pPr>
        <w:autoSpaceDE w:val="0"/>
        <w:autoSpaceDN w:val="0"/>
        <w:adjustRightIn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附件一</w:t>
      </w:r>
    </w:p>
    <w:p w14:paraId="25A6BEF2">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温州市高速公路资产经营有限公司</w:t>
      </w:r>
    </w:p>
    <w:p w14:paraId="1F15F72C">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bookmarkStart w:id="189" w:name="_Toc444688528"/>
      <w:r>
        <w:rPr>
          <w:rFonts w:hint="eastAsia" w:ascii="宋体" w:hAnsi="宋体" w:eastAsia="宋体" w:cs="宋体"/>
          <w:b/>
          <w:bCs w:val="0"/>
          <w:color w:val="auto"/>
          <w:sz w:val="24"/>
          <w:szCs w:val="24"/>
          <w:highlight w:val="none"/>
          <w:lang w:val="zh-CN"/>
        </w:rPr>
        <w:t>服务区业务廉政合同</w:t>
      </w:r>
      <w:bookmarkEnd w:id="189"/>
    </w:p>
    <w:p w14:paraId="3B278494">
      <w:pPr>
        <w:spacing w:line="240" w:lineRule="auto"/>
        <w:jc w:val="center"/>
        <w:rPr>
          <w:rFonts w:hint="eastAsia" w:ascii="宋体" w:hAnsi="宋体" w:eastAsia="宋体" w:cs="宋体"/>
          <w:b/>
          <w:color w:val="auto"/>
          <w:sz w:val="21"/>
          <w:szCs w:val="21"/>
          <w:highlight w:val="none"/>
        </w:rPr>
      </w:pPr>
    </w:p>
    <w:p w14:paraId="4DA84C30">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根据有关廉政建设的规定，为做好管理服务活动中的党风廉政建设，保证</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严格管理、规范服务，自觉维护</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文明窗口形象以及投资效益，温州市高速公路资产经营有限公司(以下称甲方)与(以下称乙方)，特订立以下合同。</w:t>
      </w:r>
    </w:p>
    <w:p w14:paraId="7298C31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14:paraId="392F4E9D">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14:paraId="227C4D3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严格执行物业管理服务项目合同，自觉按合同办事。</w:t>
      </w:r>
    </w:p>
    <w:p w14:paraId="4C99E34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14:paraId="5FE0A9D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建立健全廉政制度，开展廉政教育，建立廉政告示牌，公布举报电话，监督并认真查处违法违纪行为。</w:t>
      </w:r>
    </w:p>
    <w:p w14:paraId="14B877D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14:paraId="7E7226A0">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14:paraId="5290EE0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14:paraId="1F17DD9D">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14:paraId="42EBCAC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14:paraId="5271BBF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14:paraId="1313F011">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物业管理项目有关的工程分包、劳务等经济活动。</w:t>
      </w:r>
    </w:p>
    <w:p w14:paraId="420E8B3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 甲方工作人员要秉公办事，不准营私舞弊，不准利用职权从事各种个人有偿中介活动和安排个人施工队伍。</w:t>
      </w:r>
    </w:p>
    <w:p w14:paraId="64EF6CF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14:paraId="1F5AFDB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14:paraId="7AE7031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14:paraId="17E8043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14:paraId="170C358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14:paraId="4DBE90C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14:paraId="0EC1213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14:paraId="5C9159F8">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(2)乙方及其工作人员违反本合同第1、3条，按管理权限，依据有关规定，建议给予党纪、政纪或组织处理；给甲方单位造成经济损失的应予以赔偿；情节严重的，甲方建议行业主管部门给予乙方三年内不得进入</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任何项目的处罚。</w:t>
      </w:r>
    </w:p>
    <w:p w14:paraId="66D7202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37577CB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14:paraId="108C375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7、本合同作为物业管理服务项目合同的附件，与该合同具有同等的法律效力，经合同双方签署立即生效。</w:t>
      </w:r>
    </w:p>
    <w:p w14:paraId="794808E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8．本合同正本一式肆份，双方各执两份，每份具有同等法律效力。</w:t>
      </w:r>
    </w:p>
    <w:p w14:paraId="24224B12">
      <w:pPr>
        <w:pStyle w:val="12"/>
        <w:spacing w:line="240" w:lineRule="auto"/>
        <w:rPr>
          <w:rFonts w:hint="eastAsia" w:ascii="宋体" w:hAnsi="宋体" w:eastAsia="宋体" w:cs="宋体"/>
          <w:b w:val="0"/>
          <w:bCs w:val="0"/>
          <w:color w:val="auto"/>
          <w:sz w:val="21"/>
          <w:szCs w:val="21"/>
          <w:highlight w:val="none"/>
        </w:rPr>
      </w:pPr>
    </w:p>
    <w:p w14:paraId="7BD9C3F2">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公章</w:t>
      </w:r>
      <w:r>
        <w:rPr>
          <w:rFonts w:hint="eastAsia" w:ascii="宋体" w:hAnsi="宋体" w:eastAsia="宋体" w:cs="宋体"/>
          <w:b w:val="0"/>
          <w:bCs w:val="0"/>
          <w:color w:val="auto"/>
          <w:sz w:val="21"/>
          <w:szCs w:val="21"/>
          <w:highlight w:val="none"/>
        </w:rPr>
        <w:t xml:space="preserve">）                           </w:t>
      </w:r>
    </w:p>
    <w:p w14:paraId="52606FFA">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14:paraId="796D2B65">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14:paraId="6EDCDFD2">
      <w:pPr>
        <w:pStyle w:val="12"/>
        <w:spacing w:line="360" w:lineRule="auto"/>
        <w:rPr>
          <w:rFonts w:hint="eastAsia" w:ascii="宋体" w:hAnsi="宋体" w:eastAsia="宋体" w:cs="宋体"/>
          <w:b w:val="0"/>
          <w:bCs w:val="0"/>
          <w:color w:val="auto"/>
          <w:sz w:val="21"/>
          <w:szCs w:val="21"/>
          <w:highlight w:val="none"/>
        </w:rPr>
      </w:pPr>
    </w:p>
    <w:p w14:paraId="010CC1AB">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（盖章）      </w:t>
      </w:r>
    </w:p>
    <w:p w14:paraId="18E8FA6B">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14:paraId="43603CE0">
      <w:pPr>
        <w:widowControl/>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14:paraId="042B12A3">
      <w:pPr>
        <w:pStyle w:val="12"/>
        <w:spacing w:line="360" w:lineRule="auto"/>
        <w:rPr>
          <w:rFonts w:hint="eastAsia" w:ascii="宋体" w:hAnsi="宋体" w:eastAsia="宋体" w:cs="宋体"/>
          <w:b/>
          <w:bCs/>
          <w:color w:val="auto"/>
          <w:sz w:val="21"/>
          <w:szCs w:val="21"/>
          <w:highlight w:val="none"/>
        </w:rPr>
      </w:pPr>
    </w:p>
    <w:p w14:paraId="4B4ED7D9">
      <w:pPr>
        <w:widowControl/>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签订日期：      年    月   日</w:t>
      </w:r>
    </w:p>
    <w:p w14:paraId="33D63AF0">
      <w:pPr>
        <w:widowControl/>
        <w:spacing w:line="240" w:lineRule="auto"/>
        <w:ind w:firstLine="5145" w:firstLineChars="2450"/>
        <w:jc w:val="left"/>
        <w:rPr>
          <w:rFonts w:hint="eastAsia" w:ascii="宋体" w:hAnsi="宋体" w:eastAsia="宋体" w:cs="宋体"/>
          <w:color w:val="auto"/>
          <w:kern w:val="0"/>
          <w:sz w:val="21"/>
          <w:szCs w:val="21"/>
          <w:highlight w:val="none"/>
        </w:rPr>
      </w:pPr>
    </w:p>
    <w:p w14:paraId="35C224A5">
      <w:pPr>
        <w:pStyle w:val="12"/>
        <w:spacing w:line="240" w:lineRule="auto"/>
        <w:rPr>
          <w:rFonts w:hint="eastAsia" w:ascii="宋体" w:hAnsi="宋体" w:eastAsia="宋体" w:cs="宋体"/>
          <w:color w:val="auto"/>
          <w:kern w:val="0"/>
          <w:sz w:val="21"/>
          <w:szCs w:val="21"/>
          <w:highlight w:val="none"/>
        </w:rPr>
      </w:pPr>
    </w:p>
    <w:p w14:paraId="3A006881">
      <w:pPr>
        <w:pStyle w:val="12"/>
        <w:spacing w:line="240" w:lineRule="auto"/>
        <w:rPr>
          <w:rFonts w:hint="eastAsia" w:ascii="宋体" w:hAnsi="宋体" w:eastAsia="宋体" w:cs="宋体"/>
          <w:color w:val="auto"/>
          <w:kern w:val="0"/>
          <w:sz w:val="21"/>
          <w:szCs w:val="21"/>
          <w:highlight w:val="none"/>
        </w:rPr>
      </w:pPr>
    </w:p>
    <w:p w14:paraId="36FA889A">
      <w:pPr>
        <w:pStyle w:val="12"/>
        <w:spacing w:line="240" w:lineRule="auto"/>
        <w:rPr>
          <w:rFonts w:hint="eastAsia" w:ascii="宋体" w:hAnsi="宋体" w:eastAsia="宋体" w:cs="宋体"/>
          <w:color w:val="auto"/>
          <w:kern w:val="0"/>
          <w:sz w:val="21"/>
          <w:szCs w:val="21"/>
          <w:highlight w:val="none"/>
        </w:rPr>
      </w:pPr>
    </w:p>
    <w:p w14:paraId="7DAE6DD0">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附件二</w:t>
      </w:r>
    </w:p>
    <w:p w14:paraId="77498671">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温州市高速公路资产经营有限公司服务区业务</w:t>
      </w:r>
    </w:p>
    <w:p w14:paraId="4BA6DCA0">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安全生产暨社会治安综合治理合同</w:t>
      </w:r>
    </w:p>
    <w:p w14:paraId="16BA9B61">
      <w:pPr>
        <w:spacing w:line="240" w:lineRule="auto"/>
        <w:jc w:val="center"/>
        <w:rPr>
          <w:rFonts w:hint="eastAsia" w:ascii="宋体" w:hAnsi="宋体" w:eastAsia="宋体" w:cs="宋体"/>
          <w:color w:val="auto"/>
          <w:sz w:val="21"/>
          <w:szCs w:val="21"/>
          <w:highlight w:val="none"/>
        </w:rPr>
      </w:pPr>
    </w:p>
    <w:p w14:paraId="741A740B">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甲方：温州市高速公路资产经营有限公司</w:t>
      </w:r>
    </w:p>
    <w:p w14:paraId="7F7E3696">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住所地：</w:t>
      </w:r>
      <w:r>
        <w:rPr>
          <w:rFonts w:hint="eastAsia" w:ascii="宋体" w:hAnsi="宋体" w:eastAsia="宋体" w:cs="宋体"/>
          <w:color w:val="auto"/>
          <w:sz w:val="21"/>
          <w:szCs w:val="21"/>
          <w:highlight w:val="none"/>
          <w:shd w:val="clear" w:color="auto" w:fill="FFFFFF"/>
        </w:rPr>
        <w:t>温州市汤家桥国大广场东首5-6楼</w:t>
      </w:r>
    </w:p>
    <w:p w14:paraId="550DCE8F">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1CE1A7E7">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住所地： </w:t>
      </w:r>
    </w:p>
    <w:p w14:paraId="266A8571">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为贯彻“安全第一、预防为主、综合治理”的安全生产方针， 进一步加强</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的安全生产管理，根据《中华人民共和国安全生产法》、《中华人民共和国消防法》和《浙江省安全生产条例》等法律法规，结合</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内物业管理服务单位的具体情况，甲、乙双方经协商后签订本安全生产管理协议，约定各自的安全生产管理职责并严格执行：</w:t>
      </w:r>
    </w:p>
    <w:p w14:paraId="30CAF185">
      <w:pPr>
        <w:numPr>
          <w:ilvl w:val="0"/>
          <w:numId w:val="23"/>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甲方将物业管理服务项目由乙方负责管理服务。</w:t>
      </w:r>
    </w:p>
    <w:p w14:paraId="056395C2">
      <w:pPr>
        <w:spacing w:line="24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二、甲方的安全管理职责</w:t>
      </w:r>
    </w:p>
    <w:p w14:paraId="376BCA54">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14:paraId="67440022">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1.严格遵守国家有关安全生产和社会综合治理法律法规、认真执行国家和行业标准，严格遵守合同中有关安全生产和社会综合治理的要求，履行合同约定的安全职责。</w:t>
      </w:r>
    </w:p>
    <w:p w14:paraId="4B49A586">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2.按照合同约定的安全工作内容监督检查乙方安全生产的实施，对乙方的日常安全生产、现场管理、消防安全等进行监督检查，发现安全隐患时，及时督促乙方整改。</w:t>
      </w:r>
    </w:p>
    <w:p w14:paraId="18AFF409">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3.统一协调、管理</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内协助单位的安全生产和社会综合治理工作，履行统一管理的职责。</w:t>
      </w:r>
    </w:p>
    <w:p w14:paraId="4CEB605F">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14:paraId="6DD1024A">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5.甲方提供的建筑物、设备设施符合国家有关法律法规的规定，满足管理合同中规定管理范围的消防安全及安全生产条件。</w:t>
      </w:r>
    </w:p>
    <w:p w14:paraId="42A400F2">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6.督促乙方依法设立安全生产和社会综治管理机构，配备相应安全管理人员。</w:t>
      </w:r>
    </w:p>
    <w:p w14:paraId="383B388B">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14:paraId="029DB8C0">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1.发现乙方不具备安全生产资质，甲方有权解除合同，由此造成的一切损失由乙方承担。</w:t>
      </w:r>
    </w:p>
    <w:p w14:paraId="0CFBD8B7">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2.有权及时纠正制止乙方在生产作业中违章指挥、违规操作及违反劳动保护的行为。</w:t>
      </w:r>
    </w:p>
    <w:p w14:paraId="3339E27D">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二、乙方的安全管理职责</w:t>
      </w:r>
    </w:p>
    <w:p w14:paraId="49194F59">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14:paraId="166909AD">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1.乙方是管理场所辖范围内安全生产和社会综合治理的责任主体，必须依法加强安全生产和社会综治管理，建立、健全安全生产和社会综治责任制，完善安全生产条件，确保安全生产。</w:t>
      </w:r>
    </w:p>
    <w:p w14:paraId="76B3E6AA">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2.严格遵守国家有关安全生产、社会综治、消防、职业卫生、环境保护等法律法规和国家、行业标准，具备相应的安全生产资质和条件，认真执行合同中有关安全生产的要求，按合同约定履行安全职责。</w:t>
      </w:r>
    </w:p>
    <w:p w14:paraId="0F0518D2">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3.服从甲方对安全生产和社会综治工作的统一协调、检查和监督。</w:t>
      </w:r>
    </w:p>
    <w:p w14:paraId="5DFBE57B">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负责本单位从业人员的安全教育和培训，教育员工严格遵守安全管理制度和安全操作规程，做到国家规定应持证的工种持证上岗，并按规定进行年检和复审。新员工未经安全教育和培训，不得上岗。职工身体状况均必须满足国家、行业健康标准要求，严禁有职业禁忌症者及传染病者上岗。</w:t>
      </w:r>
    </w:p>
    <w:p w14:paraId="0E4DE099">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6.积极参加甲方召开的安全生产会议和安全活动，接受甲方的安全生产监督检查，按照甲方的要求做好安全生产工作。</w:t>
      </w:r>
    </w:p>
    <w:p w14:paraId="606B0A10">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14:paraId="46351349">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8.做好安全用电、用气、防汛防台、防中毒、防盗窃等工作，严禁在</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区域出现“三合一”场所，严禁私自改造建筑物结构和用电气线路，保持用电设施的完好，若发生旅客人身损害、财产损失事故的，均由乙方承担全部法律责任。</w:t>
      </w:r>
    </w:p>
    <w:p w14:paraId="0805E007">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9.按要求配备安全管理人员，全面负责管辖区域内的安全生产和社会综治管理，承担物业管理服务过程中的安全责任；加强日常管理，定期组织安全检查和开展隐患排查，及时发现、整改事故隐患或不安全因素。</w:t>
      </w:r>
      <w:r>
        <w:rPr>
          <w:rFonts w:hint="eastAsia" w:ascii="宋体" w:hAnsi="宋体" w:eastAsia="宋体" w:cs="宋体"/>
          <w:color w:val="auto"/>
          <w:sz w:val="21"/>
          <w:szCs w:val="21"/>
          <w:highlight w:val="none"/>
          <w:lang w:val="zh-CN"/>
        </w:rPr>
        <w:t>根据实际情况制订各类应急救援预案并组织演练。建立完善安全管理台账。</w:t>
      </w:r>
    </w:p>
    <w:p w14:paraId="39E1C030">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10.保证安全生产所需的必要投入，按规定配备劳动保护用品。依法为从业人员办理工伤保险。</w:t>
      </w:r>
    </w:p>
    <w:p w14:paraId="24B6B5B1">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11.对场所的装修和设备安装，须符合有关技术标准、消防安全规定和实际安全施工要求，不得改变建筑结构。使用场所的装修方案应事先征得甲方的同意，凡涉及国家规定需审查验收的，按规定办理。</w:t>
      </w:r>
    </w:p>
    <w:p w14:paraId="33997869">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12.建立和完善内部安全管理制度，</w:t>
      </w:r>
      <w:r>
        <w:rPr>
          <w:rFonts w:hint="eastAsia" w:ascii="宋体" w:hAnsi="宋体" w:eastAsia="宋体" w:cs="宋体"/>
          <w:color w:val="auto"/>
          <w:sz w:val="21"/>
          <w:szCs w:val="21"/>
          <w:highlight w:val="none"/>
          <w:lang w:val="zh-CN"/>
        </w:rPr>
        <w:t>建立各岗位安全操作规程，</w:t>
      </w:r>
      <w:r>
        <w:rPr>
          <w:rFonts w:hint="eastAsia" w:ascii="宋体" w:hAnsi="宋体" w:eastAsia="宋体" w:cs="宋体"/>
          <w:color w:val="auto"/>
          <w:sz w:val="21"/>
          <w:szCs w:val="21"/>
          <w:highlight w:val="none"/>
        </w:rPr>
        <w:t>落实各岗位安全生产责任制。负责内部防火、用电、用气等安全检查。</w:t>
      </w:r>
    </w:p>
    <w:p w14:paraId="4FADD70A">
      <w:pPr>
        <w:autoSpaceDE w:val="0"/>
        <w:autoSpaceDN w:val="0"/>
        <w:adjustRightInd w:val="0"/>
        <w:spacing w:line="24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13.发生安全事故或突发事件的，应立即向甲方及政府相关部门报告，并保护好现场，及时组织抢救，防止事态扩大。并积极配合相关部门做好事故的调查和处理。</w:t>
      </w:r>
    </w:p>
    <w:p w14:paraId="725A91A2">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14.未经甲方书面同意，不得擅自转借场所。</w:t>
      </w:r>
    </w:p>
    <w:p w14:paraId="167A1D14">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14:paraId="69C679F5">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1.对甲方违章指挥、强令冒险作业的指令，有权拒绝执行。</w:t>
      </w:r>
    </w:p>
    <w:p w14:paraId="3E3F10F9">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2.有权向甲方提出安全生产和社会综治合理化建议和改进意见</w:t>
      </w:r>
    </w:p>
    <w:p w14:paraId="4F0101FE">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3.在生产活动中发生危及乙方人员生命安全的紧急情况时，作业人员有权立即停止作业或者在采取必要的应急措施后撤离危险区域。</w:t>
      </w:r>
    </w:p>
    <w:p w14:paraId="6FEE5D4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三、其他条款</w:t>
      </w:r>
    </w:p>
    <w:p w14:paraId="48F9660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（一）履约保证金条款</w:t>
      </w:r>
    </w:p>
    <w:p w14:paraId="16300E55">
      <w:pPr>
        <w:spacing w:line="240" w:lineRule="auto"/>
        <w:ind w:firstLine="525" w:firstLineChars="2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1.履约保证金还用于合同期内的安全管理。对乙方安全管理不到位、不服从甲方安全管理的，甲方有权从履约保证金内扣除，用做本场所的安全生产管理工作。</w:t>
      </w:r>
    </w:p>
    <w:p w14:paraId="39287D72">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2.乙方出现违反安全协议约定情形的，甲方有权按每次人民币1000—10000 元，从履约保证金中扣除。</w:t>
      </w:r>
    </w:p>
    <w:p w14:paraId="32D2EDDD">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3.乙方在合同期内发生责任死亡事故的，甲方有权对乙方处以人民币5～10万元/人的处罚。</w:t>
      </w:r>
    </w:p>
    <w:p w14:paraId="559B575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（二）安全生产责任风险的承担</w:t>
      </w:r>
    </w:p>
    <w:p w14:paraId="74FE6367">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1.因乙方原因造成生产安全事故、消防事故、治安案件或因违法管理等造成不良影响的，一切法律责任、经济责任和管理责任均由乙方负责。</w:t>
      </w:r>
    </w:p>
    <w:p w14:paraId="79DE262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2.在合同期间，在乙方场所发生的安全事故或造成人身财产损害的，由乙方承担经济与法律责任，与甲方无涉，给甲方造成不良社会影响的，甲方有权要求乙方进行赔偿。</w:t>
      </w:r>
    </w:p>
    <w:p w14:paraId="6847F1F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3.在合同期间，乙方及其工作人员发生伤亡事故，乙方承担经济及相关法律责任，与甲方无涉。</w:t>
      </w:r>
    </w:p>
    <w:p w14:paraId="7F697F38">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四、本合同的签订作为甲、乙双方于年月日签订的</w:t>
      </w:r>
      <w:r>
        <w:rPr>
          <w:rFonts w:hint="eastAsia" w:ascii="宋体" w:hAnsi="宋体" w:eastAsia="宋体" w:cs="宋体"/>
          <w:color w:val="auto"/>
          <w:sz w:val="21"/>
          <w:szCs w:val="21"/>
          <w:highlight w:val="none"/>
          <w:u w:val="single"/>
        </w:rPr>
        <w:t>《物业管理服务合同》</w:t>
      </w:r>
      <w:r>
        <w:rPr>
          <w:rFonts w:hint="eastAsia" w:ascii="宋体" w:hAnsi="宋体" w:eastAsia="宋体" w:cs="宋体"/>
          <w:color w:val="auto"/>
          <w:sz w:val="21"/>
          <w:szCs w:val="21"/>
          <w:highlight w:val="none"/>
        </w:rPr>
        <w:t>的附件，与主合同具有同等法律效力。</w:t>
      </w:r>
    </w:p>
    <w:p w14:paraId="074F9A24">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五、本合同经甲、乙双方签字盖章后生效。</w:t>
      </w:r>
    </w:p>
    <w:p w14:paraId="64763D03">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六、本合同一式肆份，合同双方各执两份，每份具有同等法律效力。</w:t>
      </w:r>
    </w:p>
    <w:p w14:paraId="51C26C0B">
      <w:pPr>
        <w:snapToGrid w:val="0"/>
        <w:spacing w:line="240" w:lineRule="auto"/>
        <w:ind w:firstLine="315" w:firstLineChars="15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（以下无正文）</w:t>
      </w:r>
    </w:p>
    <w:p w14:paraId="54D4219C">
      <w:pPr>
        <w:snapToGrid w:val="0"/>
        <w:spacing w:line="240" w:lineRule="auto"/>
        <w:rPr>
          <w:rFonts w:hint="eastAsia" w:ascii="宋体" w:hAnsi="宋体" w:eastAsia="宋体" w:cs="宋体"/>
          <w:color w:val="auto"/>
          <w:sz w:val="21"/>
          <w:szCs w:val="21"/>
          <w:highlight w:val="none"/>
          <w:lang w:val="en-GB"/>
        </w:rPr>
      </w:pPr>
    </w:p>
    <w:p w14:paraId="79120F3D">
      <w:pPr>
        <w:snapToGrid w:val="0"/>
        <w:spacing w:line="240" w:lineRule="auto"/>
        <w:rPr>
          <w:rFonts w:hint="eastAsia" w:ascii="宋体" w:hAnsi="宋体" w:eastAsia="宋体" w:cs="宋体"/>
          <w:color w:val="auto"/>
          <w:sz w:val="21"/>
          <w:szCs w:val="21"/>
          <w:highlight w:val="none"/>
          <w:lang w:val="en-GB"/>
        </w:rPr>
      </w:pPr>
    </w:p>
    <w:p w14:paraId="0770438C">
      <w:pPr>
        <w:snapToGrid w:val="0"/>
        <w:spacing w:line="24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甲方（盖章）：</w:t>
      </w:r>
      <w:r>
        <w:rPr>
          <w:rFonts w:hint="eastAsia" w:ascii="宋体" w:hAnsi="宋体" w:eastAsia="宋体" w:cs="宋体"/>
          <w:color w:val="auto"/>
          <w:sz w:val="21"/>
          <w:szCs w:val="21"/>
          <w:highlight w:val="none"/>
        </w:rPr>
        <w:t>温州市高速公路资产经营</w:t>
      </w:r>
      <w:r>
        <w:rPr>
          <w:rFonts w:hint="eastAsia" w:ascii="宋体" w:hAnsi="宋体" w:eastAsia="宋体" w:cs="宋体"/>
          <w:color w:val="auto"/>
          <w:sz w:val="21"/>
          <w:szCs w:val="21"/>
          <w:highlight w:val="none"/>
          <w:lang w:val="en-GB"/>
        </w:rPr>
        <w:t xml:space="preserve">有限公司       乙方（盖章）： </w:t>
      </w:r>
    </w:p>
    <w:p w14:paraId="6F592F0F">
      <w:pPr>
        <w:snapToGrid w:val="0"/>
        <w:spacing w:line="240" w:lineRule="auto"/>
        <w:rPr>
          <w:rFonts w:hint="eastAsia" w:ascii="宋体" w:hAnsi="宋体" w:eastAsia="宋体" w:cs="宋体"/>
          <w:color w:val="auto"/>
          <w:sz w:val="21"/>
          <w:szCs w:val="21"/>
          <w:highlight w:val="none"/>
          <w:lang w:val="en-GB"/>
        </w:rPr>
      </w:pPr>
    </w:p>
    <w:p w14:paraId="6D24D112">
      <w:pPr>
        <w:snapToGrid w:val="0"/>
        <w:spacing w:line="24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负责人（或授权代表）：                             负责人（或授权代表）：</w:t>
      </w:r>
    </w:p>
    <w:p w14:paraId="62355D34">
      <w:pPr>
        <w:spacing w:line="240" w:lineRule="auto"/>
        <w:rPr>
          <w:rFonts w:hint="eastAsia" w:ascii="宋体" w:hAnsi="宋体" w:eastAsia="宋体" w:cs="宋体"/>
          <w:color w:val="auto"/>
          <w:sz w:val="21"/>
          <w:szCs w:val="21"/>
          <w:highlight w:val="none"/>
        </w:rPr>
      </w:pPr>
    </w:p>
    <w:p w14:paraId="10315FA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日</w:t>
      </w:r>
    </w:p>
    <w:p w14:paraId="345586D7">
      <w:pPr>
        <w:autoSpaceDE w:val="0"/>
        <w:autoSpaceDN w:val="0"/>
        <w:adjustRightInd w:val="0"/>
        <w:spacing w:line="240" w:lineRule="auto"/>
        <w:jc w:val="left"/>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br w:type="page"/>
      </w:r>
      <w:r>
        <w:rPr>
          <w:rFonts w:hint="eastAsia" w:ascii="宋体" w:hAnsi="宋体" w:eastAsia="宋体" w:cs="宋体"/>
          <w:color w:val="auto"/>
          <w:sz w:val="21"/>
          <w:szCs w:val="21"/>
          <w:highlight w:val="none"/>
        </w:rPr>
        <w:t xml:space="preserve">附件三 </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物业管理质量标准</w:t>
      </w:r>
    </w:p>
    <w:p w14:paraId="706ED45E">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p>
    <w:p w14:paraId="7490AE29">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服务区物业人员派驻要求</w:t>
      </w:r>
    </w:p>
    <w:p w14:paraId="7BB02B70">
      <w:pPr>
        <w:pStyle w:val="12"/>
        <w:keepNext w:val="0"/>
        <w:keepLines w:val="0"/>
        <w:pageBreakBefore w:val="0"/>
        <w:widowControl w:val="0"/>
        <w:kinsoku/>
        <w:wordWrap/>
        <w:overflowPunct/>
        <w:topLinePunct w:val="0"/>
        <w:autoSpaceDE/>
        <w:autoSpaceDN/>
        <w:bidi w:val="0"/>
        <w:adjustRightInd/>
        <w:snapToGrid/>
        <w:spacing w:line="240" w:lineRule="exact"/>
        <w:ind w:left="0" w:leftChars="0" w:right="-11" w:firstLine="0" w:firstLineChars="0"/>
        <w:textAlignment w:val="auto"/>
        <w:rPr>
          <w:rFonts w:hint="eastAsia" w:ascii="宋体" w:hAnsi="宋体" w:eastAsia="宋体" w:cs="宋体"/>
          <w:highlight w:val="none"/>
          <w:lang w:val="zh-CN"/>
        </w:rPr>
      </w:pPr>
    </w:p>
    <w:p w14:paraId="256A0970">
      <w:pPr>
        <w:spacing w:line="240" w:lineRule="auto"/>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一、派驻</w:t>
      </w:r>
      <w:r>
        <w:rPr>
          <w:rFonts w:hint="eastAsia" w:ascii="宋体" w:hAnsi="宋体" w:eastAsia="宋体" w:cs="宋体"/>
          <w:b/>
          <w:bCs/>
          <w:color w:val="auto"/>
          <w:sz w:val="21"/>
          <w:szCs w:val="21"/>
          <w:highlight w:val="none"/>
          <w:lang w:eastAsia="zh-CN"/>
        </w:rPr>
        <w:t>服务区</w:t>
      </w:r>
      <w:r>
        <w:rPr>
          <w:rFonts w:hint="eastAsia" w:ascii="宋体" w:hAnsi="宋体" w:eastAsia="宋体" w:cs="宋体"/>
          <w:b/>
          <w:bCs/>
          <w:color w:val="auto"/>
          <w:sz w:val="21"/>
          <w:szCs w:val="21"/>
          <w:highlight w:val="none"/>
        </w:rPr>
        <w:t>相关物业人员应具备以下条件</w:t>
      </w:r>
    </w:p>
    <w:p w14:paraId="450CD18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（一）具备良好的道德品德，无违法违纪行为的不良记录；</w:t>
      </w:r>
    </w:p>
    <w:p w14:paraId="2F4FAB6C">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（二）热爱高速公路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行业，具有吃苦耐劳精神；</w:t>
      </w:r>
    </w:p>
    <w:p w14:paraId="6EE8645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（三）身体健康，无传染性疾病，能适应工作岗位要求；</w:t>
      </w:r>
    </w:p>
    <w:p w14:paraId="03AA05BA">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（四）具备岗位要求的相关业务技能，取得相应技能证书。</w:t>
      </w:r>
    </w:p>
    <w:p w14:paraId="28DC02EB">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（五）与乙方依法签订了劳动合同。</w:t>
      </w:r>
    </w:p>
    <w:p w14:paraId="5AB4489F">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（六）具体岗位要求</w:t>
      </w:r>
    </w:p>
    <w:p w14:paraId="3F269DF2">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物业经理</w:t>
      </w:r>
      <w:r>
        <w:rPr>
          <w:rFonts w:hint="eastAsia" w:ascii="宋体" w:hAnsi="宋体" w:eastAsia="宋体" w:cs="宋体"/>
          <w:color w:val="auto"/>
          <w:sz w:val="21"/>
          <w:szCs w:val="21"/>
          <w:highlight w:val="none"/>
        </w:rPr>
        <w:t>岗位：高中以上文化程度，年龄在30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14:paraId="312BED46">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、水电工岗位：</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中以上文化程度，男性，22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55岁，持有相关专业上岗证件（国家职业资格证书），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年以上相关工作经验，具备业务实施能力和良好的服务意识、注重服务细节。</w:t>
      </w:r>
    </w:p>
    <w:p w14:paraId="6659427B">
      <w:pPr>
        <w:pStyle w:val="2"/>
        <w:keepNext w:val="0"/>
        <w:keepLines w:val="0"/>
        <w:pageBreakBefore w:val="0"/>
        <w:widowControl w:val="0"/>
        <w:kinsoku/>
        <w:wordWrap/>
        <w:overflowPunct/>
        <w:topLinePunct w:val="0"/>
        <w:bidi w:val="0"/>
        <w:snapToGrid/>
        <w:spacing w:after="0" w:line="240" w:lineRule="auto"/>
        <w:ind w:firstLine="420" w:firstLineChars="20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rPr>
        <w:t>3、咨询台人员岗位：高中以上文化程度，22-40岁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，形象良好，具备良好的沟通能力、基础电脑操作能力和良好的服务意识、注重服务细节。</w:t>
      </w:r>
    </w:p>
    <w:p w14:paraId="085432EE">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bidi="ar"/>
        </w:rPr>
        <w:t>保安</w:t>
      </w:r>
      <w:r>
        <w:rPr>
          <w:rFonts w:hint="eastAsia" w:ascii="宋体" w:hAnsi="宋体" w:eastAsia="宋体" w:cs="宋体"/>
          <w:color w:val="auto"/>
          <w:sz w:val="21"/>
          <w:szCs w:val="21"/>
          <w:highlight w:val="none"/>
          <w:lang w:val="en-US" w:eastAsia="zh-CN" w:bidi="ar"/>
        </w:rPr>
        <w:t>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w:t>
      </w:r>
      <w:r>
        <w:rPr>
          <w:rFonts w:hint="eastAsia" w:ascii="宋体" w:hAnsi="宋体" w:eastAsia="宋体" w:cs="宋体"/>
          <w:color w:val="auto"/>
          <w:kern w:val="2"/>
          <w:sz w:val="21"/>
          <w:szCs w:val="21"/>
          <w:highlight w:val="none"/>
          <w:lang w:val="en-US" w:eastAsia="zh-CN" w:bidi="ar"/>
        </w:rPr>
        <w:t>保安队长</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初中以上文化程度，男性，20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，身高1.6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米以上，无近视，具有较强的安保和消防知识，</w:t>
      </w:r>
      <w:r>
        <w:rPr>
          <w:rFonts w:hint="eastAsia" w:ascii="宋体" w:hAnsi="宋体" w:eastAsia="宋体" w:cs="宋体"/>
          <w:color w:val="auto"/>
          <w:sz w:val="21"/>
          <w:szCs w:val="21"/>
          <w:highlight w:val="none"/>
          <w:lang w:val="en-US" w:eastAsia="zh-CN"/>
        </w:rPr>
        <w:t>退伍军人优先考虑，具有保安员资格证，</w:t>
      </w:r>
      <w:r>
        <w:rPr>
          <w:rFonts w:hint="eastAsia" w:ascii="宋体" w:hAnsi="宋体" w:eastAsia="宋体" w:cs="宋体"/>
          <w:color w:val="auto"/>
          <w:sz w:val="21"/>
          <w:szCs w:val="21"/>
          <w:highlight w:val="none"/>
        </w:rPr>
        <w:t>一年以上安保工作经验，应变能力强、能吃苦耐劳。</w:t>
      </w:r>
    </w:p>
    <w:p w14:paraId="53718675">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5、监控（消控）员岗位：高中以上文化程度，20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55岁以下，无近视，具有较强的消防和安保知识，责任心强，应变能力强，能吃苦耐劳，消控员须持证上岗。</w:t>
      </w:r>
    </w:p>
    <w:p w14:paraId="0506C685">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w:t>
      </w:r>
      <w:r>
        <w:rPr>
          <w:rFonts w:hint="eastAsia" w:ascii="宋体" w:hAnsi="宋体" w:eastAsia="宋体" w:cs="宋体"/>
          <w:color w:val="auto"/>
          <w:kern w:val="2"/>
          <w:sz w:val="21"/>
          <w:szCs w:val="21"/>
          <w:highlight w:val="none"/>
          <w:lang w:val="en-US" w:eastAsia="zh-CN" w:bidi="ar"/>
        </w:rPr>
        <w:t>保洁主管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rPr>
        <w:t>50岁，特别优秀的经甲方同意可适当放宽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14:paraId="76FB23A8">
      <w:pPr>
        <w:spacing w:line="24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其中公厕保洁员必须施行“一人一厕”，按性别配置，服务区共公共卫生间数量：2个男厕所、2个女厕所。</w:t>
      </w:r>
    </w:p>
    <w:p w14:paraId="4589E362">
      <w:pPr>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服务区保安工作量化标准</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014"/>
        <w:gridCol w:w="681"/>
        <w:gridCol w:w="681"/>
        <w:gridCol w:w="681"/>
        <w:gridCol w:w="681"/>
        <w:gridCol w:w="684"/>
        <w:gridCol w:w="4306"/>
      </w:tblGrid>
      <w:tr w14:paraId="2350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7" w:type="dxa"/>
            <w:gridSpan w:val="2"/>
            <w:vMerge w:val="restart"/>
            <w:noWrap w:val="0"/>
            <w:vAlign w:val="center"/>
          </w:tcPr>
          <w:p w14:paraId="0BF72ED0">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3408" w:type="dxa"/>
            <w:gridSpan w:val="5"/>
            <w:noWrap w:val="0"/>
            <w:vAlign w:val="center"/>
          </w:tcPr>
          <w:p w14:paraId="18CB9F59">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频次</w:t>
            </w:r>
          </w:p>
        </w:tc>
        <w:tc>
          <w:tcPr>
            <w:tcW w:w="4306" w:type="dxa"/>
            <w:vMerge w:val="restart"/>
            <w:noWrap w:val="0"/>
            <w:vAlign w:val="center"/>
          </w:tcPr>
          <w:p w14:paraId="3EBDDD0A">
            <w:pPr>
              <w:pStyle w:val="14"/>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w:t>
            </w:r>
          </w:p>
        </w:tc>
      </w:tr>
      <w:tr w14:paraId="4C3E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7" w:type="dxa"/>
            <w:gridSpan w:val="2"/>
            <w:vMerge w:val="continue"/>
            <w:noWrap w:val="0"/>
            <w:vAlign w:val="center"/>
          </w:tcPr>
          <w:p w14:paraId="4CCB4E93">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139D6A41">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日</w:t>
            </w:r>
          </w:p>
        </w:tc>
        <w:tc>
          <w:tcPr>
            <w:tcW w:w="681" w:type="dxa"/>
            <w:noWrap w:val="0"/>
            <w:vAlign w:val="center"/>
          </w:tcPr>
          <w:p w14:paraId="506BB1D0">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周</w:t>
            </w:r>
          </w:p>
        </w:tc>
        <w:tc>
          <w:tcPr>
            <w:tcW w:w="681" w:type="dxa"/>
            <w:noWrap w:val="0"/>
            <w:vAlign w:val="center"/>
          </w:tcPr>
          <w:p w14:paraId="0FEE7593">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月</w:t>
            </w:r>
          </w:p>
        </w:tc>
        <w:tc>
          <w:tcPr>
            <w:tcW w:w="681" w:type="dxa"/>
            <w:noWrap w:val="0"/>
            <w:vAlign w:val="center"/>
          </w:tcPr>
          <w:p w14:paraId="26C42225">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季</w:t>
            </w:r>
          </w:p>
        </w:tc>
        <w:tc>
          <w:tcPr>
            <w:tcW w:w="684" w:type="dxa"/>
            <w:noWrap w:val="0"/>
            <w:vAlign w:val="center"/>
          </w:tcPr>
          <w:p w14:paraId="3986A7D8">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年</w:t>
            </w:r>
          </w:p>
        </w:tc>
        <w:tc>
          <w:tcPr>
            <w:tcW w:w="4306" w:type="dxa"/>
            <w:vMerge w:val="continue"/>
            <w:noWrap w:val="0"/>
            <w:vAlign w:val="center"/>
          </w:tcPr>
          <w:p w14:paraId="5E056EC0">
            <w:pPr>
              <w:pStyle w:val="14"/>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p>
        </w:tc>
      </w:tr>
      <w:tr w14:paraId="6EEA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restart"/>
            <w:noWrap w:val="0"/>
            <w:vAlign w:val="center"/>
          </w:tcPr>
          <w:p w14:paraId="0E11E266">
            <w:pPr>
              <w:pStyle w:val="14"/>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公共秩序</w:t>
            </w:r>
          </w:p>
        </w:tc>
        <w:tc>
          <w:tcPr>
            <w:tcW w:w="1014" w:type="dxa"/>
            <w:noWrap w:val="0"/>
            <w:vAlign w:val="center"/>
          </w:tcPr>
          <w:p w14:paraId="4EB6E61A">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人员出入管理</w:t>
            </w:r>
          </w:p>
        </w:tc>
        <w:tc>
          <w:tcPr>
            <w:tcW w:w="681" w:type="dxa"/>
            <w:noWrap w:val="0"/>
            <w:vAlign w:val="center"/>
          </w:tcPr>
          <w:p w14:paraId="3E7AD48A">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31AFBCC6">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126A37CA">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2B22F004">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6E36963D">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306" w:type="dxa"/>
            <w:noWrap w:val="0"/>
            <w:vAlign w:val="center"/>
          </w:tcPr>
          <w:p w14:paraId="40700E07">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1.登记有效证件不超过60秒/人·次；</w:t>
            </w:r>
          </w:p>
          <w:p w14:paraId="55EB7368">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2.掌握本岗位职责和工作规程；外来人员进入</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需确认后并登记放行，可疑或重要人员特别监控，完毕后出入凭证由有接待部门的签字后方可离开；</w:t>
            </w:r>
          </w:p>
        </w:tc>
      </w:tr>
      <w:tr w14:paraId="3EE3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14:paraId="09301516">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14:paraId="3BE82A52">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安全巡逻</w:t>
            </w:r>
          </w:p>
        </w:tc>
        <w:tc>
          <w:tcPr>
            <w:tcW w:w="681" w:type="dxa"/>
            <w:noWrap w:val="0"/>
            <w:vAlign w:val="center"/>
          </w:tcPr>
          <w:p w14:paraId="30D8296D">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2647A4CB">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269CE1A4">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6E1DAA00">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7567A107">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306" w:type="dxa"/>
            <w:noWrap w:val="0"/>
            <w:vAlign w:val="center"/>
          </w:tcPr>
          <w:p w14:paraId="4FE40761">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1.每月重新制定一次巡逻路线。</w:t>
            </w:r>
          </w:p>
          <w:p w14:paraId="1C5BBF70">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2.巡逻人员（不包括车场巡逻人员）按规定路线每1小时巡逻1次并签到。</w:t>
            </w:r>
          </w:p>
          <w:p w14:paraId="5107F4C1">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3.对可疑人员进行监控。</w:t>
            </w:r>
          </w:p>
          <w:p w14:paraId="27D7B0A4">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4.对重大事件的及时处理。</w:t>
            </w:r>
          </w:p>
        </w:tc>
      </w:tr>
      <w:tr w14:paraId="0D81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14:paraId="6ED797A2">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14:paraId="7AC7334F">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其它突发事件或异常情况处理</w:t>
            </w:r>
          </w:p>
        </w:tc>
        <w:tc>
          <w:tcPr>
            <w:tcW w:w="681" w:type="dxa"/>
            <w:noWrap w:val="0"/>
            <w:vAlign w:val="center"/>
          </w:tcPr>
          <w:p w14:paraId="6E42C4DE">
            <w:pPr>
              <w:pStyle w:val="14"/>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2959E191">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411F6F3B">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7BBB360D">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0F47C6E2">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306" w:type="dxa"/>
            <w:noWrap w:val="0"/>
            <w:vAlign w:val="center"/>
          </w:tcPr>
          <w:p w14:paraId="30A899F7">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1.发现盗窃、斗殴、匪警情况的处理；</w:t>
            </w:r>
          </w:p>
          <w:p w14:paraId="4F946671">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2.对精神病人、醉汉的处理；触电事故的应急处理；突发性水浸事故处理；</w:t>
            </w:r>
          </w:p>
          <w:p w14:paraId="46D0C17B">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3.台风袭击前、吹强烈大风的预防措施；台风来临后的措施；</w:t>
            </w:r>
          </w:p>
          <w:p w14:paraId="72E78DB3">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4.爆炸的处理；失物处理；</w:t>
            </w:r>
          </w:p>
        </w:tc>
      </w:tr>
      <w:tr w14:paraId="5058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restart"/>
            <w:noWrap w:val="0"/>
            <w:vAlign w:val="center"/>
          </w:tcPr>
          <w:p w14:paraId="55E1DBA8">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安全防范</w:t>
            </w:r>
          </w:p>
        </w:tc>
        <w:tc>
          <w:tcPr>
            <w:tcW w:w="1014" w:type="dxa"/>
            <w:noWrap w:val="0"/>
            <w:vAlign w:val="center"/>
          </w:tcPr>
          <w:p w14:paraId="0C2AC592">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系统报警处理</w:t>
            </w:r>
          </w:p>
        </w:tc>
        <w:tc>
          <w:tcPr>
            <w:tcW w:w="681" w:type="dxa"/>
            <w:noWrap w:val="0"/>
            <w:vAlign w:val="center"/>
          </w:tcPr>
          <w:p w14:paraId="66BA3178">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6277619C">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3FF589BA">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4A1EF2F5">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1874FD2A">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306" w:type="dxa"/>
            <w:noWrap w:val="0"/>
            <w:vAlign w:val="center"/>
          </w:tcPr>
          <w:p w14:paraId="7624EC01">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接到报警信号后巡逻岗保安在1至3分钟内赶到现场。</w:t>
            </w:r>
          </w:p>
        </w:tc>
      </w:tr>
      <w:tr w14:paraId="41A3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14:paraId="00F0B092">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14:paraId="7EB1DDFE">
            <w:pPr>
              <w:pStyle w:val="22"/>
              <w:keepNext w:val="0"/>
              <w:keepLines w:val="0"/>
              <w:pageBreakBefore w:val="0"/>
              <w:kinsoku/>
              <w:wordWrap/>
              <w:topLinePunct w:val="0"/>
              <w:bidi w:val="0"/>
              <w:snapToGrid/>
              <w:spacing w:beforeAutospacing="0" w:afterAutospacing="0"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室内报警处理</w:t>
            </w:r>
          </w:p>
        </w:tc>
        <w:tc>
          <w:tcPr>
            <w:tcW w:w="681" w:type="dxa"/>
            <w:noWrap w:val="0"/>
            <w:vAlign w:val="center"/>
          </w:tcPr>
          <w:p w14:paraId="6F659B96">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73D9E463">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3812ED1C">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028C1049">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7D4542CF">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14:paraId="137645E6">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商户或办公室内报警，巡逻岗保安在3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5分钟内到达现场</w:t>
            </w:r>
          </w:p>
        </w:tc>
      </w:tr>
      <w:tr w14:paraId="1251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14:paraId="094CCEFB">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14:paraId="63A22651">
            <w:pPr>
              <w:pStyle w:val="22"/>
              <w:keepNext w:val="0"/>
              <w:keepLines w:val="0"/>
              <w:pageBreakBefore w:val="0"/>
              <w:kinsoku/>
              <w:wordWrap/>
              <w:topLinePunct w:val="0"/>
              <w:bidi w:val="0"/>
              <w:snapToGrid/>
              <w:spacing w:beforeAutospacing="0" w:afterAutospacing="0"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标识系统</w:t>
            </w:r>
          </w:p>
        </w:tc>
        <w:tc>
          <w:tcPr>
            <w:tcW w:w="681" w:type="dxa"/>
            <w:noWrap w:val="0"/>
            <w:vAlign w:val="center"/>
          </w:tcPr>
          <w:p w14:paraId="4B3C903F">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6B6C0BF0">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6D98A5BB">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2334B570">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1F8E8FB7">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14:paraId="422FEC15">
            <w:pPr>
              <w:keepNext w:val="0"/>
              <w:keepLines w:val="0"/>
              <w:pageBreakBefore w:val="0"/>
              <w:kinsoku/>
              <w:wordWrap/>
              <w:topLinePunct w:val="0"/>
              <w:bidi w:val="0"/>
              <w:snapToGrid/>
              <w:spacing w:line="240" w:lineRule="exact"/>
              <w:ind w:left="210" w:hanging="180" w:hanging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设置必备的安全标识。</w:t>
            </w:r>
          </w:p>
        </w:tc>
      </w:tr>
      <w:tr w14:paraId="20AA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restart"/>
            <w:noWrap w:val="0"/>
            <w:vAlign w:val="center"/>
          </w:tcPr>
          <w:p w14:paraId="4DC18A07">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消防安全</w:t>
            </w:r>
          </w:p>
        </w:tc>
        <w:tc>
          <w:tcPr>
            <w:tcW w:w="1014" w:type="dxa"/>
            <w:noWrap w:val="0"/>
            <w:vAlign w:val="center"/>
          </w:tcPr>
          <w:p w14:paraId="4DC02694">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公共部位</w:t>
            </w:r>
          </w:p>
        </w:tc>
        <w:tc>
          <w:tcPr>
            <w:tcW w:w="681" w:type="dxa"/>
            <w:noWrap w:val="0"/>
            <w:vAlign w:val="center"/>
          </w:tcPr>
          <w:p w14:paraId="11C17A73">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00D2809B">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02E15E50">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14:paraId="4BD9AF67">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69210BE6">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14:paraId="57526659">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无占用消防通道，无堆放杂物</w:t>
            </w:r>
          </w:p>
        </w:tc>
      </w:tr>
      <w:tr w14:paraId="0A9B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14:paraId="265DCAF6">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14:paraId="3E0F8C78">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消防栓</w:t>
            </w:r>
          </w:p>
        </w:tc>
        <w:tc>
          <w:tcPr>
            <w:tcW w:w="681" w:type="dxa"/>
            <w:noWrap w:val="0"/>
            <w:vAlign w:val="center"/>
          </w:tcPr>
          <w:p w14:paraId="6AB59BBE">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2648DE61">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7E66E574">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14:paraId="2A10191D">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31E268EF">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14:paraId="15D58F84">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1.熟练掌握使用方法。</w:t>
            </w:r>
          </w:p>
          <w:p w14:paraId="56DDAA39">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2.无破损、无霉潮，带柜完好</w:t>
            </w:r>
          </w:p>
        </w:tc>
      </w:tr>
      <w:tr w14:paraId="7FF6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14:paraId="37D3998D">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14:paraId="56A4E20C">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w:t>
            </w:r>
          </w:p>
        </w:tc>
        <w:tc>
          <w:tcPr>
            <w:tcW w:w="681" w:type="dxa"/>
            <w:noWrap w:val="0"/>
            <w:vAlign w:val="center"/>
          </w:tcPr>
          <w:p w14:paraId="1ADB8D8B">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060D802F">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35FFB587">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14:paraId="1C380EAC">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02F24CD0">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14:paraId="421DE011">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消防门保持关闭。</w:t>
            </w:r>
          </w:p>
        </w:tc>
      </w:tr>
      <w:tr w14:paraId="4B5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14:paraId="009123F4">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14:paraId="122613DC">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灭火器具</w:t>
            </w:r>
          </w:p>
        </w:tc>
        <w:tc>
          <w:tcPr>
            <w:tcW w:w="681" w:type="dxa"/>
            <w:noWrap w:val="0"/>
            <w:vAlign w:val="center"/>
          </w:tcPr>
          <w:p w14:paraId="4273049E">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3116598B">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2922B0C5">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14:paraId="2C727766">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156299E4">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14:paraId="770AAF2A">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做好检查记录，无缺失、无过期，表面保洁，100%完好</w:t>
            </w:r>
          </w:p>
        </w:tc>
      </w:tr>
      <w:tr w14:paraId="7F5C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14:paraId="53361AC2">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14:paraId="64C81FD8">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温感、烟感、喷淋</w:t>
            </w:r>
          </w:p>
        </w:tc>
        <w:tc>
          <w:tcPr>
            <w:tcW w:w="681" w:type="dxa"/>
            <w:noWrap w:val="0"/>
            <w:vAlign w:val="center"/>
          </w:tcPr>
          <w:p w14:paraId="03405703">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31CB83ED">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4A7BBD35">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14:paraId="6C3FE72E">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653221E6">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14:paraId="63EF32DA">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无缺失，外观完好。</w:t>
            </w:r>
          </w:p>
        </w:tc>
      </w:tr>
      <w:tr w14:paraId="59C2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43" w:type="dxa"/>
            <w:vMerge w:val="continue"/>
            <w:noWrap w:val="0"/>
            <w:vAlign w:val="center"/>
          </w:tcPr>
          <w:p w14:paraId="2EDCA8FC">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14" w:type="dxa"/>
            <w:noWrap w:val="0"/>
            <w:vAlign w:val="center"/>
          </w:tcPr>
          <w:p w14:paraId="254C2E25">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w:t>
            </w:r>
          </w:p>
        </w:tc>
        <w:tc>
          <w:tcPr>
            <w:tcW w:w="681" w:type="dxa"/>
            <w:noWrap w:val="0"/>
            <w:vAlign w:val="center"/>
          </w:tcPr>
          <w:p w14:paraId="3B42A41C">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3F9B26E3">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04C6699A">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32B9436F">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284B51FC">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不少于1次</w:t>
            </w:r>
          </w:p>
        </w:tc>
        <w:tc>
          <w:tcPr>
            <w:tcW w:w="4306" w:type="dxa"/>
            <w:noWrap w:val="0"/>
            <w:vAlign w:val="center"/>
          </w:tcPr>
          <w:p w14:paraId="0204E048">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1.制定演习方案.</w:t>
            </w:r>
          </w:p>
          <w:p w14:paraId="2C2FFAA9">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2.按演习方案组织实施.</w:t>
            </w:r>
          </w:p>
          <w:p w14:paraId="5BC97264">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3.对演习进行效果评估.</w:t>
            </w:r>
          </w:p>
        </w:tc>
      </w:tr>
      <w:tr w14:paraId="6F26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7" w:type="dxa"/>
            <w:gridSpan w:val="2"/>
            <w:noWrap w:val="0"/>
            <w:vAlign w:val="center"/>
          </w:tcPr>
          <w:p w14:paraId="51FD1D84">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车辆管理</w:t>
            </w:r>
          </w:p>
        </w:tc>
        <w:tc>
          <w:tcPr>
            <w:tcW w:w="681" w:type="dxa"/>
            <w:noWrap w:val="0"/>
            <w:vAlign w:val="center"/>
          </w:tcPr>
          <w:p w14:paraId="6138E95D">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027FCF6C">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0E8F02E9">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55BADEE5">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64374EFB">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14:paraId="044EF250">
            <w:pPr>
              <w:pStyle w:val="13"/>
              <w:keepNext w:val="0"/>
              <w:keepLines w:val="0"/>
              <w:pageBreakBefore w:val="0"/>
              <w:widowControl/>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1.对车辆实施分流，维护停放秩序。</w:t>
            </w:r>
          </w:p>
          <w:p w14:paraId="7ECB37C7">
            <w:pPr>
              <w:pStyle w:val="13"/>
              <w:keepNext w:val="0"/>
              <w:keepLines w:val="0"/>
              <w:pageBreakBefore w:val="0"/>
              <w:widowControl/>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2.对危险品车辆落实专人进行全程管理，并做好记录，发现问题及时汇报。</w:t>
            </w:r>
          </w:p>
          <w:p w14:paraId="320631A3">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3.巡逻人员按规定路线定时巡逻和签到。</w:t>
            </w:r>
          </w:p>
          <w:p w14:paraId="16E19188">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4.发现异常情况，保安在30秒至于1分钟内赶到现场。</w:t>
            </w:r>
          </w:p>
          <w:p w14:paraId="3B345D9C">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5.对可疑车辆进行重点监控。</w:t>
            </w:r>
          </w:p>
          <w:p w14:paraId="29713738">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6.对长时间逗留的车辆劝其离开。</w:t>
            </w:r>
          </w:p>
          <w:p w14:paraId="45387935">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7.通道内严禁停车，对违停车辆在5分钟内予以处理，对停车场的修理车进行制止。</w:t>
            </w:r>
          </w:p>
        </w:tc>
      </w:tr>
      <w:tr w14:paraId="28F3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7" w:type="dxa"/>
            <w:gridSpan w:val="2"/>
            <w:noWrap w:val="0"/>
            <w:vAlign w:val="center"/>
          </w:tcPr>
          <w:p w14:paraId="7595182C">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工作环境</w:t>
            </w:r>
          </w:p>
        </w:tc>
        <w:tc>
          <w:tcPr>
            <w:tcW w:w="681" w:type="dxa"/>
            <w:noWrap w:val="0"/>
            <w:vAlign w:val="center"/>
          </w:tcPr>
          <w:p w14:paraId="278C96C1">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14:paraId="7AA404F4">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50CEF29B">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0BFF43DC">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4874DB57">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14:paraId="27CA7976">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1.岗位责任人姓名、照片、许可证等有关证件，悬挂在出入口明显位置。</w:t>
            </w:r>
          </w:p>
          <w:p w14:paraId="46BB01FA">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2.门卫岗亭，内外地面拖洗干净，玻璃窗台及其他台面，室内外墙面每月清洁。</w:t>
            </w:r>
          </w:p>
        </w:tc>
      </w:tr>
      <w:tr w14:paraId="5288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57" w:type="dxa"/>
            <w:gridSpan w:val="2"/>
            <w:noWrap w:val="0"/>
            <w:vAlign w:val="center"/>
          </w:tcPr>
          <w:p w14:paraId="3AA60319">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资料管理</w:t>
            </w:r>
          </w:p>
        </w:tc>
        <w:tc>
          <w:tcPr>
            <w:tcW w:w="681" w:type="dxa"/>
            <w:noWrap w:val="0"/>
            <w:vAlign w:val="center"/>
          </w:tcPr>
          <w:p w14:paraId="778D473F">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681" w:type="dxa"/>
            <w:noWrap w:val="0"/>
            <w:vAlign w:val="center"/>
          </w:tcPr>
          <w:p w14:paraId="67C22C75">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4EC639E4">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14:paraId="60EE2ECB">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4" w:type="dxa"/>
            <w:noWrap w:val="0"/>
            <w:vAlign w:val="center"/>
          </w:tcPr>
          <w:p w14:paraId="2085481A">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306" w:type="dxa"/>
            <w:noWrap w:val="0"/>
            <w:vAlign w:val="center"/>
          </w:tcPr>
          <w:p w14:paraId="32464061">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1.日常记录</w:t>
            </w:r>
          </w:p>
          <w:p w14:paraId="6F2F410A">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《保安值班记录表》、《巡逻签到表》（或电子巡逻记录）、《来人来访登记表》、《车辆出入登记表》、《培训记录表》、《危险品车辆记录》</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通道车辆登记表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巡查登记表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等</w:t>
            </w:r>
          </w:p>
          <w:p w14:paraId="1637BDF8">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2.月度记录</w:t>
            </w:r>
          </w:p>
          <w:p w14:paraId="6FCA582F">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《培训计划表》、《消防器材检查记录》</w:t>
            </w:r>
          </w:p>
          <w:p w14:paraId="6C51E0FE">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3.年度记录</w:t>
            </w:r>
          </w:p>
          <w:p w14:paraId="68271994">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《消防演习方案》、《紧急集合检查记录表》、灭火的相关记录（会议记录、应急行动记录）</w:t>
            </w:r>
          </w:p>
        </w:tc>
      </w:tr>
    </w:tbl>
    <w:p w14:paraId="1F2283EC">
      <w:pPr>
        <w:spacing w:line="240" w:lineRule="auto"/>
        <w:jc w:val="center"/>
        <w:rPr>
          <w:rFonts w:hint="eastAsia" w:ascii="宋体" w:hAnsi="宋体" w:eastAsia="宋体" w:cs="宋体"/>
          <w:color w:val="auto"/>
          <w:sz w:val="21"/>
          <w:szCs w:val="21"/>
          <w:highlight w:val="none"/>
        </w:rPr>
      </w:pPr>
    </w:p>
    <w:p w14:paraId="443D7208">
      <w:pP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br w:type="page"/>
      </w:r>
    </w:p>
    <w:p w14:paraId="33A6B3D7">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服务区保洁工作量化标准</w:t>
      </w:r>
    </w:p>
    <w:p w14:paraId="57D3CF08">
      <w:pPr>
        <w:spacing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一、公共卫生间</w:t>
      </w:r>
    </w:p>
    <w:p w14:paraId="7F0CEF81">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14:paraId="667DB2DE">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早晚对公共卫生间大清洗两次。通风换气，清洗烟灰缸，清扫地面垃圾，倾倒垃圾桶内垃圾，换新的垃圾袋，垃圾桶大清洁；卫生间瓷砖地面去污、干拖地面，去除污渍，清洗大小便器，清洗洗手盆，用毛巾抹墙面台面开关、门牌，隔断，擦干净玻璃镜面，拖净地面，放置香球或除臭块。发现墙面、隔断有字及时清洁。卫生间内绿化清洁，卫生间内宣传告示牌的清洁，防滑地毯的清洗。补充洗手液等卫生用品。做好台账记录。</w:t>
      </w:r>
    </w:p>
    <w:p w14:paraId="464C4DA9">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2、工作频率：</w:t>
      </w:r>
    </w:p>
    <w:tbl>
      <w:tblPr>
        <w:tblStyle w:val="25"/>
        <w:tblW w:w="9039" w:type="dxa"/>
        <w:jc w:val="center"/>
        <w:tblLayout w:type="fixed"/>
        <w:tblCellMar>
          <w:top w:w="0" w:type="dxa"/>
          <w:left w:w="108" w:type="dxa"/>
          <w:bottom w:w="0" w:type="dxa"/>
          <w:right w:w="108" w:type="dxa"/>
        </w:tblCellMar>
      </w:tblPr>
      <w:tblGrid>
        <w:gridCol w:w="2759"/>
        <w:gridCol w:w="738"/>
        <w:gridCol w:w="738"/>
        <w:gridCol w:w="738"/>
        <w:gridCol w:w="738"/>
        <w:gridCol w:w="738"/>
        <w:gridCol w:w="740"/>
        <w:gridCol w:w="1850"/>
      </w:tblGrid>
      <w:tr w14:paraId="60C72ABD">
        <w:tblPrEx>
          <w:tblCellMar>
            <w:top w:w="0" w:type="dxa"/>
            <w:left w:w="108" w:type="dxa"/>
            <w:bottom w:w="0" w:type="dxa"/>
            <w:right w:w="108" w:type="dxa"/>
          </w:tblCellMar>
        </w:tblPrEx>
        <w:trPr>
          <w:trHeight w:val="23" w:hRule="atLeast"/>
          <w:jc w:val="center"/>
        </w:trPr>
        <w:tc>
          <w:tcPr>
            <w:tcW w:w="2759" w:type="dxa"/>
            <w:vMerge w:val="restart"/>
            <w:tcBorders>
              <w:top w:val="single" w:color="auto" w:sz="4" w:space="0"/>
              <w:left w:val="single" w:color="auto" w:sz="4" w:space="0"/>
              <w:bottom w:val="single" w:color="000000" w:sz="4" w:space="0"/>
              <w:right w:val="single" w:color="auto" w:sz="4" w:space="0"/>
            </w:tcBorders>
            <w:noWrap w:val="0"/>
            <w:vAlign w:val="center"/>
          </w:tcPr>
          <w:p w14:paraId="3491F0C6">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卫生间保洁</w:t>
            </w:r>
          </w:p>
        </w:tc>
        <w:tc>
          <w:tcPr>
            <w:tcW w:w="4430" w:type="dxa"/>
            <w:gridSpan w:val="6"/>
            <w:tcBorders>
              <w:top w:val="single" w:color="auto" w:sz="4" w:space="0"/>
              <w:left w:val="nil"/>
              <w:bottom w:val="single" w:color="auto" w:sz="4" w:space="0"/>
              <w:right w:val="single" w:color="000000" w:sz="4" w:space="0"/>
            </w:tcBorders>
            <w:noWrap w:val="0"/>
            <w:vAlign w:val="center"/>
          </w:tcPr>
          <w:p w14:paraId="0BE24CD8">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850" w:type="dxa"/>
            <w:tcBorders>
              <w:top w:val="single" w:color="auto" w:sz="4" w:space="0"/>
              <w:left w:val="nil"/>
              <w:bottom w:val="single" w:color="auto" w:sz="4" w:space="0"/>
              <w:right w:val="single" w:color="auto" w:sz="4" w:space="0"/>
            </w:tcBorders>
            <w:noWrap w:val="0"/>
            <w:vAlign w:val="center"/>
          </w:tcPr>
          <w:p w14:paraId="72338C1A">
            <w:pPr>
              <w:widowControl/>
              <w:spacing w:line="240" w:lineRule="auto"/>
              <w:ind w:firstLine="180" w:firstLineChars="1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14:paraId="5E73DC10">
        <w:tblPrEx>
          <w:tblCellMar>
            <w:top w:w="0" w:type="dxa"/>
            <w:left w:w="108" w:type="dxa"/>
            <w:bottom w:w="0" w:type="dxa"/>
            <w:right w:w="108" w:type="dxa"/>
          </w:tblCellMar>
        </w:tblPrEx>
        <w:trPr>
          <w:trHeight w:val="23" w:hRule="atLeast"/>
          <w:jc w:val="center"/>
        </w:trPr>
        <w:tc>
          <w:tcPr>
            <w:tcW w:w="2759" w:type="dxa"/>
            <w:vMerge w:val="continue"/>
            <w:tcBorders>
              <w:top w:val="single" w:color="auto" w:sz="4" w:space="0"/>
              <w:left w:val="single" w:color="auto" w:sz="4" w:space="0"/>
              <w:bottom w:val="single" w:color="000000" w:sz="4" w:space="0"/>
              <w:right w:val="single" w:color="auto" w:sz="4" w:space="0"/>
            </w:tcBorders>
            <w:noWrap w:val="0"/>
            <w:vAlign w:val="center"/>
          </w:tcPr>
          <w:p w14:paraId="327F0285">
            <w:pPr>
              <w:widowControl/>
              <w:spacing w:line="240" w:lineRule="auto"/>
              <w:ind w:firstLine="480"/>
              <w:jc w:val="left"/>
              <w:rPr>
                <w:rFonts w:hint="eastAsia" w:ascii="宋体" w:hAnsi="宋体" w:eastAsia="宋体" w:cs="宋体"/>
                <w:color w:val="auto"/>
                <w:kern w:val="0"/>
                <w:sz w:val="18"/>
                <w:szCs w:val="18"/>
                <w:highlight w:val="none"/>
              </w:rPr>
            </w:pPr>
          </w:p>
        </w:tc>
        <w:tc>
          <w:tcPr>
            <w:tcW w:w="738" w:type="dxa"/>
            <w:tcBorders>
              <w:top w:val="nil"/>
              <w:left w:val="nil"/>
              <w:bottom w:val="nil"/>
              <w:right w:val="nil"/>
            </w:tcBorders>
            <w:noWrap w:val="0"/>
            <w:vAlign w:val="center"/>
          </w:tcPr>
          <w:p w14:paraId="71C44C0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738" w:type="dxa"/>
            <w:tcBorders>
              <w:top w:val="nil"/>
              <w:left w:val="single" w:color="auto" w:sz="4" w:space="0"/>
              <w:bottom w:val="single" w:color="auto" w:sz="4" w:space="0"/>
              <w:right w:val="single" w:color="auto" w:sz="4" w:space="0"/>
            </w:tcBorders>
            <w:noWrap w:val="0"/>
            <w:vAlign w:val="top"/>
          </w:tcPr>
          <w:p w14:paraId="6AD12153">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38" w:type="dxa"/>
            <w:tcBorders>
              <w:top w:val="nil"/>
              <w:left w:val="nil"/>
              <w:bottom w:val="single" w:color="auto" w:sz="4" w:space="0"/>
              <w:right w:val="single" w:color="auto" w:sz="4" w:space="0"/>
            </w:tcBorders>
            <w:noWrap w:val="0"/>
            <w:vAlign w:val="top"/>
          </w:tcPr>
          <w:p w14:paraId="5D4C90D4">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38" w:type="dxa"/>
            <w:tcBorders>
              <w:top w:val="nil"/>
              <w:left w:val="nil"/>
              <w:bottom w:val="single" w:color="auto" w:sz="4" w:space="0"/>
              <w:right w:val="single" w:color="auto" w:sz="4" w:space="0"/>
            </w:tcBorders>
            <w:noWrap w:val="0"/>
            <w:vAlign w:val="top"/>
          </w:tcPr>
          <w:p w14:paraId="4FB0731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38" w:type="dxa"/>
            <w:tcBorders>
              <w:top w:val="nil"/>
              <w:left w:val="nil"/>
              <w:bottom w:val="single" w:color="auto" w:sz="4" w:space="0"/>
              <w:right w:val="single" w:color="auto" w:sz="4" w:space="0"/>
            </w:tcBorders>
            <w:noWrap w:val="0"/>
            <w:vAlign w:val="top"/>
          </w:tcPr>
          <w:p w14:paraId="024DAF17">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40" w:type="dxa"/>
            <w:tcBorders>
              <w:top w:val="nil"/>
              <w:left w:val="nil"/>
              <w:bottom w:val="single" w:color="auto" w:sz="4" w:space="0"/>
              <w:right w:val="single" w:color="auto" w:sz="4" w:space="0"/>
            </w:tcBorders>
            <w:noWrap w:val="0"/>
            <w:vAlign w:val="top"/>
          </w:tcPr>
          <w:p w14:paraId="12C7630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850" w:type="dxa"/>
            <w:tcBorders>
              <w:top w:val="nil"/>
              <w:left w:val="nil"/>
              <w:bottom w:val="single" w:color="auto" w:sz="4" w:space="0"/>
              <w:right w:val="single" w:color="auto" w:sz="4" w:space="0"/>
            </w:tcBorders>
            <w:noWrap w:val="0"/>
            <w:vAlign w:val="center"/>
          </w:tcPr>
          <w:p w14:paraId="2AC7E195">
            <w:pPr>
              <w:widowControl/>
              <w:spacing w:line="240" w:lineRule="auto"/>
              <w:ind w:firstLine="480"/>
              <w:jc w:val="left"/>
              <w:rPr>
                <w:rFonts w:hint="eastAsia" w:ascii="宋体" w:hAnsi="宋体" w:eastAsia="宋体" w:cs="宋体"/>
                <w:color w:val="auto"/>
                <w:kern w:val="0"/>
                <w:sz w:val="18"/>
                <w:szCs w:val="18"/>
                <w:highlight w:val="none"/>
              </w:rPr>
            </w:pPr>
          </w:p>
        </w:tc>
      </w:tr>
      <w:tr w14:paraId="3E6257CE">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14:paraId="32C1B307">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便器、洗水盆、不锈钢面</w:t>
            </w:r>
          </w:p>
        </w:tc>
        <w:tc>
          <w:tcPr>
            <w:tcW w:w="738" w:type="dxa"/>
            <w:tcBorders>
              <w:top w:val="single" w:color="auto" w:sz="4" w:space="0"/>
              <w:left w:val="nil"/>
              <w:bottom w:val="single" w:color="auto" w:sz="4" w:space="0"/>
              <w:right w:val="single" w:color="auto" w:sz="4" w:space="0"/>
            </w:tcBorders>
            <w:noWrap w:val="0"/>
            <w:vAlign w:val="center"/>
          </w:tcPr>
          <w:p w14:paraId="4EFB71CC">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3CB8794A">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55BA6F1A">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456DF80A">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4BC6356">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77F10B92">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7B479CBF">
            <w:pPr>
              <w:widowControl/>
              <w:spacing w:line="240" w:lineRule="auto"/>
              <w:ind w:firstLine="480"/>
              <w:rPr>
                <w:rFonts w:hint="eastAsia" w:ascii="宋体" w:hAnsi="宋体" w:eastAsia="宋体" w:cs="宋体"/>
                <w:color w:val="auto"/>
                <w:kern w:val="0"/>
                <w:sz w:val="18"/>
                <w:szCs w:val="18"/>
                <w:highlight w:val="none"/>
              </w:rPr>
            </w:pPr>
          </w:p>
        </w:tc>
      </w:tr>
      <w:tr w14:paraId="5475A061">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14:paraId="012C6418">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玻璃、镜面</w:t>
            </w:r>
          </w:p>
        </w:tc>
        <w:tc>
          <w:tcPr>
            <w:tcW w:w="738" w:type="dxa"/>
            <w:tcBorders>
              <w:top w:val="nil"/>
              <w:left w:val="nil"/>
              <w:bottom w:val="single" w:color="auto" w:sz="4" w:space="0"/>
              <w:right w:val="single" w:color="auto" w:sz="4" w:space="0"/>
            </w:tcBorders>
            <w:noWrap w:val="0"/>
            <w:vAlign w:val="center"/>
          </w:tcPr>
          <w:p w14:paraId="62E18061">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3101A598">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678503B0">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7A75D49D">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46EC829D">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0D25C695">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7C6A2E43">
            <w:pPr>
              <w:widowControl/>
              <w:spacing w:line="240" w:lineRule="auto"/>
              <w:ind w:firstLine="480"/>
              <w:rPr>
                <w:rFonts w:hint="eastAsia" w:ascii="宋体" w:hAnsi="宋体" w:eastAsia="宋体" w:cs="宋体"/>
                <w:color w:val="auto"/>
                <w:kern w:val="0"/>
                <w:sz w:val="18"/>
                <w:szCs w:val="18"/>
                <w:highlight w:val="none"/>
              </w:rPr>
            </w:pPr>
          </w:p>
        </w:tc>
      </w:tr>
      <w:tr w14:paraId="1CFA385A">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14:paraId="3B66D1AC">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瓷砖地面</w:t>
            </w:r>
          </w:p>
        </w:tc>
        <w:tc>
          <w:tcPr>
            <w:tcW w:w="738" w:type="dxa"/>
            <w:tcBorders>
              <w:top w:val="nil"/>
              <w:left w:val="nil"/>
              <w:bottom w:val="single" w:color="auto" w:sz="4" w:space="0"/>
              <w:right w:val="single" w:color="auto" w:sz="4" w:space="0"/>
            </w:tcBorders>
            <w:noWrap w:val="0"/>
            <w:vAlign w:val="center"/>
          </w:tcPr>
          <w:p w14:paraId="1DE095D5">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3D46EDAD">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137F80A">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31B0F070">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57A46D55">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00F71D00">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142F900C">
            <w:pPr>
              <w:widowControl/>
              <w:spacing w:line="240" w:lineRule="auto"/>
              <w:ind w:firstLine="480"/>
              <w:rPr>
                <w:rFonts w:hint="eastAsia" w:ascii="宋体" w:hAnsi="宋体" w:eastAsia="宋体" w:cs="宋体"/>
                <w:color w:val="auto"/>
                <w:kern w:val="0"/>
                <w:sz w:val="18"/>
                <w:szCs w:val="18"/>
                <w:highlight w:val="none"/>
              </w:rPr>
            </w:pPr>
          </w:p>
        </w:tc>
      </w:tr>
      <w:tr w14:paraId="61CE0DA9">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14:paraId="533D0F49">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墙面2米以下、隔断板、地面墙角、门背后</w:t>
            </w:r>
          </w:p>
        </w:tc>
        <w:tc>
          <w:tcPr>
            <w:tcW w:w="738" w:type="dxa"/>
            <w:tcBorders>
              <w:top w:val="nil"/>
              <w:left w:val="nil"/>
              <w:bottom w:val="single" w:color="auto" w:sz="4" w:space="0"/>
              <w:right w:val="single" w:color="auto" w:sz="4" w:space="0"/>
            </w:tcBorders>
            <w:noWrap w:val="0"/>
            <w:vAlign w:val="center"/>
          </w:tcPr>
          <w:p w14:paraId="2A7C9A9C">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63DAC60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14:paraId="79C9BBF4">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CAF2EE6">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FDDA3A1">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0F083E4F">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1C2A94AD">
            <w:pPr>
              <w:widowControl/>
              <w:spacing w:line="240" w:lineRule="auto"/>
              <w:ind w:firstLine="480"/>
              <w:rPr>
                <w:rFonts w:hint="eastAsia" w:ascii="宋体" w:hAnsi="宋体" w:eastAsia="宋体" w:cs="宋体"/>
                <w:color w:val="auto"/>
                <w:kern w:val="0"/>
                <w:sz w:val="18"/>
                <w:szCs w:val="18"/>
                <w:highlight w:val="none"/>
              </w:rPr>
            </w:pPr>
          </w:p>
        </w:tc>
      </w:tr>
      <w:tr w14:paraId="7C3EDADA">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14:paraId="1D1702FD">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顶棚、灯具、换气扇</w:t>
            </w:r>
          </w:p>
        </w:tc>
        <w:tc>
          <w:tcPr>
            <w:tcW w:w="738" w:type="dxa"/>
            <w:tcBorders>
              <w:top w:val="nil"/>
              <w:left w:val="nil"/>
              <w:bottom w:val="single" w:color="auto" w:sz="4" w:space="0"/>
              <w:right w:val="single" w:color="auto" w:sz="4" w:space="0"/>
            </w:tcBorders>
            <w:noWrap w:val="0"/>
            <w:vAlign w:val="center"/>
          </w:tcPr>
          <w:p w14:paraId="450848CC">
            <w:pPr>
              <w:widowControl/>
              <w:spacing w:line="240" w:lineRule="auto"/>
              <w:ind w:firstLine="149" w:firstLineChars="83"/>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733B5E0E">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6C017112">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74FE135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14:paraId="402C424A">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1E4D7E38">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46A6FB96">
            <w:pPr>
              <w:widowControl/>
              <w:spacing w:line="240" w:lineRule="auto"/>
              <w:ind w:firstLine="480"/>
              <w:rPr>
                <w:rFonts w:hint="eastAsia" w:ascii="宋体" w:hAnsi="宋体" w:eastAsia="宋体" w:cs="宋体"/>
                <w:color w:val="auto"/>
                <w:kern w:val="0"/>
                <w:sz w:val="18"/>
                <w:szCs w:val="18"/>
                <w:highlight w:val="none"/>
              </w:rPr>
            </w:pPr>
          </w:p>
        </w:tc>
      </w:tr>
      <w:tr w14:paraId="107F82CA">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nil"/>
              <w:right w:val="single" w:color="auto" w:sz="4" w:space="0"/>
            </w:tcBorders>
            <w:noWrap w:val="0"/>
            <w:vAlign w:val="center"/>
          </w:tcPr>
          <w:p w14:paraId="75321379">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卫生间台盆、面盆下</w:t>
            </w:r>
          </w:p>
        </w:tc>
        <w:tc>
          <w:tcPr>
            <w:tcW w:w="738" w:type="dxa"/>
            <w:tcBorders>
              <w:top w:val="nil"/>
              <w:left w:val="nil"/>
              <w:bottom w:val="single" w:color="auto" w:sz="4" w:space="0"/>
              <w:right w:val="single" w:color="auto" w:sz="4" w:space="0"/>
            </w:tcBorders>
            <w:noWrap w:val="0"/>
            <w:vAlign w:val="center"/>
          </w:tcPr>
          <w:p w14:paraId="549C8E10">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555ABD25">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14:paraId="13867E83">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732D3854">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306D26DA">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4246A807">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7E6E04F4">
            <w:pPr>
              <w:widowControl/>
              <w:spacing w:line="240" w:lineRule="auto"/>
              <w:ind w:firstLine="480"/>
              <w:rPr>
                <w:rFonts w:hint="eastAsia" w:ascii="宋体" w:hAnsi="宋体" w:eastAsia="宋体" w:cs="宋体"/>
                <w:color w:val="auto"/>
                <w:kern w:val="0"/>
                <w:sz w:val="18"/>
                <w:szCs w:val="18"/>
                <w:highlight w:val="none"/>
              </w:rPr>
            </w:pPr>
          </w:p>
        </w:tc>
      </w:tr>
      <w:tr w14:paraId="5B93379A">
        <w:tblPrEx>
          <w:tblCellMar>
            <w:top w:w="0" w:type="dxa"/>
            <w:left w:w="108" w:type="dxa"/>
            <w:bottom w:w="0" w:type="dxa"/>
            <w:right w:w="108" w:type="dxa"/>
          </w:tblCellMar>
        </w:tblPrEx>
        <w:trPr>
          <w:trHeight w:val="23" w:hRule="atLeast"/>
          <w:jc w:val="center"/>
        </w:trPr>
        <w:tc>
          <w:tcPr>
            <w:tcW w:w="2759" w:type="dxa"/>
            <w:tcBorders>
              <w:top w:val="single" w:color="auto" w:sz="4" w:space="0"/>
              <w:left w:val="single" w:color="auto" w:sz="4" w:space="0"/>
              <w:bottom w:val="single" w:color="auto" w:sz="4" w:space="0"/>
              <w:right w:val="single" w:color="auto" w:sz="4" w:space="0"/>
            </w:tcBorders>
            <w:noWrap w:val="0"/>
            <w:vAlign w:val="center"/>
          </w:tcPr>
          <w:p w14:paraId="6EBAE607">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防滑垫、提示牌</w:t>
            </w:r>
          </w:p>
        </w:tc>
        <w:tc>
          <w:tcPr>
            <w:tcW w:w="738" w:type="dxa"/>
            <w:tcBorders>
              <w:top w:val="nil"/>
              <w:left w:val="nil"/>
              <w:bottom w:val="single" w:color="auto" w:sz="4" w:space="0"/>
              <w:right w:val="single" w:color="auto" w:sz="4" w:space="0"/>
            </w:tcBorders>
            <w:noWrap w:val="0"/>
            <w:vAlign w:val="center"/>
          </w:tcPr>
          <w:p w14:paraId="2F7F3621">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36610ACC">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4EFBDCD">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A678E50">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489373BF">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0A519207">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3702C215">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每半月清洗1次</w:t>
            </w:r>
          </w:p>
        </w:tc>
      </w:tr>
      <w:tr w14:paraId="169C3346">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14:paraId="22FCC3C0">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添加卫生纸，烟灰缸、纸篓按保洁标准更换垃圾袋</w:t>
            </w:r>
          </w:p>
        </w:tc>
        <w:tc>
          <w:tcPr>
            <w:tcW w:w="738" w:type="dxa"/>
            <w:tcBorders>
              <w:top w:val="nil"/>
              <w:left w:val="nil"/>
              <w:bottom w:val="single" w:color="auto" w:sz="4" w:space="0"/>
              <w:right w:val="single" w:color="auto" w:sz="4" w:space="0"/>
            </w:tcBorders>
            <w:noWrap w:val="0"/>
            <w:vAlign w:val="center"/>
          </w:tcPr>
          <w:p w14:paraId="50BDC3D1">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7705D888">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74C8A42">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3DAFF077">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5BBE0509">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357DAA1E">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7BCA37AD">
            <w:pPr>
              <w:widowControl/>
              <w:spacing w:line="240" w:lineRule="auto"/>
              <w:ind w:firstLine="480"/>
              <w:rPr>
                <w:rFonts w:hint="eastAsia" w:ascii="宋体" w:hAnsi="宋体" w:eastAsia="宋体" w:cs="宋体"/>
                <w:color w:val="auto"/>
                <w:kern w:val="0"/>
                <w:sz w:val="18"/>
                <w:szCs w:val="18"/>
                <w:highlight w:val="none"/>
              </w:rPr>
            </w:pPr>
          </w:p>
        </w:tc>
      </w:tr>
      <w:tr w14:paraId="378977AB">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14:paraId="7452D4A7">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洗手液、擦手纸</w:t>
            </w:r>
          </w:p>
        </w:tc>
        <w:tc>
          <w:tcPr>
            <w:tcW w:w="738" w:type="dxa"/>
            <w:tcBorders>
              <w:top w:val="nil"/>
              <w:left w:val="nil"/>
              <w:bottom w:val="single" w:color="auto" w:sz="4" w:space="0"/>
              <w:right w:val="single" w:color="auto" w:sz="4" w:space="0"/>
            </w:tcBorders>
            <w:noWrap w:val="0"/>
            <w:vAlign w:val="center"/>
          </w:tcPr>
          <w:p w14:paraId="2D1E9A91">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3C7C7ADC">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60D0D21F">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nil"/>
              <w:right w:val="nil"/>
            </w:tcBorders>
            <w:noWrap w:val="0"/>
            <w:vAlign w:val="center"/>
          </w:tcPr>
          <w:p w14:paraId="2EBC7D92">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single" w:color="auto" w:sz="4" w:space="0"/>
              <w:bottom w:val="single" w:color="auto" w:sz="4" w:space="0"/>
              <w:right w:val="single" w:color="auto" w:sz="4" w:space="0"/>
            </w:tcBorders>
            <w:noWrap w:val="0"/>
            <w:vAlign w:val="center"/>
          </w:tcPr>
          <w:p w14:paraId="758F2C8B">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1B21C470">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12A414AD">
            <w:pPr>
              <w:widowControl/>
              <w:spacing w:line="240" w:lineRule="auto"/>
              <w:ind w:firstLine="480"/>
              <w:rPr>
                <w:rFonts w:hint="eastAsia" w:ascii="宋体" w:hAnsi="宋体" w:eastAsia="宋体" w:cs="宋体"/>
                <w:color w:val="auto"/>
                <w:kern w:val="0"/>
                <w:sz w:val="18"/>
                <w:szCs w:val="18"/>
                <w:highlight w:val="none"/>
              </w:rPr>
            </w:pPr>
          </w:p>
        </w:tc>
      </w:tr>
      <w:tr w14:paraId="4A0DA0DD">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14:paraId="70C3090A">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室内花木</w:t>
            </w:r>
          </w:p>
        </w:tc>
        <w:tc>
          <w:tcPr>
            <w:tcW w:w="738" w:type="dxa"/>
            <w:tcBorders>
              <w:top w:val="nil"/>
              <w:left w:val="nil"/>
              <w:bottom w:val="single" w:color="auto" w:sz="4" w:space="0"/>
              <w:right w:val="single" w:color="auto" w:sz="4" w:space="0"/>
            </w:tcBorders>
            <w:noWrap w:val="0"/>
            <w:vAlign w:val="center"/>
          </w:tcPr>
          <w:p w14:paraId="2327EE70">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40A2CFA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14:paraId="3E357500">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single" w:color="auto" w:sz="4" w:space="0"/>
              <w:left w:val="nil"/>
              <w:bottom w:val="single" w:color="auto" w:sz="4" w:space="0"/>
              <w:right w:val="single" w:color="auto" w:sz="4" w:space="0"/>
            </w:tcBorders>
            <w:noWrap w:val="0"/>
            <w:vAlign w:val="center"/>
          </w:tcPr>
          <w:p w14:paraId="75092351">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136ED21A">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2D08697D">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227953B7">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292C66B8">
        <w:tblPrEx>
          <w:tblCellMar>
            <w:top w:w="0" w:type="dxa"/>
            <w:left w:w="108" w:type="dxa"/>
            <w:bottom w:w="0" w:type="dxa"/>
            <w:right w:w="108" w:type="dxa"/>
          </w:tblCellMar>
        </w:tblPrEx>
        <w:trPr>
          <w:trHeight w:val="23" w:hRule="atLeast"/>
          <w:jc w:val="center"/>
        </w:trPr>
        <w:tc>
          <w:tcPr>
            <w:tcW w:w="2759" w:type="dxa"/>
            <w:tcBorders>
              <w:top w:val="nil"/>
              <w:left w:val="single" w:color="auto" w:sz="4" w:space="0"/>
              <w:bottom w:val="single" w:color="auto" w:sz="4" w:space="0"/>
              <w:right w:val="single" w:color="auto" w:sz="4" w:space="0"/>
            </w:tcBorders>
            <w:noWrap w:val="0"/>
            <w:vAlign w:val="center"/>
          </w:tcPr>
          <w:p w14:paraId="70A77FDB">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清扫地面垃圾</w:t>
            </w:r>
          </w:p>
        </w:tc>
        <w:tc>
          <w:tcPr>
            <w:tcW w:w="738" w:type="dxa"/>
            <w:tcBorders>
              <w:top w:val="nil"/>
              <w:left w:val="nil"/>
              <w:bottom w:val="single" w:color="auto" w:sz="4" w:space="0"/>
              <w:right w:val="single" w:color="auto" w:sz="4" w:space="0"/>
            </w:tcBorders>
            <w:noWrap w:val="0"/>
            <w:vAlign w:val="center"/>
          </w:tcPr>
          <w:p w14:paraId="68A127D0">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14:paraId="47297E76">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79EC3FE2">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25C786C7">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14:paraId="273F0B29">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14:paraId="1FA72FA9">
            <w:pPr>
              <w:widowControl/>
              <w:spacing w:line="240" w:lineRule="auto"/>
              <w:ind w:firstLine="480"/>
              <w:jc w:val="center"/>
              <w:rPr>
                <w:rFonts w:hint="eastAsia" w:ascii="宋体" w:hAnsi="宋体" w:eastAsia="宋体" w:cs="宋体"/>
                <w:color w:val="auto"/>
                <w:kern w:val="0"/>
                <w:sz w:val="18"/>
                <w:szCs w:val="18"/>
                <w:highlight w:val="none"/>
              </w:rPr>
            </w:pPr>
          </w:p>
        </w:tc>
        <w:tc>
          <w:tcPr>
            <w:tcW w:w="1850" w:type="dxa"/>
            <w:tcBorders>
              <w:top w:val="nil"/>
              <w:left w:val="nil"/>
              <w:bottom w:val="single" w:color="auto" w:sz="4" w:space="0"/>
              <w:right w:val="single" w:color="auto" w:sz="4" w:space="0"/>
            </w:tcBorders>
            <w:noWrap w:val="0"/>
            <w:vAlign w:val="center"/>
          </w:tcPr>
          <w:p w14:paraId="76CBEDA2">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每天拖洗、去污1次</w:t>
            </w:r>
          </w:p>
        </w:tc>
      </w:tr>
    </w:tbl>
    <w:p w14:paraId="7927832A">
      <w:pPr>
        <w:spacing w:line="240" w:lineRule="auto"/>
        <w:ind w:firstLine="411"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二、停车场保洁</w:t>
      </w:r>
    </w:p>
    <w:p w14:paraId="27E2275D">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14:paraId="5BB401E9">
      <w:pPr>
        <w:spacing w:line="240" w:lineRule="auto"/>
        <w:ind w:firstLine="56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每天随时清扫停车场的细小垃圾，每天随时清扫绿化带，每天随时拣绿化带内的烟头杂物等，秋冬季或落叶较多季节增加清洁次数。窨井、边沟内垃圾清理。擦拭广场告示牌、宣传广告栏。收集垃圾，换垃圾袋，清洁垃圾桶，冲洗垃圾房。</w:t>
      </w:r>
      <w:r>
        <w:rPr>
          <w:rFonts w:hint="eastAsia" w:ascii="宋体" w:hAnsi="宋体" w:eastAsia="宋体" w:cs="宋体"/>
          <w:color w:val="auto"/>
          <w:sz w:val="21"/>
          <w:szCs w:val="21"/>
          <w:highlight w:val="none"/>
          <w:lang w:val="en-US" w:eastAsia="zh-CN"/>
        </w:rPr>
        <w:t>消杀工作，做好台账记录。</w:t>
      </w:r>
    </w:p>
    <w:p w14:paraId="7DA74B29">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2、具体频率：</w:t>
      </w:r>
    </w:p>
    <w:tbl>
      <w:tblPr>
        <w:tblStyle w:val="25"/>
        <w:tblW w:w="8742" w:type="dxa"/>
        <w:jc w:val="center"/>
        <w:tblLayout w:type="fixed"/>
        <w:tblCellMar>
          <w:top w:w="0" w:type="dxa"/>
          <w:left w:w="108" w:type="dxa"/>
          <w:bottom w:w="0" w:type="dxa"/>
          <w:right w:w="108" w:type="dxa"/>
        </w:tblCellMar>
      </w:tblPr>
      <w:tblGrid>
        <w:gridCol w:w="2776"/>
        <w:gridCol w:w="742"/>
        <w:gridCol w:w="742"/>
        <w:gridCol w:w="742"/>
        <w:gridCol w:w="742"/>
        <w:gridCol w:w="742"/>
        <w:gridCol w:w="743"/>
        <w:gridCol w:w="1513"/>
      </w:tblGrid>
      <w:tr w14:paraId="074BB910">
        <w:trPr>
          <w:trHeight w:val="23" w:hRule="atLeast"/>
          <w:jc w:val="center"/>
        </w:trPr>
        <w:tc>
          <w:tcPr>
            <w:tcW w:w="2776" w:type="dxa"/>
            <w:vMerge w:val="restart"/>
            <w:tcBorders>
              <w:top w:val="single" w:color="auto" w:sz="4" w:space="0"/>
              <w:left w:val="single" w:color="auto" w:sz="4" w:space="0"/>
              <w:bottom w:val="single" w:color="000000" w:sz="4" w:space="0"/>
              <w:right w:val="single" w:color="auto" w:sz="4" w:space="0"/>
            </w:tcBorders>
            <w:noWrap w:val="0"/>
            <w:vAlign w:val="center"/>
          </w:tcPr>
          <w:p w14:paraId="6CE5F771">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广场保洁</w:t>
            </w:r>
          </w:p>
        </w:tc>
        <w:tc>
          <w:tcPr>
            <w:tcW w:w="4453" w:type="dxa"/>
            <w:gridSpan w:val="6"/>
            <w:tcBorders>
              <w:top w:val="single" w:color="auto" w:sz="4" w:space="0"/>
              <w:left w:val="nil"/>
              <w:bottom w:val="single" w:color="auto" w:sz="4" w:space="0"/>
              <w:right w:val="single" w:color="000000" w:sz="4" w:space="0"/>
            </w:tcBorders>
            <w:noWrap w:val="0"/>
            <w:vAlign w:val="center"/>
          </w:tcPr>
          <w:p w14:paraId="2B7DB8C1">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513" w:type="dxa"/>
            <w:tcBorders>
              <w:top w:val="single" w:color="auto" w:sz="4" w:space="0"/>
              <w:left w:val="nil"/>
              <w:bottom w:val="single" w:color="auto" w:sz="4" w:space="0"/>
              <w:right w:val="single" w:color="auto" w:sz="4" w:space="0"/>
            </w:tcBorders>
            <w:noWrap w:val="0"/>
            <w:vAlign w:val="center"/>
          </w:tcPr>
          <w:p w14:paraId="0A7436C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14:paraId="1B55754E">
        <w:tblPrEx>
          <w:tblCellMar>
            <w:top w:w="0" w:type="dxa"/>
            <w:left w:w="108" w:type="dxa"/>
            <w:bottom w:w="0" w:type="dxa"/>
            <w:right w:w="108" w:type="dxa"/>
          </w:tblCellMar>
        </w:tblPrEx>
        <w:trPr>
          <w:trHeight w:val="23" w:hRule="atLeast"/>
          <w:jc w:val="center"/>
        </w:trPr>
        <w:tc>
          <w:tcPr>
            <w:tcW w:w="2776" w:type="dxa"/>
            <w:vMerge w:val="continue"/>
            <w:tcBorders>
              <w:top w:val="single" w:color="auto" w:sz="4" w:space="0"/>
              <w:left w:val="single" w:color="auto" w:sz="4" w:space="0"/>
              <w:bottom w:val="single" w:color="000000" w:sz="4" w:space="0"/>
              <w:right w:val="single" w:color="auto" w:sz="4" w:space="0"/>
            </w:tcBorders>
            <w:noWrap w:val="0"/>
            <w:vAlign w:val="center"/>
          </w:tcPr>
          <w:p w14:paraId="000A9E9D">
            <w:pPr>
              <w:widowControl/>
              <w:spacing w:line="240" w:lineRule="auto"/>
              <w:ind w:firstLine="480"/>
              <w:jc w:val="left"/>
              <w:rPr>
                <w:rFonts w:hint="eastAsia" w:ascii="宋体" w:hAnsi="宋体" w:eastAsia="宋体" w:cs="宋体"/>
                <w:color w:val="auto"/>
                <w:kern w:val="0"/>
                <w:sz w:val="18"/>
                <w:szCs w:val="18"/>
                <w:highlight w:val="none"/>
              </w:rPr>
            </w:pPr>
          </w:p>
        </w:tc>
        <w:tc>
          <w:tcPr>
            <w:tcW w:w="742" w:type="dxa"/>
            <w:tcBorders>
              <w:top w:val="nil"/>
              <w:left w:val="nil"/>
              <w:bottom w:val="nil"/>
              <w:right w:val="nil"/>
            </w:tcBorders>
            <w:noWrap w:val="0"/>
            <w:vAlign w:val="center"/>
          </w:tcPr>
          <w:p w14:paraId="7895102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742" w:type="dxa"/>
            <w:tcBorders>
              <w:top w:val="nil"/>
              <w:left w:val="single" w:color="auto" w:sz="4" w:space="0"/>
              <w:bottom w:val="single" w:color="auto" w:sz="4" w:space="0"/>
              <w:right w:val="single" w:color="auto" w:sz="4" w:space="0"/>
            </w:tcBorders>
            <w:noWrap w:val="0"/>
            <w:vAlign w:val="center"/>
          </w:tcPr>
          <w:p w14:paraId="3E9AA1BA">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42" w:type="dxa"/>
            <w:tcBorders>
              <w:top w:val="nil"/>
              <w:left w:val="nil"/>
              <w:bottom w:val="single" w:color="auto" w:sz="4" w:space="0"/>
              <w:right w:val="single" w:color="auto" w:sz="4" w:space="0"/>
            </w:tcBorders>
            <w:noWrap w:val="0"/>
            <w:vAlign w:val="center"/>
          </w:tcPr>
          <w:p w14:paraId="7B6B40C1">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42" w:type="dxa"/>
            <w:tcBorders>
              <w:top w:val="nil"/>
              <w:left w:val="nil"/>
              <w:bottom w:val="single" w:color="auto" w:sz="4" w:space="0"/>
              <w:right w:val="single" w:color="auto" w:sz="4" w:space="0"/>
            </w:tcBorders>
            <w:noWrap w:val="0"/>
            <w:vAlign w:val="center"/>
          </w:tcPr>
          <w:p w14:paraId="37DBBF5C">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42" w:type="dxa"/>
            <w:tcBorders>
              <w:top w:val="nil"/>
              <w:left w:val="nil"/>
              <w:bottom w:val="single" w:color="auto" w:sz="4" w:space="0"/>
              <w:right w:val="single" w:color="auto" w:sz="4" w:space="0"/>
            </w:tcBorders>
            <w:noWrap w:val="0"/>
            <w:vAlign w:val="center"/>
          </w:tcPr>
          <w:p w14:paraId="4B6C09A2">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43" w:type="dxa"/>
            <w:tcBorders>
              <w:top w:val="nil"/>
              <w:left w:val="nil"/>
              <w:bottom w:val="single" w:color="auto" w:sz="4" w:space="0"/>
              <w:right w:val="single" w:color="auto" w:sz="4" w:space="0"/>
            </w:tcBorders>
            <w:noWrap w:val="0"/>
            <w:vAlign w:val="center"/>
          </w:tcPr>
          <w:p w14:paraId="253C10F6">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513" w:type="dxa"/>
            <w:tcBorders>
              <w:top w:val="nil"/>
              <w:left w:val="nil"/>
              <w:bottom w:val="single" w:color="auto" w:sz="4" w:space="0"/>
              <w:right w:val="single" w:color="auto" w:sz="4" w:space="0"/>
            </w:tcBorders>
            <w:noWrap w:val="0"/>
            <w:vAlign w:val="center"/>
          </w:tcPr>
          <w:p w14:paraId="16D37BC9">
            <w:pPr>
              <w:widowControl/>
              <w:spacing w:line="240" w:lineRule="auto"/>
              <w:ind w:firstLine="149" w:firstLineChars="83"/>
              <w:jc w:val="center"/>
              <w:rPr>
                <w:rFonts w:hint="eastAsia" w:ascii="宋体" w:hAnsi="宋体" w:eastAsia="宋体" w:cs="宋体"/>
                <w:color w:val="auto"/>
                <w:kern w:val="0"/>
                <w:sz w:val="18"/>
                <w:szCs w:val="18"/>
                <w:highlight w:val="none"/>
              </w:rPr>
            </w:pPr>
          </w:p>
        </w:tc>
      </w:tr>
      <w:tr w14:paraId="64CA7C39">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50B994F2">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边沟</w:t>
            </w:r>
          </w:p>
        </w:tc>
        <w:tc>
          <w:tcPr>
            <w:tcW w:w="742" w:type="dxa"/>
            <w:tcBorders>
              <w:top w:val="single" w:color="auto" w:sz="4" w:space="0"/>
              <w:left w:val="nil"/>
              <w:bottom w:val="single" w:color="auto" w:sz="4" w:space="0"/>
              <w:right w:val="single" w:color="auto" w:sz="4" w:space="0"/>
            </w:tcBorders>
            <w:noWrap w:val="0"/>
            <w:vAlign w:val="center"/>
          </w:tcPr>
          <w:p w14:paraId="77A96BD4">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5087C908">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51BC8960">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65E778A">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05ACE515">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21F4A7A0">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6805111E">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59F46454">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77D0FD1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绿化带</w:t>
            </w:r>
          </w:p>
        </w:tc>
        <w:tc>
          <w:tcPr>
            <w:tcW w:w="742" w:type="dxa"/>
            <w:tcBorders>
              <w:top w:val="nil"/>
              <w:left w:val="nil"/>
              <w:bottom w:val="single" w:color="auto" w:sz="4" w:space="0"/>
              <w:right w:val="single" w:color="auto" w:sz="4" w:space="0"/>
            </w:tcBorders>
            <w:noWrap w:val="0"/>
            <w:vAlign w:val="center"/>
          </w:tcPr>
          <w:p w14:paraId="52BFED5A">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3919562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51CB57EF">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E3C33CA">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57208293">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1CE93381">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745CA4FA">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32E4749A">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695F65F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进出口匝道</w:t>
            </w:r>
          </w:p>
        </w:tc>
        <w:tc>
          <w:tcPr>
            <w:tcW w:w="742" w:type="dxa"/>
            <w:tcBorders>
              <w:top w:val="nil"/>
              <w:left w:val="nil"/>
              <w:bottom w:val="single" w:color="auto" w:sz="4" w:space="0"/>
              <w:right w:val="single" w:color="auto" w:sz="4" w:space="0"/>
            </w:tcBorders>
            <w:noWrap w:val="0"/>
            <w:vAlign w:val="center"/>
          </w:tcPr>
          <w:p w14:paraId="34C421C8">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CC2C116">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07866A4A">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E5AB9C0">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1882278">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5012B727">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3252ED85">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35D8C564">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0181686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清理廊檐边杂草</w:t>
            </w:r>
          </w:p>
        </w:tc>
        <w:tc>
          <w:tcPr>
            <w:tcW w:w="742" w:type="dxa"/>
            <w:tcBorders>
              <w:top w:val="nil"/>
              <w:left w:val="nil"/>
              <w:bottom w:val="single" w:color="auto" w:sz="4" w:space="0"/>
              <w:right w:val="single" w:color="auto" w:sz="4" w:space="0"/>
            </w:tcBorders>
            <w:noWrap w:val="0"/>
            <w:vAlign w:val="center"/>
          </w:tcPr>
          <w:p w14:paraId="640BD384">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14:paraId="6AB935F2">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5AC9BB25">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4FB2F84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13D8BE86">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36CB5FF5">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7F41237D">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0825F47A">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3863F3F7">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垃圾的收集</w:t>
            </w:r>
          </w:p>
        </w:tc>
        <w:tc>
          <w:tcPr>
            <w:tcW w:w="742" w:type="dxa"/>
            <w:tcBorders>
              <w:top w:val="nil"/>
              <w:left w:val="nil"/>
              <w:bottom w:val="single" w:color="auto" w:sz="4" w:space="0"/>
              <w:right w:val="single" w:color="auto" w:sz="4" w:space="0"/>
            </w:tcBorders>
            <w:noWrap w:val="0"/>
            <w:vAlign w:val="center"/>
          </w:tcPr>
          <w:p w14:paraId="39910978">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14:paraId="622B3A7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483BDCE0">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14:paraId="7FBB2185">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454CE2AA">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570F53A9">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1A119A3A">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0C50C57">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6C31CEC2">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垃圾桶的清洗</w:t>
            </w:r>
          </w:p>
        </w:tc>
        <w:tc>
          <w:tcPr>
            <w:tcW w:w="742" w:type="dxa"/>
            <w:tcBorders>
              <w:top w:val="nil"/>
              <w:left w:val="nil"/>
              <w:bottom w:val="single" w:color="auto" w:sz="4" w:space="0"/>
              <w:right w:val="single" w:color="auto" w:sz="4" w:space="0"/>
            </w:tcBorders>
            <w:noWrap w:val="0"/>
            <w:vAlign w:val="center"/>
          </w:tcPr>
          <w:p w14:paraId="4F97E277">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4966D704">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7D728283">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50869430">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5B559395">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1C938952">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15994297">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288EDEC1">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1C484785">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垃圾房（中转站）的冲洗</w:t>
            </w:r>
          </w:p>
        </w:tc>
        <w:tc>
          <w:tcPr>
            <w:tcW w:w="742" w:type="dxa"/>
            <w:tcBorders>
              <w:top w:val="nil"/>
              <w:left w:val="nil"/>
              <w:bottom w:val="single" w:color="auto" w:sz="4" w:space="0"/>
              <w:right w:val="single" w:color="auto" w:sz="4" w:space="0"/>
            </w:tcBorders>
            <w:noWrap w:val="0"/>
            <w:vAlign w:val="center"/>
          </w:tcPr>
          <w:p w14:paraId="09AB5F60">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18F5D66D">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369C6E92">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F68A5D0">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4EC71C6E">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7ECCBDF2">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6DDFC344">
            <w:pPr>
              <w:widowControl/>
              <w:spacing w:line="240" w:lineRule="auto"/>
              <w:jc w:val="left"/>
              <w:rPr>
                <w:rFonts w:hint="eastAsia" w:ascii="宋体" w:hAnsi="宋体" w:eastAsia="宋体" w:cs="宋体"/>
                <w:color w:val="auto"/>
                <w:kern w:val="0"/>
                <w:sz w:val="18"/>
                <w:szCs w:val="18"/>
                <w:highlight w:val="none"/>
              </w:rPr>
            </w:pPr>
          </w:p>
        </w:tc>
      </w:tr>
      <w:tr w14:paraId="3C50F8DA">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7F4BDB4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外场地面（含台阶、花台等）</w:t>
            </w:r>
          </w:p>
        </w:tc>
        <w:tc>
          <w:tcPr>
            <w:tcW w:w="742" w:type="dxa"/>
            <w:tcBorders>
              <w:top w:val="nil"/>
              <w:left w:val="nil"/>
              <w:bottom w:val="single" w:color="auto" w:sz="4" w:space="0"/>
              <w:right w:val="single" w:color="auto" w:sz="4" w:space="0"/>
            </w:tcBorders>
            <w:noWrap w:val="0"/>
            <w:vAlign w:val="center"/>
          </w:tcPr>
          <w:p w14:paraId="0F83CC51">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14:paraId="128156C1">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5C17CE7B">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08D37EFF">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1C6752B">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0EDC5F5E">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60ACE75A">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06CC58A7">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2FBD6AE3">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路沿石</w:t>
            </w:r>
          </w:p>
        </w:tc>
        <w:tc>
          <w:tcPr>
            <w:tcW w:w="742" w:type="dxa"/>
            <w:tcBorders>
              <w:top w:val="nil"/>
              <w:left w:val="nil"/>
              <w:bottom w:val="single" w:color="auto" w:sz="4" w:space="0"/>
              <w:right w:val="single" w:color="auto" w:sz="4" w:space="0"/>
            </w:tcBorders>
            <w:noWrap w:val="0"/>
            <w:vAlign w:val="center"/>
          </w:tcPr>
          <w:p w14:paraId="42D0429A">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14:paraId="707FE15E">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47F0E656">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6F1F28D">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72D4D908">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79FBECBE">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49E413EB">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2EED330B">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06130E34">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告示牌</w:t>
            </w:r>
          </w:p>
        </w:tc>
        <w:tc>
          <w:tcPr>
            <w:tcW w:w="742" w:type="dxa"/>
            <w:tcBorders>
              <w:top w:val="nil"/>
              <w:left w:val="nil"/>
              <w:bottom w:val="single" w:color="auto" w:sz="4" w:space="0"/>
              <w:right w:val="single" w:color="auto" w:sz="4" w:space="0"/>
            </w:tcBorders>
            <w:noWrap w:val="0"/>
            <w:vAlign w:val="center"/>
          </w:tcPr>
          <w:p w14:paraId="7B6A5D4C">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048BBE1C">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48FA85A5">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2EA4B79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32626FA9">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10C8F380">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2A3A24A2">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4737CEAC">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3B5BA656">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水马警示桩</w:t>
            </w:r>
          </w:p>
        </w:tc>
        <w:tc>
          <w:tcPr>
            <w:tcW w:w="742" w:type="dxa"/>
            <w:tcBorders>
              <w:top w:val="nil"/>
              <w:left w:val="nil"/>
              <w:bottom w:val="single" w:color="auto" w:sz="4" w:space="0"/>
              <w:right w:val="single" w:color="auto" w:sz="4" w:space="0"/>
            </w:tcBorders>
            <w:noWrap w:val="0"/>
            <w:vAlign w:val="center"/>
          </w:tcPr>
          <w:p w14:paraId="48F6773A">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6D2F0557">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1F4C0B08">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14:paraId="4BBE12D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4FEBDFD2">
            <w:pPr>
              <w:widowControl/>
              <w:spacing w:line="240" w:lineRule="auto"/>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1BDD5F85">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172BB3CC">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31A3DB03">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2BD63596">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消防设施</w:t>
            </w:r>
          </w:p>
        </w:tc>
        <w:tc>
          <w:tcPr>
            <w:tcW w:w="742" w:type="dxa"/>
            <w:tcBorders>
              <w:top w:val="nil"/>
              <w:left w:val="nil"/>
              <w:bottom w:val="single" w:color="auto" w:sz="4" w:space="0"/>
              <w:right w:val="single" w:color="auto" w:sz="4" w:space="0"/>
            </w:tcBorders>
            <w:noWrap w:val="0"/>
            <w:vAlign w:val="center"/>
          </w:tcPr>
          <w:p w14:paraId="4A0210DF">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368EE85D">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7DD7FA44">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14:paraId="3D8F283D">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14:paraId="6012E8BB">
            <w:pPr>
              <w:widowControl/>
              <w:spacing w:line="240" w:lineRule="auto"/>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14:paraId="2A950BE5">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5E01714B">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60B4EA1F">
        <w:tblPrEx>
          <w:tblCellMar>
            <w:top w:w="0" w:type="dxa"/>
            <w:left w:w="108" w:type="dxa"/>
            <w:bottom w:w="0" w:type="dxa"/>
            <w:right w:w="108" w:type="dxa"/>
          </w:tblCellMar>
        </w:tblPrEx>
        <w:trPr>
          <w:trHeight w:val="23" w:hRule="atLeast"/>
          <w:jc w:val="center"/>
        </w:trPr>
        <w:tc>
          <w:tcPr>
            <w:tcW w:w="2776" w:type="dxa"/>
            <w:tcBorders>
              <w:top w:val="single" w:color="auto" w:sz="4" w:space="0"/>
              <w:left w:val="single" w:color="auto" w:sz="4" w:space="0"/>
              <w:bottom w:val="single" w:color="auto" w:sz="4" w:space="0"/>
              <w:right w:val="single" w:color="auto" w:sz="4" w:space="0"/>
            </w:tcBorders>
            <w:noWrap w:val="0"/>
            <w:vAlign w:val="center"/>
          </w:tcPr>
          <w:p w14:paraId="0641C107">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地面小垃圾的排扫</w:t>
            </w:r>
          </w:p>
        </w:tc>
        <w:tc>
          <w:tcPr>
            <w:tcW w:w="742" w:type="dxa"/>
            <w:tcBorders>
              <w:top w:val="single" w:color="auto" w:sz="4" w:space="0"/>
              <w:left w:val="nil"/>
              <w:bottom w:val="single" w:color="auto" w:sz="4" w:space="0"/>
              <w:right w:val="single" w:color="auto" w:sz="4" w:space="0"/>
            </w:tcBorders>
            <w:noWrap w:val="0"/>
            <w:vAlign w:val="center"/>
          </w:tcPr>
          <w:p w14:paraId="2536ECE2">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14:paraId="05437A51">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single" w:color="auto" w:sz="4" w:space="0"/>
              <w:left w:val="nil"/>
              <w:bottom w:val="single" w:color="auto" w:sz="4" w:space="0"/>
              <w:right w:val="single" w:color="auto" w:sz="4" w:space="0"/>
            </w:tcBorders>
            <w:noWrap w:val="0"/>
            <w:vAlign w:val="center"/>
          </w:tcPr>
          <w:p w14:paraId="5CE76462">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nil"/>
              <w:bottom w:val="single" w:color="auto" w:sz="4" w:space="0"/>
              <w:right w:val="single" w:color="auto" w:sz="4" w:space="0"/>
            </w:tcBorders>
            <w:noWrap w:val="0"/>
            <w:vAlign w:val="center"/>
          </w:tcPr>
          <w:p w14:paraId="34B1BEC1">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14:paraId="5C5858DE">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single" w:color="auto" w:sz="4" w:space="0"/>
              <w:left w:val="nil"/>
              <w:bottom w:val="single" w:color="auto" w:sz="4" w:space="0"/>
              <w:right w:val="single" w:color="auto" w:sz="4" w:space="0"/>
            </w:tcBorders>
            <w:noWrap w:val="0"/>
            <w:vAlign w:val="center"/>
          </w:tcPr>
          <w:p w14:paraId="3E4D1B76">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nil"/>
              <w:bottom w:val="single" w:color="auto" w:sz="4" w:space="0"/>
              <w:right w:val="single" w:color="auto" w:sz="4" w:space="0"/>
            </w:tcBorders>
            <w:noWrap w:val="0"/>
            <w:vAlign w:val="center"/>
          </w:tcPr>
          <w:p w14:paraId="7E7D1C91">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1B83BE07">
        <w:tblPrEx>
          <w:tblCellMar>
            <w:top w:w="0" w:type="dxa"/>
            <w:left w:w="108" w:type="dxa"/>
            <w:bottom w:w="0" w:type="dxa"/>
            <w:right w:w="108" w:type="dxa"/>
          </w:tblCellMar>
        </w:tblPrEx>
        <w:trPr>
          <w:trHeight w:val="23" w:hRule="atLeast"/>
          <w:jc w:val="center"/>
        </w:trPr>
        <w:tc>
          <w:tcPr>
            <w:tcW w:w="2776" w:type="dxa"/>
            <w:tcBorders>
              <w:top w:val="nil"/>
              <w:left w:val="single" w:color="auto" w:sz="4" w:space="0"/>
              <w:bottom w:val="single" w:color="auto" w:sz="4" w:space="0"/>
              <w:right w:val="single" w:color="auto" w:sz="4" w:space="0"/>
            </w:tcBorders>
            <w:noWrap w:val="0"/>
            <w:vAlign w:val="center"/>
          </w:tcPr>
          <w:p w14:paraId="039C127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台账记录</w:t>
            </w:r>
          </w:p>
        </w:tc>
        <w:tc>
          <w:tcPr>
            <w:tcW w:w="742" w:type="dxa"/>
            <w:tcBorders>
              <w:top w:val="nil"/>
              <w:left w:val="nil"/>
              <w:bottom w:val="single" w:color="auto" w:sz="4" w:space="0"/>
              <w:right w:val="single" w:color="auto" w:sz="4" w:space="0"/>
            </w:tcBorders>
            <w:noWrap w:val="0"/>
            <w:vAlign w:val="center"/>
          </w:tcPr>
          <w:p w14:paraId="19E8CEB6">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55EB7B7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14:paraId="1AB7D5E1">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14:paraId="0A2125C4">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14:paraId="280681DD">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nil"/>
              <w:left w:val="nil"/>
              <w:bottom w:val="single" w:color="auto" w:sz="4" w:space="0"/>
              <w:right w:val="single" w:color="auto" w:sz="4" w:space="0"/>
            </w:tcBorders>
            <w:noWrap w:val="0"/>
            <w:vAlign w:val="center"/>
          </w:tcPr>
          <w:p w14:paraId="1F79120B">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14:paraId="44DE44A3">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7403A923">
        <w:tblPrEx>
          <w:tblCellMar>
            <w:top w:w="0" w:type="dxa"/>
            <w:left w:w="108" w:type="dxa"/>
            <w:bottom w:w="0" w:type="dxa"/>
            <w:right w:w="108" w:type="dxa"/>
          </w:tblCellMar>
        </w:tblPrEx>
        <w:trPr>
          <w:trHeight w:val="23" w:hRule="atLeast"/>
          <w:jc w:val="center"/>
        </w:trPr>
        <w:tc>
          <w:tcPr>
            <w:tcW w:w="2776" w:type="dxa"/>
            <w:tcBorders>
              <w:top w:val="single" w:color="auto" w:sz="4" w:space="0"/>
              <w:left w:val="single" w:color="auto" w:sz="4" w:space="0"/>
              <w:bottom w:val="single" w:color="auto" w:sz="4" w:space="0"/>
              <w:right w:val="single" w:color="auto" w:sz="4" w:space="0"/>
            </w:tcBorders>
            <w:noWrap w:val="0"/>
            <w:vAlign w:val="center"/>
          </w:tcPr>
          <w:p w14:paraId="63BBF6A0">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标示宣传牌、雕塑</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432C0171">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1B0B6AEA">
            <w:pPr>
              <w:widowControl/>
              <w:spacing w:line="240" w:lineRule="auto"/>
              <w:ind w:firstLine="48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045893C6">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649E8246">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33B60C6D">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14:paraId="454BFF3D">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7BD1A58">
            <w:pPr>
              <w:widowControl/>
              <w:spacing w:line="240" w:lineRule="auto"/>
              <w:ind w:firstLine="149" w:firstLineChars="83"/>
              <w:jc w:val="left"/>
              <w:rPr>
                <w:rFonts w:hint="eastAsia" w:ascii="宋体" w:hAnsi="宋体" w:eastAsia="宋体" w:cs="宋体"/>
                <w:color w:val="auto"/>
                <w:kern w:val="0"/>
                <w:sz w:val="18"/>
                <w:szCs w:val="18"/>
                <w:highlight w:val="none"/>
              </w:rPr>
            </w:pPr>
          </w:p>
        </w:tc>
      </w:tr>
      <w:tr w14:paraId="0BCEABC4">
        <w:tblPrEx>
          <w:tblCellMar>
            <w:top w:w="0" w:type="dxa"/>
            <w:left w:w="108" w:type="dxa"/>
            <w:bottom w:w="0" w:type="dxa"/>
            <w:right w:w="108" w:type="dxa"/>
          </w:tblCellMar>
        </w:tblPrEx>
        <w:trPr>
          <w:trHeight w:val="23" w:hRule="atLeast"/>
          <w:jc w:val="center"/>
        </w:trPr>
        <w:tc>
          <w:tcPr>
            <w:tcW w:w="2776" w:type="dxa"/>
            <w:tcBorders>
              <w:top w:val="single" w:color="auto" w:sz="4" w:space="0"/>
              <w:left w:val="single" w:color="auto" w:sz="4" w:space="0"/>
              <w:bottom w:val="single" w:color="auto" w:sz="4" w:space="0"/>
              <w:right w:val="single" w:color="auto" w:sz="4" w:space="0"/>
            </w:tcBorders>
            <w:noWrap w:val="0"/>
            <w:vAlign w:val="center"/>
          </w:tcPr>
          <w:p w14:paraId="35D3305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步行广场</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689A8CBB">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53DE5B37">
            <w:pPr>
              <w:widowControl/>
              <w:spacing w:line="240" w:lineRule="auto"/>
              <w:ind w:firstLine="480"/>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0280AFB8">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14:paraId="2DBEA640">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single" w:color="auto" w:sz="4" w:space="0"/>
              <w:left w:val="single" w:color="auto" w:sz="4" w:space="0"/>
              <w:bottom w:val="single" w:color="auto" w:sz="4" w:space="0"/>
              <w:right w:val="single" w:color="auto" w:sz="4" w:space="0"/>
            </w:tcBorders>
            <w:noWrap w:val="0"/>
            <w:vAlign w:val="center"/>
          </w:tcPr>
          <w:p w14:paraId="7798BC0B">
            <w:pPr>
              <w:widowControl/>
              <w:spacing w:line="240" w:lineRule="auto"/>
              <w:rPr>
                <w:rFonts w:hint="eastAsia" w:ascii="宋体" w:hAnsi="宋体" w:eastAsia="宋体" w:cs="宋体"/>
                <w:color w:val="auto"/>
                <w:kern w:val="0"/>
                <w:sz w:val="18"/>
                <w:szCs w:val="18"/>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14:paraId="2C81140A">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7D2BD3D8">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使用洗地机清洗</w:t>
            </w:r>
          </w:p>
        </w:tc>
      </w:tr>
    </w:tbl>
    <w:p w14:paraId="0D59C2F9">
      <w:pPr>
        <w:spacing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三、大厅保洁：包括办公室、会议室等</w:t>
      </w:r>
    </w:p>
    <w:p w14:paraId="1BD78EFF">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14:paraId="7B239AA6">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厅（商场）地面清扫、除尘、去污渍、湿拖，收集垃圾去指定地点并更换垃圾袋，清洁垃圾桶内外；大理石立柱（2米以下）、墙面、玻璃门清洁、去尘，玻璃幕墙内外（2米以下），门厅设施，沙发、桌椅、防滑地毯清洁吸尘，清洁除尘消防箱及灭火器，去除蜘蛛网，做好台账记录。办公区域：清扫拖地，收集垃圾，更换垃圾袋，湿擦房门及清洁玻璃，家具及固定设备除尘，湿擦，去除蜘蛛网。会议室：门、窗台、窗框，扶手。墙面、地脚线、护墙板。桌椅擦拭。室内绿化、告示牌、指示牌保洁。</w:t>
      </w:r>
    </w:p>
    <w:p w14:paraId="002BE4A7">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2、工作频率：</w:t>
      </w:r>
    </w:p>
    <w:tbl>
      <w:tblPr>
        <w:tblStyle w:val="25"/>
        <w:tblW w:w="8981" w:type="dxa"/>
        <w:jc w:val="center"/>
        <w:tblLayout w:type="fixed"/>
        <w:tblCellMar>
          <w:top w:w="0" w:type="dxa"/>
          <w:left w:w="108" w:type="dxa"/>
          <w:bottom w:w="0" w:type="dxa"/>
          <w:right w:w="108" w:type="dxa"/>
        </w:tblCellMar>
      </w:tblPr>
      <w:tblGrid>
        <w:gridCol w:w="2180"/>
        <w:gridCol w:w="818"/>
        <w:gridCol w:w="818"/>
        <w:gridCol w:w="818"/>
        <w:gridCol w:w="818"/>
        <w:gridCol w:w="818"/>
        <w:gridCol w:w="822"/>
        <w:gridCol w:w="1889"/>
      </w:tblGrid>
      <w:tr w14:paraId="56CB9B9E">
        <w:tblPrEx>
          <w:tblCellMar>
            <w:top w:w="0" w:type="dxa"/>
            <w:left w:w="108" w:type="dxa"/>
            <w:bottom w:w="0" w:type="dxa"/>
            <w:right w:w="108" w:type="dxa"/>
          </w:tblCellMar>
        </w:tblPrEx>
        <w:trPr>
          <w:trHeight w:val="23" w:hRule="atLeast"/>
          <w:jc w:val="center"/>
        </w:trPr>
        <w:tc>
          <w:tcPr>
            <w:tcW w:w="2180" w:type="dxa"/>
            <w:vMerge w:val="restart"/>
            <w:tcBorders>
              <w:top w:val="single" w:color="auto" w:sz="4" w:space="0"/>
              <w:left w:val="single" w:color="auto" w:sz="4" w:space="0"/>
              <w:bottom w:val="single" w:color="000000" w:sz="4" w:space="0"/>
              <w:right w:val="single" w:color="auto" w:sz="4" w:space="0"/>
            </w:tcBorders>
            <w:noWrap w:val="0"/>
            <w:vAlign w:val="center"/>
          </w:tcPr>
          <w:p w14:paraId="63A13771">
            <w:pPr>
              <w:widowControl/>
              <w:spacing w:line="240" w:lineRule="auto"/>
              <w:rPr>
                <w:rFonts w:hint="eastAsia" w:ascii="宋体" w:hAnsi="宋体" w:eastAsia="宋体" w:cs="宋体"/>
                <w:color w:val="auto"/>
                <w:kern w:val="0"/>
                <w:sz w:val="18"/>
                <w:szCs w:val="18"/>
                <w:highlight w:val="none"/>
              </w:rPr>
            </w:pPr>
          </w:p>
        </w:tc>
        <w:tc>
          <w:tcPr>
            <w:tcW w:w="4912" w:type="dxa"/>
            <w:gridSpan w:val="6"/>
            <w:tcBorders>
              <w:top w:val="single" w:color="auto" w:sz="4" w:space="0"/>
              <w:left w:val="nil"/>
              <w:bottom w:val="single" w:color="auto" w:sz="4" w:space="0"/>
              <w:right w:val="single" w:color="000000" w:sz="4" w:space="0"/>
            </w:tcBorders>
            <w:noWrap w:val="0"/>
            <w:vAlign w:val="center"/>
          </w:tcPr>
          <w:p w14:paraId="25A39809">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889" w:type="dxa"/>
            <w:tcBorders>
              <w:top w:val="single" w:color="auto" w:sz="4" w:space="0"/>
              <w:left w:val="nil"/>
              <w:bottom w:val="single" w:color="auto" w:sz="4" w:space="0"/>
              <w:right w:val="single" w:color="auto" w:sz="4" w:space="0"/>
            </w:tcBorders>
            <w:noWrap w:val="0"/>
            <w:vAlign w:val="center"/>
          </w:tcPr>
          <w:p w14:paraId="59D5BDE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14:paraId="3AFA681B">
        <w:tblPrEx>
          <w:tblCellMar>
            <w:top w:w="0" w:type="dxa"/>
            <w:left w:w="108" w:type="dxa"/>
            <w:bottom w:w="0" w:type="dxa"/>
            <w:right w:w="108" w:type="dxa"/>
          </w:tblCellMar>
        </w:tblPrEx>
        <w:trPr>
          <w:trHeight w:val="23" w:hRule="atLeast"/>
          <w:jc w:val="center"/>
        </w:trPr>
        <w:tc>
          <w:tcPr>
            <w:tcW w:w="2180" w:type="dxa"/>
            <w:vMerge w:val="continue"/>
            <w:tcBorders>
              <w:top w:val="single" w:color="auto" w:sz="4" w:space="0"/>
              <w:left w:val="single" w:color="auto" w:sz="4" w:space="0"/>
              <w:bottom w:val="single" w:color="000000" w:sz="4" w:space="0"/>
              <w:right w:val="single" w:color="auto" w:sz="4" w:space="0"/>
            </w:tcBorders>
            <w:noWrap w:val="0"/>
            <w:vAlign w:val="center"/>
          </w:tcPr>
          <w:p w14:paraId="337DD8E1">
            <w:pPr>
              <w:widowControl/>
              <w:spacing w:line="240" w:lineRule="auto"/>
              <w:ind w:firstLine="480"/>
              <w:jc w:val="left"/>
              <w:rPr>
                <w:rFonts w:hint="eastAsia" w:ascii="宋体" w:hAnsi="宋体" w:eastAsia="宋体" w:cs="宋体"/>
                <w:color w:val="auto"/>
                <w:kern w:val="0"/>
                <w:sz w:val="18"/>
                <w:szCs w:val="18"/>
                <w:highlight w:val="none"/>
              </w:rPr>
            </w:pPr>
          </w:p>
        </w:tc>
        <w:tc>
          <w:tcPr>
            <w:tcW w:w="818" w:type="dxa"/>
            <w:tcBorders>
              <w:top w:val="nil"/>
              <w:left w:val="nil"/>
              <w:bottom w:val="nil"/>
              <w:right w:val="nil"/>
            </w:tcBorders>
            <w:noWrap w:val="0"/>
            <w:vAlign w:val="center"/>
          </w:tcPr>
          <w:p w14:paraId="404C6E4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循环</w:t>
            </w:r>
          </w:p>
        </w:tc>
        <w:tc>
          <w:tcPr>
            <w:tcW w:w="818" w:type="dxa"/>
            <w:tcBorders>
              <w:top w:val="nil"/>
              <w:left w:val="single" w:color="auto" w:sz="4" w:space="0"/>
              <w:bottom w:val="single" w:color="auto" w:sz="4" w:space="0"/>
              <w:right w:val="single" w:color="auto" w:sz="4" w:space="0"/>
            </w:tcBorders>
            <w:noWrap w:val="0"/>
            <w:vAlign w:val="center"/>
          </w:tcPr>
          <w:p w14:paraId="43B1A92D">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818" w:type="dxa"/>
            <w:tcBorders>
              <w:top w:val="nil"/>
              <w:left w:val="nil"/>
              <w:bottom w:val="single" w:color="auto" w:sz="4" w:space="0"/>
              <w:right w:val="single" w:color="auto" w:sz="4" w:space="0"/>
            </w:tcBorders>
            <w:noWrap w:val="0"/>
            <w:vAlign w:val="center"/>
          </w:tcPr>
          <w:p w14:paraId="52123E05">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818" w:type="dxa"/>
            <w:tcBorders>
              <w:top w:val="nil"/>
              <w:left w:val="nil"/>
              <w:bottom w:val="single" w:color="auto" w:sz="4" w:space="0"/>
              <w:right w:val="single" w:color="auto" w:sz="4" w:space="0"/>
            </w:tcBorders>
            <w:noWrap w:val="0"/>
            <w:vAlign w:val="center"/>
          </w:tcPr>
          <w:p w14:paraId="66524125">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818" w:type="dxa"/>
            <w:tcBorders>
              <w:top w:val="nil"/>
              <w:left w:val="nil"/>
              <w:bottom w:val="single" w:color="auto" w:sz="4" w:space="0"/>
              <w:right w:val="single" w:color="auto" w:sz="4" w:space="0"/>
            </w:tcBorders>
            <w:noWrap w:val="0"/>
            <w:vAlign w:val="center"/>
          </w:tcPr>
          <w:p w14:paraId="789BF395">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822" w:type="dxa"/>
            <w:tcBorders>
              <w:top w:val="nil"/>
              <w:left w:val="nil"/>
              <w:bottom w:val="single" w:color="auto" w:sz="4" w:space="0"/>
              <w:right w:val="single" w:color="auto" w:sz="4" w:space="0"/>
            </w:tcBorders>
            <w:noWrap w:val="0"/>
            <w:vAlign w:val="center"/>
          </w:tcPr>
          <w:p w14:paraId="2A09987C">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889" w:type="dxa"/>
            <w:tcBorders>
              <w:top w:val="nil"/>
              <w:left w:val="nil"/>
              <w:bottom w:val="single" w:color="auto" w:sz="4" w:space="0"/>
              <w:right w:val="single" w:color="auto" w:sz="4" w:space="0"/>
            </w:tcBorders>
            <w:noWrap w:val="0"/>
            <w:vAlign w:val="center"/>
          </w:tcPr>
          <w:p w14:paraId="5EF4D0A7">
            <w:pPr>
              <w:widowControl/>
              <w:spacing w:line="240" w:lineRule="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3252902D">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5EB7ADDB">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大厅（商场）、办公室、会议室</w:t>
            </w:r>
          </w:p>
        </w:tc>
        <w:tc>
          <w:tcPr>
            <w:tcW w:w="818" w:type="dxa"/>
            <w:tcBorders>
              <w:top w:val="single" w:color="auto" w:sz="4" w:space="0"/>
              <w:left w:val="nil"/>
              <w:bottom w:val="single" w:color="auto" w:sz="4" w:space="0"/>
              <w:right w:val="single" w:color="auto" w:sz="4" w:space="0"/>
            </w:tcBorders>
            <w:noWrap w:val="0"/>
            <w:vAlign w:val="center"/>
          </w:tcPr>
          <w:p w14:paraId="085535C3">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2A4F2D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05E2C34D">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4AC2CA11">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387FAD74">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09B17E62">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732D9248">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79BC825D">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38EC85A3">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电话机</w:t>
            </w:r>
          </w:p>
        </w:tc>
        <w:tc>
          <w:tcPr>
            <w:tcW w:w="818" w:type="dxa"/>
            <w:tcBorders>
              <w:top w:val="single" w:color="auto" w:sz="4" w:space="0"/>
              <w:left w:val="nil"/>
              <w:bottom w:val="single" w:color="auto" w:sz="4" w:space="0"/>
              <w:right w:val="single" w:color="auto" w:sz="4" w:space="0"/>
            </w:tcBorders>
            <w:noWrap w:val="0"/>
            <w:vAlign w:val="center"/>
          </w:tcPr>
          <w:p w14:paraId="4BC33C1F">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14:paraId="64056302">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7D328CF1">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2EF1ADC6">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536AFC10">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69027C72">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122C9FEE">
            <w:pPr>
              <w:widowControl/>
              <w:spacing w:line="240" w:lineRule="auto"/>
              <w:ind w:firstLine="480"/>
              <w:jc w:val="center"/>
              <w:rPr>
                <w:rFonts w:hint="eastAsia" w:ascii="宋体" w:hAnsi="宋体" w:eastAsia="宋体" w:cs="宋体"/>
                <w:color w:val="auto"/>
                <w:kern w:val="0"/>
                <w:sz w:val="18"/>
                <w:szCs w:val="18"/>
                <w:highlight w:val="none"/>
              </w:rPr>
            </w:pPr>
          </w:p>
        </w:tc>
      </w:tr>
      <w:tr w14:paraId="17D80824">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54565640">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开水房</w:t>
            </w:r>
          </w:p>
        </w:tc>
        <w:tc>
          <w:tcPr>
            <w:tcW w:w="818" w:type="dxa"/>
            <w:tcBorders>
              <w:top w:val="nil"/>
              <w:left w:val="nil"/>
              <w:bottom w:val="single" w:color="auto" w:sz="4" w:space="0"/>
              <w:right w:val="single" w:color="auto" w:sz="4" w:space="0"/>
            </w:tcBorders>
            <w:noWrap w:val="0"/>
            <w:vAlign w:val="center"/>
          </w:tcPr>
          <w:p w14:paraId="490A332C">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14:paraId="3D6A2920">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4FB6106">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4C775F46">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59A56A52">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34E430D6">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0EC19781">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14:paraId="20A1A12B">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4D1E0937">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空调外机</w:t>
            </w:r>
          </w:p>
        </w:tc>
        <w:tc>
          <w:tcPr>
            <w:tcW w:w="818" w:type="dxa"/>
            <w:tcBorders>
              <w:top w:val="nil"/>
              <w:left w:val="nil"/>
              <w:bottom w:val="single" w:color="auto" w:sz="4" w:space="0"/>
              <w:right w:val="single" w:color="auto" w:sz="4" w:space="0"/>
            </w:tcBorders>
            <w:noWrap w:val="0"/>
            <w:vAlign w:val="center"/>
          </w:tcPr>
          <w:p w14:paraId="6A1962E2">
            <w:pPr>
              <w:widowControl/>
              <w:spacing w:line="240" w:lineRule="auto"/>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7CE9AA5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4C5E81E1">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DA6EF0F">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4456515C">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10D5A538">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213959F5">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7397EC69">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0F59276D">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大理石花岗石墙面柱面（2米以下）</w:t>
            </w:r>
          </w:p>
        </w:tc>
        <w:tc>
          <w:tcPr>
            <w:tcW w:w="818" w:type="dxa"/>
            <w:tcBorders>
              <w:top w:val="nil"/>
              <w:left w:val="nil"/>
              <w:bottom w:val="single" w:color="auto" w:sz="4" w:space="0"/>
              <w:right w:val="single" w:color="auto" w:sz="4" w:space="0"/>
            </w:tcBorders>
            <w:noWrap w:val="0"/>
            <w:vAlign w:val="center"/>
          </w:tcPr>
          <w:p w14:paraId="037BF4DA">
            <w:pPr>
              <w:widowControl/>
              <w:spacing w:line="240" w:lineRule="auto"/>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715EA6A">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45FD2D6A">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62934D8">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454EC009">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78FEFE61">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385AAB67">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7424B4EA">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789535D7">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玻璃墙面金属框架</w:t>
            </w:r>
          </w:p>
        </w:tc>
        <w:tc>
          <w:tcPr>
            <w:tcW w:w="818" w:type="dxa"/>
            <w:tcBorders>
              <w:top w:val="nil"/>
              <w:left w:val="nil"/>
              <w:bottom w:val="single" w:color="auto" w:sz="4" w:space="0"/>
              <w:right w:val="single" w:color="auto" w:sz="4" w:space="0"/>
            </w:tcBorders>
            <w:noWrap w:val="0"/>
            <w:vAlign w:val="center"/>
          </w:tcPr>
          <w:p w14:paraId="10172CC4">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18BAE27">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69698BAC">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nil"/>
              <w:right w:val="nil"/>
            </w:tcBorders>
            <w:noWrap w:val="0"/>
            <w:vAlign w:val="center"/>
          </w:tcPr>
          <w:p w14:paraId="3DB1D7FC">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single" w:color="auto" w:sz="4" w:space="0"/>
              <w:bottom w:val="single" w:color="auto" w:sz="4" w:space="0"/>
              <w:right w:val="single" w:color="auto" w:sz="4" w:space="0"/>
            </w:tcBorders>
            <w:noWrap w:val="0"/>
            <w:vAlign w:val="center"/>
          </w:tcPr>
          <w:p w14:paraId="1F287B52">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0D168F33">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3FFBF2A1">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2D70E9FC">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4DCD84EB">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不锈钢面</w:t>
            </w:r>
          </w:p>
        </w:tc>
        <w:tc>
          <w:tcPr>
            <w:tcW w:w="818" w:type="dxa"/>
            <w:tcBorders>
              <w:top w:val="nil"/>
              <w:left w:val="nil"/>
              <w:bottom w:val="single" w:color="auto" w:sz="4" w:space="0"/>
              <w:right w:val="single" w:color="auto" w:sz="4" w:space="0"/>
            </w:tcBorders>
            <w:noWrap w:val="0"/>
            <w:vAlign w:val="center"/>
          </w:tcPr>
          <w:p w14:paraId="23D1DBBD">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14:paraId="472BF932">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6D53DFC">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single" w:color="auto" w:sz="4" w:space="0"/>
              <w:left w:val="nil"/>
              <w:bottom w:val="single" w:color="auto" w:sz="4" w:space="0"/>
              <w:right w:val="single" w:color="auto" w:sz="4" w:space="0"/>
            </w:tcBorders>
            <w:noWrap w:val="0"/>
            <w:vAlign w:val="center"/>
          </w:tcPr>
          <w:p w14:paraId="2F5169B5">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36A1AD5B">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2B818699">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7596AB82">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14:paraId="25426C97">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37EF97EF">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地面清洗抛光</w:t>
            </w:r>
          </w:p>
        </w:tc>
        <w:tc>
          <w:tcPr>
            <w:tcW w:w="818" w:type="dxa"/>
            <w:tcBorders>
              <w:top w:val="nil"/>
              <w:left w:val="nil"/>
              <w:bottom w:val="single" w:color="auto" w:sz="4" w:space="0"/>
              <w:right w:val="single" w:color="auto" w:sz="4" w:space="0"/>
            </w:tcBorders>
            <w:noWrap w:val="0"/>
            <w:vAlign w:val="center"/>
          </w:tcPr>
          <w:p w14:paraId="718C3CE3">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33B38AEB">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F2BAE63">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7847E3BE">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18" w:type="dxa"/>
            <w:tcBorders>
              <w:top w:val="nil"/>
              <w:left w:val="nil"/>
              <w:bottom w:val="single" w:color="auto" w:sz="4" w:space="0"/>
              <w:right w:val="single" w:color="auto" w:sz="4" w:space="0"/>
            </w:tcBorders>
            <w:noWrap w:val="0"/>
            <w:vAlign w:val="center"/>
          </w:tcPr>
          <w:p w14:paraId="1D7FAD42">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192B7941">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59C44BED">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004E03B7">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15381B88">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地毯</w:t>
            </w:r>
          </w:p>
        </w:tc>
        <w:tc>
          <w:tcPr>
            <w:tcW w:w="818" w:type="dxa"/>
            <w:tcBorders>
              <w:top w:val="nil"/>
              <w:left w:val="nil"/>
              <w:bottom w:val="single" w:color="auto" w:sz="4" w:space="0"/>
              <w:right w:val="single" w:color="auto" w:sz="4" w:space="0"/>
            </w:tcBorders>
            <w:noWrap w:val="0"/>
            <w:vAlign w:val="center"/>
          </w:tcPr>
          <w:p w14:paraId="4AAF64E8">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14:paraId="3EBE7BF1">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36F9FBF">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C0FEA98">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18" w:type="dxa"/>
            <w:tcBorders>
              <w:top w:val="nil"/>
              <w:left w:val="nil"/>
              <w:bottom w:val="single" w:color="auto" w:sz="4" w:space="0"/>
              <w:right w:val="single" w:color="auto" w:sz="4" w:space="0"/>
            </w:tcBorders>
            <w:noWrap w:val="0"/>
            <w:vAlign w:val="center"/>
          </w:tcPr>
          <w:p w14:paraId="2CB72390">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320E5468">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6ED7F10F">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0351ADC9">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1E093481">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通风口灯具饰物</w:t>
            </w:r>
          </w:p>
        </w:tc>
        <w:tc>
          <w:tcPr>
            <w:tcW w:w="818" w:type="dxa"/>
            <w:tcBorders>
              <w:top w:val="nil"/>
              <w:left w:val="nil"/>
              <w:bottom w:val="single" w:color="auto" w:sz="4" w:space="0"/>
              <w:right w:val="single" w:color="auto" w:sz="4" w:space="0"/>
            </w:tcBorders>
            <w:noWrap w:val="0"/>
            <w:vAlign w:val="center"/>
          </w:tcPr>
          <w:p w14:paraId="7950FEE9">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7B5A185A">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78C2B33">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A7B0369">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73FB7C20">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6AEFE86C">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5BFE10D4">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60481A15">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17DD08C8">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绿化、指示牌等</w:t>
            </w:r>
          </w:p>
        </w:tc>
        <w:tc>
          <w:tcPr>
            <w:tcW w:w="818" w:type="dxa"/>
            <w:tcBorders>
              <w:top w:val="nil"/>
              <w:left w:val="nil"/>
              <w:bottom w:val="single" w:color="auto" w:sz="4" w:space="0"/>
              <w:right w:val="single" w:color="auto" w:sz="4" w:space="0"/>
            </w:tcBorders>
            <w:noWrap w:val="0"/>
            <w:vAlign w:val="center"/>
          </w:tcPr>
          <w:p w14:paraId="406B188E">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05D92388">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02275D07">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39A79408">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68846663">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337A13A6">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24AD808B">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6F24FFE1">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65D0BC8D">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垃圾收集、清扫地面</w:t>
            </w:r>
          </w:p>
        </w:tc>
        <w:tc>
          <w:tcPr>
            <w:tcW w:w="818" w:type="dxa"/>
            <w:tcBorders>
              <w:top w:val="nil"/>
              <w:left w:val="nil"/>
              <w:bottom w:val="single" w:color="auto" w:sz="4" w:space="0"/>
              <w:right w:val="single" w:color="auto" w:sz="4" w:space="0"/>
            </w:tcBorders>
            <w:noWrap w:val="0"/>
            <w:vAlign w:val="center"/>
          </w:tcPr>
          <w:p w14:paraId="16A994CB">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14:paraId="4B1FBDEF">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438AD9FD">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4A38E831">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13A93613">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0CE67743">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6B77CD21">
            <w:pPr>
              <w:widowControl/>
              <w:spacing w:line="240" w:lineRule="auto"/>
              <w:ind w:firstLine="480"/>
              <w:jc w:val="center"/>
              <w:rPr>
                <w:rFonts w:hint="eastAsia" w:ascii="宋体" w:hAnsi="宋体" w:eastAsia="宋体" w:cs="宋体"/>
                <w:color w:val="auto"/>
                <w:kern w:val="0"/>
                <w:sz w:val="18"/>
                <w:szCs w:val="18"/>
                <w:highlight w:val="none"/>
              </w:rPr>
            </w:pPr>
          </w:p>
        </w:tc>
      </w:tr>
      <w:tr w14:paraId="45E23ED7">
        <w:tblPrEx>
          <w:tblCellMar>
            <w:top w:w="0" w:type="dxa"/>
            <w:left w:w="108" w:type="dxa"/>
            <w:bottom w:w="0" w:type="dxa"/>
            <w:right w:w="108" w:type="dxa"/>
          </w:tblCellMar>
        </w:tblPrEx>
        <w:trPr>
          <w:trHeight w:val="23" w:hRule="atLeast"/>
          <w:jc w:val="center"/>
        </w:trPr>
        <w:tc>
          <w:tcPr>
            <w:tcW w:w="2180" w:type="dxa"/>
            <w:tcBorders>
              <w:top w:val="nil"/>
              <w:left w:val="single" w:color="auto" w:sz="4" w:space="0"/>
              <w:bottom w:val="single" w:color="auto" w:sz="4" w:space="0"/>
              <w:right w:val="single" w:color="auto" w:sz="4" w:space="0"/>
            </w:tcBorders>
            <w:noWrap w:val="0"/>
            <w:vAlign w:val="center"/>
          </w:tcPr>
          <w:p w14:paraId="287E1C23">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立柱、墙面、踢脚线、护墙板</w:t>
            </w:r>
          </w:p>
        </w:tc>
        <w:tc>
          <w:tcPr>
            <w:tcW w:w="818" w:type="dxa"/>
            <w:tcBorders>
              <w:top w:val="nil"/>
              <w:left w:val="nil"/>
              <w:bottom w:val="single" w:color="auto" w:sz="4" w:space="0"/>
              <w:right w:val="single" w:color="auto" w:sz="4" w:space="0"/>
            </w:tcBorders>
            <w:noWrap w:val="0"/>
            <w:vAlign w:val="center"/>
          </w:tcPr>
          <w:p w14:paraId="237BE45A">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74D26E63">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6B55C5D8">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14:paraId="06F8F1DE">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14:paraId="31F39F93">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14:paraId="18C87BBD">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14:paraId="0F44A12D">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14:paraId="5C5DF7F8">
      <w:pPr>
        <w:bidi w:val="0"/>
        <w:jc w:val="center"/>
        <w:rPr>
          <w:rFonts w:hint="eastAsia" w:ascii="宋体" w:hAnsi="宋体" w:eastAsia="宋体" w:cs="宋体"/>
          <w:b/>
          <w:bCs/>
          <w:highlight w:val="none"/>
          <w:lang w:val="zh-CN"/>
        </w:rPr>
      </w:pPr>
      <w:r>
        <w:rPr>
          <w:rFonts w:hint="eastAsia" w:ascii="宋体" w:hAnsi="宋体" w:eastAsia="宋体" w:cs="宋体"/>
          <w:b/>
          <w:bCs/>
          <w:highlight w:val="none"/>
          <w:lang w:val="zh-CN"/>
        </w:rPr>
        <w:t>服务区设施设备维护量化标准</w:t>
      </w:r>
    </w:p>
    <w:p w14:paraId="4E91D949">
      <w:pPr>
        <w:bidi w:val="0"/>
        <w:jc w:val="center"/>
        <w:rPr>
          <w:rFonts w:hint="eastAsia" w:ascii="宋体" w:hAnsi="宋体" w:eastAsia="宋体" w:cs="宋体"/>
          <w:b/>
          <w:bCs/>
          <w:color w:val="auto"/>
          <w:szCs w:val="21"/>
          <w:highlight w:val="none"/>
        </w:rPr>
      </w:pPr>
      <w:r>
        <w:rPr>
          <w:rFonts w:hint="eastAsia" w:ascii="宋体" w:hAnsi="宋体" w:eastAsia="宋体" w:cs="宋体"/>
          <w:b/>
          <w:bCs/>
          <w:highlight w:val="none"/>
        </w:rPr>
        <w:t>照明设施定期维护要</w:t>
      </w:r>
      <w:r>
        <w:rPr>
          <w:rFonts w:hint="eastAsia" w:ascii="宋体" w:hAnsi="宋体" w:eastAsia="宋体" w:cs="宋体"/>
          <w:b/>
          <w:bCs/>
          <w:color w:val="auto"/>
          <w:szCs w:val="21"/>
          <w:highlight w:val="none"/>
        </w:rPr>
        <w:t>求</w:t>
      </w:r>
    </w:p>
    <w:tbl>
      <w:tblPr>
        <w:tblStyle w:val="25"/>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39"/>
        <w:gridCol w:w="1939"/>
        <w:gridCol w:w="1152"/>
        <w:gridCol w:w="2900"/>
      </w:tblGrid>
      <w:tr w14:paraId="1584A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tcBorders>
              <w:top w:val="single" w:color="auto" w:sz="8" w:space="0"/>
              <w:bottom w:val="single" w:color="auto" w:sz="8" w:space="0"/>
            </w:tcBorders>
            <w:noWrap w:val="0"/>
            <w:vAlign w:val="center"/>
          </w:tcPr>
          <w:p w14:paraId="013399C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3878" w:type="dxa"/>
            <w:gridSpan w:val="2"/>
            <w:tcBorders>
              <w:top w:val="single" w:color="auto" w:sz="8" w:space="0"/>
              <w:bottom w:val="single" w:color="auto" w:sz="8" w:space="0"/>
            </w:tcBorders>
            <w:noWrap w:val="0"/>
            <w:vAlign w:val="center"/>
          </w:tcPr>
          <w:p w14:paraId="7F6B359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1152" w:type="dxa"/>
            <w:tcBorders>
              <w:top w:val="single" w:color="auto" w:sz="8" w:space="0"/>
              <w:bottom w:val="single" w:color="auto" w:sz="8" w:space="0"/>
            </w:tcBorders>
            <w:noWrap w:val="0"/>
            <w:vAlign w:val="center"/>
          </w:tcPr>
          <w:p w14:paraId="421ED1B9">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2900" w:type="dxa"/>
            <w:tcBorders>
              <w:top w:val="single" w:color="auto" w:sz="8" w:space="0"/>
              <w:bottom w:val="single" w:color="auto" w:sz="8" w:space="0"/>
            </w:tcBorders>
            <w:noWrap w:val="0"/>
            <w:vAlign w:val="center"/>
          </w:tcPr>
          <w:p w14:paraId="3D524F7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具体操作内容</w:t>
            </w:r>
          </w:p>
        </w:tc>
      </w:tr>
      <w:tr w14:paraId="52FC3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tcBorders>
              <w:top w:val="single" w:color="auto" w:sz="8" w:space="0"/>
            </w:tcBorders>
            <w:noWrap w:val="0"/>
            <w:vAlign w:val="center"/>
          </w:tcPr>
          <w:p w14:paraId="4723523B">
            <w:pPr>
              <w:pStyle w:val="68"/>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39" w:type="dxa"/>
            <w:vMerge w:val="restart"/>
            <w:tcBorders>
              <w:top w:val="single" w:color="auto" w:sz="8" w:space="0"/>
            </w:tcBorders>
            <w:noWrap w:val="0"/>
            <w:vAlign w:val="center"/>
          </w:tcPr>
          <w:p w14:paraId="27CC485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灯具与光源</w:t>
            </w:r>
          </w:p>
          <w:p w14:paraId="45A12E0E">
            <w:pPr>
              <w:pStyle w:val="68"/>
              <w:spacing w:line="240" w:lineRule="auto"/>
              <w:ind w:firstLine="0" w:firstLineChars="0"/>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应急照明设施</w:t>
            </w:r>
          </w:p>
        </w:tc>
        <w:tc>
          <w:tcPr>
            <w:tcW w:w="1939" w:type="dxa"/>
            <w:tcBorders>
              <w:top w:val="single" w:color="auto" w:sz="8" w:space="0"/>
            </w:tcBorders>
            <w:noWrap w:val="0"/>
            <w:vAlign w:val="center"/>
          </w:tcPr>
          <w:p w14:paraId="29A1BCE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tcBorders>
              <w:top w:val="single" w:color="auto" w:sz="8" w:space="0"/>
            </w:tcBorders>
            <w:noWrap w:val="0"/>
            <w:vAlign w:val="center"/>
          </w:tcPr>
          <w:p w14:paraId="044BDC6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900" w:type="dxa"/>
            <w:tcBorders>
              <w:top w:val="single" w:color="auto" w:sz="8" w:space="0"/>
            </w:tcBorders>
            <w:noWrap w:val="0"/>
            <w:vAlign w:val="center"/>
          </w:tcPr>
          <w:p w14:paraId="6B3A1D5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观察、发现损坏立即更换</w:t>
            </w:r>
          </w:p>
        </w:tc>
      </w:tr>
      <w:tr w14:paraId="1497F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4074E377">
            <w:pPr>
              <w:pStyle w:val="68"/>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30339EB6">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14:paraId="5FBBC188">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noWrap w:val="0"/>
            <w:vAlign w:val="center"/>
          </w:tcPr>
          <w:p w14:paraId="686D2AA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noWrap w:val="0"/>
            <w:vAlign w:val="center"/>
          </w:tcPr>
          <w:p w14:paraId="7D85107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14:paraId="38924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14:paraId="3E8B8D75">
            <w:pPr>
              <w:pStyle w:val="68"/>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39" w:type="dxa"/>
            <w:vMerge w:val="restart"/>
            <w:noWrap w:val="0"/>
            <w:vAlign w:val="center"/>
          </w:tcPr>
          <w:p w14:paraId="0209C64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高杆灯</w:t>
            </w:r>
          </w:p>
        </w:tc>
        <w:tc>
          <w:tcPr>
            <w:tcW w:w="1939" w:type="dxa"/>
            <w:noWrap w:val="0"/>
            <w:vAlign w:val="center"/>
          </w:tcPr>
          <w:p w14:paraId="589ACC7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noWrap w:val="0"/>
            <w:vAlign w:val="center"/>
          </w:tcPr>
          <w:p w14:paraId="419186C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900" w:type="dxa"/>
            <w:noWrap w:val="0"/>
            <w:vAlign w:val="center"/>
          </w:tcPr>
          <w:p w14:paraId="55DF9A0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14:paraId="0F78C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7FD69F9A">
            <w:pPr>
              <w:pStyle w:val="68"/>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21AE6C81">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14:paraId="177F73E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灯架防腐</w:t>
            </w:r>
          </w:p>
        </w:tc>
        <w:tc>
          <w:tcPr>
            <w:tcW w:w="1152" w:type="dxa"/>
            <w:noWrap w:val="0"/>
            <w:vAlign w:val="center"/>
          </w:tcPr>
          <w:p w14:paraId="35743B6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3月</w:t>
            </w:r>
          </w:p>
        </w:tc>
        <w:tc>
          <w:tcPr>
            <w:tcW w:w="2900" w:type="dxa"/>
            <w:noWrap w:val="0"/>
            <w:vAlign w:val="center"/>
          </w:tcPr>
          <w:p w14:paraId="2B564BA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损坏时更换</w:t>
            </w:r>
          </w:p>
        </w:tc>
      </w:tr>
      <w:tr w14:paraId="7DE7D2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55D0A22A">
            <w:pPr>
              <w:pStyle w:val="68"/>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58EC156E">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14:paraId="09215FC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noWrap w:val="0"/>
            <w:vAlign w:val="center"/>
          </w:tcPr>
          <w:p w14:paraId="082AAD2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1年</w:t>
            </w:r>
          </w:p>
        </w:tc>
        <w:tc>
          <w:tcPr>
            <w:tcW w:w="2900" w:type="dxa"/>
            <w:noWrap w:val="0"/>
            <w:vAlign w:val="center"/>
          </w:tcPr>
          <w:p w14:paraId="73BB7FE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14:paraId="20D58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2EE8363B">
            <w:pPr>
              <w:pStyle w:val="68"/>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6A6CA762">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14:paraId="19E6E9C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升降器检修</w:t>
            </w:r>
          </w:p>
        </w:tc>
        <w:tc>
          <w:tcPr>
            <w:tcW w:w="1152" w:type="dxa"/>
            <w:noWrap w:val="0"/>
            <w:vAlign w:val="center"/>
          </w:tcPr>
          <w:p w14:paraId="61F2D0A8">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noWrap w:val="0"/>
            <w:vAlign w:val="center"/>
          </w:tcPr>
          <w:p w14:paraId="3CB30ED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检查与维修</w:t>
            </w:r>
          </w:p>
        </w:tc>
      </w:tr>
      <w:tr w14:paraId="69ED8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14:paraId="7C539244">
            <w:pPr>
              <w:pStyle w:val="68"/>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39" w:type="dxa"/>
            <w:vMerge w:val="restart"/>
            <w:noWrap w:val="0"/>
            <w:vAlign w:val="center"/>
          </w:tcPr>
          <w:p w14:paraId="3CFFC01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照明配电箱</w:t>
            </w:r>
          </w:p>
        </w:tc>
        <w:tc>
          <w:tcPr>
            <w:tcW w:w="1939" w:type="dxa"/>
            <w:noWrap w:val="0"/>
            <w:vAlign w:val="center"/>
          </w:tcPr>
          <w:p w14:paraId="674D720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noWrap w:val="0"/>
            <w:vAlign w:val="center"/>
          </w:tcPr>
          <w:p w14:paraId="0FBDBFD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每月</w:t>
            </w:r>
          </w:p>
        </w:tc>
        <w:tc>
          <w:tcPr>
            <w:tcW w:w="2900" w:type="dxa"/>
            <w:noWrap w:val="0"/>
            <w:vAlign w:val="center"/>
          </w:tcPr>
          <w:p w14:paraId="026D558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14:paraId="4BCEA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77CE6E61">
            <w:pPr>
              <w:pStyle w:val="68"/>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14:paraId="04FFD70B">
            <w:pPr>
              <w:pStyle w:val="68"/>
              <w:spacing w:line="240" w:lineRule="auto"/>
              <w:ind w:firstLine="0" w:firstLineChars="0"/>
              <w:jc w:val="center"/>
              <w:rPr>
                <w:rFonts w:hint="eastAsia" w:ascii="宋体" w:hAnsi="宋体" w:eastAsia="宋体" w:cs="宋体"/>
                <w:color w:val="auto"/>
                <w:sz w:val="18"/>
                <w:szCs w:val="18"/>
                <w:highlight w:val="none"/>
              </w:rPr>
            </w:pPr>
          </w:p>
        </w:tc>
        <w:tc>
          <w:tcPr>
            <w:tcW w:w="1939" w:type="dxa"/>
            <w:tcBorders>
              <w:bottom w:val="single" w:color="auto" w:sz="4" w:space="0"/>
            </w:tcBorders>
            <w:noWrap w:val="0"/>
            <w:vAlign w:val="center"/>
          </w:tcPr>
          <w:p w14:paraId="3BF3F47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tcBorders>
              <w:bottom w:val="single" w:color="auto" w:sz="4" w:space="0"/>
            </w:tcBorders>
            <w:noWrap w:val="0"/>
            <w:vAlign w:val="center"/>
          </w:tcPr>
          <w:p w14:paraId="4DF500F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tcBorders>
              <w:bottom w:val="single" w:color="auto" w:sz="4" w:space="0"/>
            </w:tcBorders>
            <w:noWrap w:val="0"/>
            <w:vAlign w:val="center"/>
          </w:tcPr>
          <w:p w14:paraId="1E542AB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更换、紧固、涂漆</w:t>
            </w:r>
          </w:p>
        </w:tc>
      </w:tr>
      <w:tr w14:paraId="3F5C5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tcBorders>
              <w:bottom w:val="single" w:color="auto" w:sz="8" w:space="0"/>
            </w:tcBorders>
            <w:noWrap w:val="0"/>
            <w:vAlign w:val="center"/>
          </w:tcPr>
          <w:p w14:paraId="79F7E034">
            <w:pPr>
              <w:pStyle w:val="68"/>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tcBorders>
              <w:bottom w:val="single" w:color="auto" w:sz="8" w:space="0"/>
            </w:tcBorders>
            <w:noWrap w:val="0"/>
            <w:vAlign w:val="center"/>
          </w:tcPr>
          <w:p w14:paraId="04A363B3">
            <w:pPr>
              <w:pStyle w:val="68"/>
              <w:spacing w:line="240" w:lineRule="auto"/>
              <w:ind w:firstLine="0" w:firstLineChars="0"/>
              <w:jc w:val="center"/>
              <w:rPr>
                <w:rFonts w:hint="eastAsia" w:ascii="宋体" w:hAnsi="宋体" w:eastAsia="宋体" w:cs="宋体"/>
                <w:color w:val="auto"/>
                <w:sz w:val="18"/>
                <w:szCs w:val="18"/>
                <w:highlight w:val="none"/>
              </w:rPr>
            </w:pPr>
          </w:p>
        </w:tc>
        <w:tc>
          <w:tcPr>
            <w:tcW w:w="1939" w:type="dxa"/>
            <w:tcBorders>
              <w:top w:val="single" w:color="auto" w:sz="4" w:space="0"/>
              <w:bottom w:val="single" w:color="auto" w:sz="8" w:space="0"/>
            </w:tcBorders>
            <w:noWrap w:val="0"/>
            <w:vAlign w:val="center"/>
          </w:tcPr>
          <w:p w14:paraId="66D601F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检测光控和时控</w:t>
            </w:r>
          </w:p>
        </w:tc>
        <w:tc>
          <w:tcPr>
            <w:tcW w:w="1152" w:type="dxa"/>
            <w:tcBorders>
              <w:top w:val="single" w:color="auto" w:sz="4" w:space="0"/>
              <w:bottom w:val="single" w:color="auto" w:sz="8" w:space="0"/>
            </w:tcBorders>
            <w:noWrap w:val="0"/>
            <w:vAlign w:val="center"/>
          </w:tcPr>
          <w:p w14:paraId="51E041B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tcBorders>
              <w:top w:val="single" w:color="auto" w:sz="4" w:space="0"/>
              <w:bottom w:val="single" w:color="auto" w:sz="8" w:space="0"/>
            </w:tcBorders>
            <w:noWrap w:val="0"/>
            <w:vAlign w:val="center"/>
          </w:tcPr>
          <w:p w14:paraId="6FCC9D2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损坏后及时更换</w:t>
            </w:r>
          </w:p>
        </w:tc>
      </w:tr>
    </w:tbl>
    <w:p w14:paraId="4C705C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035113D">
      <w:pPr>
        <w:pStyle w:val="67"/>
        <w:tabs>
          <w:tab w:val="clear" w:pos="360"/>
        </w:tabs>
        <w:spacing w:before="120" w:after="120" w:line="240" w:lineRule="auto"/>
        <w:ind w:left="0" w:firstLine="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高、低压配电柜定期维护要求</w:t>
      </w:r>
    </w:p>
    <w:tbl>
      <w:tblPr>
        <w:tblStyle w:val="25"/>
        <w:tblW w:w="8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186"/>
        <w:gridCol w:w="958"/>
        <w:gridCol w:w="4710"/>
      </w:tblGrid>
      <w:tr w14:paraId="093FD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8" w:space="0"/>
              <w:bottom w:val="single" w:color="auto" w:sz="8" w:space="0"/>
            </w:tcBorders>
            <w:noWrap w:val="0"/>
            <w:vAlign w:val="center"/>
          </w:tcPr>
          <w:p w14:paraId="4D7C8B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186" w:type="dxa"/>
            <w:tcBorders>
              <w:top w:val="single" w:color="auto" w:sz="8" w:space="0"/>
              <w:bottom w:val="single" w:color="auto" w:sz="8" w:space="0"/>
            </w:tcBorders>
            <w:noWrap w:val="0"/>
            <w:vAlign w:val="center"/>
          </w:tcPr>
          <w:p w14:paraId="43A0DB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958" w:type="dxa"/>
            <w:tcBorders>
              <w:top w:val="single" w:color="auto" w:sz="8" w:space="0"/>
              <w:bottom w:val="single" w:color="auto" w:sz="8" w:space="0"/>
            </w:tcBorders>
            <w:noWrap w:val="0"/>
            <w:vAlign w:val="center"/>
          </w:tcPr>
          <w:p w14:paraId="5C6C36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710" w:type="dxa"/>
            <w:tcBorders>
              <w:top w:val="single" w:color="auto" w:sz="8" w:space="0"/>
              <w:bottom w:val="single" w:color="auto" w:sz="8" w:space="0"/>
            </w:tcBorders>
            <w:noWrap w:val="0"/>
            <w:vAlign w:val="center"/>
          </w:tcPr>
          <w:p w14:paraId="1667F3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14:paraId="6C7B5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8" w:space="0"/>
            </w:tcBorders>
            <w:noWrap w:val="0"/>
            <w:vAlign w:val="center"/>
          </w:tcPr>
          <w:p w14:paraId="0787A5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186" w:type="dxa"/>
            <w:tcBorders>
              <w:top w:val="single" w:color="auto" w:sz="8" w:space="0"/>
            </w:tcBorders>
            <w:noWrap w:val="0"/>
            <w:vAlign w:val="center"/>
          </w:tcPr>
          <w:p w14:paraId="2D419A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w:t>
            </w:r>
          </w:p>
        </w:tc>
        <w:tc>
          <w:tcPr>
            <w:tcW w:w="958" w:type="dxa"/>
            <w:tcBorders>
              <w:top w:val="single" w:color="auto" w:sz="8" w:space="0"/>
            </w:tcBorders>
            <w:noWrap w:val="0"/>
            <w:vAlign w:val="center"/>
          </w:tcPr>
          <w:p w14:paraId="5CC5CF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tcBorders>
              <w:top w:val="single" w:color="auto" w:sz="8" w:space="0"/>
            </w:tcBorders>
            <w:noWrap w:val="0"/>
            <w:vAlign w:val="center"/>
          </w:tcPr>
          <w:p w14:paraId="503044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清洁</w:t>
            </w:r>
          </w:p>
        </w:tc>
      </w:tr>
      <w:tr w14:paraId="3223B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14:paraId="5E8204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186" w:type="dxa"/>
            <w:noWrap w:val="0"/>
            <w:vAlign w:val="center"/>
          </w:tcPr>
          <w:p w14:paraId="0E506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电器仪表</w:t>
            </w:r>
          </w:p>
        </w:tc>
        <w:tc>
          <w:tcPr>
            <w:tcW w:w="958" w:type="dxa"/>
            <w:noWrap w:val="0"/>
            <w:vAlign w:val="center"/>
          </w:tcPr>
          <w:p w14:paraId="70EDF7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14:paraId="235B9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外表清洁，显示正常、固定可靠</w:t>
            </w:r>
          </w:p>
        </w:tc>
      </w:tr>
      <w:tr w14:paraId="5F925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14:paraId="6E0501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186" w:type="dxa"/>
            <w:noWrap w:val="0"/>
            <w:vAlign w:val="center"/>
          </w:tcPr>
          <w:p w14:paraId="5EB857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继电器、交流接触器、断路器、闸刀开关</w:t>
            </w:r>
          </w:p>
        </w:tc>
        <w:tc>
          <w:tcPr>
            <w:tcW w:w="958" w:type="dxa"/>
            <w:noWrap w:val="0"/>
            <w:vAlign w:val="center"/>
          </w:tcPr>
          <w:p w14:paraId="01F50D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14:paraId="4EFBAC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外表清洁，触点完好，无过热现象，无噪音</w:t>
            </w:r>
          </w:p>
        </w:tc>
      </w:tr>
      <w:tr w14:paraId="4D667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14:paraId="3DB6C6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186" w:type="dxa"/>
            <w:noWrap w:val="0"/>
            <w:vAlign w:val="center"/>
          </w:tcPr>
          <w:p w14:paraId="3FD8B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958" w:type="dxa"/>
            <w:noWrap w:val="0"/>
            <w:vAlign w:val="center"/>
          </w:tcPr>
          <w:p w14:paraId="207D3B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14:paraId="7D5CC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14:paraId="226FD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14:paraId="400674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186" w:type="dxa"/>
            <w:noWrap w:val="0"/>
            <w:vAlign w:val="center"/>
          </w:tcPr>
          <w:p w14:paraId="53ACD6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指示灯、按钮转换开关</w:t>
            </w:r>
          </w:p>
        </w:tc>
        <w:tc>
          <w:tcPr>
            <w:tcW w:w="958" w:type="dxa"/>
            <w:noWrap w:val="0"/>
            <w:vAlign w:val="center"/>
          </w:tcPr>
          <w:p w14:paraId="1D3592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14:paraId="66BD0A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外表清洁，标志清晰，牢固可靠，转动灵活</w:t>
            </w:r>
          </w:p>
        </w:tc>
      </w:tr>
      <w:tr w14:paraId="6F05C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14:paraId="7D6DD5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2186" w:type="dxa"/>
            <w:noWrap w:val="0"/>
            <w:vAlign w:val="center"/>
          </w:tcPr>
          <w:p w14:paraId="2D6C28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电容无功补偿</w:t>
            </w:r>
          </w:p>
        </w:tc>
        <w:tc>
          <w:tcPr>
            <w:tcW w:w="958" w:type="dxa"/>
            <w:noWrap w:val="0"/>
            <w:vAlign w:val="center"/>
          </w:tcPr>
          <w:p w14:paraId="68ACDE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14:paraId="463339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电容接触器良好，电容补偿三相平衡，电容器无发热膨胀，也不冰冷，接头不发热变色</w:t>
            </w:r>
          </w:p>
        </w:tc>
      </w:tr>
      <w:tr w14:paraId="364E0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bottom w:val="single" w:color="auto" w:sz="4" w:space="0"/>
            </w:tcBorders>
            <w:noWrap w:val="0"/>
            <w:vAlign w:val="center"/>
          </w:tcPr>
          <w:p w14:paraId="305F08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2186" w:type="dxa"/>
            <w:tcBorders>
              <w:bottom w:val="single" w:color="auto" w:sz="4" w:space="0"/>
            </w:tcBorders>
            <w:noWrap w:val="0"/>
            <w:vAlign w:val="center"/>
          </w:tcPr>
          <w:p w14:paraId="2413C5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母线排</w:t>
            </w:r>
          </w:p>
        </w:tc>
        <w:tc>
          <w:tcPr>
            <w:tcW w:w="958" w:type="dxa"/>
            <w:tcBorders>
              <w:bottom w:val="single" w:color="auto" w:sz="4" w:space="0"/>
            </w:tcBorders>
            <w:noWrap w:val="0"/>
            <w:vAlign w:val="center"/>
          </w:tcPr>
          <w:p w14:paraId="1EABFA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710" w:type="dxa"/>
            <w:tcBorders>
              <w:bottom w:val="single" w:color="auto" w:sz="4" w:space="0"/>
            </w:tcBorders>
            <w:noWrap w:val="0"/>
            <w:vAlign w:val="center"/>
          </w:tcPr>
          <w:p w14:paraId="145424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压接良好，色标清晰，绝缘良好</w:t>
            </w:r>
          </w:p>
        </w:tc>
      </w:tr>
      <w:tr w14:paraId="6E3F8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4" w:space="0"/>
              <w:bottom w:val="single" w:color="auto" w:sz="8" w:space="0"/>
            </w:tcBorders>
            <w:noWrap w:val="0"/>
            <w:vAlign w:val="center"/>
          </w:tcPr>
          <w:p w14:paraId="79CB5B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2186" w:type="dxa"/>
            <w:tcBorders>
              <w:top w:val="single" w:color="auto" w:sz="4" w:space="0"/>
              <w:bottom w:val="single" w:color="auto" w:sz="8" w:space="0"/>
            </w:tcBorders>
            <w:noWrap w:val="0"/>
            <w:vAlign w:val="center"/>
          </w:tcPr>
          <w:p w14:paraId="58EEDF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配电屏对地测试</w:t>
            </w:r>
          </w:p>
        </w:tc>
        <w:tc>
          <w:tcPr>
            <w:tcW w:w="958" w:type="dxa"/>
            <w:tcBorders>
              <w:top w:val="single" w:color="auto" w:sz="4" w:space="0"/>
              <w:bottom w:val="single" w:color="auto" w:sz="8" w:space="0"/>
            </w:tcBorders>
            <w:noWrap w:val="0"/>
            <w:vAlign w:val="center"/>
          </w:tcPr>
          <w:p w14:paraId="608F73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710" w:type="dxa"/>
            <w:tcBorders>
              <w:top w:val="single" w:color="auto" w:sz="4" w:space="0"/>
              <w:bottom w:val="single" w:color="auto" w:sz="8" w:space="0"/>
            </w:tcBorders>
            <w:noWrap w:val="0"/>
            <w:vAlign w:val="center"/>
          </w:tcPr>
          <w:p w14:paraId="46DBC9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接地良好</w:t>
            </w:r>
          </w:p>
        </w:tc>
      </w:tr>
    </w:tbl>
    <w:p w14:paraId="38AFBD4A">
      <w:pPr>
        <w:pStyle w:val="67"/>
        <w:tabs>
          <w:tab w:val="clear" w:pos="360"/>
        </w:tabs>
        <w:spacing w:before="120" w:after="120" w:line="240" w:lineRule="auto"/>
        <w:ind w:left="0" w:firstLine="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发电机组定期维护要求</w:t>
      </w:r>
    </w:p>
    <w:tbl>
      <w:tblPr>
        <w:tblStyle w:val="25"/>
        <w:tblW w:w="87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89"/>
        <w:gridCol w:w="1140"/>
        <w:gridCol w:w="4604"/>
      </w:tblGrid>
      <w:tr w14:paraId="7EBA0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tcBorders>
              <w:top w:val="single" w:color="auto" w:sz="8" w:space="0"/>
              <w:bottom w:val="single" w:color="auto" w:sz="8" w:space="0"/>
            </w:tcBorders>
            <w:noWrap w:val="0"/>
            <w:vAlign w:val="center"/>
          </w:tcPr>
          <w:p w14:paraId="380265A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089" w:type="dxa"/>
            <w:tcBorders>
              <w:top w:val="single" w:color="auto" w:sz="8" w:space="0"/>
              <w:bottom w:val="single" w:color="auto" w:sz="8" w:space="0"/>
            </w:tcBorders>
            <w:noWrap w:val="0"/>
            <w:vAlign w:val="center"/>
          </w:tcPr>
          <w:p w14:paraId="58A99CA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40" w:type="dxa"/>
            <w:tcBorders>
              <w:top w:val="single" w:color="auto" w:sz="8" w:space="0"/>
              <w:bottom w:val="single" w:color="auto" w:sz="8" w:space="0"/>
            </w:tcBorders>
            <w:noWrap w:val="0"/>
            <w:vAlign w:val="center"/>
          </w:tcPr>
          <w:p w14:paraId="3822332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604" w:type="dxa"/>
            <w:tcBorders>
              <w:top w:val="single" w:color="auto" w:sz="8" w:space="0"/>
              <w:bottom w:val="single" w:color="auto" w:sz="8" w:space="0"/>
            </w:tcBorders>
            <w:noWrap w:val="0"/>
            <w:vAlign w:val="center"/>
          </w:tcPr>
          <w:p w14:paraId="4843C8D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39E35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tcBorders>
              <w:top w:val="single" w:color="auto" w:sz="8" w:space="0"/>
            </w:tcBorders>
            <w:noWrap w:val="0"/>
            <w:vAlign w:val="center"/>
          </w:tcPr>
          <w:p w14:paraId="0DB901D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89" w:type="dxa"/>
            <w:tcBorders>
              <w:top w:val="single" w:color="auto" w:sz="8" w:space="0"/>
            </w:tcBorders>
            <w:noWrap w:val="0"/>
            <w:vAlign w:val="center"/>
          </w:tcPr>
          <w:p w14:paraId="7D2A9D2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常规保养</w:t>
            </w:r>
          </w:p>
        </w:tc>
        <w:tc>
          <w:tcPr>
            <w:tcW w:w="1140" w:type="dxa"/>
            <w:tcBorders>
              <w:top w:val="single" w:color="auto" w:sz="8" w:space="0"/>
            </w:tcBorders>
            <w:noWrap w:val="0"/>
            <w:vAlign w:val="center"/>
          </w:tcPr>
          <w:p w14:paraId="50E0172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w:t>
            </w:r>
          </w:p>
        </w:tc>
        <w:tc>
          <w:tcPr>
            <w:tcW w:w="4604" w:type="dxa"/>
            <w:tcBorders>
              <w:top w:val="single" w:color="auto" w:sz="8" w:space="0"/>
            </w:tcBorders>
            <w:noWrap w:val="0"/>
            <w:vAlign w:val="center"/>
          </w:tcPr>
          <w:p w14:paraId="725F691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日常检查，每月开机二次，每次1小时</w:t>
            </w:r>
          </w:p>
        </w:tc>
      </w:tr>
      <w:tr w14:paraId="54C41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14:paraId="192F334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89" w:type="dxa"/>
            <w:noWrap w:val="0"/>
            <w:vAlign w:val="center"/>
          </w:tcPr>
          <w:p w14:paraId="168AC978">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日常维护</w:t>
            </w:r>
          </w:p>
        </w:tc>
        <w:tc>
          <w:tcPr>
            <w:tcW w:w="1140" w:type="dxa"/>
            <w:noWrap w:val="0"/>
            <w:vAlign w:val="center"/>
          </w:tcPr>
          <w:p w14:paraId="2617CEC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w:t>
            </w:r>
          </w:p>
        </w:tc>
        <w:tc>
          <w:tcPr>
            <w:tcW w:w="4604" w:type="dxa"/>
            <w:noWrap w:val="0"/>
            <w:vAlign w:val="center"/>
          </w:tcPr>
          <w:p w14:paraId="1445EF9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按设备需要进行发动实验</w:t>
            </w:r>
          </w:p>
        </w:tc>
      </w:tr>
      <w:tr w14:paraId="29029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14:paraId="2707CAA9">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089" w:type="dxa"/>
            <w:noWrap w:val="0"/>
            <w:vAlign w:val="center"/>
          </w:tcPr>
          <w:p w14:paraId="3E49717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一级技术保养</w:t>
            </w:r>
          </w:p>
        </w:tc>
        <w:tc>
          <w:tcPr>
            <w:tcW w:w="1140" w:type="dxa"/>
            <w:noWrap w:val="0"/>
            <w:vAlign w:val="center"/>
          </w:tcPr>
          <w:p w14:paraId="7165F8D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604" w:type="dxa"/>
            <w:noWrap w:val="0"/>
            <w:vAlign w:val="center"/>
          </w:tcPr>
          <w:p w14:paraId="73E9660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一个月检测一次</w:t>
            </w:r>
          </w:p>
        </w:tc>
      </w:tr>
      <w:tr w14:paraId="4E3075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14:paraId="793B9FD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089" w:type="dxa"/>
            <w:noWrap w:val="0"/>
            <w:vAlign w:val="center"/>
          </w:tcPr>
          <w:p w14:paraId="35541B3C">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二级技术保养</w:t>
            </w:r>
          </w:p>
        </w:tc>
        <w:tc>
          <w:tcPr>
            <w:tcW w:w="1140" w:type="dxa"/>
            <w:noWrap w:val="0"/>
            <w:vAlign w:val="center"/>
          </w:tcPr>
          <w:p w14:paraId="56F46CE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4604" w:type="dxa"/>
            <w:noWrap w:val="0"/>
            <w:vAlign w:val="center"/>
          </w:tcPr>
          <w:p w14:paraId="5ABA59D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半年检测一次</w:t>
            </w:r>
          </w:p>
        </w:tc>
      </w:tr>
      <w:tr w14:paraId="5E1BB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14:paraId="3A01682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089" w:type="dxa"/>
            <w:noWrap w:val="0"/>
            <w:vAlign w:val="center"/>
          </w:tcPr>
          <w:p w14:paraId="00900B3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三级技术保养</w:t>
            </w:r>
          </w:p>
        </w:tc>
        <w:tc>
          <w:tcPr>
            <w:tcW w:w="1140" w:type="dxa"/>
            <w:noWrap w:val="0"/>
            <w:vAlign w:val="center"/>
          </w:tcPr>
          <w:p w14:paraId="1A402FF8">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604" w:type="dxa"/>
            <w:noWrap w:val="0"/>
            <w:vAlign w:val="center"/>
          </w:tcPr>
          <w:p w14:paraId="4DB3471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一年检测一次</w:t>
            </w:r>
          </w:p>
        </w:tc>
      </w:tr>
    </w:tbl>
    <w:p w14:paraId="1E87C854">
      <w:pPr>
        <w:pStyle w:val="67"/>
        <w:tabs>
          <w:tab w:val="clear" w:pos="360"/>
        </w:tabs>
        <w:spacing w:before="120" w:after="120" w:line="240" w:lineRule="auto"/>
        <w:ind w:left="0" w:firstLine="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消防设施定期维护要求</w:t>
      </w:r>
    </w:p>
    <w:tbl>
      <w:tblPr>
        <w:tblStyle w:val="25"/>
        <w:tblW w:w="86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081"/>
        <w:gridCol w:w="1137"/>
        <w:gridCol w:w="4527"/>
      </w:tblGrid>
      <w:tr w14:paraId="11F34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8" w:space="0"/>
              <w:bottom w:val="single" w:color="auto" w:sz="8" w:space="0"/>
            </w:tcBorders>
            <w:noWrap w:val="0"/>
            <w:vAlign w:val="center"/>
          </w:tcPr>
          <w:p w14:paraId="3414E41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081" w:type="dxa"/>
            <w:tcBorders>
              <w:top w:val="single" w:color="auto" w:sz="8" w:space="0"/>
              <w:bottom w:val="single" w:color="auto" w:sz="8" w:space="0"/>
            </w:tcBorders>
            <w:noWrap w:val="0"/>
            <w:vAlign w:val="center"/>
          </w:tcPr>
          <w:p w14:paraId="0639E22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37" w:type="dxa"/>
            <w:tcBorders>
              <w:top w:val="single" w:color="auto" w:sz="8" w:space="0"/>
              <w:bottom w:val="single" w:color="auto" w:sz="8" w:space="0"/>
            </w:tcBorders>
            <w:noWrap w:val="0"/>
            <w:vAlign w:val="center"/>
          </w:tcPr>
          <w:p w14:paraId="3572624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527" w:type="dxa"/>
            <w:tcBorders>
              <w:top w:val="single" w:color="auto" w:sz="8" w:space="0"/>
              <w:bottom w:val="single" w:color="auto" w:sz="8" w:space="0"/>
            </w:tcBorders>
            <w:noWrap w:val="0"/>
            <w:vAlign w:val="center"/>
          </w:tcPr>
          <w:p w14:paraId="6CA17A3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14:paraId="15532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8" w:space="0"/>
            </w:tcBorders>
            <w:noWrap w:val="0"/>
            <w:vAlign w:val="center"/>
          </w:tcPr>
          <w:p w14:paraId="64CA67A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81" w:type="dxa"/>
            <w:tcBorders>
              <w:top w:val="single" w:color="auto" w:sz="8" w:space="0"/>
            </w:tcBorders>
            <w:noWrap w:val="0"/>
            <w:vAlign w:val="center"/>
          </w:tcPr>
          <w:p w14:paraId="6CFDA180">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水泵</w:t>
            </w:r>
          </w:p>
        </w:tc>
        <w:tc>
          <w:tcPr>
            <w:tcW w:w="1137" w:type="dxa"/>
            <w:tcBorders>
              <w:top w:val="single" w:color="auto" w:sz="8" w:space="0"/>
            </w:tcBorders>
            <w:noWrap w:val="0"/>
            <w:vAlign w:val="center"/>
          </w:tcPr>
          <w:p w14:paraId="324597F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tcBorders>
              <w:top w:val="single" w:color="auto" w:sz="8" w:space="0"/>
            </w:tcBorders>
            <w:noWrap w:val="0"/>
            <w:vAlign w:val="center"/>
          </w:tcPr>
          <w:p w14:paraId="18A59F01">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动力正常</w:t>
            </w:r>
          </w:p>
        </w:tc>
      </w:tr>
      <w:tr w14:paraId="63BFE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14:paraId="54A2366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81" w:type="dxa"/>
            <w:noWrap w:val="0"/>
            <w:vAlign w:val="center"/>
          </w:tcPr>
          <w:p w14:paraId="5DD9257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压力</w:t>
            </w:r>
            <w:r>
              <w:rPr>
                <w:rFonts w:hint="eastAsia" w:ascii="宋体" w:hAnsi="宋体" w:eastAsia="宋体" w:cs="宋体"/>
                <w:color w:val="auto"/>
                <w:sz w:val="18"/>
                <w:szCs w:val="18"/>
                <w:highlight w:val="none"/>
              </w:rPr>
              <w:t>仪表</w:t>
            </w:r>
          </w:p>
        </w:tc>
        <w:tc>
          <w:tcPr>
            <w:tcW w:w="1137" w:type="dxa"/>
            <w:noWrap w:val="0"/>
            <w:vAlign w:val="center"/>
          </w:tcPr>
          <w:p w14:paraId="7FE7C6B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14:paraId="375DBB07">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显示正常，压力在正常范围内。</w:t>
            </w:r>
          </w:p>
        </w:tc>
      </w:tr>
      <w:tr w14:paraId="1728A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14:paraId="177B210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081" w:type="dxa"/>
            <w:noWrap w:val="0"/>
            <w:vAlign w:val="center"/>
          </w:tcPr>
          <w:p w14:paraId="0BDEB64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1137" w:type="dxa"/>
            <w:noWrap w:val="0"/>
            <w:vAlign w:val="center"/>
          </w:tcPr>
          <w:p w14:paraId="633EB78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14:paraId="1AB6253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14:paraId="0094D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14:paraId="7083B81C">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081" w:type="dxa"/>
            <w:noWrap w:val="0"/>
            <w:vAlign w:val="center"/>
          </w:tcPr>
          <w:p w14:paraId="107F6B7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w:t>
            </w:r>
          </w:p>
        </w:tc>
        <w:tc>
          <w:tcPr>
            <w:tcW w:w="1137" w:type="dxa"/>
            <w:noWrap w:val="0"/>
            <w:vAlign w:val="center"/>
          </w:tcPr>
          <w:p w14:paraId="5369CF6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14:paraId="4F1AA7BB">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无红色故障灯</w:t>
            </w:r>
          </w:p>
        </w:tc>
      </w:tr>
      <w:tr w14:paraId="770ED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14:paraId="472F3D9D">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081" w:type="dxa"/>
            <w:noWrap w:val="0"/>
            <w:vAlign w:val="center"/>
          </w:tcPr>
          <w:p w14:paraId="09010077">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水箱</w:t>
            </w:r>
          </w:p>
        </w:tc>
        <w:tc>
          <w:tcPr>
            <w:tcW w:w="1137" w:type="dxa"/>
            <w:noWrap w:val="0"/>
            <w:vAlign w:val="center"/>
          </w:tcPr>
          <w:p w14:paraId="1F56B3BF">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月</w:t>
            </w:r>
          </w:p>
        </w:tc>
        <w:tc>
          <w:tcPr>
            <w:tcW w:w="4527" w:type="dxa"/>
            <w:noWrap w:val="0"/>
            <w:vAlign w:val="center"/>
          </w:tcPr>
          <w:p w14:paraId="3EEFA7B4">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水位正常</w:t>
            </w:r>
          </w:p>
        </w:tc>
      </w:tr>
      <w:bookmarkEnd w:id="169"/>
      <w:bookmarkEnd w:id="170"/>
      <w:bookmarkEnd w:id="171"/>
      <w:bookmarkEnd w:id="172"/>
      <w:bookmarkEnd w:id="173"/>
      <w:bookmarkEnd w:id="174"/>
      <w:bookmarkEnd w:id="175"/>
      <w:bookmarkEnd w:id="176"/>
      <w:bookmarkEnd w:id="177"/>
      <w:bookmarkEnd w:id="178"/>
    </w:tbl>
    <w:p w14:paraId="5A5BF1A4">
      <w:pPr>
        <w:pStyle w:val="2"/>
        <w:ind w:firstLine="440"/>
        <w:jc w:val="center"/>
        <w:rPr>
          <w:rFonts w:hint="eastAsia" w:ascii="宋体" w:hAnsi="宋体" w:eastAsia="宋体" w:cs="宋体"/>
          <w:sz w:val="44"/>
          <w:szCs w:val="44"/>
          <w:highlight w:val="none"/>
        </w:rPr>
      </w:pPr>
      <w:bookmarkStart w:id="190" w:name="_Toc491780525"/>
    </w:p>
    <w:p w14:paraId="37708EAA">
      <w:pPr>
        <w:rPr>
          <w:rFonts w:hint="eastAsia" w:ascii="宋体" w:hAnsi="宋体" w:eastAsia="宋体" w:cs="宋体"/>
          <w:sz w:val="44"/>
          <w:szCs w:val="44"/>
          <w:highlight w:val="none"/>
        </w:rPr>
      </w:pPr>
      <w:r>
        <w:rPr>
          <w:rFonts w:hint="eastAsia" w:ascii="宋体" w:hAnsi="宋体" w:eastAsia="宋体" w:cs="宋体"/>
          <w:sz w:val="44"/>
          <w:szCs w:val="44"/>
          <w:highlight w:val="none"/>
        </w:rPr>
        <w:br w:type="page"/>
      </w:r>
    </w:p>
    <w:p w14:paraId="00357AB5">
      <w:pPr>
        <w:autoSpaceDE w:val="0"/>
        <w:autoSpaceDN w:val="0"/>
        <w:adjustRightInd w:val="0"/>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附件四</w:t>
      </w:r>
    </w:p>
    <w:p w14:paraId="236A195E">
      <w:pPr>
        <w:autoSpaceDE w:val="0"/>
        <w:autoSpaceDN w:val="0"/>
        <w:adjustRightInd w:val="0"/>
        <w:spacing w:line="24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考核管理办法</w:t>
      </w:r>
    </w:p>
    <w:p w14:paraId="5CD28691">
      <w:pPr>
        <w:rPr>
          <w:rFonts w:hint="eastAsia" w:ascii="宋体" w:hAnsi="宋体" w:eastAsia="宋体" w:cs="宋体"/>
          <w:highlight w:val="none"/>
          <w:lang w:val="en-US" w:eastAsia="zh-CN"/>
        </w:rPr>
      </w:pPr>
    </w:p>
    <w:p w14:paraId="3F424392">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一、以《高速公路</w:t>
      </w:r>
      <w:r>
        <w:rPr>
          <w:rFonts w:hint="eastAsia" w:ascii="宋体" w:hAnsi="宋体" w:eastAsia="宋体" w:cs="宋体"/>
          <w:color w:val="auto"/>
          <w:kern w:val="0"/>
          <w:sz w:val="21"/>
          <w:szCs w:val="21"/>
          <w:highlight w:val="none"/>
          <w:lang w:eastAsia="zh-CN"/>
        </w:rPr>
        <w:t>停车区</w:t>
      </w:r>
      <w:r>
        <w:rPr>
          <w:rFonts w:hint="eastAsia" w:ascii="宋体" w:hAnsi="宋体" w:eastAsia="宋体" w:cs="宋体"/>
          <w:color w:val="auto"/>
          <w:kern w:val="0"/>
          <w:sz w:val="21"/>
          <w:szCs w:val="21"/>
          <w:highlight w:val="none"/>
        </w:rPr>
        <w:t>物业考核细则保安考核细则》和《浙江省高速公路</w:t>
      </w:r>
      <w:r>
        <w:rPr>
          <w:rFonts w:hint="eastAsia" w:ascii="宋体" w:hAnsi="宋体" w:eastAsia="宋体" w:cs="宋体"/>
          <w:color w:val="auto"/>
          <w:kern w:val="0"/>
          <w:sz w:val="21"/>
          <w:szCs w:val="21"/>
          <w:highlight w:val="none"/>
          <w:lang w:eastAsia="zh-CN"/>
        </w:rPr>
        <w:t>停车区</w:t>
      </w:r>
      <w:r>
        <w:rPr>
          <w:rFonts w:hint="eastAsia" w:ascii="宋体" w:hAnsi="宋体" w:eastAsia="宋体" w:cs="宋体"/>
          <w:color w:val="auto"/>
          <w:kern w:val="0"/>
          <w:sz w:val="21"/>
          <w:szCs w:val="21"/>
          <w:highlight w:val="none"/>
        </w:rPr>
        <w:t>质量评定考核细则》进行考核，评分采取150分满分制，由甲方</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组织对物业项进行月度考核。</w:t>
      </w:r>
    </w:p>
    <w:p w14:paraId="17C66803">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二、考核方式：通过</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日常考核和</w:t>
      </w:r>
      <w:r>
        <w:rPr>
          <w:rFonts w:hint="eastAsia" w:ascii="宋体" w:hAnsi="宋体" w:eastAsia="宋体" w:cs="宋体"/>
          <w:color w:val="auto"/>
          <w:kern w:val="0"/>
          <w:sz w:val="21"/>
          <w:szCs w:val="21"/>
          <w:highlight w:val="none"/>
          <w:lang w:val="en-US" w:eastAsia="zh-CN"/>
        </w:rPr>
        <w:t>季</w:t>
      </w:r>
      <w:r>
        <w:rPr>
          <w:rFonts w:hint="eastAsia" w:ascii="宋体" w:hAnsi="宋体" w:eastAsia="宋体" w:cs="宋体"/>
          <w:color w:val="auto"/>
          <w:kern w:val="0"/>
          <w:sz w:val="21"/>
          <w:szCs w:val="21"/>
          <w:highlight w:val="none"/>
        </w:rPr>
        <w:t>度考核相结合，通过日常检查，对物业管理存在问题以《稽查处罚单》告知物业项目部，</w:t>
      </w:r>
      <w:r>
        <w:rPr>
          <w:rFonts w:hint="eastAsia" w:ascii="宋体" w:hAnsi="宋体" w:eastAsia="宋体" w:cs="宋体"/>
          <w:color w:val="auto"/>
          <w:kern w:val="0"/>
          <w:sz w:val="21"/>
          <w:szCs w:val="21"/>
          <w:highlight w:val="none"/>
          <w:lang w:val="en-US" w:eastAsia="zh-CN"/>
        </w:rPr>
        <w:t>每季度</w:t>
      </w:r>
      <w:r>
        <w:rPr>
          <w:rFonts w:hint="eastAsia" w:ascii="宋体" w:hAnsi="宋体" w:eastAsia="宋体" w:cs="宋体"/>
          <w:color w:val="auto"/>
          <w:kern w:val="0"/>
          <w:sz w:val="21"/>
          <w:szCs w:val="21"/>
          <w:highlight w:val="none"/>
        </w:rPr>
        <w:t>底累积扣分数总计（单项考核可以累积扣分，扣完为止），得出该月度考核分数。</w:t>
      </w:r>
    </w:p>
    <w:p w14:paraId="59AD291E">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三、考核周期：以本</w:t>
      </w:r>
      <w:r>
        <w:rPr>
          <w:rFonts w:hint="eastAsia" w:ascii="宋体" w:hAnsi="宋体" w:eastAsia="宋体" w:cs="宋体"/>
          <w:color w:val="auto"/>
          <w:kern w:val="0"/>
          <w:sz w:val="21"/>
          <w:szCs w:val="21"/>
          <w:highlight w:val="none"/>
          <w:lang w:val="en-US" w:eastAsia="zh-CN"/>
        </w:rPr>
        <w:t>季度</w:t>
      </w:r>
      <w:r>
        <w:rPr>
          <w:rFonts w:hint="eastAsia" w:ascii="宋体" w:hAnsi="宋体" w:eastAsia="宋体" w:cs="宋体"/>
          <w:color w:val="auto"/>
          <w:kern w:val="0"/>
          <w:sz w:val="21"/>
          <w:szCs w:val="21"/>
          <w:highlight w:val="none"/>
        </w:rPr>
        <w:t>自然天数为周期限。</w:t>
      </w:r>
    </w:p>
    <w:p w14:paraId="4A5DA1B6">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四、考核小组：组长：</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主任；副组长：分管物业</w:t>
      </w:r>
      <w:r>
        <w:rPr>
          <w:rFonts w:hint="eastAsia" w:ascii="宋体" w:hAnsi="宋体" w:eastAsia="宋体" w:cs="宋体"/>
          <w:color w:val="auto"/>
          <w:kern w:val="0"/>
          <w:sz w:val="21"/>
          <w:szCs w:val="21"/>
          <w:highlight w:val="none"/>
          <w:lang w:val="en-US" w:eastAsia="zh-CN"/>
        </w:rPr>
        <w:t>管理人员</w:t>
      </w:r>
      <w:r>
        <w:rPr>
          <w:rFonts w:hint="eastAsia" w:ascii="宋体" w:hAnsi="宋体" w:eastAsia="宋体" w:cs="宋体"/>
          <w:color w:val="auto"/>
          <w:kern w:val="0"/>
          <w:sz w:val="21"/>
          <w:szCs w:val="21"/>
          <w:highlight w:val="none"/>
        </w:rPr>
        <w:t>；成员：</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管理人员；</w:t>
      </w:r>
    </w:p>
    <w:p w14:paraId="2E9E0333">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五、物业服务公司对评分有异议的，可向</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主管部门申请复核，经复核改变评分结果的，应予变更或消除。</w:t>
      </w:r>
    </w:p>
    <w:p w14:paraId="04B30A80">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六、评分考核表作为服务合同信用档案的组成部分，检查考核小组有责任向物业服务部门阐明不符合要求项的原因并提出整改建议和意见。 </w:t>
      </w:r>
    </w:p>
    <w:p w14:paraId="2DB2DBFC">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七、奖罚措施</w:t>
      </w:r>
    </w:p>
    <w:p w14:paraId="7E682DA5">
      <w:pPr>
        <w:autoSpaceDE w:val="0"/>
        <w:autoSpaceDN w:val="0"/>
        <w:adjustRightInd w:val="0"/>
        <w:snapToGrid w:val="0"/>
        <w:spacing w:line="24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物业项目</w:t>
      </w:r>
      <w:r>
        <w:rPr>
          <w:rFonts w:hint="eastAsia" w:ascii="宋体" w:hAnsi="宋体" w:eastAsia="宋体" w:cs="宋体"/>
          <w:color w:val="auto"/>
          <w:kern w:val="0"/>
          <w:sz w:val="21"/>
          <w:szCs w:val="21"/>
          <w:highlight w:val="none"/>
          <w:lang w:val="en-US" w:eastAsia="zh-CN"/>
        </w:rPr>
        <w:t>季</w:t>
      </w:r>
      <w:r>
        <w:rPr>
          <w:rFonts w:hint="eastAsia" w:ascii="宋体" w:hAnsi="宋体" w:eastAsia="宋体" w:cs="宋体"/>
          <w:color w:val="auto"/>
          <w:kern w:val="0"/>
          <w:sz w:val="21"/>
          <w:szCs w:val="21"/>
          <w:highlight w:val="none"/>
        </w:rPr>
        <w:t>度考核作为物业合同约定考核的重要依据，现场管理人员统计汇总</w:t>
      </w:r>
      <w:r>
        <w:rPr>
          <w:rFonts w:hint="eastAsia" w:ascii="宋体" w:hAnsi="宋体" w:eastAsia="宋体" w:cs="宋体"/>
          <w:color w:val="auto"/>
          <w:kern w:val="0"/>
          <w:sz w:val="21"/>
          <w:szCs w:val="21"/>
          <w:highlight w:val="none"/>
          <w:lang w:eastAsia="zh-CN"/>
        </w:rPr>
        <w:t>服务区</w:t>
      </w:r>
      <w:r>
        <w:rPr>
          <w:rFonts w:hint="eastAsia" w:ascii="宋体" w:hAnsi="宋体" w:eastAsia="宋体" w:cs="宋体"/>
          <w:color w:val="auto"/>
          <w:kern w:val="0"/>
          <w:sz w:val="21"/>
          <w:szCs w:val="21"/>
          <w:highlight w:val="none"/>
        </w:rPr>
        <w:t>考核情况当</w:t>
      </w:r>
      <w:r>
        <w:rPr>
          <w:rFonts w:hint="eastAsia" w:ascii="宋体" w:hAnsi="宋体" w:eastAsia="宋体" w:cs="宋体"/>
          <w:color w:val="auto"/>
          <w:kern w:val="0"/>
          <w:sz w:val="21"/>
          <w:szCs w:val="21"/>
          <w:highlight w:val="none"/>
          <w:lang w:val="en-US" w:eastAsia="zh-CN"/>
        </w:rPr>
        <w:t>季</w:t>
      </w:r>
      <w:r>
        <w:rPr>
          <w:rFonts w:hint="eastAsia" w:ascii="宋体" w:hAnsi="宋体" w:eastAsia="宋体" w:cs="宋体"/>
          <w:color w:val="auto"/>
          <w:kern w:val="0"/>
          <w:sz w:val="21"/>
          <w:szCs w:val="21"/>
          <w:highlight w:val="none"/>
        </w:rPr>
        <w:t>物业考核总分。</w:t>
      </w:r>
    </w:p>
    <w:p w14:paraId="2E15ABAD">
      <w:pPr>
        <w:numPr>
          <w:ilvl w:val="0"/>
          <w:numId w:val="24"/>
        </w:numPr>
        <w:autoSpaceDE w:val="0"/>
        <w:autoSpaceDN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定义</w:t>
      </w:r>
    </w:p>
    <w:p w14:paraId="32298B25">
      <w:pPr>
        <w:numPr>
          <w:ilvl w:val="-1"/>
          <w:numId w:val="0"/>
        </w:numPr>
        <w:autoSpaceDE w:val="0"/>
        <w:autoSpaceDN w:val="0"/>
        <w:adjustRightInd w:val="0"/>
        <w:snapToGrid w:val="0"/>
        <w:spacing w:line="240" w:lineRule="auto"/>
        <w:ind w:left="0" w:firstLine="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1、考核奖：</w:t>
      </w:r>
    </w:p>
    <w:p w14:paraId="70380BCC">
      <w:pPr>
        <w:numPr>
          <w:ilvl w:val="0"/>
          <w:numId w:val="25"/>
        </w:numPr>
        <w:autoSpaceDE w:val="0"/>
        <w:autoSpaceDN w:val="0"/>
        <w:adjustRightInd w:val="0"/>
        <w:snapToGrid w:val="0"/>
        <w:spacing w:line="24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物业人员工资总额</w:t>
      </w:r>
      <w:r>
        <w:rPr>
          <w:rFonts w:hint="eastAsia" w:ascii="宋体" w:hAnsi="宋体" w:eastAsia="宋体" w:cs="宋体"/>
          <w:b/>
          <w:bCs/>
          <w:color w:val="auto"/>
          <w:kern w:val="0"/>
          <w:sz w:val="21"/>
          <w:szCs w:val="21"/>
          <w:highlight w:val="none"/>
        </w:rPr>
        <w:t>的</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0%作为考核奖。</w:t>
      </w:r>
    </w:p>
    <w:p w14:paraId="679AD630">
      <w:pPr>
        <w:numPr>
          <w:ilvl w:val="0"/>
          <w:numId w:val="25"/>
        </w:numPr>
        <w:autoSpaceDE w:val="0"/>
        <w:autoSpaceDN w:val="0"/>
        <w:adjustRightInd w:val="0"/>
        <w:snapToGrid w:val="0"/>
        <w:spacing w:line="240" w:lineRule="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单项考核分数可累计扣分，以单项总分数扣完为止。</w:t>
      </w:r>
    </w:p>
    <w:p w14:paraId="7ECD5470">
      <w:pPr>
        <w:autoSpaceDE w:val="0"/>
        <w:autoSpaceDN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2、考核标准</w:t>
      </w:r>
    </w:p>
    <w:p w14:paraId="2C0FA592">
      <w:pPr>
        <w:autoSpaceDE w:val="0"/>
        <w:autoSpaceDN w:val="0"/>
        <w:adjustRightInd w:val="0"/>
        <w:snapToGrid w:val="0"/>
        <w:spacing w:line="24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按</w:t>
      </w:r>
      <w:r>
        <w:rPr>
          <w:rFonts w:hint="eastAsia" w:ascii="宋体" w:hAnsi="宋体" w:eastAsia="宋体" w:cs="宋体"/>
          <w:color w:val="auto"/>
          <w:kern w:val="0"/>
          <w:sz w:val="21"/>
          <w:szCs w:val="21"/>
          <w:highlight w:val="none"/>
        </w:rPr>
        <w:t>若考核分发放物业考核奖</w:t>
      </w:r>
    </w:p>
    <w:p w14:paraId="794FF0EB">
      <w:pPr>
        <w:autoSpaceDE w:val="0"/>
        <w:autoSpaceDN w:val="0"/>
        <w:adjustRightInd w:val="0"/>
        <w:snapToGrid w:val="0"/>
        <w:spacing w:line="240" w:lineRule="auto"/>
        <w:ind w:firstLine="630" w:firstLineChars="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2）连续</w:t>
      </w:r>
      <w:r>
        <w:rPr>
          <w:rFonts w:hint="eastAsia" w:ascii="宋体" w:hAnsi="宋体" w:eastAsia="宋体" w:cs="宋体"/>
          <w:color w:val="auto"/>
          <w:kern w:val="0"/>
          <w:sz w:val="21"/>
          <w:szCs w:val="21"/>
          <w:highlight w:val="none"/>
          <w:lang w:val="en-US" w:eastAsia="zh-CN"/>
        </w:rPr>
        <w:t>两个季度</w:t>
      </w:r>
      <w:r>
        <w:rPr>
          <w:rFonts w:hint="eastAsia" w:ascii="宋体" w:hAnsi="宋体" w:eastAsia="宋体" w:cs="宋体"/>
          <w:color w:val="auto"/>
          <w:kern w:val="0"/>
          <w:sz w:val="21"/>
          <w:szCs w:val="21"/>
          <w:highlight w:val="none"/>
        </w:rPr>
        <w:t>份若考核分105分以下（不含105分），</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rPr>
        <w:t>有权单方面解除合同。</w:t>
      </w:r>
    </w:p>
    <w:p w14:paraId="0B05EA40">
      <w:pPr>
        <w:autoSpaceDE w:val="0"/>
        <w:autoSpaceDN w:val="0"/>
        <w:adjustRightInd w:val="0"/>
        <w:snapToGrid w:val="0"/>
        <w:spacing w:line="24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3、考核奖标准</w:t>
      </w:r>
    </w:p>
    <w:p w14:paraId="785BA53D">
      <w:pPr>
        <w:spacing w:line="240" w:lineRule="auto"/>
        <w:ind w:left="28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考核奖标准表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4"/>
        <w:gridCol w:w="4296"/>
      </w:tblGrid>
      <w:tr w14:paraId="2158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284" w:type="dxa"/>
            <w:noWrap w:val="0"/>
            <w:vAlign w:val="center"/>
          </w:tcPr>
          <w:p w14:paraId="0ED57DCA">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考核分数</w:t>
            </w:r>
          </w:p>
        </w:tc>
        <w:tc>
          <w:tcPr>
            <w:tcW w:w="4296" w:type="dxa"/>
            <w:noWrap w:val="0"/>
            <w:vAlign w:val="center"/>
          </w:tcPr>
          <w:p w14:paraId="389413DE">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考核奖</w:t>
            </w:r>
          </w:p>
        </w:tc>
      </w:tr>
      <w:tr w14:paraId="07EE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530EC759">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150-135分</w:t>
            </w:r>
          </w:p>
        </w:tc>
        <w:tc>
          <w:tcPr>
            <w:tcW w:w="4296" w:type="dxa"/>
            <w:noWrap w:val="0"/>
            <w:vAlign w:val="center"/>
          </w:tcPr>
          <w:p w14:paraId="6AA32A03">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全额</w:t>
            </w:r>
          </w:p>
        </w:tc>
      </w:tr>
      <w:tr w14:paraId="0DB0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38279B56">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135-120分（包括120分）</w:t>
            </w:r>
          </w:p>
        </w:tc>
        <w:tc>
          <w:tcPr>
            <w:tcW w:w="4296" w:type="dxa"/>
            <w:noWrap w:val="0"/>
            <w:vAlign w:val="center"/>
          </w:tcPr>
          <w:p w14:paraId="20BF3973">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考核奖全额*（90%）</w:t>
            </w:r>
          </w:p>
        </w:tc>
      </w:tr>
      <w:tr w14:paraId="00DF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115240B2">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120-105分（包括105分）</w:t>
            </w:r>
          </w:p>
        </w:tc>
        <w:tc>
          <w:tcPr>
            <w:tcW w:w="4296" w:type="dxa"/>
            <w:noWrap w:val="0"/>
            <w:vAlign w:val="center"/>
          </w:tcPr>
          <w:p w14:paraId="449B79AC">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考核奖全额*（70%）</w:t>
            </w:r>
          </w:p>
        </w:tc>
      </w:tr>
      <w:tr w14:paraId="697E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76712F92">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105-90分（包括90分）</w:t>
            </w:r>
          </w:p>
        </w:tc>
        <w:tc>
          <w:tcPr>
            <w:tcW w:w="4296" w:type="dxa"/>
            <w:noWrap w:val="0"/>
            <w:vAlign w:val="center"/>
          </w:tcPr>
          <w:p w14:paraId="59FBA820">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考核奖全额*（50%）</w:t>
            </w:r>
          </w:p>
        </w:tc>
      </w:tr>
      <w:tr w14:paraId="4EA7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2B9868D7">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90-75分（包括75分</w:t>
            </w:r>
          </w:p>
        </w:tc>
        <w:tc>
          <w:tcPr>
            <w:tcW w:w="4296" w:type="dxa"/>
            <w:noWrap w:val="0"/>
            <w:vAlign w:val="center"/>
          </w:tcPr>
          <w:p w14:paraId="095EB95A">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考核奖全额*（30%）</w:t>
            </w:r>
          </w:p>
        </w:tc>
      </w:tr>
      <w:tr w14:paraId="1340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84" w:type="dxa"/>
            <w:noWrap w:val="0"/>
            <w:vAlign w:val="center"/>
          </w:tcPr>
          <w:p w14:paraId="23D1E048">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75分以下</w:t>
            </w:r>
          </w:p>
        </w:tc>
        <w:tc>
          <w:tcPr>
            <w:tcW w:w="4296" w:type="dxa"/>
            <w:noWrap w:val="0"/>
            <w:vAlign w:val="center"/>
          </w:tcPr>
          <w:p w14:paraId="6E9E8A7F">
            <w:pPr>
              <w:autoSpaceDE w:val="0"/>
              <w:autoSpaceDN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w:t>
            </w:r>
          </w:p>
        </w:tc>
      </w:tr>
    </w:tbl>
    <w:p w14:paraId="39683456">
      <w:pPr>
        <w:pStyle w:val="12"/>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附：物业项目部季度考核评分表</w:t>
      </w:r>
    </w:p>
    <w:p w14:paraId="4771B5FF">
      <w:pPr>
        <w:rPr>
          <w:rFonts w:hint="eastAsia" w:ascii="宋体" w:hAnsi="宋体" w:eastAsia="宋体" w:cs="宋体"/>
          <w:b/>
          <w:bCs/>
          <w:color w:val="auto"/>
          <w:sz w:val="36"/>
          <w:szCs w:val="36"/>
          <w:highlight w:val="none"/>
        </w:rPr>
      </w:pPr>
    </w:p>
    <w:p w14:paraId="4C061A32">
      <w:pPr>
        <w:rPr>
          <w:rFonts w:hint="eastAsia" w:ascii="宋体" w:hAnsi="宋体" w:eastAsia="宋体" w:cs="宋体"/>
          <w:highlight w:val="none"/>
        </w:rPr>
        <w:sectPr>
          <w:footerReference r:id="rId3" w:type="default"/>
          <w:pgSz w:w="11906" w:h="16838"/>
          <w:pgMar w:top="1417" w:right="1417" w:bottom="1361" w:left="1417" w:header="851" w:footer="992" w:gutter="0"/>
          <w:pgNumType w:fmt="decimal" w:start="1"/>
          <w:cols w:space="720" w:num="1"/>
          <w:docGrid w:type="lines" w:linePitch="312" w:charSpace="0"/>
        </w:sectPr>
      </w:pPr>
    </w:p>
    <w:p w14:paraId="662916CD">
      <w:pPr>
        <w:jc w:val="left"/>
        <w:rPr>
          <w:rFonts w:hint="eastAsia" w:ascii="宋体" w:hAnsi="宋体" w:eastAsia="宋体" w:cs="宋体"/>
          <w:b/>
          <w:bCs/>
          <w:color w:val="auto"/>
          <w:sz w:val="36"/>
          <w:szCs w:val="36"/>
          <w:highlight w:val="none"/>
          <w:lang w:val="en-US" w:eastAsia="zh-CN"/>
        </w:rPr>
      </w:pPr>
      <w:r>
        <w:rPr>
          <w:rFonts w:hint="eastAsia" w:ascii="宋体" w:hAnsi="宋体" w:eastAsia="宋体" w:cs="宋体"/>
          <w:color w:val="auto"/>
          <w:sz w:val="21"/>
          <w:szCs w:val="21"/>
          <w:highlight w:val="none"/>
          <w:lang w:val="en-US" w:eastAsia="zh-CN"/>
        </w:rPr>
        <w:t>附件五</w:t>
      </w:r>
    </w:p>
    <w:p w14:paraId="20E09792">
      <w:pPr>
        <w:autoSpaceDE w:val="0"/>
        <w:autoSpaceDN w:val="0"/>
        <w:adjustRightInd w:val="0"/>
        <w:spacing w:line="24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物业季度考核评分表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76"/>
        <w:gridCol w:w="5103"/>
        <w:gridCol w:w="3685"/>
        <w:gridCol w:w="2471"/>
        <w:gridCol w:w="948"/>
      </w:tblGrid>
      <w:tr w14:paraId="53BF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57" w:type="dxa"/>
            <w:gridSpan w:val="2"/>
            <w:tcBorders>
              <w:top w:val="single" w:color="auto" w:sz="4" w:space="0"/>
              <w:left w:val="single" w:color="auto" w:sz="4" w:space="0"/>
              <w:bottom w:val="single" w:color="auto" w:sz="4" w:space="0"/>
              <w:right w:val="single" w:color="auto" w:sz="4" w:space="0"/>
            </w:tcBorders>
            <w:noWrap w:val="0"/>
            <w:vAlign w:val="center"/>
          </w:tcPr>
          <w:p w14:paraId="3DB57190">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bookmarkStart w:id="191" w:name="_Hlk14013497"/>
            <w:r>
              <w:rPr>
                <w:rFonts w:hint="eastAsia" w:ascii="宋体" w:hAnsi="宋体" w:eastAsia="宋体" w:cs="宋体"/>
                <w:b/>
                <w:color w:val="auto"/>
                <w:sz w:val="18"/>
                <w:szCs w:val="18"/>
                <w:highlight w:val="none"/>
              </w:rPr>
              <w:t>项目</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538C311B">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考核标准</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F0727E2">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考核办法</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1D4BD8E3">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扣分事项</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03E10F3">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得分</w:t>
            </w:r>
          </w:p>
        </w:tc>
      </w:tr>
      <w:tr w14:paraId="417B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restart"/>
            <w:tcBorders>
              <w:top w:val="single" w:color="auto" w:sz="4" w:space="0"/>
              <w:left w:val="single" w:color="auto" w:sz="4" w:space="0"/>
              <w:right w:val="single" w:color="auto" w:sz="4" w:space="0"/>
            </w:tcBorders>
            <w:noWrap w:val="0"/>
            <w:vAlign w:val="center"/>
          </w:tcPr>
          <w:p w14:paraId="25BC888F">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总</w:t>
            </w:r>
          </w:p>
          <w:p w14:paraId="30531597">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体</w:t>
            </w:r>
          </w:p>
          <w:p w14:paraId="1582DD1B">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要</w:t>
            </w:r>
          </w:p>
          <w:p w14:paraId="33492B07">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求</w:t>
            </w:r>
          </w:p>
          <w:p w14:paraId="2DD519F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（50分）</w:t>
            </w: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14:paraId="48112697">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管</w:t>
            </w:r>
          </w:p>
          <w:p w14:paraId="0D6B451E">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理</w:t>
            </w:r>
          </w:p>
          <w:p w14:paraId="6DAC6B98">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体</w:t>
            </w:r>
          </w:p>
          <w:p w14:paraId="2993C62F">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系</w:t>
            </w:r>
          </w:p>
          <w:p w14:paraId="711F242E">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500FCD52">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1、建立健全物业项目部管理体系；</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DADC502">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未建立扣2分；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7D1DC177">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6239DC4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0899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3510AFE7">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67D67E1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6709D31">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2、物业项目部人员岗位职责明确，责任到位；</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555BA6A">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未形成岗位责任扣2分，责任落实不到位扣2-5分；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73B46F3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7DEC224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5A98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4CA174B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3114672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196E96F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3、物业公司对项目部每</w:t>
            </w:r>
            <w:r>
              <w:rPr>
                <w:rFonts w:hint="eastAsia" w:ascii="宋体" w:hAnsi="宋体" w:eastAsia="宋体" w:cs="宋体"/>
                <w:color w:val="auto"/>
                <w:sz w:val="18"/>
                <w:szCs w:val="18"/>
                <w:highlight w:val="none"/>
                <w:lang w:eastAsia="zh-CN"/>
              </w:rPr>
              <w:t>季</w:t>
            </w:r>
            <w:r>
              <w:rPr>
                <w:rFonts w:hint="eastAsia" w:ascii="宋体" w:hAnsi="宋体" w:eastAsia="宋体" w:cs="宋体"/>
                <w:color w:val="auto"/>
                <w:sz w:val="18"/>
                <w:szCs w:val="18"/>
                <w:highlight w:val="none"/>
              </w:rPr>
              <w:t>检查不少于</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次；</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7681237">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检查少一次扣2分；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1B2455D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2672C7A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6A2B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3BD09E8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6E6DA78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EC9F223">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4、项目管理层以身作则，对队员的工作开展经常性认真检查和指导，有效组织物业人员遵守</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的有关规定；</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B6882BE">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未能落实</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管理需求，扣5分；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0EB0ADD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756D894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6CAB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08C10CC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7CFDE1B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88" w:type="dxa"/>
            <w:gridSpan w:val="2"/>
            <w:tcBorders>
              <w:top w:val="single" w:color="auto" w:sz="4" w:space="0"/>
              <w:left w:val="single" w:color="auto" w:sz="4" w:space="0"/>
              <w:bottom w:val="single" w:color="auto" w:sz="4" w:space="0"/>
              <w:right w:val="single" w:color="auto" w:sz="4" w:space="0"/>
            </w:tcBorders>
            <w:noWrap w:val="0"/>
            <w:vAlign w:val="center"/>
          </w:tcPr>
          <w:p w14:paraId="5E81C885">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r>
              <w:rPr>
                <w:rFonts w:hint="eastAsia" w:ascii="宋体" w:hAnsi="宋体" w:eastAsia="宋体" w:cs="宋体"/>
                <w:color w:val="auto"/>
                <w:sz w:val="18"/>
                <w:szCs w:val="18"/>
                <w:highlight w:val="none"/>
                <w:lang w:val="en-US" w:eastAsia="zh-CN"/>
              </w:rPr>
              <w:t>管理体系</w:t>
            </w:r>
            <w:r>
              <w:rPr>
                <w:rFonts w:hint="eastAsia" w:ascii="宋体" w:hAnsi="宋体" w:eastAsia="宋体" w:cs="宋体"/>
                <w:color w:val="auto"/>
                <w:sz w:val="18"/>
                <w:szCs w:val="18"/>
                <w:highlight w:val="none"/>
              </w:rPr>
              <w:t>考核扣分扣完为止。</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1274C236">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5E6B2C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52CD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05D8ABD7">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14:paraId="3C360D73">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规</w:t>
            </w:r>
          </w:p>
          <w:p w14:paraId="66D5B8FF">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章</w:t>
            </w:r>
          </w:p>
          <w:p w14:paraId="3C33D38D">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制</w:t>
            </w:r>
          </w:p>
          <w:p w14:paraId="5C3BBDE3">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度</w:t>
            </w:r>
          </w:p>
          <w:p w14:paraId="5BCCE0D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1F76D14D">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1、健全内部各项规章制度及应急预案</w:t>
            </w:r>
            <w:r>
              <w:rPr>
                <w:rFonts w:hint="eastAsia" w:ascii="宋体" w:hAnsi="宋体" w:eastAsia="宋体" w:cs="宋体"/>
                <w:bCs/>
                <w:color w:val="auto"/>
                <w:sz w:val="18"/>
                <w:szCs w:val="18"/>
                <w:highlight w:val="none"/>
              </w:rPr>
              <w:t>；</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B5C9527">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未建立扣5分，不健全扣2扣</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776127A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3CE05A8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10EA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108C9D6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11FF964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814CFAE">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2、熟悉业主单位各项管理制度及应急预案，并有效组织实施；</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4AF8554">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不熟悉扣1分，不能有效组织实施扣2分；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3E673C87">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2659B67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6097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2317237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54695BD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8E80A35">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3、建立内部岗位绩效考核办法，报业主单位备案；</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22FED87">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未建立绩效考核办法扣2分，未落实考核奖罚办法执行扣5分；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070D7C4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F67E0A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248B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4706E12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6C0F019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88" w:type="dxa"/>
            <w:gridSpan w:val="2"/>
            <w:tcBorders>
              <w:top w:val="single" w:color="auto" w:sz="4" w:space="0"/>
              <w:left w:val="single" w:color="auto" w:sz="4" w:space="0"/>
              <w:bottom w:val="single" w:color="auto" w:sz="4" w:space="0"/>
              <w:right w:val="single" w:color="auto" w:sz="4" w:space="0"/>
            </w:tcBorders>
            <w:noWrap w:val="0"/>
            <w:vAlign w:val="center"/>
          </w:tcPr>
          <w:p w14:paraId="2172D9B5">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r>
              <w:rPr>
                <w:rFonts w:hint="eastAsia" w:ascii="宋体" w:hAnsi="宋体" w:eastAsia="宋体" w:cs="宋体"/>
                <w:color w:val="auto"/>
                <w:sz w:val="18"/>
                <w:szCs w:val="18"/>
                <w:highlight w:val="none"/>
                <w:lang w:val="en-US" w:eastAsia="zh-CN"/>
              </w:rPr>
              <w:t>规章制度</w:t>
            </w:r>
            <w:r>
              <w:rPr>
                <w:rFonts w:hint="eastAsia" w:ascii="宋体" w:hAnsi="宋体" w:eastAsia="宋体" w:cs="宋体"/>
                <w:color w:val="auto"/>
                <w:sz w:val="18"/>
                <w:szCs w:val="18"/>
                <w:highlight w:val="none"/>
              </w:rPr>
              <w:t>考核扣分扣完为止。</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564FC12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8F116C6">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08A9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32694C8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14:paraId="49016D8E">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人</w:t>
            </w:r>
          </w:p>
          <w:p w14:paraId="42E15956">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员</w:t>
            </w:r>
          </w:p>
          <w:p w14:paraId="608EEADA">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配</w:t>
            </w:r>
          </w:p>
          <w:p w14:paraId="0C941BEA">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备</w:t>
            </w:r>
          </w:p>
          <w:p w14:paraId="11940D5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0B0EE07">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1、人员编制符合要求；</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D3D77CE">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达不到要求，缺少1人扣</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val="en-US" w:eastAsia="zh-CN"/>
              </w:rPr>
              <w:t>连续两个月未整改，该季度考核分扣10分，连续3个月未整改，该季度考核做0分处理。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735EA1B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083B98C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5C01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760FBD6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372A88D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5AA22C73">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2、人员招聘符合业主要求；</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4E9F4B3">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不符合要求的每人扣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5986400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0346C80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11D1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0D98AC5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7BF2E42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89160BA">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3、人员上岗证配备达到100%，队伍保持稳定；</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593A8A7">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未</w:t>
            </w:r>
            <w:r>
              <w:rPr>
                <w:rFonts w:hint="eastAsia" w:ascii="宋体" w:hAnsi="宋体" w:eastAsia="宋体" w:cs="宋体"/>
                <w:color w:val="auto"/>
                <w:sz w:val="18"/>
                <w:szCs w:val="18"/>
                <w:highlight w:val="none"/>
                <w:lang w:val="en-US" w:eastAsia="zh-CN"/>
              </w:rPr>
              <w:t>持</w:t>
            </w:r>
            <w:r>
              <w:rPr>
                <w:rFonts w:hint="eastAsia" w:ascii="宋体" w:hAnsi="宋体" w:eastAsia="宋体" w:cs="宋体"/>
                <w:color w:val="auto"/>
                <w:sz w:val="18"/>
                <w:szCs w:val="18"/>
                <w:highlight w:val="none"/>
              </w:rPr>
              <w:t>证上岗证的发现一次扣</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分/每人；影响</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工作正常运转扣5分</w:t>
            </w:r>
            <w:r>
              <w:rPr>
                <w:rFonts w:hint="eastAsia" w:ascii="宋体" w:hAnsi="宋体" w:eastAsia="宋体" w:cs="宋体"/>
                <w:color w:val="auto"/>
                <w:sz w:val="18"/>
                <w:szCs w:val="18"/>
                <w:highlight w:val="none"/>
                <w:lang w:eastAsia="zh-CN"/>
              </w:rPr>
              <w:t>；</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51B0BD9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0BD3EA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7F50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1" w:type="dxa"/>
            <w:vMerge w:val="continue"/>
            <w:tcBorders>
              <w:left w:val="single" w:color="auto" w:sz="4" w:space="0"/>
              <w:right w:val="single" w:color="auto" w:sz="4" w:space="0"/>
            </w:tcBorders>
            <w:noWrap w:val="0"/>
            <w:vAlign w:val="top"/>
          </w:tcPr>
          <w:p w14:paraId="16CD0D6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4682B8E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D4B49C3">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4、人员无犯罪证明、上岗证等信息要到甲方备案，人员花名册每月更新上报甲方备案</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40C9646">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未建立人员信息管理台帐和未</w:t>
            </w:r>
            <w:r>
              <w:rPr>
                <w:rFonts w:hint="eastAsia" w:ascii="宋体" w:hAnsi="宋体" w:eastAsia="宋体" w:cs="宋体"/>
                <w:color w:val="auto"/>
                <w:sz w:val="18"/>
                <w:szCs w:val="18"/>
                <w:highlight w:val="none"/>
                <w:lang w:val="en-US" w:eastAsia="zh-CN"/>
              </w:rPr>
              <w:t>向</w:t>
            </w:r>
            <w:r>
              <w:rPr>
                <w:rFonts w:hint="eastAsia" w:ascii="宋体" w:hAnsi="宋体" w:eastAsia="宋体" w:cs="宋体"/>
                <w:color w:val="auto"/>
                <w:sz w:val="18"/>
                <w:szCs w:val="18"/>
                <w:highlight w:val="none"/>
              </w:rPr>
              <w:t>甲方备案的扣2分；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0780EC6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118E399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4C07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38CE059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14:paraId="193CA6E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88" w:type="dxa"/>
            <w:gridSpan w:val="2"/>
            <w:tcBorders>
              <w:top w:val="single" w:color="auto" w:sz="4" w:space="0"/>
              <w:left w:val="single" w:color="auto" w:sz="4" w:space="0"/>
              <w:bottom w:val="single" w:color="auto" w:sz="4" w:space="0"/>
              <w:right w:val="single" w:color="auto" w:sz="4" w:space="0"/>
            </w:tcBorders>
            <w:noWrap w:val="0"/>
            <w:vAlign w:val="center"/>
          </w:tcPr>
          <w:p w14:paraId="00FF0FA5">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备注：</w:t>
            </w:r>
            <w:r>
              <w:rPr>
                <w:rFonts w:hint="eastAsia" w:ascii="宋体" w:hAnsi="宋体" w:eastAsia="宋体" w:cs="宋体"/>
                <w:color w:val="auto"/>
                <w:sz w:val="18"/>
                <w:szCs w:val="18"/>
                <w:highlight w:val="none"/>
                <w:lang w:val="en-US" w:eastAsia="zh-CN"/>
              </w:rPr>
              <w:t>人员配备</w:t>
            </w:r>
            <w:r>
              <w:rPr>
                <w:rFonts w:hint="eastAsia" w:ascii="宋体" w:hAnsi="宋体" w:eastAsia="宋体" w:cs="宋体"/>
                <w:color w:val="auto"/>
                <w:sz w:val="18"/>
                <w:szCs w:val="18"/>
                <w:highlight w:val="none"/>
              </w:rPr>
              <w:t>考核扣分扣完为止。</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1524744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76BDE1C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34B1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54FB512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restart"/>
            <w:tcBorders>
              <w:top w:val="single" w:color="auto" w:sz="4" w:space="0"/>
              <w:left w:val="single" w:color="auto" w:sz="4" w:space="0"/>
              <w:right w:val="single" w:color="auto" w:sz="4" w:space="0"/>
            </w:tcBorders>
            <w:noWrap w:val="0"/>
            <w:vAlign w:val="center"/>
          </w:tcPr>
          <w:p w14:paraId="4E84044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教</w:t>
            </w:r>
          </w:p>
          <w:p w14:paraId="45C0F70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育</w:t>
            </w:r>
          </w:p>
          <w:p w14:paraId="1810552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w:t>
            </w:r>
          </w:p>
          <w:p w14:paraId="29879D2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训</w:t>
            </w:r>
          </w:p>
          <w:p w14:paraId="4EB4D982">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（10分）</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2496EF9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1、制订内部教育培训计划，并按规定执行。</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5ECABE9">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无培训计划扣2分，未按计划组织培训1次扣1分；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3ED2B48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677F410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6167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08B30A0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14:paraId="25591BA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top"/>
          </w:tcPr>
          <w:p w14:paraId="7C1B56D4">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2、组织员工开展安全培训，形成岗前安全教育培训台帐；</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7F489E0">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未能做到扣2分；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4370D98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FA029F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0E98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49CE849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14:paraId="4A9DB6A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top"/>
          </w:tcPr>
          <w:p w14:paraId="12A9AD48">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3、积极组织员工参加</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组织各项教育培训活动；</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3107E79">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未能有效组织参加扣2分；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45B99F5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66522C8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24C4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79D55446">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14:paraId="1ECDF5D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top"/>
          </w:tcPr>
          <w:p w14:paraId="1D7A0B72">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4、物业项目部每年组织开展员工技能培训活动不少于4次，并形成台帐记录；</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E977A0D">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未能有效组织实施一次扣2分；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192E0B1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A57131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6FF6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5216F04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bottom w:val="single" w:color="auto" w:sz="4" w:space="0"/>
              <w:right w:val="single" w:color="auto" w:sz="4" w:space="0"/>
            </w:tcBorders>
            <w:noWrap w:val="0"/>
            <w:vAlign w:val="top"/>
          </w:tcPr>
          <w:p w14:paraId="16813B4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top"/>
          </w:tcPr>
          <w:p w14:paraId="00C411A6">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r>
              <w:rPr>
                <w:rFonts w:hint="eastAsia" w:ascii="宋体" w:hAnsi="宋体" w:eastAsia="宋体" w:cs="宋体"/>
                <w:color w:val="auto"/>
                <w:sz w:val="18"/>
                <w:szCs w:val="18"/>
                <w:highlight w:val="none"/>
                <w:lang w:val="en-US" w:eastAsia="zh-CN"/>
              </w:rPr>
              <w:t>教育培训</w:t>
            </w:r>
            <w:r>
              <w:rPr>
                <w:rFonts w:hint="eastAsia" w:ascii="宋体" w:hAnsi="宋体" w:eastAsia="宋体" w:cs="宋体"/>
                <w:color w:val="auto"/>
                <w:sz w:val="18"/>
                <w:szCs w:val="18"/>
                <w:highlight w:val="none"/>
              </w:rPr>
              <w:t>考核扣分扣完为止。</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D2F6DAB">
            <w:pPr>
              <w:spacing w:line="240" w:lineRule="auto"/>
              <w:jc w:val="left"/>
              <w:rPr>
                <w:rFonts w:hint="eastAsia" w:ascii="宋体" w:hAnsi="宋体" w:eastAsia="宋体" w:cs="宋体"/>
                <w:color w:val="auto"/>
                <w:sz w:val="18"/>
                <w:szCs w:val="18"/>
                <w:highlight w:val="none"/>
              </w:rPr>
            </w:pPr>
          </w:p>
        </w:tc>
        <w:tc>
          <w:tcPr>
            <w:tcW w:w="2471" w:type="dxa"/>
            <w:tcBorders>
              <w:top w:val="single" w:color="auto" w:sz="4" w:space="0"/>
              <w:left w:val="single" w:color="auto" w:sz="4" w:space="0"/>
              <w:bottom w:val="single" w:color="auto" w:sz="4" w:space="0"/>
              <w:right w:val="single" w:color="auto" w:sz="4" w:space="0"/>
            </w:tcBorders>
            <w:noWrap w:val="0"/>
            <w:vAlign w:val="top"/>
          </w:tcPr>
          <w:p w14:paraId="58F4310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0DD04A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6651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3DE3D506">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restart"/>
            <w:tcBorders>
              <w:top w:val="single" w:color="auto" w:sz="4" w:space="0"/>
              <w:left w:val="single" w:color="auto" w:sz="4" w:space="0"/>
              <w:right w:val="single" w:color="auto" w:sz="4" w:space="0"/>
            </w:tcBorders>
            <w:noWrap w:val="0"/>
            <w:vAlign w:val="top"/>
          </w:tcPr>
          <w:p w14:paraId="3A41401C">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w:t>
            </w:r>
          </w:p>
          <w:p w14:paraId="2AD1977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全</w:t>
            </w:r>
          </w:p>
          <w:p w14:paraId="2386299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生</w:t>
            </w:r>
          </w:p>
          <w:p w14:paraId="0127DBE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产</w:t>
            </w:r>
          </w:p>
          <w:p w14:paraId="6EB5AE1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r>
              <w:rPr>
                <w:rFonts w:hint="eastAsia" w:ascii="宋体" w:hAnsi="宋体" w:eastAsia="宋体" w:cs="宋体"/>
                <w:color w:val="auto"/>
                <w:sz w:val="18"/>
                <w:szCs w:val="18"/>
                <w:highlight w:val="none"/>
              </w:rPr>
              <w:t>（10分）</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B7C20A1">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1、制定保安巡逻制度，按规定组织开展日常巡视和安全检查。</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5999955">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未制定巡逻制度扣2分，日常巡查或检查不到位扣</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分/次。</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0D257EF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35C5231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41C8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1732206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14:paraId="75EDD0D7">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EA96C6C">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2、定期开展安全检查工作，发现安全隐患，进行记录登记和上报，及落实整改及防范措施；</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E36A035">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未及时发现安全隐患扣</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分/次，安全隐患整改落实不到位扣</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分/次。</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7069B60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2324BE57">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3B6D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362E50D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14:paraId="7BA2ECA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598B37FB">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3、现场安全措施落实到位，无“三违”现象。</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6B24E94">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违反一次扣5分/次。</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563D387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0DC29BB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4C92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73545D0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14:paraId="25B2652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2AAF8FC">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4、物业公司组织技术力量每季对</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设施设备定期开展检查与指导，并形成书面报告</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236B370">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未能做到一次扣5分。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57ACAB5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4CD6F36">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788F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7D6A383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14:paraId="4CAF664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D44DF0B">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5、应急突发事件处置及时，响应迅速有效，措施到位。</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52CD546">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处置不及时或处置方法不当，发现一次扣5分。</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21454786">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FBAC96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6719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right w:val="single" w:color="auto" w:sz="4" w:space="0"/>
            </w:tcBorders>
            <w:noWrap w:val="0"/>
            <w:vAlign w:val="top"/>
          </w:tcPr>
          <w:p w14:paraId="5184FC5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right w:val="single" w:color="auto" w:sz="4" w:space="0"/>
            </w:tcBorders>
            <w:noWrap w:val="0"/>
            <w:vAlign w:val="top"/>
          </w:tcPr>
          <w:p w14:paraId="24E9907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E70B01B">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6、不得出现责任性安全生产事故，因物业管理不当造成安全生产事故。</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5E30D728">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当月考核0分处理，并按合同约定，承担相应经济责任。</w:t>
            </w:r>
          </w:p>
        </w:tc>
        <w:tc>
          <w:tcPr>
            <w:tcW w:w="2471" w:type="dxa"/>
            <w:tcBorders>
              <w:top w:val="single" w:color="auto" w:sz="4" w:space="0"/>
              <w:left w:val="single" w:color="auto" w:sz="4" w:space="0"/>
              <w:bottom w:val="single" w:color="auto" w:sz="4" w:space="0"/>
              <w:right w:val="single" w:color="auto" w:sz="4" w:space="0"/>
            </w:tcBorders>
            <w:noWrap w:val="0"/>
            <w:vAlign w:val="top"/>
          </w:tcPr>
          <w:p w14:paraId="4FB7841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37CD0F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tr w14:paraId="2FFD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vMerge w:val="continue"/>
            <w:tcBorders>
              <w:left w:val="single" w:color="auto" w:sz="4" w:space="0"/>
              <w:bottom w:val="single" w:color="auto" w:sz="4" w:space="0"/>
              <w:right w:val="single" w:color="auto" w:sz="4" w:space="0"/>
            </w:tcBorders>
            <w:noWrap w:val="0"/>
            <w:vAlign w:val="top"/>
          </w:tcPr>
          <w:p w14:paraId="6D38764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876" w:type="dxa"/>
            <w:vMerge w:val="continue"/>
            <w:tcBorders>
              <w:left w:val="single" w:color="auto" w:sz="4" w:space="0"/>
              <w:bottom w:val="single" w:color="auto" w:sz="4" w:space="0"/>
              <w:right w:val="single" w:color="auto" w:sz="4" w:space="0"/>
            </w:tcBorders>
            <w:noWrap w:val="0"/>
            <w:vAlign w:val="top"/>
          </w:tcPr>
          <w:p w14:paraId="378F682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5103" w:type="dxa"/>
            <w:tcBorders>
              <w:top w:val="single" w:color="auto" w:sz="4" w:space="0"/>
              <w:left w:val="single" w:color="auto" w:sz="4" w:space="0"/>
              <w:bottom w:val="single" w:color="auto" w:sz="4" w:space="0"/>
              <w:right w:val="single" w:color="auto" w:sz="4" w:space="0"/>
            </w:tcBorders>
            <w:noWrap w:val="0"/>
            <w:vAlign w:val="center"/>
          </w:tcPr>
          <w:p w14:paraId="58C5C510">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备注：</w:t>
            </w:r>
            <w:r>
              <w:rPr>
                <w:rFonts w:hint="eastAsia" w:ascii="宋体" w:hAnsi="宋体" w:eastAsia="宋体" w:cs="宋体"/>
                <w:color w:val="auto"/>
                <w:sz w:val="18"/>
                <w:szCs w:val="18"/>
                <w:highlight w:val="none"/>
                <w:lang w:val="en-US" w:eastAsia="zh-CN"/>
              </w:rPr>
              <w:t>安全生产</w:t>
            </w:r>
            <w:r>
              <w:rPr>
                <w:rFonts w:hint="eastAsia" w:ascii="宋体" w:hAnsi="宋体" w:eastAsia="宋体" w:cs="宋体"/>
                <w:color w:val="auto"/>
                <w:sz w:val="18"/>
                <w:szCs w:val="18"/>
                <w:highlight w:val="none"/>
              </w:rPr>
              <w:t>考核扣分扣完为止。</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0763815">
            <w:pPr>
              <w:spacing w:line="240" w:lineRule="auto"/>
              <w:jc w:val="left"/>
              <w:rPr>
                <w:rFonts w:hint="eastAsia" w:ascii="宋体" w:hAnsi="宋体" w:eastAsia="宋体" w:cs="宋体"/>
                <w:color w:val="auto"/>
                <w:kern w:val="2"/>
                <w:sz w:val="18"/>
                <w:szCs w:val="18"/>
                <w:highlight w:val="none"/>
                <w:lang w:val="en-US" w:eastAsia="zh-CN" w:bidi="ar-SA"/>
              </w:rPr>
            </w:pPr>
          </w:p>
        </w:tc>
        <w:tc>
          <w:tcPr>
            <w:tcW w:w="2471" w:type="dxa"/>
            <w:tcBorders>
              <w:top w:val="single" w:color="auto" w:sz="4" w:space="0"/>
              <w:left w:val="single" w:color="auto" w:sz="4" w:space="0"/>
              <w:bottom w:val="single" w:color="auto" w:sz="4" w:space="0"/>
              <w:right w:val="single" w:color="auto" w:sz="4" w:space="0"/>
            </w:tcBorders>
            <w:noWrap w:val="0"/>
            <w:vAlign w:val="top"/>
          </w:tcPr>
          <w:p w14:paraId="01776CF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076F374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highlight w:val="none"/>
              </w:rPr>
            </w:pPr>
          </w:p>
        </w:tc>
      </w:tr>
      <w:bookmarkEnd w:id="191"/>
    </w:tbl>
    <w:p w14:paraId="5B5CC5AC">
      <w:pPr>
        <w:tabs>
          <w:tab w:val="left" w:pos="540"/>
          <w:tab w:val="left" w:pos="720"/>
        </w:tabs>
        <w:adjustRightInd w:val="0"/>
        <w:snapToGrid w:val="0"/>
        <w:spacing w:line="240" w:lineRule="auto"/>
        <w:ind w:left="410" w:hanging="307" w:hangingChars="170"/>
        <w:jc w:val="both"/>
        <w:rPr>
          <w:rFonts w:hint="default" w:ascii="宋体" w:hAnsi="宋体" w:eastAsia="宋体" w:cs="宋体"/>
          <w:b/>
          <w:color w:val="auto"/>
          <w:sz w:val="18"/>
          <w:szCs w:val="18"/>
          <w:highlight w:val="none"/>
          <w:lang w:val="en-US" w:eastAsia="zh-CN"/>
        </w:rPr>
      </w:pPr>
    </w:p>
    <w:tbl>
      <w:tblPr>
        <w:tblStyle w:val="25"/>
        <w:tblpPr w:leftFromText="180" w:rightFromText="180" w:vertAnchor="text" w:horzAnchor="page" w:tblpXSpec="center" w:tblpY="1"/>
        <w:tblOverlap w:val="never"/>
        <w:tblW w:w="13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888"/>
        <w:gridCol w:w="5340"/>
        <w:gridCol w:w="3420"/>
        <w:gridCol w:w="2472"/>
        <w:gridCol w:w="948"/>
      </w:tblGrid>
      <w:tr w14:paraId="7CA1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2" w:type="dxa"/>
            <w:gridSpan w:val="2"/>
            <w:tcBorders>
              <w:top w:val="single" w:color="auto" w:sz="4" w:space="0"/>
              <w:left w:val="single" w:color="auto" w:sz="4" w:space="0"/>
              <w:bottom w:val="single" w:color="auto" w:sz="4" w:space="0"/>
              <w:right w:val="single" w:color="auto" w:sz="4" w:space="0"/>
            </w:tcBorders>
            <w:noWrap w:val="0"/>
            <w:vAlign w:val="center"/>
          </w:tcPr>
          <w:p w14:paraId="775E12EA">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项目</w:t>
            </w:r>
          </w:p>
        </w:tc>
        <w:tc>
          <w:tcPr>
            <w:tcW w:w="5340" w:type="dxa"/>
            <w:tcBorders>
              <w:top w:val="single" w:color="auto" w:sz="4" w:space="0"/>
              <w:left w:val="single" w:color="auto" w:sz="4" w:space="0"/>
              <w:bottom w:val="single" w:color="auto" w:sz="4" w:space="0"/>
              <w:right w:val="single" w:color="auto" w:sz="4" w:space="0"/>
            </w:tcBorders>
            <w:noWrap w:val="0"/>
            <w:vAlign w:val="center"/>
          </w:tcPr>
          <w:p w14:paraId="5D68B862">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考核标准</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074549D">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考核办法</w:t>
            </w:r>
          </w:p>
        </w:tc>
        <w:tc>
          <w:tcPr>
            <w:tcW w:w="2472" w:type="dxa"/>
            <w:tcBorders>
              <w:top w:val="single" w:color="auto" w:sz="4" w:space="0"/>
              <w:left w:val="single" w:color="auto" w:sz="4" w:space="0"/>
              <w:bottom w:val="single" w:color="auto" w:sz="4" w:space="0"/>
              <w:right w:val="single" w:color="auto" w:sz="4" w:space="0"/>
            </w:tcBorders>
            <w:noWrap w:val="0"/>
            <w:vAlign w:val="center"/>
          </w:tcPr>
          <w:p w14:paraId="7F5D5A1E">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扣分事项</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A3C9D9E">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得分</w:t>
            </w:r>
          </w:p>
        </w:tc>
      </w:tr>
      <w:tr w14:paraId="60FF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restart"/>
            <w:tcBorders>
              <w:top w:val="single" w:color="auto" w:sz="4" w:space="0"/>
              <w:left w:val="single" w:color="auto" w:sz="4" w:space="0"/>
              <w:right w:val="single" w:color="auto" w:sz="4" w:space="0"/>
            </w:tcBorders>
            <w:noWrap w:val="0"/>
            <w:vAlign w:val="center"/>
          </w:tcPr>
          <w:p w14:paraId="779EEED6">
            <w:pPr>
              <w:spacing w:line="240" w:lineRule="auto"/>
              <w:jc w:val="center"/>
              <w:rPr>
                <w:rFonts w:hint="eastAsia" w:ascii="宋体" w:hAnsi="宋体" w:eastAsia="宋体" w:cs="宋体"/>
                <w:color w:val="auto"/>
                <w:sz w:val="18"/>
                <w:szCs w:val="18"/>
                <w:highlight w:val="none"/>
              </w:rPr>
            </w:pPr>
          </w:p>
          <w:p w14:paraId="763015D2">
            <w:pPr>
              <w:spacing w:line="240" w:lineRule="auto"/>
              <w:jc w:val="center"/>
              <w:rPr>
                <w:rFonts w:hint="eastAsia" w:ascii="宋体" w:hAnsi="宋体" w:eastAsia="宋体" w:cs="宋体"/>
                <w:color w:val="auto"/>
                <w:sz w:val="18"/>
                <w:szCs w:val="18"/>
                <w:highlight w:val="none"/>
              </w:rPr>
            </w:pPr>
          </w:p>
          <w:p w14:paraId="68D24A00">
            <w:pPr>
              <w:spacing w:line="240" w:lineRule="auto"/>
              <w:jc w:val="center"/>
              <w:rPr>
                <w:rFonts w:hint="eastAsia" w:ascii="宋体" w:hAnsi="宋体" w:eastAsia="宋体" w:cs="宋体"/>
                <w:color w:val="auto"/>
                <w:sz w:val="18"/>
                <w:szCs w:val="18"/>
                <w:highlight w:val="none"/>
              </w:rPr>
            </w:pPr>
          </w:p>
          <w:p w14:paraId="10BB077E">
            <w:pPr>
              <w:spacing w:line="240" w:lineRule="auto"/>
              <w:jc w:val="center"/>
              <w:rPr>
                <w:rFonts w:hint="eastAsia" w:ascii="宋体" w:hAnsi="宋体" w:eastAsia="宋体" w:cs="宋体"/>
                <w:color w:val="auto"/>
                <w:sz w:val="18"/>
                <w:szCs w:val="18"/>
                <w:highlight w:val="none"/>
              </w:rPr>
            </w:pPr>
          </w:p>
          <w:p w14:paraId="4E6892F0">
            <w:pPr>
              <w:spacing w:line="240" w:lineRule="auto"/>
              <w:jc w:val="center"/>
              <w:rPr>
                <w:rFonts w:hint="eastAsia" w:ascii="宋体" w:hAnsi="宋体" w:eastAsia="宋体" w:cs="宋体"/>
                <w:color w:val="auto"/>
                <w:sz w:val="18"/>
                <w:szCs w:val="18"/>
                <w:highlight w:val="none"/>
              </w:rPr>
            </w:pPr>
          </w:p>
          <w:p w14:paraId="4F7E103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质</w:t>
            </w:r>
          </w:p>
          <w:p w14:paraId="26466FD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量</w:t>
            </w:r>
          </w:p>
          <w:p w14:paraId="4F69A00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w:t>
            </w:r>
          </w:p>
          <w:p w14:paraId="31ABD8AC">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理</w:t>
            </w:r>
          </w:p>
          <w:p w14:paraId="01B09B4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5分）</w:t>
            </w:r>
          </w:p>
        </w:tc>
        <w:tc>
          <w:tcPr>
            <w:tcW w:w="888" w:type="dxa"/>
            <w:vMerge w:val="restart"/>
            <w:tcBorders>
              <w:top w:val="single" w:color="auto" w:sz="4" w:space="0"/>
              <w:left w:val="single" w:color="auto" w:sz="4" w:space="0"/>
              <w:bottom w:val="single" w:color="auto" w:sz="4" w:space="0"/>
              <w:right w:val="single" w:color="auto" w:sz="4" w:space="0"/>
            </w:tcBorders>
            <w:noWrap w:val="0"/>
            <w:vAlign w:val="center"/>
          </w:tcPr>
          <w:p w14:paraId="40F11032">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六</w:t>
            </w:r>
          </w:p>
          <w:p w14:paraId="46EBA9B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大</w:t>
            </w:r>
          </w:p>
          <w:p w14:paraId="3FF5D707">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禁</w:t>
            </w:r>
          </w:p>
          <w:p w14:paraId="54C7717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令</w:t>
            </w:r>
          </w:p>
          <w:p w14:paraId="79C4EE1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（10分）</w:t>
            </w:r>
          </w:p>
        </w:tc>
        <w:tc>
          <w:tcPr>
            <w:tcW w:w="5340" w:type="dxa"/>
            <w:tcBorders>
              <w:top w:val="single" w:color="auto" w:sz="4" w:space="0"/>
              <w:left w:val="single" w:color="auto" w:sz="4" w:space="0"/>
              <w:bottom w:val="single" w:color="auto" w:sz="4" w:space="0"/>
              <w:right w:val="single" w:color="auto" w:sz="4" w:space="0"/>
            </w:tcBorders>
            <w:noWrap w:val="0"/>
            <w:vAlign w:val="center"/>
          </w:tcPr>
          <w:p w14:paraId="55AF953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1、严禁员工将</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物品占为自有。</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08F1AF8F">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违者辞退处理，项目部月度考核扣10分，罚款500元/次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r>
              <w:rPr>
                <w:rFonts w:hint="eastAsia" w:ascii="宋体" w:hAnsi="宋体" w:eastAsia="宋体" w:cs="宋体"/>
                <w:color w:val="auto"/>
                <w:sz w:val="18"/>
                <w:szCs w:val="18"/>
                <w:highlight w:val="none"/>
              </w:rPr>
              <w:t>。</w:t>
            </w:r>
          </w:p>
        </w:tc>
        <w:tc>
          <w:tcPr>
            <w:tcW w:w="2472" w:type="dxa"/>
            <w:tcBorders>
              <w:top w:val="single" w:color="auto" w:sz="4" w:space="0"/>
              <w:left w:val="single" w:color="auto" w:sz="4" w:space="0"/>
              <w:bottom w:val="single" w:color="auto" w:sz="4" w:space="0"/>
              <w:right w:val="single" w:color="auto" w:sz="4" w:space="0"/>
            </w:tcBorders>
            <w:noWrap w:val="0"/>
            <w:vAlign w:val="top"/>
          </w:tcPr>
          <w:p w14:paraId="1F464AE4">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E3FABE1">
            <w:pPr>
              <w:spacing w:line="240" w:lineRule="auto"/>
              <w:jc w:val="left"/>
              <w:rPr>
                <w:rFonts w:hint="eastAsia" w:ascii="宋体" w:hAnsi="宋体" w:eastAsia="宋体" w:cs="宋体"/>
                <w:color w:val="auto"/>
                <w:sz w:val="18"/>
                <w:szCs w:val="18"/>
                <w:highlight w:val="none"/>
              </w:rPr>
            </w:pPr>
          </w:p>
        </w:tc>
      </w:tr>
      <w:tr w14:paraId="7BA3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30D29A76">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7F98EF36">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2E0381C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2、严禁员工利用公共区域私卖物品，谋取私利。</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41319D4B">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450EE61C">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1D782A14">
            <w:pPr>
              <w:spacing w:line="240" w:lineRule="auto"/>
              <w:jc w:val="left"/>
              <w:rPr>
                <w:rFonts w:hint="eastAsia" w:ascii="宋体" w:hAnsi="宋体" w:eastAsia="宋体" w:cs="宋体"/>
                <w:color w:val="auto"/>
                <w:sz w:val="18"/>
                <w:szCs w:val="18"/>
                <w:highlight w:val="none"/>
              </w:rPr>
            </w:pPr>
          </w:p>
        </w:tc>
      </w:tr>
      <w:tr w14:paraId="37AA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1422EB8B">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630DAE27">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61279243">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3、严禁员工向</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商家“吃、拿、卡、要”。</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72CAE40E">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29DF7807">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EE41378">
            <w:pPr>
              <w:spacing w:line="240" w:lineRule="auto"/>
              <w:jc w:val="left"/>
              <w:rPr>
                <w:rFonts w:hint="eastAsia" w:ascii="宋体" w:hAnsi="宋体" w:eastAsia="宋体" w:cs="宋体"/>
                <w:color w:val="auto"/>
                <w:sz w:val="18"/>
                <w:szCs w:val="18"/>
                <w:highlight w:val="none"/>
              </w:rPr>
            </w:pPr>
          </w:p>
        </w:tc>
      </w:tr>
      <w:tr w14:paraId="7C4F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651A5AB7">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70815A7F">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6519B355">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4、严禁员工与司乘人员吵闹、殴打。</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64FEB745">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061AE347">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7CE88C37">
            <w:pPr>
              <w:spacing w:line="240" w:lineRule="auto"/>
              <w:jc w:val="left"/>
              <w:rPr>
                <w:rFonts w:hint="eastAsia" w:ascii="宋体" w:hAnsi="宋体" w:eastAsia="宋体" w:cs="宋体"/>
                <w:color w:val="auto"/>
                <w:sz w:val="18"/>
                <w:szCs w:val="18"/>
                <w:highlight w:val="none"/>
              </w:rPr>
            </w:pPr>
          </w:p>
        </w:tc>
      </w:tr>
      <w:tr w14:paraId="165B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5BDFC0F6">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745ECC87">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38EED0DA">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5、严禁聚众赌博、班中饮酒、员工之间打架等</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2315D833">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08C7C591">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3423B4ED">
            <w:pPr>
              <w:spacing w:line="240" w:lineRule="auto"/>
              <w:jc w:val="left"/>
              <w:rPr>
                <w:rFonts w:hint="eastAsia" w:ascii="宋体" w:hAnsi="宋体" w:eastAsia="宋体" w:cs="宋体"/>
                <w:color w:val="auto"/>
                <w:sz w:val="18"/>
                <w:szCs w:val="18"/>
                <w:highlight w:val="none"/>
              </w:rPr>
            </w:pPr>
          </w:p>
        </w:tc>
      </w:tr>
      <w:tr w14:paraId="327B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3779589A">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292F8BFD">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388AC59C">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6、严禁利用工作之便偷盗、侵吞公共财物或串通外来人员进行违法行为。</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62CF6791">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779CD163">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6106168F">
            <w:pPr>
              <w:spacing w:line="240" w:lineRule="auto"/>
              <w:jc w:val="left"/>
              <w:rPr>
                <w:rFonts w:hint="eastAsia" w:ascii="宋体" w:hAnsi="宋体" w:eastAsia="宋体" w:cs="宋体"/>
                <w:color w:val="auto"/>
                <w:sz w:val="18"/>
                <w:szCs w:val="18"/>
                <w:highlight w:val="none"/>
              </w:rPr>
            </w:pPr>
          </w:p>
        </w:tc>
      </w:tr>
      <w:tr w14:paraId="2D16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07E64976">
            <w:pPr>
              <w:spacing w:line="240" w:lineRule="auto"/>
              <w:jc w:val="left"/>
              <w:rPr>
                <w:rFonts w:hint="eastAsia" w:ascii="宋体" w:hAnsi="宋体" w:eastAsia="宋体" w:cs="宋体"/>
                <w:color w:val="auto"/>
                <w:sz w:val="18"/>
                <w:szCs w:val="18"/>
                <w:highlight w:val="none"/>
              </w:rPr>
            </w:pPr>
          </w:p>
        </w:tc>
        <w:tc>
          <w:tcPr>
            <w:tcW w:w="888" w:type="dxa"/>
            <w:vMerge w:val="restart"/>
            <w:tcBorders>
              <w:top w:val="single" w:color="auto" w:sz="4" w:space="0"/>
              <w:left w:val="single" w:color="auto" w:sz="4" w:space="0"/>
              <w:bottom w:val="single" w:color="auto" w:sz="4" w:space="0"/>
              <w:right w:val="single" w:color="auto" w:sz="4" w:space="0"/>
            </w:tcBorders>
            <w:noWrap w:val="0"/>
            <w:vAlign w:val="center"/>
          </w:tcPr>
          <w:p w14:paraId="23179C9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劳</w:t>
            </w:r>
          </w:p>
          <w:p w14:paraId="45D1B8C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动</w:t>
            </w:r>
          </w:p>
          <w:p w14:paraId="476E9C8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纪</w:t>
            </w:r>
          </w:p>
          <w:p w14:paraId="2173C72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律</w:t>
            </w:r>
          </w:p>
          <w:p w14:paraId="01DE302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分）</w:t>
            </w:r>
          </w:p>
        </w:tc>
        <w:tc>
          <w:tcPr>
            <w:tcW w:w="5340" w:type="dxa"/>
            <w:tcBorders>
              <w:top w:val="single" w:color="auto" w:sz="4" w:space="0"/>
              <w:left w:val="single" w:color="auto" w:sz="4" w:space="0"/>
              <w:bottom w:val="single" w:color="auto" w:sz="4" w:space="0"/>
              <w:right w:val="single" w:color="auto" w:sz="4" w:space="0"/>
            </w:tcBorders>
            <w:noWrap w:val="0"/>
            <w:vAlign w:val="center"/>
          </w:tcPr>
          <w:p w14:paraId="7F50EBED">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1、准时上下岗，保证内外现场不断人，交接班必须在现场地交接。</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2DB7B58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val="en-US" w:eastAsia="zh-CN"/>
              </w:rPr>
              <w:t>扣完为止。</w:t>
            </w:r>
          </w:p>
        </w:tc>
        <w:tc>
          <w:tcPr>
            <w:tcW w:w="2472" w:type="dxa"/>
            <w:tcBorders>
              <w:top w:val="single" w:color="auto" w:sz="4" w:space="0"/>
              <w:left w:val="single" w:color="auto" w:sz="4" w:space="0"/>
              <w:bottom w:val="single" w:color="auto" w:sz="4" w:space="0"/>
              <w:right w:val="single" w:color="auto" w:sz="4" w:space="0"/>
            </w:tcBorders>
            <w:noWrap w:val="0"/>
            <w:vAlign w:val="top"/>
          </w:tcPr>
          <w:p w14:paraId="557A0DF4">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4D1EF10">
            <w:pPr>
              <w:spacing w:line="240" w:lineRule="auto"/>
              <w:jc w:val="left"/>
              <w:rPr>
                <w:rFonts w:hint="eastAsia" w:ascii="宋体" w:hAnsi="宋体" w:eastAsia="宋体" w:cs="宋体"/>
                <w:color w:val="auto"/>
                <w:sz w:val="18"/>
                <w:szCs w:val="18"/>
                <w:highlight w:val="none"/>
              </w:rPr>
            </w:pPr>
          </w:p>
        </w:tc>
      </w:tr>
      <w:tr w14:paraId="3757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597BB2D5">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center"/>
          </w:tcPr>
          <w:p w14:paraId="3B5CC194">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66EDB68D">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2、上岗期间不能发生脱岗、睡岗、聚众闲聊、玩游戏等行为。</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0F7F758F">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6BE1E74C">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0ADDD0B">
            <w:pPr>
              <w:spacing w:line="240" w:lineRule="auto"/>
              <w:jc w:val="left"/>
              <w:rPr>
                <w:rFonts w:hint="eastAsia" w:ascii="宋体" w:hAnsi="宋体" w:eastAsia="宋体" w:cs="宋体"/>
                <w:color w:val="auto"/>
                <w:sz w:val="18"/>
                <w:szCs w:val="18"/>
                <w:highlight w:val="none"/>
              </w:rPr>
            </w:pPr>
          </w:p>
        </w:tc>
      </w:tr>
      <w:tr w14:paraId="23C8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56B0E602">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center"/>
          </w:tcPr>
          <w:p w14:paraId="0B354093">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6159C011">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3、按上报的排班表上岗，不发生岗位缺岗。因特殊原因不能按编上岗，应向</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说明，并征得同意。</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03D4D84F">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20BD522E">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3128CAC4">
            <w:pPr>
              <w:spacing w:line="240" w:lineRule="auto"/>
              <w:jc w:val="left"/>
              <w:rPr>
                <w:rFonts w:hint="eastAsia" w:ascii="宋体" w:hAnsi="宋体" w:eastAsia="宋体" w:cs="宋体"/>
                <w:color w:val="auto"/>
                <w:sz w:val="18"/>
                <w:szCs w:val="18"/>
                <w:highlight w:val="none"/>
              </w:rPr>
            </w:pPr>
          </w:p>
        </w:tc>
      </w:tr>
      <w:tr w14:paraId="601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1DBD817D">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56ACC5B4">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53E4D6BA">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4、上岗期间需配合</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稽查人员稽查。</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59ADC533">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52FE5339">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5E86A501">
            <w:pPr>
              <w:spacing w:line="240" w:lineRule="auto"/>
              <w:jc w:val="left"/>
              <w:rPr>
                <w:rFonts w:hint="eastAsia" w:ascii="宋体" w:hAnsi="宋体" w:eastAsia="宋体" w:cs="宋体"/>
                <w:color w:val="auto"/>
                <w:sz w:val="18"/>
                <w:szCs w:val="18"/>
                <w:highlight w:val="none"/>
              </w:rPr>
            </w:pPr>
          </w:p>
        </w:tc>
      </w:tr>
      <w:tr w14:paraId="45FC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6C7A8C3E">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5DD612BA">
            <w:pPr>
              <w:spacing w:line="240" w:lineRule="auto"/>
              <w:jc w:val="center"/>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1FCDC2D3">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5、上岗期间不串岗，当班保安就餐前须落实好替岗人员，轮换就餐，交接班必须在现场交接。</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207A0897">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209CAA41">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94E06F7">
            <w:pPr>
              <w:spacing w:line="240" w:lineRule="auto"/>
              <w:jc w:val="left"/>
              <w:rPr>
                <w:rFonts w:hint="eastAsia" w:ascii="宋体" w:hAnsi="宋体" w:eastAsia="宋体" w:cs="宋体"/>
                <w:color w:val="auto"/>
                <w:sz w:val="18"/>
                <w:szCs w:val="18"/>
                <w:highlight w:val="none"/>
              </w:rPr>
            </w:pPr>
          </w:p>
        </w:tc>
      </w:tr>
      <w:tr w14:paraId="7FC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14" w:type="dxa"/>
            <w:vMerge w:val="continue"/>
            <w:tcBorders>
              <w:left w:val="single" w:color="auto" w:sz="4" w:space="0"/>
              <w:right w:val="single" w:color="auto" w:sz="4" w:space="0"/>
            </w:tcBorders>
            <w:noWrap w:val="0"/>
            <w:vAlign w:val="top"/>
          </w:tcPr>
          <w:p w14:paraId="384306AA">
            <w:pPr>
              <w:spacing w:line="240" w:lineRule="auto"/>
              <w:jc w:val="left"/>
              <w:rPr>
                <w:rFonts w:hint="eastAsia" w:ascii="宋体" w:hAnsi="宋体" w:eastAsia="宋体" w:cs="宋体"/>
                <w:color w:val="auto"/>
                <w:sz w:val="18"/>
                <w:szCs w:val="18"/>
                <w:highlight w:val="none"/>
              </w:rPr>
            </w:pPr>
          </w:p>
        </w:tc>
        <w:tc>
          <w:tcPr>
            <w:tcW w:w="888" w:type="dxa"/>
            <w:vMerge w:val="restart"/>
            <w:tcBorders>
              <w:top w:val="single" w:color="auto" w:sz="4" w:space="0"/>
              <w:left w:val="single" w:color="auto" w:sz="4" w:space="0"/>
              <w:bottom w:val="single" w:color="auto" w:sz="4" w:space="0"/>
              <w:right w:val="single" w:color="auto" w:sz="4" w:space="0"/>
            </w:tcBorders>
            <w:noWrap w:val="0"/>
            <w:vAlign w:val="center"/>
          </w:tcPr>
          <w:p w14:paraId="2738C18D">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行</w:t>
            </w:r>
          </w:p>
          <w:p w14:paraId="2788C82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为</w:t>
            </w:r>
          </w:p>
          <w:p w14:paraId="7F82CDB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规</w:t>
            </w:r>
          </w:p>
          <w:p w14:paraId="145F724B">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范</w:t>
            </w:r>
          </w:p>
          <w:p w14:paraId="6419E656">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val="en-US" w:eastAsia="zh-CN"/>
              </w:rPr>
              <w:t>)</w:t>
            </w:r>
          </w:p>
        </w:tc>
        <w:tc>
          <w:tcPr>
            <w:tcW w:w="5340" w:type="dxa"/>
            <w:tcBorders>
              <w:top w:val="single" w:color="auto" w:sz="4" w:space="0"/>
              <w:left w:val="single" w:color="auto" w:sz="4" w:space="0"/>
              <w:bottom w:val="single" w:color="auto" w:sz="4" w:space="0"/>
              <w:right w:val="single" w:color="auto" w:sz="4" w:space="0"/>
            </w:tcBorders>
            <w:noWrap w:val="0"/>
            <w:vAlign w:val="center"/>
          </w:tcPr>
          <w:p w14:paraId="0F3BA60D">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1、正确的使用礼貌用语。</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14FE8415">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p>
        </w:tc>
        <w:tc>
          <w:tcPr>
            <w:tcW w:w="2472" w:type="dxa"/>
            <w:tcBorders>
              <w:top w:val="single" w:color="auto" w:sz="4" w:space="0"/>
              <w:left w:val="single" w:color="auto" w:sz="4" w:space="0"/>
              <w:bottom w:val="single" w:color="auto" w:sz="4" w:space="0"/>
              <w:right w:val="single" w:color="auto" w:sz="4" w:space="0"/>
            </w:tcBorders>
            <w:noWrap w:val="0"/>
            <w:vAlign w:val="top"/>
          </w:tcPr>
          <w:p w14:paraId="6F7DC52D">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74E5B14C">
            <w:pPr>
              <w:spacing w:line="240" w:lineRule="auto"/>
              <w:jc w:val="left"/>
              <w:rPr>
                <w:rFonts w:hint="eastAsia" w:ascii="宋体" w:hAnsi="宋体" w:eastAsia="宋体" w:cs="宋体"/>
                <w:color w:val="auto"/>
                <w:sz w:val="18"/>
                <w:szCs w:val="18"/>
                <w:highlight w:val="none"/>
              </w:rPr>
            </w:pPr>
          </w:p>
        </w:tc>
      </w:tr>
      <w:tr w14:paraId="0349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1D496CF7">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1E10DF08">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1D33F183">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2、发生司乘人员求助时，应热情服务、积极帮助，不能借故推脱。</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08479303">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27056C2C">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2F9740B1">
            <w:pPr>
              <w:spacing w:line="240" w:lineRule="auto"/>
              <w:jc w:val="left"/>
              <w:rPr>
                <w:rFonts w:hint="eastAsia" w:ascii="宋体" w:hAnsi="宋体" w:eastAsia="宋体" w:cs="宋体"/>
                <w:color w:val="auto"/>
                <w:sz w:val="18"/>
                <w:szCs w:val="18"/>
                <w:highlight w:val="none"/>
              </w:rPr>
            </w:pPr>
          </w:p>
        </w:tc>
      </w:tr>
      <w:tr w14:paraId="4DFB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36407CCA">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79BBC1D3">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06442473">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3、掌握</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所在周边环境、道路交通、服务场所、旅游景点情况，能为司乘人员提供咨询服务。</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05632E98">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7407B298">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8A84A54">
            <w:pPr>
              <w:spacing w:line="240" w:lineRule="auto"/>
              <w:jc w:val="left"/>
              <w:rPr>
                <w:rFonts w:hint="eastAsia" w:ascii="宋体" w:hAnsi="宋体" w:eastAsia="宋体" w:cs="宋体"/>
                <w:color w:val="auto"/>
                <w:sz w:val="18"/>
                <w:szCs w:val="18"/>
                <w:highlight w:val="none"/>
              </w:rPr>
            </w:pPr>
          </w:p>
        </w:tc>
      </w:tr>
      <w:tr w14:paraId="3E7E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2CDBE43C">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256E01DA">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45EC4E6D">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4、仪表、仪容端正、大方；男员工不留长发，不蓄胡须；女员工不浓妆艳抹。</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39A5F493">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4E7FF0DC">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0C2EA54">
            <w:pPr>
              <w:spacing w:line="240" w:lineRule="auto"/>
              <w:jc w:val="left"/>
              <w:rPr>
                <w:rFonts w:hint="eastAsia" w:ascii="宋体" w:hAnsi="宋体" w:eastAsia="宋体" w:cs="宋体"/>
                <w:color w:val="auto"/>
                <w:sz w:val="18"/>
                <w:szCs w:val="18"/>
                <w:highlight w:val="none"/>
              </w:rPr>
            </w:pPr>
          </w:p>
        </w:tc>
      </w:tr>
      <w:tr w14:paraId="5B62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206EB0F2">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6BC5B90D">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326771EE">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5、佩证（工号牌）上岗，证（工号牌）不被遮挡。</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1E70C7A2">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12DCD89F">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16F1374C">
            <w:pPr>
              <w:spacing w:line="240" w:lineRule="auto"/>
              <w:jc w:val="left"/>
              <w:rPr>
                <w:rFonts w:hint="eastAsia" w:ascii="宋体" w:hAnsi="宋体" w:eastAsia="宋体" w:cs="宋体"/>
                <w:color w:val="auto"/>
                <w:sz w:val="18"/>
                <w:szCs w:val="18"/>
                <w:highlight w:val="none"/>
              </w:rPr>
            </w:pPr>
          </w:p>
        </w:tc>
      </w:tr>
      <w:tr w14:paraId="50D8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15BFE0AD">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47CBD365">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7D72E122">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6、上岗时应按规定着工装；夜间、外场必须加着安全标志服。</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563DA52B">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2A225ECC">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14003489">
            <w:pPr>
              <w:spacing w:line="240" w:lineRule="auto"/>
              <w:jc w:val="left"/>
              <w:rPr>
                <w:rFonts w:hint="eastAsia" w:ascii="宋体" w:hAnsi="宋体" w:eastAsia="宋体" w:cs="宋体"/>
                <w:color w:val="auto"/>
                <w:sz w:val="18"/>
                <w:szCs w:val="18"/>
                <w:highlight w:val="none"/>
              </w:rPr>
            </w:pPr>
          </w:p>
        </w:tc>
      </w:tr>
      <w:tr w14:paraId="06C4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0791105B">
            <w:pPr>
              <w:spacing w:line="240" w:lineRule="auto"/>
              <w:jc w:val="left"/>
              <w:rPr>
                <w:rFonts w:hint="eastAsia" w:ascii="宋体" w:hAnsi="宋体" w:eastAsia="宋体" w:cs="宋体"/>
                <w:color w:val="auto"/>
                <w:sz w:val="18"/>
                <w:szCs w:val="18"/>
                <w:highlight w:val="none"/>
              </w:rPr>
            </w:pPr>
          </w:p>
        </w:tc>
        <w:tc>
          <w:tcPr>
            <w:tcW w:w="888" w:type="dxa"/>
            <w:vMerge w:val="continue"/>
            <w:tcBorders>
              <w:top w:val="single" w:color="auto" w:sz="4" w:space="0"/>
              <w:left w:val="single" w:color="auto" w:sz="4" w:space="0"/>
              <w:bottom w:val="single" w:color="auto" w:sz="4" w:space="0"/>
              <w:right w:val="single" w:color="auto" w:sz="4" w:space="0"/>
            </w:tcBorders>
            <w:noWrap w:val="0"/>
            <w:vAlign w:val="top"/>
          </w:tcPr>
          <w:p w14:paraId="1C800703">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6A0733BE">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7、熟悉工作岗位职责，保质保量完成交办的各项工作</w:t>
            </w: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673025BC">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6FACD8B6">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0D9FA889">
            <w:pPr>
              <w:spacing w:line="240" w:lineRule="auto"/>
              <w:jc w:val="left"/>
              <w:rPr>
                <w:rFonts w:hint="eastAsia" w:ascii="宋体" w:hAnsi="宋体" w:eastAsia="宋体" w:cs="宋体"/>
                <w:color w:val="auto"/>
                <w:sz w:val="18"/>
                <w:szCs w:val="18"/>
                <w:highlight w:val="none"/>
              </w:rPr>
            </w:pPr>
          </w:p>
        </w:tc>
      </w:tr>
      <w:tr w14:paraId="29C3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310A4D02">
            <w:pPr>
              <w:spacing w:line="240" w:lineRule="auto"/>
              <w:jc w:val="left"/>
              <w:rPr>
                <w:rFonts w:hint="eastAsia" w:ascii="宋体" w:hAnsi="宋体" w:eastAsia="宋体" w:cs="宋体"/>
                <w:color w:val="auto"/>
                <w:sz w:val="18"/>
                <w:szCs w:val="18"/>
                <w:highlight w:val="none"/>
              </w:rPr>
            </w:pPr>
          </w:p>
        </w:tc>
        <w:tc>
          <w:tcPr>
            <w:tcW w:w="888" w:type="dxa"/>
            <w:vMerge w:val="restart"/>
            <w:tcBorders>
              <w:top w:val="single" w:color="auto" w:sz="4" w:space="0"/>
              <w:left w:val="single" w:color="auto" w:sz="4" w:space="0"/>
              <w:right w:val="single" w:color="auto" w:sz="4" w:space="0"/>
            </w:tcBorders>
            <w:noWrap w:val="0"/>
            <w:vAlign w:val="center"/>
          </w:tcPr>
          <w:p w14:paraId="3047679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台</w:t>
            </w:r>
          </w:p>
          <w:p w14:paraId="3917633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帐</w:t>
            </w:r>
          </w:p>
          <w:p w14:paraId="4B6D7C49">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w:t>
            </w:r>
          </w:p>
          <w:p w14:paraId="0F23D2B9">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理</w:t>
            </w:r>
          </w:p>
          <w:p w14:paraId="6E3F5E29">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（5分）</w:t>
            </w:r>
          </w:p>
        </w:tc>
        <w:tc>
          <w:tcPr>
            <w:tcW w:w="5340" w:type="dxa"/>
            <w:tcBorders>
              <w:top w:val="single" w:color="auto" w:sz="4" w:space="0"/>
              <w:left w:val="single" w:color="auto" w:sz="4" w:space="0"/>
              <w:bottom w:val="single" w:color="auto" w:sz="4" w:space="0"/>
              <w:right w:val="single" w:color="auto" w:sz="4" w:space="0"/>
            </w:tcBorders>
            <w:noWrap w:val="0"/>
            <w:vAlign w:val="center"/>
          </w:tcPr>
          <w:p w14:paraId="449017D9">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1、及时按要求填写规定台帐；</w:t>
            </w:r>
          </w:p>
        </w:tc>
        <w:tc>
          <w:tcPr>
            <w:tcW w:w="3420" w:type="dxa"/>
            <w:vMerge w:val="restart"/>
            <w:tcBorders>
              <w:top w:val="single" w:color="auto" w:sz="4" w:space="0"/>
              <w:left w:val="single" w:color="auto" w:sz="4" w:space="0"/>
              <w:right w:val="single" w:color="auto" w:sz="4" w:space="0"/>
            </w:tcBorders>
            <w:noWrap w:val="0"/>
            <w:vAlign w:val="center"/>
          </w:tcPr>
          <w:p w14:paraId="038DA3A0">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违反一条每次扣1分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p>
        </w:tc>
        <w:tc>
          <w:tcPr>
            <w:tcW w:w="2472" w:type="dxa"/>
            <w:tcBorders>
              <w:top w:val="single" w:color="auto" w:sz="4" w:space="0"/>
              <w:left w:val="single" w:color="auto" w:sz="4" w:space="0"/>
              <w:bottom w:val="single" w:color="auto" w:sz="4" w:space="0"/>
              <w:right w:val="single" w:color="auto" w:sz="4" w:space="0"/>
            </w:tcBorders>
            <w:noWrap w:val="0"/>
            <w:vAlign w:val="top"/>
          </w:tcPr>
          <w:p w14:paraId="593DEA52">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4547B664">
            <w:pPr>
              <w:spacing w:line="240" w:lineRule="auto"/>
              <w:jc w:val="left"/>
              <w:rPr>
                <w:rFonts w:hint="eastAsia" w:ascii="宋体" w:hAnsi="宋体" w:eastAsia="宋体" w:cs="宋体"/>
                <w:color w:val="auto"/>
                <w:sz w:val="18"/>
                <w:szCs w:val="18"/>
                <w:highlight w:val="none"/>
              </w:rPr>
            </w:pPr>
          </w:p>
        </w:tc>
      </w:tr>
      <w:tr w14:paraId="7CD1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26420D39">
            <w:pPr>
              <w:spacing w:line="240" w:lineRule="auto"/>
              <w:jc w:val="left"/>
              <w:rPr>
                <w:rFonts w:hint="eastAsia" w:ascii="宋体" w:hAnsi="宋体" w:eastAsia="宋体" w:cs="宋体"/>
                <w:color w:val="auto"/>
                <w:sz w:val="18"/>
                <w:szCs w:val="18"/>
                <w:highlight w:val="none"/>
              </w:rPr>
            </w:pPr>
          </w:p>
        </w:tc>
        <w:tc>
          <w:tcPr>
            <w:tcW w:w="888" w:type="dxa"/>
            <w:vMerge w:val="continue"/>
            <w:tcBorders>
              <w:left w:val="single" w:color="auto" w:sz="4" w:space="0"/>
              <w:right w:val="single" w:color="auto" w:sz="4" w:space="0"/>
            </w:tcBorders>
            <w:noWrap w:val="0"/>
            <w:vAlign w:val="top"/>
          </w:tcPr>
          <w:p w14:paraId="1C3EAFBD">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749C8BC0">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2、台帐内容须填写规范；</w:t>
            </w:r>
          </w:p>
        </w:tc>
        <w:tc>
          <w:tcPr>
            <w:tcW w:w="3420" w:type="dxa"/>
            <w:vMerge w:val="continue"/>
            <w:tcBorders>
              <w:left w:val="single" w:color="auto" w:sz="4" w:space="0"/>
              <w:right w:val="single" w:color="auto" w:sz="4" w:space="0"/>
            </w:tcBorders>
            <w:noWrap w:val="0"/>
            <w:vAlign w:val="center"/>
          </w:tcPr>
          <w:p w14:paraId="72212DE1">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0C5EA965">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0401FCBE">
            <w:pPr>
              <w:spacing w:line="240" w:lineRule="auto"/>
              <w:jc w:val="left"/>
              <w:rPr>
                <w:rFonts w:hint="eastAsia" w:ascii="宋体" w:hAnsi="宋体" w:eastAsia="宋体" w:cs="宋体"/>
                <w:color w:val="auto"/>
                <w:sz w:val="18"/>
                <w:szCs w:val="18"/>
                <w:highlight w:val="none"/>
              </w:rPr>
            </w:pPr>
          </w:p>
        </w:tc>
      </w:tr>
      <w:tr w14:paraId="687C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4" w:type="dxa"/>
            <w:vMerge w:val="continue"/>
            <w:tcBorders>
              <w:left w:val="single" w:color="auto" w:sz="4" w:space="0"/>
              <w:right w:val="single" w:color="auto" w:sz="4" w:space="0"/>
            </w:tcBorders>
            <w:noWrap w:val="0"/>
            <w:vAlign w:val="top"/>
          </w:tcPr>
          <w:p w14:paraId="52B487F5">
            <w:pPr>
              <w:spacing w:line="240" w:lineRule="auto"/>
              <w:jc w:val="left"/>
              <w:rPr>
                <w:rFonts w:hint="eastAsia" w:ascii="宋体" w:hAnsi="宋体" w:eastAsia="宋体" w:cs="宋体"/>
                <w:color w:val="auto"/>
                <w:sz w:val="18"/>
                <w:szCs w:val="18"/>
                <w:highlight w:val="none"/>
              </w:rPr>
            </w:pPr>
          </w:p>
        </w:tc>
        <w:tc>
          <w:tcPr>
            <w:tcW w:w="888" w:type="dxa"/>
            <w:vMerge w:val="continue"/>
            <w:tcBorders>
              <w:left w:val="single" w:color="auto" w:sz="4" w:space="0"/>
              <w:bottom w:val="single" w:color="auto" w:sz="4" w:space="0"/>
              <w:right w:val="single" w:color="auto" w:sz="4" w:space="0"/>
            </w:tcBorders>
            <w:noWrap w:val="0"/>
            <w:vAlign w:val="top"/>
          </w:tcPr>
          <w:p w14:paraId="5D8286D1">
            <w:pPr>
              <w:spacing w:line="240" w:lineRule="auto"/>
              <w:jc w:val="left"/>
              <w:rPr>
                <w:rFonts w:hint="eastAsia" w:ascii="宋体" w:hAnsi="宋体" w:eastAsia="宋体" w:cs="宋体"/>
                <w:color w:val="auto"/>
                <w:sz w:val="18"/>
                <w:szCs w:val="18"/>
                <w:highlight w:val="none"/>
              </w:rPr>
            </w:pPr>
          </w:p>
        </w:tc>
        <w:tc>
          <w:tcPr>
            <w:tcW w:w="5340" w:type="dxa"/>
            <w:tcBorders>
              <w:top w:val="single" w:color="auto" w:sz="4" w:space="0"/>
              <w:left w:val="single" w:color="auto" w:sz="4" w:space="0"/>
              <w:bottom w:val="single" w:color="auto" w:sz="4" w:space="0"/>
              <w:right w:val="single" w:color="auto" w:sz="4" w:space="0"/>
            </w:tcBorders>
            <w:noWrap w:val="0"/>
            <w:vAlign w:val="center"/>
          </w:tcPr>
          <w:p w14:paraId="5A73E3A5">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3、按</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要求及时上报台帐。</w:t>
            </w:r>
          </w:p>
        </w:tc>
        <w:tc>
          <w:tcPr>
            <w:tcW w:w="3420" w:type="dxa"/>
            <w:vMerge w:val="continue"/>
            <w:tcBorders>
              <w:left w:val="single" w:color="auto" w:sz="4" w:space="0"/>
              <w:bottom w:val="single" w:color="auto" w:sz="4" w:space="0"/>
              <w:right w:val="single" w:color="auto" w:sz="4" w:space="0"/>
            </w:tcBorders>
            <w:noWrap w:val="0"/>
            <w:vAlign w:val="center"/>
          </w:tcPr>
          <w:p w14:paraId="6ED509DE">
            <w:pPr>
              <w:spacing w:line="240" w:lineRule="auto"/>
              <w:jc w:val="left"/>
              <w:rPr>
                <w:rFonts w:hint="eastAsia" w:ascii="宋体" w:hAnsi="宋体" w:eastAsia="宋体" w:cs="宋体"/>
                <w:color w:val="auto"/>
                <w:sz w:val="18"/>
                <w:szCs w:val="18"/>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14:paraId="27223CC0">
            <w:pPr>
              <w:spacing w:line="240" w:lineRule="auto"/>
              <w:jc w:val="left"/>
              <w:rPr>
                <w:rFonts w:hint="eastAsia" w:ascii="宋体" w:hAnsi="宋体" w:eastAsia="宋体" w:cs="宋体"/>
                <w:color w:val="auto"/>
                <w:sz w:val="18"/>
                <w:szCs w:val="18"/>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7FB6667E">
            <w:pPr>
              <w:spacing w:line="240" w:lineRule="auto"/>
              <w:jc w:val="left"/>
              <w:rPr>
                <w:rFonts w:hint="eastAsia" w:ascii="宋体" w:hAnsi="宋体" w:eastAsia="宋体" w:cs="宋体"/>
                <w:color w:val="auto"/>
                <w:sz w:val="18"/>
                <w:szCs w:val="18"/>
                <w:highlight w:val="none"/>
              </w:rPr>
            </w:pPr>
          </w:p>
        </w:tc>
      </w:tr>
    </w:tbl>
    <w:p w14:paraId="2E9B5BBE">
      <w:pPr>
        <w:spacing w:line="240" w:lineRule="auto"/>
        <w:jc w:val="left"/>
        <w:rPr>
          <w:rFonts w:hint="eastAsia" w:ascii="宋体" w:hAnsi="宋体" w:eastAsia="宋体" w:cs="宋体"/>
          <w:color w:val="auto"/>
          <w:sz w:val="18"/>
          <w:szCs w:val="18"/>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5"/>
        <w:gridCol w:w="2"/>
        <w:gridCol w:w="5023"/>
        <w:gridCol w:w="3727"/>
        <w:gridCol w:w="5"/>
        <w:gridCol w:w="2349"/>
        <w:gridCol w:w="3"/>
        <w:gridCol w:w="987"/>
        <w:gridCol w:w="6"/>
      </w:tblGrid>
      <w:tr w14:paraId="44AC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1875" w:type="dxa"/>
            <w:gridSpan w:val="2"/>
            <w:tcBorders>
              <w:top w:val="single" w:color="auto" w:sz="4" w:space="0"/>
              <w:left w:val="single" w:color="auto" w:sz="4" w:space="0"/>
              <w:bottom w:val="single" w:color="auto" w:sz="4" w:space="0"/>
              <w:right w:val="single" w:color="auto" w:sz="4" w:space="0"/>
            </w:tcBorders>
            <w:noWrap w:val="0"/>
            <w:vAlign w:val="center"/>
          </w:tcPr>
          <w:p w14:paraId="11961E2B">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项目</w:t>
            </w: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3208E83F">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考核标准</w:t>
            </w:r>
          </w:p>
        </w:tc>
        <w:tc>
          <w:tcPr>
            <w:tcW w:w="3732" w:type="dxa"/>
            <w:gridSpan w:val="2"/>
            <w:tcBorders>
              <w:top w:val="single" w:color="auto" w:sz="4" w:space="0"/>
              <w:left w:val="single" w:color="auto" w:sz="4" w:space="0"/>
              <w:bottom w:val="single" w:color="auto" w:sz="4" w:space="0"/>
              <w:right w:val="single" w:color="auto" w:sz="4" w:space="0"/>
            </w:tcBorders>
            <w:noWrap w:val="0"/>
            <w:vAlign w:val="center"/>
          </w:tcPr>
          <w:p w14:paraId="511AEAFF">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考核办法</w:t>
            </w:r>
          </w:p>
        </w:tc>
        <w:tc>
          <w:tcPr>
            <w:tcW w:w="2349" w:type="dxa"/>
            <w:tcBorders>
              <w:top w:val="single" w:color="auto" w:sz="4" w:space="0"/>
              <w:left w:val="single" w:color="auto" w:sz="4" w:space="0"/>
              <w:bottom w:val="single" w:color="auto" w:sz="4" w:space="0"/>
              <w:right w:val="single" w:color="auto" w:sz="4" w:space="0"/>
            </w:tcBorders>
            <w:noWrap w:val="0"/>
            <w:vAlign w:val="center"/>
          </w:tcPr>
          <w:p w14:paraId="7D889B40">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扣分事项</w:t>
            </w:r>
          </w:p>
        </w:tc>
        <w:tc>
          <w:tcPr>
            <w:tcW w:w="990" w:type="dxa"/>
            <w:gridSpan w:val="2"/>
            <w:tcBorders>
              <w:top w:val="single" w:color="auto" w:sz="4" w:space="0"/>
              <w:left w:val="single" w:color="auto" w:sz="4" w:space="0"/>
              <w:bottom w:val="single" w:color="auto" w:sz="4" w:space="0"/>
              <w:right w:val="single" w:color="auto" w:sz="4" w:space="0"/>
            </w:tcBorders>
            <w:noWrap w:val="0"/>
            <w:vAlign w:val="center"/>
          </w:tcPr>
          <w:p w14:paraId="7F4B1B13">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得分</w:t>
            </w:r>
          </w:p>
        </w:tc>
      </w:tr>
      <w:tr w14:paraId="1EDF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restart"/>
            <w:tcBorders>
              <w:top w:val="single" w:color="auto" w:sz="4" w:space="0"/>
              <w:left w:val="single" w:color="auto" w:sz="4" w:space="0"/>
              <w:right w:val="single" w:color="auto" w:sz="4" w:space="0"/>
            </w:tcBorders>
            <w:noWrap w:val="0"/>
            <w:vAlign w:val="center"/>
          </w:tcPr>
          <w:p w14:paraId="4460112C">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岗位细则</w:t>
            </w:r>
          </w:p>
          <w:p w14:paraId="3A3BB9C8">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5分</w:t>
            </w:r>
            <w:r>
              <w:rPr>
                <w:rFonts w:hint="eastAsia" w:ascii="宋体" w:hAnsi="宋体" w:eastAsia="宋体" w:cs="宋体"/>
                <w:color w:val="auto"/>
                <w:sz w:val="18"/>
                <w:szCs w:val="18"/>
                <w:highlight w:val="none"/>
                <w:lang w:eastAsia="zh-CN"/>
              </w:rPr>
              <w:t>）</w:t>
            </w:r>
          </w:p>
        </w:tc>
        <w:tc>
          <w:tcPr>
            <w:tcW w:w="917" w:type="dxa"/>
            <w:gridSpan w:val="2"/>
            <w:vMerge w:val="restart"/>
            <w:tcBorders>
              <w:top w:val="single" w:color="auto" w:sz="4" w:space="0"/>
              <w:left w:val="single" w:color="auto" w:sz="4" w:space="0"/>
              <w:right w:val="single" w:color="auto" w:sz="4" w:space="0"/>
            </w:tcBorders>
            <w:noWrap w:val="0"/>
            <w:vAlign w:val="center"/>
          </w:tcPr>
          <w:p w14:paraId="36720E9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保安（消控）考核细则</w:t>
            </w:r>
          </w:p>
          <w:p w14:paraId="0FC4AB9F">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25</w:t>
            </w:r>
            <w:r>
              <w:rPr>
                <w:rFonts w:hint="eastAsia" w:ascii="宋体" w:hAnsi="宋体" w:eastAsia="宋体" w:cs="宋体"/>
                <w:color w:val="auto"/>
                <w:sz w:val="18"/>
                <w:szCs w:val="18"/>
                <w:highlight w:val="none"/>
              </w:rPr>
              <w:t>分）</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013A5B39">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1、发现有法规明文禁止的行为，及时给予劝阻并督促改正，对现场突发事件必须及时报</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w:t>
            </w:r>
          </w:p>
        </w:tc>
        <w:tc>
          <w:tcPr>
            <w:tcW w:w="3732" w:type="dxa"/>
            <w:gridSpan w:val="2"/>
            <w:vMerge w:val="restart"/>
            <w:tcBorders>
              <w:top w:val="single" w:color="auto" w:sz="4" w:space="0"/>
              <w:left w:val="single" w:color="auto" w:sz="4" w:space="0"/>
              <w:right w:val="single" w:color="auto" w:sz="4" w:space="0"/>
            </w:tcBorders>
            <w:noWrap w:val="0"/>
            <w:vAlign w:val="center"/>
          </w:tcPr>
          <w:p w14:paraId="768351F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r>
              <w:rPr>
                <w:rFonts w:hint="eastAsia" w:ascii="宋体" w:hAnsi="宋体" w:eastAsia="宋体" w:cs="宋体"/>
                <w:color w:val="auto"/>
                <w:sz w:val="18"/>
                <w:szCs w:val="18"/>
                <w:highlight w:val="none"/>
              </w:rPr>
              <w:t>。</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0B305F47">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2C8511F7">
            <w:pPr>
              <w:spacing w:line="240" w:lineRule="auto"/>
              <w:jc w:val="left"/>
              <w:rPr>
                <w:rFonts w:hint="eastAsia" w:ascii="宋体" w:hAnsi="宋体" w:eastAsia="宋体" w:cs="宋体"/>
                <w:color w:val="auto"/>
                <w:sz w:val="18"/>
                <w:szCs w:val="18"/>
                <w:highlight w:val="none"/>
              </w:rPr>
            </w:pPr>
          </w:p>
        </w:tc>
      </w:tr>
      <w:tr w14:paraId="5EB9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77514270">
            <w:pPr>
              <w:spacing w:line="240" w:lineRule="auto"/>
              <w:jc w:val="left"/>
              <w:rPr>
                <w:rFonts w:hint="eastAsia" w:ascii="宋体" w:hAnsi="宋体" w:eastAsia="宋体" w:cs="宋体"/>
                <w:color w:val="auto"/>
                <w:sz w:val="18"/>
                <w:szCs w:val="18"/>
                <w:highlight w:val="none"/>
              </w:rPr>
            </w:pPr>
          </w:p>
        </w:tc>
        <w:tc>
          <w:tcPr>
            <w:tcW w:w="917" w:type="dxa"/>
            <w:gridSpan w:val="2"/>
            <w:vMerge w:val="continue"/>
            <w:tcBorders>
              <w:left w:val="single" w:color="auto" w:sz="4" w:space="0"/>
              <w:right w:val="single" w:color="auto" w:sz="4" w:space="0"/>
            </w:tcBorders>
            <w:noWrap w:val="0"/>
            <w:vAlign w:val="top"/>
          </w:tcPr>
          <w:p w14:paraId="4F2DE775">
            <w:pPr>
              <w:spacing w:line="240" w:lineRule="auto"/>
              <w:jc w:val="left"/>
              <w:rPr>
                <w:rFonts w:hint="eastAsia" w:ascii="宋体" w:hAnsi="宋体" w:eastAsia="宋体" w:cs="宋体"/>
                <w:color w:val="auto"/>
                <w:sz w:val="18"/>
                <w:szCs w:val="18"/>
                <w:highlight w:val="none"/>
              </w:rPr>
            </w:pPr>
          </w:p>
        </w:tc>
        <w:tc>
          <w:tcPr>
            <w:tcW w:w="5023" w:type="dxa"/>
            <w:tcBorders>
              <w:top w:val="single" w:color="auto" w:sz="4" w:space="0"/>
              <w:left w:val="single" w:color="auto" w:sz="4" w:space="0"/>
              <w:bottom w:val="single" w:color="auto" w:sz="4" w:space="0"/>
              <w:right w:val="single" w:color="auto" w:sz="4" w:space="0"/>
            </w:tcBorders>
            <w:noWrap w:val="0"/>
            <w:vAlign w:val="center"/>
          </w:tcPr>
          <w:p w14:paraId="13CA9F35">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2、严格遵守各项操作规程或</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规章制度，积极配合</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工作。</w:t>
            </w:r>
          </w:p>
        </w:tc>
        <w:tc>
          <w:tcPr>
            <w:tcW w:w="3732" w:type="dxa"/>
            <w:gridSpan w:val="2"/>
            <w:vMerge w:val="continue"/>
            <w:tcBorders>
              <w:left w:val="single" w:color="auto" w:sz="4" w:space="0"/>
              <w:right w:val="single" w:color="auto" w:sz="4" w:space="0"/>
            </w:tcBorders>
            <w:noWrap w:val="0"/>
            <w:vAlign w:val="center"/>
          </w:tcPr>
          <w:p w14:paraId="59789848">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14:paraId="1C98A40E">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59AFB351">
            <w:pPr>
              <w:spacing w:line="240" w:lineRule="auto"/>
              <w:jc w:val="left"/>
              <w:rPr>
                <w:rFonts w:hint="eastAsia" w:ascii="宋体" w:hAnsi="宋体" w:eastAsia="宋体" w:cs="宋体"/>
                <w:color w:val="auto"/>
                <w:sz w:val="18"/>
                <w:szCs w:val="18"/>
                <w:highlight w:val="none"/>
              </w:rPr>
            </w:pPr>
          </w:p>
        </w:tc>
      </w:tr>
      <w:tr w14:paraId="075A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5D67D380">
            <w:pPr>
              <w:spacing w:line="240" w:lineRule="auto"/>
              <w:jc w:val="left"/>
              <w:rPr>
                <w:rFonts w:hint="eastAsia" w:ascii="宋体" w:hAnsi="宋体" w:eastAsia="宋体" w:cs="宋体"/>
                <w:color w:val="auto"/>
                <w:sz w:val="18"/>
                <w:szCs w:val="18"/>
                <w:highlight w:val="none"/>
              </w:rPr>
            </w:pPr>
          </w:p>
        </w:tc>
        <w:tc>
          <w:tcPr>
            <w:tcW w:w="917" w:type="dxa"/>
            <w:gridSpan w:val="2"/>
            <w:vMerge w:val="continue"/>
            <w:tcBorders>
              <w:left w:val="single" w:color="auto" w:sz="4" w:space="0"/>
              <w:right w:val="single" w:color="auto" w:sz="4" w:space="0"/>
            </w:tcBorders>
            <w:noWrap w:val="0"/>
            <w:vAlign w:val="top"/>
          </w:tcPr>
          <w:p w14:paraId="43A2BA79">
            <w:pPr>
              <w:spacing w:line="240" w:lineRule="auto"/>
              <w:jc w:val="left"/>
              <w:rPr>
                <w:rFonts w:hint="eastAsia" w:ascii="宋体" w:hAnsi="宋体" w:eastAsia="宋体" w:cs="宋体"/>
                <w:color w:val="auto"/>
                <w:sz w:val="18"/>
                <w:szCs w:val="18"/>
                <w:highlight w:val="none"/>
              </w:rPr>
            </w:pPr>
          </w:p>
        </w:tc>
        <w:tc>
          <w:tcPr>
            <w:tcW w:w="5023" w:type="dxa"/>
            <w:tcBorders>
              <w:top w:val="single" w:color="auto" w:sz="4" w:space="0"/>
              <w:left w:val="single" w:color="auto" w:sz="4" w:space="0"/>
              <w:bottom w:val="single" w:color="auto" w:sz="4" w:space="0"/>
              <w:right w:val="single" w:color="auto" w:sz="4" w:space="0"/>
            </w:tcBorders>
            <w:noWrap w:val="0"/>
            <w:vAlign w:val="center"/>
          </w:tcPr>
          <w:p w14:paraId="49B2B25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3、按照门卫制度规定对车辆、人员、物品进出进行登记,严把进口关。</w:t>
            </w:r>
          </w:p>
        </w:tc>
        <w:tc>
          <w:tcPr>
            <w:tcW w:w="3732" w:type="dxa"/>
            <w:gridSpan w:val="2"/>
            <w:vMerge w:val="continue"/>
            <w:tcBorders>
              <w:left w:val="single" w:color="auto" w:sz="4" w:space="0"/>
              <w:right w:val="single" w:color="auto" w:sz="4" w:space="0"/>
            </w:tcBorders>
            <w:noWrap w:val="0"/>
            <w:vAlign w:val="center"/>
          </w:tcPr>
          <w:p w14:paraId="4CF8EEA3">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14:paraId="4EFF139E">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1E540866">
            <w:pPr>
              <w:spacing w:line="240" w:lineRule="auto"/>
              <w:jc w:val="left"/>
              <w:rPr>
                <w:rFonts w:hint="eastAsia" w:ascii="宋体" w:hAnsi="宋体" w:eastAsia="宋体" w:cs="宋体"/>
                <w:color w:val="auto"/>
                <w:sz w:val="18"/>
                <w:szCs w:val="18"/>
                <w:highlight w:val="none"/>
              </w:rPr>
            </w:pPr>
          </w:p>
        </w:tc>
      </w:tr>
      <w:tr w14:paraId="4A03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2448C747">
            <w:pPr>
              <w:spacing w:line="240" w:lineRule="auto"/>
              <w:jc w:val="left"/>
              <w:rPr>
                <w:rFonts w:hint="eastAsia" w:ascii="宋体" w:hAnsi="宋体" w:eastAsia="宋体" w:cs="宋体"/>
                <w:color w:val="auto"/>
                <w:sz w:val="18"/>
                <w:szCs w:val="18"/>
                <w:highlight w:val="none"/>
              </w:rPr>
            </w:pPr>
          </w:p>
        </w:tc>
        <w:tc>
          <w:tcPr>
            <w:tcW w:w="917" w:type="dxa"/>
            <w:gridSpan w:val="2"/>
            <w:vMerge w:val="continue"/>
            <w:tcBorders>
              <w:left w:val="single" w:color="auto" w:sz="4" w:space="0"/>
              <w:right w:val="single" w:color="auto" w:sz="4" w:space="0"/>
            </w:tcBorders>
            <w:noWrap w:val="0"/>
            <w:vAlign w:val="top"/>
          </w:tcPr>
          <w:p w14:paraId="2B75EA56">
            <w:pPr>
              <w:spacing w:line="240" w:lineRule="auto"/>
              <w:jc w:val="left"/>
              <w:rPr>
                <w:rFonts w:hint="eastAsia" w:ascii="宋体" w:hAnsi="宋体" w:eastAsia="宋体" w:cs="宋体"/>
                <w:color w:val="auto"/>
                <w:sz w:val="18"/>
                <w:szCs w:val="18"/>
                <w:highlight w:val="none"/>
              </w:rPr>
            </w:pPr>
          </w:p>
        </w:tc>
        <w:tc>
          <w:tcPr>
            <w:tcW w:w="5023" w:type="dxa"/>
            <w:tcBorders>
              <w:top w:val="single" w:color="auto" w:sz="4" w:space="0"/>
              <w:left w:val="single" w:color="auto" w:sz="4" w:space="0"/>
              <w:bottom w:val="single" w:color="auto" w:sz="4" w:space="0"/>
              <w:right w:val="single" w:color="auto" w:sz="4" w:space="0"/>
            </w:tcBorders>
            <w:noWrap w:val="0"/>
            <w:vAlign w:val="center"/>
          </w:tcPr>
          <w:p w14:paraId="1FF14D0E">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4、保证绿色通道及停车场畅通，对各类有危及人身安全及行车安全的位置及时放置明显标识和具体的防范措施。</w:t>
            </w:r>
          </w:p>
        </w:tc>
        <w:tc>
          <w:tcPr>
            <w:tcW w:w="3732" w:type="dxa"/>
            <w:gridSpan w:val="2"/>
            <w:vMerge w:val="continue"/>
            <w:tcBorders>
              <w:left w:val="single" w:color="auto" w:sz="4" w:space="0"/>
              <w:right w:val="single" w:color="auto" w:sz="4" w:space="0"/>
            </w:tcBorders>
            <w:noWrap w:val="0"/>
            <w:vAlign w:val="center"/>
          </w:tcPr>
          <w:p w14:paraId="26058C45">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14:paraId="00288C85">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68AA8B9A">
            <w:pPr>
              <w:spacing w:line="240" w:lineRule="auto"/>
              <w:jc w:val="left"/>
              <w:rPr>
                <w:rFonts w:hint="eastAsia" w:ascii="宋体" w:hAnsi="宋体" w:eastAsia="宋体" w:cs="宋体"/>
                <w:color w:val="auto"/>
                <w:sz w:val="18"/>
                <w:szCs w:val="18"/>
                <w:highlight w:val="none"/>
              </w:rPr>
            </w:pPr>
          </w:p>
        </w:tc>
      </w:tr>
      <w:tr w14:paraId="4A56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center"/>
          </w:tcPr>
          <w:p w14:paraId="4FF3C3B7">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center"/>
          </w:tcPr>
          <w:p w14:paraId="603C6AF1">
            <w:pPr>
              <w:spacing w:line="240" w:lineRule="auto"/>
              <w:jc w:val="both"/>
              <w:rPr>
                <w:rFonts w:hint="eastAsia" w:ascii="宋体" w:hAnsi="宋体" w:eastAsia="宋体" w:cs="宋体"/>
                <w:color w:val="auto"/>
                <w:sz w:val="18"/>
                <w:szCs w:val="18"/>
                <w:highlight w:val="none"/>
                <w:lang w:val="en-US" w:eastAsia="zh-CN"/>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24F8A5D9">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5、保安交接班时必须列队交接。</w:t>
            </w:r>
          </w:p>
        </w:tc>
        <w:tc>
          <w:tcPr>
            <w:tcW w:w="3732" w:type="dxa"/>
            <w:gridSpan w:val="2"/>
            <w:vMerge w:val="continue"/>
            <w:tcBorders>
              <w:left w:val="single" w:color="auto" w:sz="4" w:space="0"/>
              <w:right w:val="single" w:color="auto" w:sz="4" w:space="0"/>
            </w:tcBorders>
            <w:noWrap w:val="0"/>
            <w:vAlign w:val="center"/>
          </w:tcPr>
          <w:p w14:paraId="6FA2FD5E">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14:paraId="11AE5D5F">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58A00E00">
            <w:pPr>
              <w:spacing w:line="240" w:lineRule="auto"/>
              <w:jc w:val="left"/>
              <w:rPr>
                <w:rFonts w:hint="eastAsia" w:ascii="宋体" w:hAnsi="宋体" w:eastAsia="宋体" w:cs="宋体"/>
                <w:color w:val="auto"/>
                <w:sz w:val="18"/>
                <w:szCs w:val="18"/>
                <w:highlight w:val="none"/>
              </w:rPr>
            </w:pPr>
          </w:p>
        </w:tc>
      </w:tr>
      <w:tr w14:paraId="5106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5058F856">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33369D1E">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44AA765A">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6、主动配合交警、公安人员做好警卫、封道及事故、案件现场保护工作。</w:t>
            </w:r>
          </w:p>
        </w:tc>
        <w:tc>
          <w:tcPr>
            <w:tcW w:w="3732" w:type="dxa"/>
            <w:gridSpan w:val="2"/>
            <w:vMerge w:val="continue"/>
            <w:tcBorders>
              <w:left w:val="single" w:color="auto" w:sz="4" w:space="0"/>
              <w:right w:val="single" w:color="auto" w:sz="4" w:space="0"/>
            </w:tcBorders>
            <w:noWrap w:val="0"/>
            <w:vAlign w:val="center"/>
          </w:tcPr>
          <w:p w14:paraId="1CAD3AAD">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14:paraId="0D57D0F7">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4E4CF9A9">
            <w:pPr>
              <w:spacing w:line="240" w:lineRule="auto"/>
              <w:jc w:val="left"/>
              <w:rPr>
                <w:rFonts w:hint="eastAsia" w:ascii="宋体" w:hAnsi="宋体" w:eastAsia="宋体" w:cs="宋体"/>
                <w:color w:val="auto"/>
                <w:sz w:val="18"/>
                <w:szCs w:val="18"/>
                <w:highlight w:val="none"/>
              </w:rPr>
            </w:pPr>
          </w:p>
        </w:tc>
      </w:tr>
      <w:tr w14:paraId="369E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4539E1AA">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7BCD510B">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049064D2">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7、及时配合处理治安、消防事件。</w:t>
            </w:r>
          </w:p>
        </w:tc>
        <w:tc>
          <w:tcPr>
            <w:tcW w:w="3732" w:type="dxa"/>
            <w:gridSpan w:val="2"/>
            <w:vMerge w:val="continue"/>
            <w:tcBorders>
              <w:left w:val="single" w:color="auto" w:sz="4" w:space="0"/>
              <w:right w:val="single" w:color="auto" w:sz="4" w:space="0"/>
            </w:tcBorders>
            <w:noWrap w:val="0"/>
            <w:vAlign w:val="center"/>
          </w:tcPr>
          <w:p w14:paraId="62DBBC98">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14:paraId="1C0482C4">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2CF7769D">
            <w:pPr>
              <w:spacing w:line="240" w:lineRule="auto"/>
              <w:jc w:val="left"/>
              <w:rPr>
                <w:rFonts w:hint="eastAsia" w:ascii="宋体" w:hAnsi="宋体" w:eastAsia="宋体" w:cs="宋体"/>
                <w:color w:val="auto"/>
                <w:sz w:val="18"/>
                <w:szCs w:val="18"/>
                <w:highlight w:val="none"/>
              </w:rPr>
            </w:pPr>
          </w:p>
        </w:tc>
      </w:tr>
      <w:tr w14:paraId="7883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0098F637">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center"/>
          </w:tcPr>
          <w:p w14:paraId="286B05D1">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44916E7A">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8、主动引导车辆按区停放；危化品车辆引导到专用停车位停放，做好登记。</w:t>
            </w:r>
          </w:p>
        </w:tc>
        <w:tc>
          <w:tcPr>
            <w:tcW w:w="3732" w:type="dxa"/>
            <w:gridSpan w:val="2"/>
            <w:vMerge w:val="continue"/>
            <w:tcBorders>
              <w:left w:val="single" w:color="auto" w:sz="4" w:space="0"/>
              <w:right w:val="single" w:color="auto" w:sz="4" w:space="0"/>
            </w:tcBorders>
            <w:noWrap w:val="0"/>
            <w:vAlign w:val="center"/>
          </w:tcPr>
          <w:p w14:paraId="65352A54">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14:paraId="7C99ED1B">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77DCEF8F">
            <w:pPr>
              <w:spacing w:line="240" w:lineRule="auto"/>
              <w:jc w:val="left"/>
              <w:rPr>
                <w:rFonts w:hint="eastAsia" w:ascii="宋体" w:hAnsi="宋体" w:eastAsia="宋体" w:cs="宋体"/>
                <w:color w:val="auto"/>
                <w:sz w:val="18"/>
                <w:szCs w:val="18"/>
                <w:highlight w:val="none"/>
              </w:rPr>
            </w:pPr>
          </w:p>
        </w:tc>
      </w:tr>
      <w:tr w14:paraId="1508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08C432BD">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2D867238">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74B6D65C">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9、每天定时定位对各营业场所、停车场、消防重点部位、安全设施进行流动巡逻，夜间巡查每2小时不少于1次；</w:t>
            </w:r>
          </w:p>
        </w:tc>
        <w:tc>
          <w:tcPr>
            <w:tcW w:w="3732" w:type="dxa"/>
            <w:gridSpan w:val="2"/>
            <w:vMerge w:val="continue"/>
            <w:tcBorders>
              <w:left w:val="single" w:color="auto" w:sz="4" w:space="0"/>
              <w:bottom w:val="single" w:color="auto" w:sz="4" w:space="0"/>
              <w:right w:val="single" w:color="auto" w:sz="4" w:space="0"/>
            </w:tcBorders>
            <w:noWrap w:val="0"/>
            <w:vAlign w:val="center"/>
          </w:tcPr>
          <w:p w14:paraId="11D6BE97">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14:paraId="7308491F">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50C38486">
            <w:pPr>
              <w:spacing w:line="240" w:lineRule="auto"/>
              <w:jc w:val="left"/>
              <w:rPr>
                <w:rFonts w:hint="eastAsia" w:ascii="宋体" w:hAnsi="宋体" w:eastAsia="宋体" w:cs="宋体"/>
                <w:color w:val="auto"/>
                <w:sz w:val="18"/>
                <w:szCs w:val="18"/>
                <w:highlight w:val="none"/>
              </w:rPr>
            </w:pPr>
          </w:p>
        </w:tc>
      </w:tr>
      <w:tr w14:paraId="388A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6914E753">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47CAB86D">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05C8C816">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10、保护</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财产，当日发现</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财产损失先立即报</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值班人员再进行相应赔偿。</w:t>
            </w:r>
          </w:p>
        </w:tc>
        <w:tc>
          <w:tcPr>
            <w:tcW w:w="3732" w:type="dxa"/>
            <w:gridSpan w:val="2"/>
            <w:tcBorders>
              <w:top w:val="single" w:color="auto" w:sz="4" w:space="0"/>
              <w:left w:val="single" w:color="auto" w:sz="4" w:space="0"/>
              <w:bottom w:val="single" w:color="auto" w:sz="4" w:space="0"/>
              <w:right w:val="single" w:color="auto" w:sz="4" w:space="0"/>
            </w:tcBorders>
            <w:noWrap w:val="0"/>
            <w:vAlign w:val="center"/>
          </w:tcPr>
          <w:p w14:paraId="2037137D">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财产损失未及时发现，</w:t>
            </w:r>
            <w:r>
              <w:rPr>
                <w:rFonts w:hint="eastAsia" w:ascii="宋体" w:hAnsi="宋体" w:eastAsia="宋体" w:cs="宋体"/>
                <w:strike/>
                <w:dstrike w:val="0"/>
                <w:color w:val="auto"/>
                <w:sz w:val="18"/>
                <w:szCs w:val="18"/>
                <w:highlight w:val="none"/>
              </w:rPr>
              <w:t>按实赔偿</w:t>
            </w:r>
            <w:r>
              <w:rPr>
                <w:rFonts w:hint="eastAsia" w:ascii="宋体" w:hAnsi="宋体" w:eastAsia="宋体" w:cs="宋体"/>
                <w:strike/>
                <w:dstrike w:val="0"/>
                <w:color w:val="auto"/>
                <w:sz w:val="18"/>
                <w:szCs w:val="18"/>
                <w:highlight w:val="none"/>
                <w:lang w:eastAsia="zh-CN"/>
              </w:rPr>
              <w:t>，</w:t>
            </w:r>
            <w:r>
              <w:rPr>
                <w:rFonts w:hint="eastAsia" w:ascii="宋体" w:hAnsi="宋体" w:eastAsia="宋体" w:cs="宋体"/>
                <w:color w:val="auto"/>
                <w:sz w:val="18"/>
                <w:szCs w:val="18"/>
                <w:highlight w:val="none"/>
                <w:lang w:val="en-US" w:eastAsia="zh-CN"/>
              </w:rPr>
              <w:t>视情况扣2--5分</w:t>
            </w:r>
            <w:r>
              <w:rPr>
                <w:rFonts w:hint="eastAsia" w:ascii="宋体" w:hAnsi="宋体" w:eastAsia="宋体" w:cs="宋体"/>
                <w:color w:val="auto"/>
                <w:sz w:val="18"/>
                <w:szCs w:val="18"/>
                <w:highlight w:val="none"/>
              </w:rPr>
              <w:t>。</w:t>
            </w:r>
          </w:p>
          <w:p w14:paraId="6B2BD049">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及时发现并获得赔偿的，奖励2-5分</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68367E47">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2D3AD1C5">
            <w:pPr>
              <w:spacing w:line="240" w:lineRule="auto"/>
              <w:jc w:val="left"/>
              <w:rPr>
                <w:rFonts w:hint="eastAsia" w:ascii="宋体" w:hAnsi="宋体" w:eastAsia="宋体" w:cs="宋体"/>
                <w:color w:val="auto"/>
                <w:sz w:val="18"/>
                <w:szCs w:val="18"/>
                <w:highlight w:val="none"/>
              </w:rPr>
            </w:pPr>
          </w:p>
        </w:tc>
      </w:tr>
      <w:tr w14:paraId="1DB8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78EF2D47">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4F92D3B5">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2E30578E">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11、工作中因违章操作造成设备损坏。</w:t>
            </w:r>
          </w:p>
        </w:tc>
        <w:tc>
          <w:tcPr>
            <w:tcW w:w="3732" w:type="dxa"/>
            <w:gridSpan w:val="2"/>
            <w:tcBorders>
              <w:top w:val="single" w:color="auto" w:sz="4" w:space="0"/>
              <w:left w:val="single" w:color="auto" w:sz="4" w:space="0"/>
              <w:bottom w:val="single" w:color="auto" w:sz="4" w:space="0"/>
              <w:right w:val="single" w:color="auto" w:sz="4" w:space="0"/>
            </w:tcBorders>
            <w:noWrap w:val="0"/>
            <w:vAlign w:val="center"/>
          </w:tcPr>
          <w:p w14:paraId="4D297431">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按实赔偿</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并视情况扣2--5分</w:t>
            </w:r>
            <w:r>
              <w:rPr>
                <w:rFonts w:hint="eastAsia" w:ascii="宋体" w:hAnsi="宋体" w:eastAsia="宋体" w:cs="宋体"/>
                <w:color w:val="auto"/>
                <w:sz w:val="18"/>
                <w:szCs w:val="18"/>
                <w:highlight w:val="none"/>
              </w:rPr>
              <w:t>。</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36C376D6">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4A9ECDAD">
            <w:pPr>
              <w:spacing w:line="240" w:lineRule="auto"/>
              <w:jc w:val="left"/>
              <w:rPr>
                <w:rFonts w:hint="eastAsia" w:ascii="宋体" w:hAnsi="宋体" w:eastAsia="宋体" w:cs="宋体"/>
                <w:color w:val="auto"/>
                <w:sz w:val="18"/>
                <w:szCs w:val="18"/>
                <w:highlight w:val="none"/>
              </w:rPr>
            </w:pPr>
          </w:p>
        </w:tc>
      </w:tr>
      <w:tr w14:paraId="097F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59F3840B">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451C2B6D">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5B82813F">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12、发现安全隐患及时采取有效措施进行处理，处理不了立即上报值班领导。</w:t>
            </w:r>
          </w:p>
        </w:tc>
        <w:tc>
          <w:tcPr>
            <w:tcW w:w="373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5E4E685">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r>
              <w:rPr>
                <w:rFonts w:hint="eastAsia" w:ascii="宋体" w:hAnsi="宋体" w:eastAsia="宋体" w:cs="宋体"/>
                <w:color w:val="auto"/>
                <w:sz w:val="18"/>
                <w:szCs w:val="18"/>
                <w:highlight w:val="none"/>
              </w:rPr>
              <w:t>。</w:t>
            </w:r>
          </w:p>
        </w:tc>
        <w:tc>
          <w:tcPr>
            <w:tcW w:w="2349" w:type="dxa"/>
            <w:tcBorders>
              <w:top w:val="single" w:color="auto" w:sz="4" w:space="0"/>
              <w:left w:val="single" w:color="auto" w:sz="4" w:space="0"/>
              <w:bottom w:val="single" w:color="auto" w:sz="4" w:space="0"/>
              <w:right w:val="single" w:color="auto" w:sz="4" w:space="0"/>
            </w:tcBorders>
            <w:noWrap w:val="0"/>
            <w:vAlign w:val="top"/>
          </w:tcPr>
          <w:p w14:paraId="3B5AA8B1">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25B0217B">
            <w:pPr>
              <w:spacing w:line="240" w:lineRule="auto"/>
              <w:jc w:val="left"/>
              <w:rPr>
                <w:rFonts w:hint="eastAsia" w:ascii="宋体" w:hAnsi="宋体" w:eastAsia="宋体" w:cs="宋体"/>
                <w:color w:val="auto"/>
                <w:sz w:val="18"/>
                <w:szCs w:val="18"/>
                <w:highlight w:val="none"/>
              </w:rPr>
            </w:pPr>
          </w:p>
        </w:tc>
      </w:tr>
      <w:tr w14:paraId="3FB7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06DC44AB">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549C73C9">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5AF7EB69">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13、按消防安全部门的规定管理、使用消防设施、器材，完好率达到100% 。</w:t>
            </w:r>
          </w:p>
        </w:tc>
        <w:tc>
          <w:tcPr>
            <w:tcW w:w="37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F9BF2B4">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14:paraId="1BF869E2">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0F832520">
            <w:pPr>
              <w:spacing w:line="240" w:lineRule="auto"/>
              <w:jc w:val="left"/>
              <w:rPr>
                <w:rFonts w:hint="eastAsia" w:ascii="宋体" w:hAnsi="宋体" w:eastAsia="宋体" w:cs="宋体"/>
                <w:color w:val="auto"/>
                <w:sz w:val="18"/>
                <w:szCs w:val="18"/>
                <w:highlight w:val="none"/>
              </w:rPr>
            </w:pPr>
          </w:p>
        </w:tc>
      </w:tr>
      <w:tr w14:paraId="64C1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3" w:hRule="atLeast"/>
          <w:jc w:val="center"/>
        </w:trPr>
        <w:tc>
          <w:tcPr>
            <w:tcW w:w="960" w:type="dxa"/>
            <w:vMerge w:val="continue"/>
            <w:tcBorders>
              <w:left w:val="single" w:color="auto" w:sz="4" w:space="0"/>
              <w:right w:val="single" w:color="auto" w:sz="4" w:space="0"/>
            </w:tcBorders>
            <w:noWrap w:val="0"/>
            <w:vAlign w:val="top"/>
          </w:tcPr>
          <w:p w14:paraId="416F3910">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bottom w:val="single" w:color="auto" w:sz="4" w:space="0"/>
              <w:right w:val="single" w:color="auto" w:sz="4" w:space="0"/>
            </w:tcBorders>
            <w:noWrap w:val="0"/>
            <w:vAlign w:val="top"/>
          </w:tcPr>
          <w:p w14:paraId="1869325B">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54B481E4">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14、因工作失职发生车辆或车内物品被盗等治安案件。</w:t>
            </w:r>
          </w:p>
        </w:tc>
        <w:tc>
          <w:tcPr>
            <w:tcW w:w="37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328E53">
            <w:pPr>
              <w:spacing w:line="240" w:lineRule="auto"/>
              <w:jc w:val="left"/>
              <w:rPr>
                <w:rFonts w:hint="eastAsia" w:ascii="宋体" w:hAnsi="宋体" w:eastAsia="宋体" w:cs="宋体"/>
                <w:color w:val="auto"/>
                <w:sz w:val="18"/>
                <w:szCs w:val="18"/>
                <w:highlight w:val="none"/>
              </w:rPr>
            </w:pPr>
          </w:p>
        </w:tc>
        <w:tc>
          <w:tcPr>
            <w:tcW w:w="2349" w:type="dxa"/>
            <w:tcBorders>
              <w:top w:val="single" w:color="auto" w:sz="4" w:space="0"/>
              <w:left w:val="single" w:color="auto" w:sz="4" w:space="0"/>
              <w:bottom w:val="single" w:color="auto" w:sz="4" w:space="0"/>
              <w:right w:val="single" w:color="auto" w:sz="4" w:space="0"/>
            </w:tcBorders>
            <w:noWrap w:val="0"/>
            <w:vAlign w:val="top"/>
          </w:tcPr>
          <w:p w14:paraId="46EAE02D">
            <w:pPr>
              <w:spacing w:line="240" w:lineRule="auto"/>
              <w:jc w:val="left"/>
              <w:rPr>
                <w:rFonts w:hint="eastAsia" w:ascii="宋体" w:hAnsi="宋体" w:eastAsia="宋体" w:cs="宋体"/>
                <w:color w:val="auto"/>
                <w:sz w:val="18"/>
                <w:szCs w:val="18"/>
                <w:highlight w:val="none"/>
              </w:rPr>
            </w:pPr>
          </w:p>
        </w:tc>
        <w:tc>
          <w:tcPr>
            <w:tcW w:w="990" w:type="dxa"/>
            <w:gridSpan w:val="2"/>
            <w:tcBorders>
              <w:top w:val="single" w:color="auto" w:sz="4" w:space="0"/>
              <w:left w:val="single" w:color="auto" w:sz="4" w:space="0"/>
              <w:bottom w:val="single" w:color="auto" w:sz="4" w:space="0"/>
              <w:right w:val="single" w:color="auto" w:sz="4" w:space="0"/>
            </w:tcBorders>
            <w:noWrap w:val="0"/>
            <w:vAlign w:val="top"/>
          </w:tcPr>
          <w:p w14:paraId="6A6A347F">
            <w:pPr>
              <w:spacing w:line="240" w:lineRule="auto"/>
              <w:jc w:val="left"/>
              <w:rPr>
                <w:rFonts w:hint="eastAsia" w:ascii="宋体" w:hAnsi="宋体" w:eastAsia="宋体" w:cs="宋体"/>
                <w:color w:val="auto"/>
                <w:sz w:val="18"/>
                <w:szCs w:val="18"/>
                <w:highlight w:val="none"/>
              </w:rPr>
            </w:pPr>
          </w:p>
        </w:tc>
      </w:tr>
      <w:tr w14:paraId="014F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center"/>
          </w:tcPr>
          <w:p w14:paraId="6E92FFDF">
            <w:pPr>
              <w:spacing w:line="240" w:lineRule="auto"/>
              <w:jc w:val="center"/>
              <w:rPr>
                <w:rFonts w:hint="eastAsia" w:ascii="宋体" w:hAnsi="宋体" w:eastAsia="宋体" w:cs="宋体"/>
                <w:color w:val="auto"/>
                <w:sz w:val="18"/>
                <w:szCs w:val="18"/>
                <w:highlight w:val="none"/>
              </w:rPr>
            </w:pPr>
          </w:p>
        </w:tc>
        <w:tc>
          <w:tcPr>
            <w:tcW w:w="915" w:type="dxa"/>
            <w:vMerge w:val="restart"/>
            <w:tcBorders>
              <w:top w:val="single" w:color="auto" w:sz="4" w:space="0"/>
              <w:left w:val="single" w:color="auto" w:sz="4" w:space="0"/>
              <w:right w:val="single" w:color="auto" w:sz="4" w:space="0"/>
            </w:tcBorders>
            <w:noWrap w:val="0"/>
            <w:vAlign w:val="center"/>
          </w:tcPr>
          <w:p w14:paraId="460562A4">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w:t>
            </w:r>
          </w:p>
          <w:p w14:paraId="4672C1DA">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w:t>
            </w:r>
          </w:p>
          <w:p w14:paraId="5F0EE52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w:t>
            </w:r>
          </w:p>
          <w:p w14:paraId="4E3FEF6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细则</w:t>
            </w:r>
          </w:p>
          <w:p w14:paraId="1C85F210">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25</w:t>
            </w:r>
            <w:r>
              <w:rPr>
                <w:rFonts w:hint="eastAsia" w:ascii="宋体" w:hAnsi="宋体" w:eastAsia="宋体" w:cs="宋体"/>
                <w:color w:val="auto"/>
                <w:sz w:val="18"/>
                <w:szCs w:val="18"/>
                <w:highlight w:val="none"/>
              </w:rPr>
              <w:t>分）</w:t>
            </w: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09EA63E0">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1、发现有法规明文禁止的行为，</w:t>
            </w:r>
            <w:r>
              <w:rPr>
                <w:rFonts w:hint="eastAsia" w:ascii="宋体" w:hAnsi="宋体" w:eastAsia="宋体" w:cs="宋体"/>
                <w:color w:val="auto"/>
                <w:sz w:val="18"/>
                <w:szCs w:val="18"/>
                <w:highlight w:val="none"/>
                <w:lang w:val="en-US" w:eastAsia="zh-CN"/>
              </w:rPr>
              <w:t>应</w:t>
            </w:r>
            <w:r>
              <w:rPr>
                <w:rFonts w:hint="eastAsia" w:ascii="宋体" w:hAnsi="宋体" w:eastAsia="宋体" w:cs="宋体"/>
                <w:color w:val="auto"/>
                <w:sz w:val="18"/>
                <w:szCs w:val="18"/>
                <w:highlight w:val="none"/>
              </w:rPr>
              <w:t>及时给予劝阻并督促改正，报有关</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主管部门。</w:t>
            </w:r>
          </w:p>
        </w:tc>
        <w:tc>
          <w:tcPr>
            <w:tcW w:w="3727" w:type="dxa"/>
            <w:vMerge w:val="restart"/>
            <w:tcBorders>
              <w:top w:val="single" w:color="auto" w:sz="4" w:space="0"/>
              <w:left w:val="single" w:color="auto" w:sz="4" w:space="0"/>
              <w:right w:val="single" w:color="auto" w:sz="4" w:space="0"/>
            </w:tcBorders>
            <w:noWrap w:val="0"/>
            <w:vAlign w:val="center"/>
          </w:tcPr>
          <w:p w14:paraId="7EA58FAF">
            <w:pPr>
              <w:spacing w:line="240"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363C71DB">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4D4569FA">
            <w:pPr>
              <w:spacing w:line="240" w:lineRule="auto"/>
              <w:jc w:val="left"/>
              <w:rPr>
                <w:rFonts w:hint="eastAsia" w:ascii="宋体" w:hAnsi="宋体" w:eastAsia="宋体" w:cs="宋体"/>
                <w:color w:val="auto"/>
                <w:sz w:val="18"/>
                <w:szCs w:val="18"/>
                <w:highlight w:val="none"/>
              </w:rPr>
            </w:pPr>
          </w:p>
        </w:tc>
      </w:tr>
      <w:tr w14:paraId="263C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73E729C2">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4ACDCB75">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43FE0F2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2、严格遵守各项操作规程或</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规章制度，积极配合</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开展工作。</w:t>
            </w:r>
          </w:p>
        </w:tc>
        <w:tc>
          <w:tcPr>
            <w:tcW w:w="3727" w:type="dxa"/>
            <w:vMerge w:val="continue"/>
            <w:tcBorders>
              <w:left w:val="single" w:color="auto" w:sz="4" w:space="0"/>
              <w:right w:val="single" w:color="auto" w:sz="4" w:space="0"/>
            </w:tcBorders>
            <w:noWrap w:val="0"/>
            <w:vAlign w:val="center"/>
          </w:tcPr>
          <w:p w14:paraId="71823E43">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0F4494AA">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3DF760E1">
            <w:pPr>
              <w:spacing w:line="240" w:lineRule="auto"/>
              <w:jc w:val="left"/>
              <w:rPr>
                <w:rFonts w:hint="eastAsia" w:ascii="宋体" w:hAnsi="宋体" w:eastAsia="宋体" w:cs="宋体"/>
                <w:color w:val="auto"/>
                <w:sz w:val="18"/>
                <w:szCs w:val="18"/>
                <w:highlight w:val="none"/>
              </w:rPr>
            </w:pPr>
          </w:p>
        </w:tc>
      </w:tr>
      <w:tr w14:paraId="7CB4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357F0774">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4A7499BA">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02EB20E3">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3、每日对公厕按时段进行多次清洗自检，并作好记录；公厕夜班每隔二小时冲洗一次，办公楼卫生清理每日不少于二次，公共场所的走廊、过道、楼梯随脏随清扫。</w:t>
            </w:r>
          </w:p>
        </w:tc>
        <w:tc>
          <w:tcPr>
            <w:tcW w:w="3727" w:type="dxa"/>
            <w:vMerge w:val="continue"/>
            <w:tcBorders>
              <w:left w:val="single" w:color="auto" w:sz="4" w:space="0"/>
              <w:right w:val="single" w:color="auto" w:sz="4" w:space="0"/>
            </w:tcBorders>
            <w:noWrap w:val="0"/>
            <w:vAlign w:val="center"/>
          </w:tcPr>
          <w:p w14:paraId="4C7DAB9A">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6E6FD30B">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013BFF4B">
            <w:pPr>
              <w:spacing w:line="240" w:lineRule="auto"/>
              <w:jc w:val="left"/>
              <w:rPr>
                <w:rFonts w:hint="eastAsia" w:ascii="宋体" w:hAnsi="宋体" w:eastAsia="宋体" w:cs="宋体"/>
                <w:color w:val="auto"/>
                <w:sz w:val="18"/>
                <w:szCs w:val="18"/>
                <w:highlight w:val="none"/>
              </w:rPr>
            </w:pPr>
          </w:p>
        </w:tc>
      </w:tr>
      <w:tr w14:paraId="7FDA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1CABC23F">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center"/>
          </w:tcPr>
          <w:p w14:paraId="75D65492">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2AB9D214">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4、垃圾桶（果皮箱）表面清洁无污渍，垃圾及时清运。纸篓（桶内）垃圾不得超过篓深（桶深）2/3。</w:t>
            </w:r>
          </w:p>
        </w:tc>
        <w:tc>
          <w:tcPr>
            <w:tcW w:w="3727" w:type="dxa"/>
            <w:vMerge w:val="continue"/>
            <w:tcBorders>
              <w:left w:val="single" w:color="auto" w:sz="4" w:space="0"/>
              <w:right w:val="single" w:color="auto" w:sz="4" w:space="0"/>
            </w:tcBorders>
            <w:noWrap w:val="0"/>
            <w:vAlign w:val="center"/>
          </w:tcPr>
          <w:p w14:paraId="77B6B6E7">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1049A8B2">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31DC5231">
            <w:pPr>
              <w:spacing w:line="240" w:lineRule="auto"/>
              <w:jc w:val="left"/>
              <w:rPr>
                <w:rFonts w:hint="eastAsia" w:ascii="宋体" w:hAnsi="宋体" w:eastAsia="宋体" w:cs="宋体"/>
                <w:color w:val="auto"/>
                <w:sz w:val="18"/>
                <w:szCs w:val="18"/>
                <w:highlight w:val="none"/>
              </w:rPr>
            </w:pPr>
          </w:p>
        </w:tc>
      </w:tr>
      <w:tr w14:paraId="6156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0C6EB0C9">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5971B257">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4641242D">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5、边沟、下水道、垃圾房、垃圾桶的消毒杀菌、防虫处理每周不少于一次，并记录完整。</w:t>
            </w:r>
          </w:p>
        </w:tc>
        <w:tc>
          <w:tcPr>
            <w:tcW w:w="3727" w:type="dxa"/>
            <w:vMerge w:val="continue"/>
            <w:tcBorders>
              <w:left w:val="single" w:color="auto" w:sz="4" w:space="0"/>
              <w:right w:val="single" w:color="auto" w:sz="4" w:space="0"/>
            </w:tcBorders>
            <w:noWrap w:val="0"/>
            <w:vAlign w:val="center"/>
          </w:tcPr>
          <w:p w14:paraId="03A08EF3">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28B85202">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08B8E5C2">
            <w:pPr>
              <w:spacing w:line="240" w:lineRule="auto"/>
              <w:jc w:val="left"/>
              <w:rPr>
                <w:rFonts w:hint="eastAsia" w:ascii="宋体" w:hAnsi="宋体" w:eastAsia="宋体" w:cs="宋体"/>
                <w:color w:val="auto"/>
                <w:sz w:val="18"/>
                <w:szCs w:val="18"/>
                <w:highlight w:val="none"/>
              </w:rPr>
            </w:pPr>
          </w:p>
        </w:tc>
      </w:tr>
      <w:tr w14:paraId="366E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027A69F7">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4BDAF80B">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03D8E892">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6、草坪、绿化带内无杂物、包装袋、饮料瓶等影响环境卫生和</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形象的废弃物。</w:t>
            </w:r>
          </w:p>
        </w:tc>
        <w:tc>
          <w:tcPr>
            <w:tcW w:w="3727" w:type="dxa"/>
            <w:vMerge w:val="continue"/>
            <w:tcBorders>
              <w:left w:val="single" w:color="auto" w:sz="4" w:space="0"/>
              <w:right w:val="single" w:color="auto" w:sz="4" w:space="0"/>
            </w:tcBorders>
            <w:noWrap w:val="0"/>
            <w:vAlign w:val="center"/>
          </w:tcPr>
          <w:p w14:paraId="676BBB3B">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00719F46">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0DE2C465">
            <w:pPr>
              <w:spacing w:line="240" w:lineRule="auto"/>
              <w:jc w:val="left"/>
              <w:rPr>
                <w:rFonts w:hint="eastAsia" w:ascii="宋体" w:hAnsi="宋体" w:eastAsia="宋体" w:cs="宋体"/>
                <w:color w:val="auto"/>
                <w:sz w:val="18"/>
                <w:szCs w:val="18"/>
                <w:highlight w:val="none"/>
              </w:rPr>
            </w:pPr>
          </w:p>
        </w:tc>
      </w:tr>
      <w:tr w14:paraId="7720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76DF0207">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01DC1824">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360AF8B7">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7、保洁工具及时清洗干净摆放到指定位置。</w:t>
            </w:r>
          </w:p>
        </w:tc>
        <w:tc>
          <w:tcPr>
            <w:tcW w:w="3727" w:type="dxa"/>
            <w:vMerge w:val="continue"/>
            <w:tcBorders>
              <w:left w:val="single" w:color="auto" w:sz="4" w:space="0"/>
              <w:right w:val="single" w:color="auto" w:sz="4" w:space="0"/>
            </w:tcBorders>
            <w:noWrap w:val="0"/>
            <w:vAlign w:val="center"/>
          </w:tcPr>
          <w:p w14:paraId="5E481004">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367FF014">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62AB2364">
            <w:pPr>
              <w:spacing w:line="240" w:lineRule="auto"/>
              <w:jc w:val="left"/>
              <w:rPr>
                <w:rFonts w:hint="eastAsia" w:ascii="宋体" w:hAnsi="宋体" w:eastAsia="宋体" w:cs="宋体"/>
                <w:color w:val="auto"/>
                <w:sz w:val="18"/>
                <w:szCs w:val="18"/>
                <w:highlight w:val="none"/>
              </w:rPr>
            </w:pPr>
          </w:p>
        </w:tc>
      </w:tr>
      <w:tr w14:paraId="2AE8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4094D244">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4479195D">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2A51CB65">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8、低值易耗品无明显浪费现象。</w:t>
            </w:r>
          </w:p>
        </w:tc>
        <w:tc>
          <w:tcPr>
            <w:tcW w:w="3727" w:type="dxa"/>
            <w:vMerge w:val="continue"/>
            <w:tcBorders>
              <w:left w:val="single" w:color="auto" w:sz="4" w:space="0"/>
              <w:right w:val="single" w:color="auto" w:sz="4" w:space="0"/>
            </w:tcBorders>
            <w:noWrap w:val="0"/>
            <w:vAlign w:val="center"/>
          </w:tcPr>
          <w:p w14:paraId="65867C5E">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61509D8E">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1043CBF8">
            <w:pPr>
              <w:spacing w:line="240" w:lineRule="auto"/>
              <w:jc w:val="left"/>
              <w:rPr>
                <w:rFonts w:hint="eastAsia" w:ascii="宋体" w:hAnsi="宋体" w:eastAsia="宋体" w:cs="宋体"/>
                <w:color w:val="auto"/>
                <w:sz w:val="18"/>
                <w:szCs w:val="18"/>
                <w:highlight w:val="none"/>
              </w:rPr>
            </w:pPr>
          </w:p>
        </w:tc>
      </w:tr>
      <w:tr w14:paraId="142D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50AA57E0">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7BE86C70">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3EA2D84A">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9、公厕和卫生间地面无积水、无污物；便池、小便斗、小便槽保持干净无污迹、无臭味。</w:t>
            </w:r>
          </w:p>
        </w:tc>
        <w:tc>
          <w:tcPr>
            <w:tcW w:w="3727" w:type="dxa"/>
            <w:vMerge w:val="continue"/>
            <w:tcBorders>
              <w:left w:val="single" w:color="auto" w:sz="4" w:space="0"/>
              <w:right w:val="single" w:color="auto" w:sz="4" w:space="0"/>
            </w:tcBorders>
            <w:noWrap w:val="0"/>
            <w:vAlign w:val="center"/>
          </w:tcPr>
          <w:p w14:paraId="75734060">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73C7899F">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7E845C9E">
            <w:pPr>
              <w:spacing w:line="240" w:lineRule="auto"/>
              <w:jc w:val="left"/>
              <w:rPr>
                <w:rFonts w:hint="eastAsia" w:ascii="宋体" w:hAnsi="宋体" w:eastAsia="宋体" w:cs="宋体"/>
                <w:color w:val="auto"/>
                <w:sz w:val="18"/>
                <w:szCs w:val="18"/>
                <w:highlight w:val="none"/>
              </w:rPr>
            </w:pPr>
          </w:p>
        </w:tc>
      </w:tr>
      <w:tr w14:paraId="0421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60" w:type="dxa"/>
            <w:vMerge w:val="continue"/>
            <w:tcBorders>
              <w:left w:val="single" w:color="auto" w:sz="4" w:space="0"/>
              <w:right w:val="single" w:color="auto" w:sz="4" w:space="0"/>
            </w:tcBorders>
            <w:noWrap w:val="0"/>
            <w:vAlign w:val="top"/>
          </w:tcPr>
          <w:p w14:paraId="3BD3147E">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bottom w:val="single" w:color="auto" w:sz="4" w:space="0"/>
              <w:right w:val="single" w:color="auto" w:sz="4" w:space="0"/>
            </w:tcBorders>
            <w:noWrap w:val="0"/>
            <w:vAlign w:val="top"/>
          </w:tcPr>
          <w:p w14:paraId="0C7521A1">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7012F148">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10、公厕和卫生间保持空气流通，无蜘蛛网，墙面、顶棚、玻璃无灰尘、水垢，镜面保持无污迹。</w:t>
            </w:r>
          </w:p>
        </w:tc>
        <w:tc>
          <w:tcPr>
            <w:tcW w:w="3727" w:type="dxa"/>
            <w:vMerge w:val="continue"/>
            <w:tcBorders>
              <w:left w:val="single" w:color="auto" w:sz="4" w:space="0"/>
              <w:bottom w:val="single" w:color="auto" w:sz="4" w:space="0"/>
              <w:right w:val="single" w:color="auto" w:sz="4" w:space="0"/>
            </w:tcBorders>
            <w:noWrap w:val="0"/>
            <w:vAlign w:val="center"/>
          </w:tcPr>
          <w:p w14:paraId="4E94C521">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166624F7">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004A82D6">
            <w:pPr>
              <w:spacing w:line="240" w:lineRule="auto"/>
              <w:jc w:val="left"/>
              <w:rPr>
                <w:rFonts w:hint="eastAsia" w:ascii="宋体" w:hAnsi="宋体" w:eastAsia="宋体" w:cs="宋体"/>
                <w:color w:val="auto"/>
                <w:sz w:val="18"/>
                <w:szCs w:val="18"/>
                <w:highlight w:val="none"/>
              </w:rPr>
            </w:pPr>
          </w:p>
        </w:tc>
      </w:tr>
      <w:tr w14:paraId="6559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6E6ACF5D">
            <w:pPr>
              <w:spacing w:line="240" w:lineRule="auto"/>
              <w:jc w:val="left"/>
              <w:rPr>
                <w:rFonts w:hint="eastAsia" w:ascii="宋体" w:hAnsi="宋体" w:eastAsia="宋体" w:cs="宋体"/>
                <w:color w:val="auto"/>
                <w:sz w:val="18"/>
                <w:szCs w:val="18"/>
                <w:highlight w:val="none"/>
              </w:rPr>
            </w:pPr>
          </w:p>
        </w:tc>
        <w:tc>
          <w:tcPr>
            <w:tcW w:w="915" w:type="dxa"/>
            <w:vMerge w:val="restart"/>
            <w:tcBorders>
              <w:top w:val="single" w:color="auto" w:sz="4" w:space="0"/>
              <w:left w:val="single" w:color="auto" w:sz="4" w:space="0"/>
              <w:right w:val="single" w:color="auto" w:sz="4" w:space="0"/>
            </w:tcBorders>
            <w:noWrap w:val="0"/>
            <w:vAlign w:val="center"/>
          </w:tcPr>
          <w:p w14:paraId="0A5E8A8E">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水电工</w:t>
            </w:r>
          </w:p>
          <w:p w14:paraId="50FF66F9">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w:t>
            </w:r>
          </w:p>
          <w:p w14:paraId="0D80B59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考核</w:t>
            </w:r>
          </w:p>
          <w:p w14:paraId="6B2E678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细则</w:t>
            </w:r>
          </w:p>
          <w:p w14:paraId="5CB9322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（5分)</w:t>
            </w: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7906AC52">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、保持电工间、配电房、发电机房、水泵房、污水处理设备的卫生清洁。</w:t>
            </w:r>
          </w:p>
        </w:tc>
        <w:tc>
          <w:tcPr>
            <w:tcW w:w="3727" w:type="dxa"/>
            <w:vMerge w:val="restart"/>
            <w:tcBorders>
              <w:top w:val="single" w:color="auto" w:sz="4" w:space="0"/>
              <w:left w:val="single" w:color="auto" w:sz="4" w:space="0"/>
              <w:right w:val="single" w:color="auto" w:sz="4" w:space="0"/>
            </w:tcBorders>
            <w:noWrap w:val="0"/>
            <w:vAlign w:val="center"/>
          </w:tcPr>
          <w:p w14:paraId="38C2BE7A">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违反一条每次扣2分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扣完为止</w:t>
            </w:r>
            <w:r>
              <w:rPr>
                <w:rFonts w:hint="eastAsia" w:ascii="宋体" w:hAnsi="宋体" w:eastAsia="宋体" w:cs="宋体"/>
                <w:color w:val="auto"/>
                <w:sz w:val="18"/>
                <w:szCs w:val="18"/>
                <w:highlight w:val="none"/>
              </w:rPr>
              <w:t>。</w:t>
            </w: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2B376209">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7A2CCC8B">
            <w:pPr>
              <w:spacing w:line="240" w:lineRule="auto"/>
              <w:jc w:val="left"/>
              <w:rPr>
                <w:rFonts w:hint="eastAsia" w:ascii="宋体" w:hAnsi="宋体" w:eastAsia="宋体" w:cs="宋体"/>
                <w:color w:val="auto"/>
                <w:sz w:val="18"/>
                <w:szCs w:val="18"/>
                <w:highlight w:val="none"/>
              </w:rPr>
            </w:pPr>
          </w:p>
        </w:tc>
      </w:tr>
      <w:tr w14:paraId="0E82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381146F0">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794749C5">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4BDD14BC">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、根据季节变化适时调整广场高杆灯的开、关时间。</w:t>
            </w:r>
          </w:p>
        </w:tc>
        <w:tc>
          <w:tcPr>
            <w:tcW w:w="3727" w:type="dxa"/>
            <w:vMerge w:val="continue"/>
            <w:tcBorders>
              <w:left w:val="single" w:color="auto" w:sz="4" w:space="0"/>
              <w:right w:val="single" w:color="auto" w:sz="4" w:space="0"/>
            </w:tcBorders>
            <w:noWrap w:val="0"/>
            <w:vAlign w:val="center"/>
          </w:tcPr>
          <w:p w14:paraId="17F82D73">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00D6C49E">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00CC8255">
            <w:pPr>
              <w:spacing w:line="240" w:lineRule="auto"/>
              <w:jc w:val="left"/>
              <w:rPr>
                <w:rFonts w:hint="eastAsia" w:ascii="宋体" w:hAnsi="宋体" w:eastAsia="宋体" w:cs="宋体"/>
                <w:color w:val="auto"/>
                <w:sz w:val="18"/>
                <w:szCs w:val="18"/>
                <w:highlight w:val="none"/>
              </w:rPr>
            </w:pPr>
          </w:p>
        </w:tc>
      </w:tr>
      <w:tr w14:paraId="1A0F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628078E3">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616D3CD0">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3B826D64">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、每日进行水电总表的抄报和做好水电工日志。</w:t>
            </w:r>
          </w:p>
        </w:tc>
        <w:tc>
          <w:tcPr>
            <w:tcW w:w="3727" w:type="dxa"/>
            <w:vMerge w:val="continue"/>
            <w:tcBorders>
              <w:left w:val="single" w:color="auto" w:sz="4" w:space="0"/>
              <w:right w:val="single" w:color="auto" w:sz="4" w:space="0"/>
            </w:tcBorders>
            <w:noWrap w:val="0"/>
            <w:vAlign w:val="center"/>
          </w:tcPr>
          <w:p w14:paraId="0FB1F10A">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2FF1194F">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06C3A2CC">
            <w:pPr>
              <w:spacing w:line="240" w:lineRule="auto"/>
              <w:jc w:val="left"/>
              <w:rPr>
                <w:rFonts w:hint="eastAsia" w:ascii="宋体" w:hAnsi="宋体" w:eastAsia="宋体" w:cs="宋体"/>
                <w:color w:val="auto"/>
                <w:sz w:val="18"/>
                <w:szCs w:val="18"/>
                <w:highlight w:val="none"/>
              </w:rPr>
            </w:pPr>
          </w:p>
        </w:tc>
      </w:tr>
      <w:tr w14:paraId="1468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0E964EE1">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right w:val="single" w:color="auto" w:sz="4" w:space="0"/>
            </w:tcBorders>
            <w:noWrap w:val="0"/>
            <w:vAlign w:val="top"/>
          </w:tcPr>
          <w:p w14:paraId="150B8343">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4F17A68A">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、熟悉各设施设备性能，保证运行正常。</w:t>
            </w:r>
            <w:r>
              <w:rPr>
                <w:rFonts w:hint="eastAsia" w:ascii="宋体" w:hAnsi="宋体" w:eastAsia="宋体" w:cs="宋体"/>
                <w:color w:val="auto"/>
                <w:sz w:val="18"/>
                <w:szCs w:val="18"/>
                <w:highlight w:val="none"/>
                <w:lang w:val="en-US" w:eastAsia="zh-CN"/>
              </w:rPr>
              <w:t>如有设施设备故障、损坏等情况，乙方应及时发现并维修。</w:t>
            </w:r>
          </w:p>
        </w:tc>
        <w:tc>
          <w:tcPr>
            <w:tcW w:w="3727" w:type="dxa"/>
            <w:vMerge w:val="continue"/>
            <w:tcBorders>
              <w:left w:val="single" w:color="auto" w:sz="4" w:space="0"/>
              <w:right w:val="single" w:color="auto" w:sz="4" w:space="0"/>
            </w:tcBorders>
            <w:noWrap w:val="0"/>
            <w:vAlign w:val="center"/>
          </w:tcPr>
          <w:p w14:paraId="57BDC969">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5BC48D72">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619D6A1C">
            <w:pPr>
              <w:spacing w:line="240" w:lineRule="auto"/>
              <w:jc w:val="left"/>
              <w:rPr>
                <w:rFonts w:hint="eastAsia" w:ascii="宋体" w:hAnsi="宋体" w:eastAsia="宋体" w:cs="宋体"/>
                <w:color w:val="auto"/>
                <w:sz w:val="18"/>
                <w:szCs w:val="18"/>
                <w:highlight w:val="none"/>
              </w:rPr>
            </w:pPr>
          </w:p>
        </w:tc>
      </w:tr>
      <w:tr w14:paraId="05AC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0" w:type="dxa"/>
            <w:vMerge w:val="continue"/>
            <w:tcBorders>
              <w:left w:val="single" w:color="auto" w:sz="4" w:space="0"/>
              <w:right w:val="single" w:color="auto" w:sz="4" w:space="0"/>
            </w:tcBorders>
            <w:noWrap w:val="0"/>
            <w:vAlign w:val="top"/>
          </w:tcPr>
          <w:p w14:paraId="227758A2">
            <w:pPr>
              <w:spacing w:line="240" w:lineRule="auto"/>
              <w:jc w:val="left"/>
              <w:rPr>
                <w:rFonts w:hint="eastAsia" w:ascii="宋体" w:hAnsi="宋体" w:eastAsia="宋体" w:cs="宋体"/>
                <w:color w:val="auto"/>
                <w:sz w:val="18"/>
                <w:szCs w:val="18"/>
                <w:highlight w:val="none"/>
              </w:rPr>
            </w:pPr>
          </w:p>
        </w:tc>
        <w:tc>
          <w:tcPr>
            <w:tcW w:w="915" w:type="dxa"/>
            <w:vMerge w:val="continue"/>
            <w:tcBorders>
              <w:left w:val="single" w:color="auto" w:sz="4" w:space="0"/>
              <w:bottom w:val="single" w:color="auto" w:sz="4" w:space="0"/>
              <w:right w:val="single" w:color="auto" w:sz="4" w:space="0"/>
            </w:tcBorders>
            <w:noWrap w:val="0"/>
            <w:vAlign w:val="top"/>
          </w:tcPr>
          <w:p w14:paraId="7F92E66C">
            <w:pPr>
              <w:spacing w:line="240" w:lineRule="auto"/>
              <w:jc w:val="left"/>
              <w:rPr>
                <w:rFonts w:hint="eastAsia" w:ascii="宋体" w:hAnsi="宋体" w:eastAsia="宋体" w:cs="宋体"/>
                <w:color w:val="auto"/>
                <w:sz w:val="18"/>
                <w:szCs w:val="18"/>
                <w:highlight w:val="none"/>
              </w:rPr>
            </w:pPr>
          </w:p>
        </w:tc>
        <w:tc>
          <w:tcPr>
            <w:tcW w:w="5025" w:type="dxa"/>
            <w:gridSpan w:val="2"/>
            <w:tcBorders>
              <w:top w:val="single" w:color="auto" w:sz="4" w:space="0"/>
              <w:left w:val="single" w:color="auto" w:sz="4" w:space="0"/>
              <w:bottom w:val="single" w:color="auto" w:sz="4" w:space="0"/>
              <w:right w:val="single" w:color="auto" w:sz="4" w:space="0"/>
            </w:tcBorders>
            <w:noWrap w:val="0"/>
            <w:vAlign w:val="center"/>
          </w:tcPr>
          <w:p w14:paraId="3C1EF72A">
            <w:pPr>
              <w:spacing w:line="24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、及时按要求填写规定台帐，有填写人和审核人，内容须填写规范。</w:t>
            </w:r>
          </w:p>
        </w:tc>
        <w:tc>
          <w:tcPr>
            <w:tcW w:w="3727" w:type="dxa"/>
            <w:vMerge w:val="continue"/>
            <w:tcBorders>
              <w:left w:val="single" w:color="auto" w:sz="4" w:space="0"/>
              <w:bottom w:val="single" w:color="auto" w:sz="4" w:space="0"/>
              <w:right w:val="single" w:color="auto" w:sz="4" w:space="0"/>
            </w:tcBorders>
            <w:noWrap w:val="0"/>
            <w:vAlign w:val="center"/>
          </w:tcPr>
          <w:p w14:paraId="7ABAB1EC">
            <w:pPr>
              <w:spacing w:line="240" w:lineRule="auto"/>
              <w:jc w:val="left"/>
              <w:rPr>
                <w:rFonts w:hint="eastAsia" w:ascii="宋体" w:hAnsi="宋体" w:eastAsia="宋体" w:cs="宋体"/>
                <w:color w:val="auto"/>
                <w:sz w:val="18"/>
                <w:szCs w:val="18"/>
                <w:highlight w:val="none"/>
              </w:rPr>
            </w:pPr>
          </w:p>
        </w:tc>
        <w:tc>
          <w:tcPr>
            <w:tcW w:w="2357" w:type="dxa"/>
            <w:gridSpan w:val="3"/>
            <w:tcBorders>
              <w:top w:val="single" w:color="auto" w:sz="4" w:space="0"/>
              <w:left w:val="single" w:color="auto" w:sz="4" w:space="0"/>
              <w:bottom w:val="single" w:color="auto" w:sz="4" w:space="0"/>
              <w:right w:val="single" w:color="auto" w:sz="4" w:space="0"/>
            </w:tcBorders>
            <w:noWrap w:val="0"/>
            <w:vAlign w:val="top"/>
          </w:tcPr>
          <w:p w14:paraId="478953FE">
            <w:pPr>
              <w:spacing w:line="240" w:lineRule="auto"/>
              <w:jc w:val="left"/>
              <w:rPr>
                <w:rFonts w:hint="eastAsia" w:ascii="宋体" w:hAnsi="宋体" w:eastAsia="宋体" w:cs="宋体"/>
                <w:color w:val="auto"/>
                <w:sz w:val="18"/>
                <w:szCs w:val="18"/>
                <w:highlight w:val="none"/>
              </w:rPr>
            </w:pPr>
          </w:p>
        </w:tc>
        <w:tc>
          <w:tcPr>
            <w:tcW w:w="993" w:type="dxa"/>
            <w:gridSpan w:val="2"/>
            <w:tcBorders>
              <w:top w:val="single" w:color="auto" w:sz="4" w:space="0"/>
              <w:left w:val="single" w:color="auto" w:sz="4" w:space="0"/>
              <w:bottom w:val="single" w:color="auto" w:sz="4" w:space="0"/>
              <w:right w:val="single" w:color="auto" w:sz="4" w:space="0"/>
            </w:tcBorders>
            <w:noWrap w:val="0"/>
            <w:vAlign w:val="top"/>
          </w:tcPr>
          <w:p w14:paraId="7C2AE233">
            <w:pPr>
              <w:spacing w:line="240" w:lineRule="auto"/>
              <w:jc w:val="left"/>
              <w:rPr>
                <w:rFonts w:hint="eastAsia" w:ascii="宋体" w:hAnsi="宋体" w:eastAsia="宋体" w:cs="宋体"/>
                <w:color w:val="auto"/>
                <w:sz w:val="18"/>
                <w:szCs w:val="18"/>
                <w:highlight w:val="none"/>
              </w:rPr>
            </w:pPr>
          </w:p>
        </w:tc>
      </w:tr>
    </w:tbl>
    <w:tbl>
      <w:tblPr>
        <w:tblStyle w:val="25"/>
        <w:tblpPr w:leftFromText="180" w:rightFromText="180" w:vertAnchor="text" w:horzAnchor="page" w:tblpXSpec="center" w:tblpY="23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816"/>
        <w:gridCol w:w="5112"/>
        <w:gridCol w:w="3748"/>
        <w:gridCol w:w="2374"/>
        <w:gridCol w:w="993"/>
      </w:tblGrid>
      <w:tr w14:paraId="483B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restart"/>
            <w:tcBorders>
              <w:top w:val="single" w:color="auto" w:sz="4" w:space="0"/>
              <w:left w:val="single" w:color="auto" w:sz="4" w:space="0"/>
              <w:bottom w:val="single" w:color="auto" w:sz="4" w:space="0"/>
              <w:right w:val="single" w:color="auto" w:sz="4" w:space="0"/>
            </w:tcBorders>
            <w:noWrap w:val="0"/>
            <w:vAlign w:val="center"/>
          </w:tcPr>
          <w:p w14:paraId="1577A43C">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w:t>
            </w:r>
          </w:p>
          <w:p w14:paraId="3B39FB36">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他</w:t>
            </w:r>
          </w:p>
          <w:p w14:paraId="14138E49">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考</w:t>
            </w:r>
          </w:p>
          <w:p w14:paraId="13CDD96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核</w:t>
            </w:r>
          </w:p>
        </w:tc>
        <w:tc>
          <w:tcPr>
            <w:tcW w:w="816" w:type="dxa"/>
            <w:vMerge w:val="restart"/>
            <w:tcBorders>
              <w:top w:val="single" w:color="auto" w:sz="4" w:space="0"/>
              <w:left w:val="single" w:color="auto" w:sz="4" w:space="0"/>
              <w:bottom w:val="single" w:color="auto" w:sz="4" w:space="0"/>
              <w:right w:val="single" w:color="auto" w:sz="4" w:space="0"/>
            </w:tcBorders>
            <w:noWrap w:val="0"/>
            <w:vAlign w:val="top"/>
          </w:tcPr>
          <w:p w14:paraId="2CCE90A3">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w:t>
            </w:r>
          </w:p>
          <w:p w14:paraId="2CDC183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他</w:t>
            </w:r>
          </w:p>
          <w:p w14:paraId="4B3EAA0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处</w:t>
            </w:r>
          </w:p>
          <w:p w14:paraId="01F2329F">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罚</w:t>
            </w:r>
          </w:p>
        </w:tc>
        <w:tc>
          <w:tcPr>
            <w:tcW w:w="5112" w:type="dxa"/>
            <w:tcBorders>
              <w:top w:val="single" w:color="auto" w:sz="4" w:space="0"/>
              <w:left w:val="single" w:color="auto" w:sz="4" w:space="0"/>
              <w:bottom w:val="single" w:color="auto" w:sz="4" w:space="0"/>
              <w:right w:val="single" w:color="auto" w:sz="4" w:space="0"/>
            </w:tcBorders>
            <w:noWrap w:val="0"/>
            <w:vAlign w:val="center"/>
          </w:tcPr>
          <w:p w14:paraId="2A52B90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由于工作不当被新闻媒体曝光。</w:t>
            </w:r>
          </w:p>
        </w:tc>
        <w:tc>
          <w:tcPr>
            <w:tcW w:w="3748" w:type="dxa"/>
            <w:vMerge w:val="restart"/>
            <w:tcBorders>
              <w:top w:val="single" w:color="auto" w:sz="4" w:space="0"/>
              <w:left w:val="single" w:color="auto" w:sz="4" w:space="0"/>
              <w:bottom w:val="single" w:color="auto" w:sz="4" w:space="0"/>
              <w:right w:val="single" w:color="auto" w:sz="4" w:space="0"/>
            </w:tcBorders>
            <w:noWrap w:val="0"/>
            <w:vAlign w:val="center"/>
          </w:tcPr>
          <w:p w14:paraId="06508692">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视情况给予当月考核0分处理或酌情给予2000-10000罚款</w:t>
            </w:r>
          </w:p>
        </w:tc>
        <w:tc>
          <w:tcPr>
            <w:tcW w:w="2374" w:type="dxa"/>
            <w:tcBorders>
              <w:top w:val="single" w:color="auto" w:sz="4" w:space="0"/>
              <w:left w:val="single" w:color="auto" w:sz="4" w:space="0"/>
              <w:bottom w:val="single" w:color="auto" w:sz="4" w:space="0"/>
              <w:right w:val="single" w:color="auto" w:sz="4" w:space="0"/>
            </w:tcBorders>
            <w:noWrap w:val="0"/>
            <w:vAlign w:val="top"/>
          </w:tcPr>
          <w:p w14:paraId="7DF8E70E">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CFDD121">
            <w:pPr>
              <w:spacing w:line="240" w:lineRule="auto"/>
              <w:jc w:val="left"/>
              <w:rPr>
                <w:rFonts w:hint="eastAsia" w:ascii="宋体" w:hAnsi="宋体" w:eastAsia="宋体" w:cs="宋体"/>
                <w:color w:val="auto"/>
                <w:sz w:val="18"/>
                <w:szCs w:val="18"/>
                <w:highlight w:val="none"/>
              </w:rPr>
            </w:pPr>
          </w:p>
        </w:tc>
      </w:tr>
      <w:tr w14:paraId="0529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14:paraId="4B48F70A">
            <w:pPr>
              <w:spacing w:line="240" w:lineRule="auto"/>
              <w:jc w:val="center"/>
              <w:rPr>
                <w:rFonts w:hint="eastAsia" w:ascii="宋体" w:hAnsi="宋体" w:eastAsia="宋体" w:cs="宋体"/>
                <w:color w:val="auto"/>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43225230">
            <w:pPr>
              <w:spacing w:line="240" w:lineRule="auto"/>
              <w:jc w:val="center"/>
              <w:rPr>
                <w:rFonts w:hint="eastAsia" w:ascii="宋体" w:hAnsi="宋体" w:eastAsia="宋体" w:cs="宋体"/>
                <w:color w:val="auto"/>
                <w:sz w:val="18"/>
                <w:szCs w:val="18"/>
                <w:highlight w:val="none"/>
              </w:rPr>
            </w:pPr>
          </w:p>
        </w:tc>
        <w:tc>
          <w:tcPr>
            <w:tcW w:w="5112" w:type="dxa"/>
            <w:tcBorders>
              <w:top w:val="single" w:color="auto" w:sz="4" w:space="0"/>
              <w:left w:val="single" w:color="auto" w:sz="4" w:space="0"/>
              <w:bottom w:val="single" w:color="auto" w:sz="4" w:space="0"/>
              <w:right w:val="single" w:color="auto" w:sz="4" w:space="0"/>
            </w:tcBorders>
            <w:noWrap w:val="0"/>
            <w:vAlign w:val="center"/>
          </w:tcPr>
          <w:p w14:paraId="3F100E3A">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发生有责投诉事件</w:t>
            </w:r>
          </w:p>
        </w:tc>
        <w:tc>
          <w:tcPr>
            <w:tcW w:w="3748" w:type="dxa"/>
            <w:vMerge w:val="continue"/>
            <w:tcBorders>
              <w:top w:val="single" w:color="auto" w:sz="4" w:space="0"/>
              <w:left w:val="single" w:color="auto" w:sz="4" w:space="0"/>
              <w:bottom w:val="single" w:color="auto" w:sz="4" w:space="0"/>
              <w:right w:val="single" w:color="auto" w:sz="4" w:space="0"/>
            </w:tcBorders>
            <w:noWrap w:val="0"/>
            <w:vAlign w:val="center"/>
          </w:tcPr>
          <w:p w14:paraId="477C6133">
            <w:pPr>
              <w:spacing w:line="240" w:lineRule="auto"/>
              <w:jc w:val="left"/>
              <w:rPr>
                <w:rFonts w:hint="eastAsia" w:ascii="宋体" w:hAnsi="宋体" w:eastAsia="宋体" w:cs="宋体"/>
                <w:color w:val="auto"/>
                <w:sz w:val="18"/>
                <w:szCs w:val="18"/>
                <w:highlight w:val="none"/>
              </w:rPr>
            </w:pPr>
          </w:p>
        </w:tc>
        <w:tc>
          <w:tcPr>
            <w:tcW w:w="2374" w:type="dxa"/>
            <w:tcBorders>
              <w:top w:val="single" w:color="auto" w:sz="4" w:space="0"/>
              <w:left w:val="single" w:color="auto" w:sz="4" w:space="0"/>
              <w:bottom w:val="single" w:color="auto" w:sz="4" w:space="0"/>
              <w:right w:val="single" w:color="auto" w:sz="4" w:space="0"/>
            </w:tcBorders>
            <w:noWrap w:val="0"/>
            <w:vAlign w:val="top"/>
          </w:tcPr>
          <w:p w14:paraId="0938E88E">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13F39DEF">
            <w:pPr>
              <w:spacing w:line="240" w:lineRule="auto"/>
              <w:jc w:val="left"/>
              <w:rPr>
                <w:rFonts w:hint="eastAsia" w:ascii="宋体" w:hAnsi="宋体" w:eastAsia="宋体" w:cs="宋体"/>
                <w:color w:val="auto"/>
                <w:sz w:val="18"/>
                <w:szCs w:val="18"/>
                <w:highlight w:val="none"/>
              </w:rPr>
            </w:pPr>
          </w:p>
        </w:tc>
      </w:tr>
      <w:tr w14:paraId="75AB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14:paraId="6D0F78B9">
            <w:pPr>
              <w:spacing w:line="240" w:lineRule="auto"/>
              <w:jc w:val="center"/>
              <w:rPr>
                <w:rFonts w:hint="eastAsia" w:ascii="宋体" w:hAnsi="宋体" w:eastAsia="宋体" w:cs="宋体"/>
                <w:color w:val="auto"/>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6EFC2381">
            <w:pPr>
              <w:spacing w:line="240" w:lineRule="auto"/>
              <w:jc w:val="center"/>
              <w:rPr>
                <w:rFonts w:hint="eastAsia" w:ascii="宋体" w:hAnsi="宋体" w:eastAsia="宋体" w:cs="宋体"/>
                <w:color w:val="auto"/>
                <w:sz w:val="18"/>
                <w:szCs w:val="18"/>
                <w:highlight w:val="none"/>
              </w:rPr>
            </w:pPr>
          </w:p>
        </w:tc>
        <w:tc>
          <w:tcPr>
            <w:tcW w:w="5112" w:type="dxa"/>
            <w:tcBorders>
              <w:top w:val="single" w:color="auto" w:sz="4" w:space="0"/>
              <w:left w:val="single" w:color="auto" w:sz="4" w:space="0"/>
              <w:bottom w:val="single" w:color="auto" w:sz="4" w:space="0"/>
              <w:right w:val="single" w:color="auto" w:sz="4" w:space="0"/>
            </w:tcBorders>
            <w:noWrap w:val="0"/>
            <w:vAlign w:val="center"/>
          </w:tcPr>
          <w:p w14:paraId="7523A453">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因管理不当被行业主管理部门或集团公司通报批评。</w:t>
            </w:r>
          </w:p>
        </w:tc>
        <w:tc>
          <w:tcPr>
            <w:tcW w:w="3748" w:type="dxa"/>
            <w:vMerge w:val="continue"/>
            <w:tcBorders>
              <w:top w:val="single" w:color="auto" w:sz="4" w:space="0"/>
              <w:left w:val="single" w:color="auto" w:sz="4" w:space="0"/>
              <w:bottom w:val="single" w:color="auto" w:sz="4" w:space="0"/>
              <w:right w:val="single" w:color="auto" w:sz="4" w:space="0"/>
            </w:tcBorders>
            <w:noWrap w:val="0"/>
            <w:vAlign w:val="center"/>
          </w:tcPr>
          <w:p w14:paraId="26D43480">
            <w:pPr>
              <w:spacing w:line="240" w:lineRule="auto"/>
              <w:jc w:val="left"/>
              <w:rPr>
                <w:rFonts w:hint="eastAsia" w:ascii="宋体" w:hAnsi="宋体" w:eastAsia="宋体" w:cs="宋体"/>
                <w:color w:val="auto"/>
                <w:sz w:val="18"/>
                <w:szCs w:val="18"/>
                <w:highlight w:val="none"/>
              </w:rPr>
            </w:pPr>
          </w:p>
        </w:tc>
        <w:tc>
          <w:tcPr>
            <w:tcW w:w="2374" w:type="dxa"/>
            <w:tcBorders>
              <w:top w:val="single" w:color="auto" w:sz="4" w:space="0"/>
              <w:left w:val="single" w:color="auto" w:sz="4" w:space="0"/>
              <w:bottom w:val="single" w:color="auto" w:sz="4" w:space="0"/>
              <w:right w:val="single" w:color="auto" w:sz="4" w:space="0"/>
            </w:tcBorders>
            <w:noWrap w:val="0"/>
            <w:vAlign w:val="top"/>
          </w:tcPr>
          <w:p w14:paraId="4F61B60F">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CD35438">
            <w:pPr>
              <w:spacing w:line="240" w:lineRule="auto"/>
              <w:jc w:val="left"/>
              <w:rPr>
                <w:rFonts w:hint="eastAsia" w:ascii="宋体" w:hAnsi="宋体" w:eastAsia="宋体" w:cs="宋体"/>
                <w:color w:val="auto"/>
                <w:sz w:val="18"/>
                <w:szCs w:val="18"/>
                <w:highlight w:val="none"/>
              </w:rPr>
            </w:pPr>
          </w:p>
        </w:tc>
      </w:tr>
      <w:tr w14:paraId="53B0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14:paraId="0A9EE909">
            <w:pPr>
              <w:spacing w:line="240" w:lineRule="auto"/>
              <w:jc w:val="center"/>
              <w:rPr>
                <w:rFonts w:hint="eastAsia" w:ascii="宋体" w:hAnsi="宋体" w:eastAsia="宋体" w:cs="宋体"/>
                <w:color w:val="auto"/>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64A4A3F6">
            <w:pPr>
              <w:spacing w:line="240" w:lineRule="auto"/>
              <w:jc w:val="center"/>
              <w:rPr>
                <w:rFonts w:hint="eastAsia" w:ascii="宋体" w:hAnsi="宋体" w:eastAsia="宋体" w:cs="宋体"/>
                <w:color w:val="auto"/>
                <w:sz w:val="18"/>
                <w:szCs w:val="18"/>
                <w:highlight w:val="none"/>
              </w:rPr>
            </w:pPr>
          </w:p>
        </w:tc>
        <w:tc>
          <w:tcPr>
            <w:tcW w:w="5112" w:type="dxa"/>
            <w:tcBorders>
              <w:top w:val="single" w:color="auto" w:sz="4" w:space="0"/>
              <w:left w:val="single" w:color="auto" w:sz="4" w:space="0"/>
              <w:bottom w:val="single" w:color="auto" w:sz="4" w:space="0"/>
              <w:right w:val="single" w:color="auto" w:sz="4" w:space="0"/>
            </w:tcBorders>
            <w:noWrap w:val="0"/>
            <w:vAlign w:val="center"/>
          </w:tcPr>
          <w:p w14:paraId="5A0488D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对</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交办的其他临时性工作完成较差。</w:t>
            </w:r>
          </w:p>
        </w:tc>
        <w:tc>
          <w:tcPr>
            <w:tcW w:w="3748" w:type="dxa"/>
            <w:vMerge w:val="continue"/>
            <w:tcBorders>
              <w:top w:val="single" w:color="auto" w:sz="4" w:space="0"/>
              <w:left w:val="single" w:color="auto" w:sz="4" w:space="0"/>
              <w:bottom w:val="single" w:color="auto" w:sz="4" w:space="0"/>
              <w:right w:val="single" w:color="auto" w:sz="4" w:space="0"/>
            </w:tcBorders>
            <w:noWrap w:val="0"/>
            <w:vAlign w:val="center"/>
          </w:tcPr>
          <w:p w14:paraId="7F74E6A3">
            <w:pPr>
              <w:spacing w:line="240" w:lineRule="auto"/>
              <w:jc w:val="left"/>
              <w:rPr>
                <w:rFonts w:hint="eastAsia" w:ascii="宋体" w:hAnsi="宋体" w:eastAsia="宋体" w:cs="宋体"/>
                <w:color w:val="auto"/>
                <w:sz w:val="18"/>
                <w:szCs w:val="18"/>
                <w:highlight w:val="none"/>
              </w:rPr>
            </w:pPr>
          </w:p>
        </w:tc>
        <w:tc>
          <w:tcPr>
            <w:tcW w:w="2374" w:type="dxa"/>
            <w:tcBorders>
              <w:top w:val="single" w:color="auto" w:sz="4" w:space="0"/>
              <w:left w:val="single" w:color="auto" w:sz="4" w:space="0"/>
              <w:bottom w:val="single" w:color="auto" w:sz="4" w:space="0"/>
              <w:right w:val="single" w:color="auto" w:sz="4" w:space="0"/>
            </w:tcBorders>
            <w:noWrap w:val="0"/>
            <w:vAlign w:val="top"/>
          </w:tcPr>
          <w:p w14:paraId="36919A05">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25869B3">
            <w:pPr>
              <w:spacing w:line="240" w:lineRule="auto"/>
              <w:jc w:val="left"/>
              <w:rPr>
                <w:rFonts w:hint="eastAsia" w:ascii="宋体" w:hAnsi="宋体" w:eastAsia="宋体" w:cs="宋体"/>
                <w:color w:val="auto"/>
                <w:sz w:val="18"/>
                <w:szCs w:val="18"/>
                <w:highlight w:val="none"/>
              </w:rPr>
            </w:pPr>
          </w:p>
        </w:tc>
      </w:tr>
      <w:tr w14:paraId="6F25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14:paraId="49F4D558">
            <w:pPr>
              <w:spacing w:line="240" w:lineRule="auto"/>
              <w:jc w:val="center"/>
              <w:rPr>
                <w:rFonts w:hint="eastAsia" w:ascii="宋体" w:hAnsi="宋体" w:eastAsia="宋体" w:cs="宋体"/>
                <w:color w:val="auto"/>
                <w:sz w:val="18"/>
                <w:szCs w:val="18"/>
                <w:highlight w:val="none"/>
              </w:rPr>
            </w:pPr>
          </w:p>
        </w:tc>
        <w:tc>
          <w:tcPr>
            <w:tcW w:w="816" w:type="dxa"/>
            <w:vMerge w:val="restart"/>
            <w:tcBorders>
              <w:top w:val="single" w:color="auto" w:sz="4" w:space="0"/>
              <w:left w:val="single" w:color="auto" w:sz="4" w:space="0"/>
              <w:bottom w:val="single" w:color="auto" w:sz="4" w:space="0"/>
              <w:right w:val="single" w:color="auto" w:sz="4" w:space="0"/>
            </w:tcBorders>
            <w:noWrap w:val="0"/>
            <w:vAlign w:val="top"/>
          </w:tcPr>
          <w:p w14:paraId="271F4CF2">
            <w:pPr>
              <w:spacing w:line="240" w:lineRule="auto"/>
              <w:jc w:val="center"/>
              <w:rPr>
                <w:rFonts w:hint="eastAsia" w:ascii="宋体" w:hAnsi="宋体" w:eastAsia="宋体" w:cs="宋体"/>
                <w:color w:val="auto"/>
                <w:sz w:val="18"/>
                <w:szCs w:val="18"/>
                <w:highlight w:val="none"/>
              </w:rPr>
            </w:pPr>
          </w:p>
          <w:p w14:paraId="4276DC3C">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加</w:t>
            </w:r>
          </w:p>
          <w:p w14:paraId="67650325">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w:t>
            </w:r>
          </w:p>
          <w:p w14:paraId="2E5EA631">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w:t>
            </w:r>
          </w:p>
        </w:tc>
        <w:tc>
          <w:tcPr>
            <w:tcW w:w="5112" w:type="dxa"/>
            <w:tcBorders>
              <w:top w:val="single" w:color="auto" w:sz="4" w:space="0"/>
              <w:left w:val="single" w:color="auto" w:sz="4" w:space="0"/>
              <w:bottom w:val="single" w:color="auto" w:sz="4" w:space="0"/>
              <w:right w:val="single" w:color="auto" w:sz="4" w:space="0"/>
            </w:tcBorders>
            <w:noWrap w:val="0"/>
            <w:vAlign w:val="center"/>
          </w:tcPr>
          <w:p w14:paraId="60728E1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见义勇为、拾金不昧、好人好事被司乘人员或上级部门表扬和新闻媒体报道的。</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71148EC5">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视情况给予2-20分加分</w:t>
            </w:r>
          </w:p>
        </w:tc>
        <w:tc>
          <w:tcPr>
            <w:tcW w:w="2374" w:type="dxa"/>
            <w:tcBorders>
              <w:top w:val="single" w:color="auto" w:sz="4" w:space="0"/>
              <w:left w:val="single" w:color="auto" w:sz="4" w:space="0"/>
              <w:bottom w:val="single" w:color="auto" w:sz="4" w:space="0"/>
              <w:right w:val="single" w:color="auto" w:sz="4" w:space="0"/>
            </w:tcBorders>
            <w:noWrap w:val="0"/>
            <w:vAlign w:val="top"/>
          </w:tcPr>
          <w:p w14:paraId="2B642EE3">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EF3E6BC">
            <w:pPr>
              <w:spacing w:line="240" w:lineRule="auto"/>
              <w:jc w:val="left"/>
              <w:rPr>
                <w:rFonts w:hint="eastAsia" w:ascii="宋体" w:hAnsi="宋体" w:eastAsia="宋体" w:cs="宋体"/>
                <w:color w:val="auto"/>
                <w:sz w:val="18"/>
                <w:szCs w:val="18"/>
                <w:highlight w:val="none"/>
              </w:rPr>
            </w:pPr>
          </w:p>
        </w:tc>
      </w:tr>
      <w:tr w14:paraId="67C5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14:paraId="232CA9A1">
            <w:pPr>
              <w:spacing w:line="240" w:lineRule="auto"/>
              <w:jc w:val="left"/>
              <w:rPr>
                <w:rFonts w:hint="eastAsia" w:ascii="宋体" w:hAnsi="宋体" w:eastAsia="宋体" w:cs="宋体"/>
                <w:color w:val="auto"/>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4D08E888">
            <w:pPr>
              <w:spacing w:line="240" w:lineRule="auto"/>
              <w:jc w:val="left"/>
              <w:rPr>
                <w:rFonts w:hint="eastAsia" w:ascii="宋体" w:hAnsi="宋体" w:eastAsia="宋体" w:cs="宋体"/>
                <w:color w:val="auto"/>
                <w:sz w:val="18"/>
                <w:szCs w:val="18"/>
                <w:highlight w:val="none"/>
              </w:rPr>
            </w:pPr>
          </w:p>
        </w:tc>
        <w:tc>
          <w:tcPr>
            <w:tcW w:w="5112" w:type="dxa"/>
            <w:tcBorders>
              <w:top w:val="single" w:color="auto" w:sz="4" w:space="0"/>
              <w:left w:val="single" w:color="auto" w:sz="4" w:space="0"/>
              <w:bottom w:val="single" w:color="auto" w:sz="4" w:space="0"/>
              <w:right w:val="single" w:color="auto" w:sz="4" w:space="0"/>
            </w:tcBorders>
            <w:noWrap w:val="0"/>
            <w:vAlign w:val="center"/>
          </w:tcPr>
          <w:p w14:paraId="327AC20A">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因管理优秀被上级部门表彰</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232642D8">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加2-15分</w:t>
            </w:r>
          </w:p>
        </w:tc>
        <w:tc>
          <w:tcPr>
            <w:tcW w:w="2374" w:type="dxa"/>
            <w:tcBorders>
              <w:top w:val="single" w:color="auto" w:sz="4" w:space="0"/>
              <w:left w:val="single" w:color="auto" w:sz="4" w:space="0"/>
              <w:bottom w:val="single" w:color="auto" w:sz="4" w:space="0"/>
              <w:right w:val="single" w:color="auto" w:sz="4" w:space="0"/>
            </w:tcBorders>
            <w:noWrap w:val="0"/>
            <w:vAlign w:val="top"/>
          </w:tcPr>
          <w:p w14:paraId="4F5B2EE6">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85BA272">
            <w:pPr>
              <w:spacing w:line="240" w:lineRule="auto"/>
              <w:jc w:val="left"/>
              <w:rPr>
                <w:rFonts w:hint="eastAsia" w:ascii="宋体" w:hAnsi="宋体" w:eastAsia="宋体" w:cs="宋体"/>
                <w:color w:val="auto"/>
                <w:sz w:val="18"/>
                <w:szCs w:val="18"/>
                <w:highlight w:val="none"/>
              </w:rPr>
            </w:pPr>
          </w:p>
        </w:tc>
      </w:tr>
      <w:tr w14:paraId="14EC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top"/>
          </w:tcPr>
          <w:p w14:paraId="1F40392C">
            <w:pPr>
              <w:spacing w:line="240" w:lineRule="auto"/>
              <w:jc w:val="left"/>
              <w:rPr>
                <w:rFonts w:hint="eastAsia" w:ascii="宋体" w:hAnsi="宋体" w:eastAsia="宋体" w:cs="宋体"/>
                <w:color w:val="auto"/>
                <w:sz w:val="18"/>
                <w:szCs w:val="18"/>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49744F0B">
            <w:pPr>
              <w:spacing w:line="240" w:lineRule="auto"/>
              <w:jc w:val="left"/>
              <w:rPr>
                <w:rFonts w:hint="eastAsia" w:ascii="宋体" w:hAnsi="宋体" w:eastAsia="宋体" w:cs="宋体"/>
                <w:color w:val="auto"/>
                <w:sz w:val="18"/>
                <w:szCs w:val="18"/>
                <w:highlight w:val="none"/>
              </w:rPr>
            </w:pPr>
          </w:p>
        </w:tc>
        <w:tc>
          <w:tcPr>
            <w:tcW w:w="5112" w:type="dxa"/>
            <w:tcBorders>
              <w:top w:val="single" w:color="auto" w:sz="4" w:space="0"/>
              <w:left w:val="single" w:color="auto" w:sz="4" w:space="0"/>
              <w:bottom w:val="single" w:color="auto" w:sz="4" w:space="0"/>
              <w:right w:val="single" w:color="auto" w:sz="4" w:space="0"/>
            </w:tcBorders>
            <w:noWrap w:val="0"/>
            <w:vAlign w:val="center"/>
          </w:tcPr>
          <w:p w14:paraId="1E28D8D7">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物业项目被评为市级以上优秀称号</w:t>
            </w:r>
          </w:p>
        </w:tc>
        <w:tc>
          <w:tcPr>
            <w:tcW w:w="3748" w:type="dxa"/>
            <w:tcBorders>
              <w:top w:val="single" w:color="auto" w:sz="4" w:space="0"/>
              <w:left w:val="single" w:color="auto" w:sz="4" w:space="0"/>
              <w:bottom w:val="single" w:color="auto" w:sz="4" w:space="0"/>
              <w:right w:val="single" w:color="auto" w:sz="4" w:space="0"/>
            </w:tcBorders>
            <w:noWrap w:val="0"/>
            <w:vAlign w:val="center"/>
          </w:tcPr>
          <w:p w14:paraId="7650F6BB">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加20分</w:t>
            </w:r>
          </w:p>
        </w:tc>
        <w:tc>
          <w:tcPr>
            <w:tcW w:w="2374" w:type="dxa"/>
            <w:tcBorders>
              <w:top w:val="single" w:color="auto" w:sz="4" w:space="0"/>
              <w:left w:val="single" w:color="auto" w:sz="4" w:space="0"/>
              <w:bottom w:val="single" w:color="auto" w:sz="4" w:space="0"/>
              <w:right w:val="single" w:color="auto" w:sz="4" w:space="0"/>
            </w:tcBorders>
            <w:noWrap w:val="0"/>
            <w:vAlign w:val="top"/>
          </w:tcPr>
          <w:p w14:paraId="3EB2AEA9">
            <w:pPr>
              <w:spacing w:line="240" w:lineRule="auto"/>
              <w:jc w:val="left"/>
              <w:rPr>
                <w:rFonts w:hint="eastAsia" w:ascii="宋体" w:hAnsi="宋体" w:eastAsia="宋体" w:cs="宋体"/>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3A659F3">
            <w:pPr>
              <w:spacing w:line="240" w:lineRule="auto"/>
              <w:jc w:val="left"/>
              <w:rPr>
                <w:rFonts w:hint="eastAsia" w:ascii="宋体" w:hAnsi="宋体" w:eastAsia="宋体" w:cs="宋体"/>
                <w:color w:val="auto"/>
                <w:sz w:val="18"/>
                <w:szCs w:val="18"/>
                <w:highlight w:val="none"/>
              </w:rPr>
            </w:pPr>
          </w:p>
        </w:tc>
      </w:tr>
    </w:tbl>
    <w:p w14:paraId="407B53D2">
      <w:pPr>
        <w:pStyle w:val="12"/>
        <w:rPr>
          <w:rFonts w:hint="eastAsia" w:ascii="宋体" w:hAnsi="宋体" w:eastAsia="宋体" w:cs="宋体"/>
          <w:highlight w:val="none"/>
        </w:rPr>
      </w:pPr>
    </w:p>
    <w:p w14:paraId="2F45771F">
      <w:pPr>
        <w:rPr>
          <w:rFonts w:hint="eastAsia" w:ascii="宋体" w:hAnsi="宋体" w:eastAsia="宋体" w:cs="宋体"/>
          <w:highlight w:val="none"/>
        </w:rPr>
        <w:sectPr>
          <w:headerReference r:id="rId4" w:type="default"/>
          <w:footerReference r:id="rId5" w:type="default"/>
          <w:pgSz w:w="16838" w:h="11906" w:orient="landscape"/>
          <w:pgMar w:top="1474" w:right="1474" w:bottom="1474" w:left="1417" w:header="737" w:footer="737" w:gutter="0"/>
          <w:cols w:space="720" w:num="1"/>
          <w:docGrid w:linePitch="312" w:charSpace="0"/>
        </w:sectPr>
      </w:pPr>
      <w:r>
        <w:rPr>
          <w:rFonts w:hint="eastAsia" w:ascii="宋体" w:hAnsi="宋体" w:eastAsia="宋体" w:cs="宋体"/>
          <w:highlight w:val="none"/>
        </w:rPr>
        <w:br w:type="page"/>
      </w:r>
    </w:p>
    <w:p w14:paraId="74CCCEFF">
      <w:pPr>
        <w:pStyle w:val="1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附件六</w:t>
      </w:r>
    </w:p>
    <w:p w14:paraId="0C6730DE">
      <w:pPr>
        <w:bidi w:val="0"/>
        <w:jc w:val="center"/>
        <w:rPr>
          <w:rFonts w:hint="eastAsia" w:ascii="宋体" w:hAnsi="宋体" w:eastAsia="宋体" w:cs="宋体"/>
          <w:sz w:val="28"/>
          <w:szCs w:val="28"/>
        </w:rPr>
      </w:pPr>
      <w:r>
        <w:rPr>
          <w:rFonts w:hint="eastAsia" w:ascii="宋体" w:hAnsi="宋体" w:eastAsia="宋体" w:cs="宋体"/>
          <w:sz w:val="28"/>
          <w:szCs w:val="28"/>
          <w:lang w:eastAsia="zh-CN"/>
        </w:rPr>
        <w:t>“瓯江红·畅美高速”党群服务中心物业服务</w:t>
      </w:r>
      <w:r>
        <w:rPr>
          <w:rFonts w:hint="eastAsia" w:ascii="宋体" w:hAnsi="宋体" w:eastAsia="宋体" w:cs="宋体"/>
          <w:sz w:val="28"/>
          <w:szCs w:val="28"/>
        </w:rPr>
        <w:t>考核评分表</w:t>
      </w:r>
    </w:p>
    <w:tbl>
      <w:tblPr>
        <w:tblStyle w:val="25"/>
        <w:tblW w:w="14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04"/>
        <w:gridCol w:w="6239"/>
        <w:gridCol w:w="4407"/>
        <w:gridCol w:w="1232"/>
        <w:gridCol w:w="1025"/>
      </w:tblGrid>
      <w:tr w14:paraId="37AE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4" w:type="dxa"/>
            <w:gridSpan w:val="2"/>
            <w:tcBorders>
              <w:top w:val="single" w:color="auto" w:sz="4" w:space="0"/>
              <w:left w:val="single" w:color="auto" w:sz="4" w:space="0"/>
              <w:bottom w:val="single" w:color="auto" w:sz="4" w:space="0"/>
              <w:right w:val="single" w:color="auto" w:sz="4" w:space="0"/>
            </w:tcBorders>
            <w:noWrap w:val="0"/>
            <w:vAlign w:val="center"/>
          </w:tcPr>
          <w:p w14:paraId="41EFF564">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项目</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7AE754B8">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考核标准</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6282A739">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考核办法</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267971E8">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扣分事项</w:t>
            </w:r>
          </w:p>
        </w:tc>
        <w:tc>
          <w:tcPr>
            <w:tcW w:w="1025" w:type="dxa"/>
            <w:tcBorders>
              <w:top w:val="single" w:color="auto" w:sz="4" w:space="0"/>
              <w:left w:val="single" w:color="auto" w:sz="4" w:space="0"/>
              <w:bottom w:val="single" w:color="auto" w:sz="4" w:space="0"/>
              <w:right w:val="single" w:color="auto" w:sz="4" w:space="0"/>
            </w:tcBorders>
            <w:noWrap w:val="0"/>
            <w:vAlign w:val="top"/>
          </w:tcPr>
          <w:p w14:paraId="2C497E8C">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得分</w:t>
            </w:r>
          </w:p>
        </w:tc>
      </w:tr>
      <w:tr w14:paraId="2F56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restart"/>
            <w:tcBorders>
              <w:top w:val="single" w:color="auto" w:sz="4" w:space="0"/>
              <w:left w:val="single" w:color="auto" w:sz="4" w:space="0"/>
              <w:right w:val="single" w:color="auto" w:sz="4" w:space="0"/>
            </w:tcBorders>
            <w:noWrap w:val="0"/>
            <w:vAlign w:val="center"/>
          </w:tcPr>
          <w:p w14:paraId="236E8E2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总</w:t>
            </w:r>
          </w:p>
          <w:p w14:paraId="55B5E82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体</w:t>
            </w:r>
          </w:p>
          <w:p w14:paraId="264EA96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要</w:t>
            </w:r>
          </w:p>
          <w:p w14:paraId="4B56C151">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求</w:t>
            </w:r>
          </w:p>
          <w:p w14:paraId="6C381E8E">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（50分）</w:t>
            </w: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14:paraId="3C5BBA7F">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规</w:t>
            </w:r>
          </w:p>
          <w:p w14:paraId="54D0474A">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章</w:t>
            </w:r>
          </w:p>
          <w:p w14:paraId="70943B68">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制</w:t>
            </w:r>
          </w:p>
          <w:p w14:paraId="281C8DE2">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度</w:t>
            </w:r>
          </w:p>
          <w:p w14:paraId="6A8758E4">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21DED215">
            <w:pPr>
              <w:spacing w:line="240" w:lineRule="auto"/>
              <w:jc w:val="left"/>
              <w:rPr>
                <w:rFonts w:hint="eastAsia" w:ascii="宋体" w:hAnsi="宋体" w:eastAsia="宋体" w:cs="宋体"/>
                <w:bCs/>
                <w:color w:val="auto"/>
                <w:sz w:val="18"/>
                <w:szCs w:val="18"/>
              </w:rPr>
            </w:pPr>
            <w:r>
              <w:rPr>
                <w:rFonts w:hint="eastAsia" w:ascii="宋体" w:hAnsi="宋体" w:eastAsia="宋体" w:cs="宋体"/>
                <w:color w:val="auto"/>
                <w:sz w:val="18"/>
                <w:szCs w:val="18"/>
              </w:rPr>
              <w:t>1、健全内部各项规章制度及应急预案</w:t>
            </w:r>
            <w:r>
              <w:rPr>
                <w:rFonts w:hint="eastAsia" w:ascii="宋体" w:hAnsi="宋体" w:eastAsia="宋体" w:cs="宋体"/>
                <w:bCs/>
                <w:color w:val="auto"/>
                <w:sz w:val="18"/>
                <w:szCs w:val="18"/>
              </w:rPr>
              <w:t>；</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0ED73D0D">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未建立扣5分，不健全扣2扣</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5B46736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0D2AF9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4829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14:paraId="2BA7CE2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57261AC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1EAAAE78">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2、熟悉</w:t>
            </w:r>
            <w:r>
              <w:rPr>
                <w:rFonts w:hint="eastAsia" w:ascii="宋体" w:hAnsi="宋体" w:eastAsia="宋体" w:cs="宋体"/>
                <w:color w:val="auto"/>
                <w:sz w:val="18"/>
                <w:szCs w:val="18"/>
                <w:lang w:val="en-US" w:eastAsia="zh-CN"/>
              </w:rPr>
              <w:t>党群服务中心和服务区</w:t>
            </w:r>
            <w:r>
              <w:rPr>
                <w:rFonts w:hint="eastAsia" w:ascii="宋体" w:hAnsi="宋体" w:eastAsia="宋体" w:cs="宋体"/>
                <w:color w:val="auto"/>
                <w:sz w:val="18"/>
                <w:szCs w:val="18"/>
              </w:rPr>
              <w:t>各项管理制度及应急预案，并有效组织实施；</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0A58BABF">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不熟悉扣1分，不能有效组织实施扣2分；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5269B72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B66FB9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3799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14:paraId="0500495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370F5F2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49F5592A">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3、建立内部岗位绩效考核办法；</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3FECAE39">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未建立绩效考核办法扣2分，未落实考核奖罚办法执行扣5分；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694C1557">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C73EC6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7F41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14:paraId="7FE729A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14:paraId="7565B7A7">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人</w:t>
            </w:r>
          </w:p>
          <w:p w14:paraId="36167241">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员</w:t>
            </w:r>
          </w:p>
          <w:p w14:paraId="79682F17">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配</w:t>
            </w:r>
          </w:p>
          <w:p w14:paraId="19D90FE6">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备</w:t>
            </w:r>
          </w:p>
          <w:p w14:paraId="763BDC0C">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7766BB5D">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1、人员编制符合要求；</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02063BA0">
            <w:pPr>
              <w:spacing w:line="240" w:lineRule="auto"/>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rPr>
              <w:t>达不到要求，缺少1人扣</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val="en-US" w:eastAsia="zh-CN"/>
              </w:rPr>
              <w:t>连续15天未整改，考核分扣10分，连续30天未整改，考核做0分处理。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4390149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90A199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16A0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14:paraId="3722565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5C57C69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406C7A18">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2、人员招聘符合业主要求</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队伍保持稳定；影响</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sz w:val="18"/>
                <w:szCs w:val="18"/>
              </w:rPr>
              <w:t>正常运转扣5分，</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13CA35EF">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不符合要求的每人扣</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485890D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48DE54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24EE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14:paraId="2C1A37E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7AB18BE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76FC30E6">
            <w:pPr>
              <w:spacing w:line="240" w:lineRule="auto"/>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、人员无犯罪证明，人员花名册每月更新</w:t>
            </w:r>
            <w:r>
              <w:rPr>
                <w:rFonts w:hint="eastAsia" w:ascii="宋体" w:hAnsi="宋体" w:eastAsia="宋体" w:cs="宋体"/>
                <w:color w:val="auto"/>
                <w:sz w:val="18"/>
                <w:szCs w:val="18"/>
                <w:lang w:val="en-US" w:eastAsia="zh-CN"/>
              </w:rPr>
              <w:t>.</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53F4C05D">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未建立人员信息管理台帐的扣2分；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7CC8BC8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9523C0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2395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center"/>
          </w:tcPr>
          <w:p w14:paraId="44D0BD5A">
            <w:pPr>
              <w:spacing w:line="240" w:lineRule="auto"/>
              <w:jc w:val="center"/>
              <w:rPr>
                <w:rFonts w:hint="eastAsia" w:ascii="宋体" w:hAnsi="宋体" w:eastAsia="宋体" w:cs="宋体"/>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14:paraId="7A39E3D7">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教</w:t>
            </w:r>
          </w:p>
          <w:p w14:paraId="7A0537F3">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育</w:t>
            </w:r>
          </w:p>
          <w:p w14:paraId="754B5A28">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培</w:t>
            </w:r>
          </w:p>
          <w:p w14:paraId="466FDB73">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训</w:t>
            </w:r>
          </w:p>
          <w:p w14:paraId="1C4498B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（10分）</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8FC5EB8">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1、制订内部教育培训计划，并按规定执行。</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35C33A7D">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无培训计划扣2分，未按计划组织培训1次扣1分；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40DE7D3E">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38847AA">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r>
      <w:tr w14:paraId="438A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center"/>
          </w:tcPr>
          <w:p w14:paraId="0568F6BD">
            <w:pPr>
              <w:tabs>
                <w:tab w:val="left" w:pos="540"/>
                <w:tab w:val="left" w:pos="720"/>
              </w:tabs>
              <w:adjustRightInd w:val="0"/>
              <w:snapToGrid w:val="0"/>
              <w:spacing w:line="240" w:lineRule="auto"/>
              <w:ind w:left="410" w:hanging="307" w:hangingChars="170"/>
              <w:rPr>
                <w:rFonts w:hint="eastAsia" w:ascii="宋体" w:hAnsi="宋体" w:eastAsia="宋体" w:cs="宋体"/>
                <w:b/>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14:paraId="5EB44CEE">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top"/>
          </w:tcPr>
          <w:p w14:paraId="064D20AD">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2、组织员工开展安全培训，形成岗前安全教育培训台帐；</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461DCA81">
            <w:pPr>
              <w:spacing w:line="240" w:lineRule="auto"/>
              <w:ind w:left="357" w:hanging="306" w:hangingChars="170"/>
              <w:jc w:val="left"/>
              <w:rPr>
                <w:rFonts w:hint="eastAsia" w:ascii="宋体" w:hAnsi="宋体" w:eastAsia="宋体" w:cs="宋体"/>
                <w:color w:val="auto"/>
                <w:sz w:val="18"/>
                <w:szCs w:val="18"/>
              </w:rPr>
            </w:pPr>
            <w:r>
              <w:rPr>
                <w:rFonts w:hint="eastAsia" w:ascii="宋体" w:hAnsi="宋体" w:eastAsia="宋体" w:cs="宋体"/>
                <w:color w:val="auto"/>
                <w:sz w:val="18"/>
                <w:szCs w:val="18"/>
              </w:rPr>
              <w:t>未能做到扣2分；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5A77D03B">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7787F5E">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r>
      <w:tr w14:paraId="072B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center"/>
          </w:tcPr>
          <w:p w14:paraId="58270B5A">
            <w:pPr>
              <w:tabs>
                <w:tab w:val="left" w:pos="540"/>
                <w:tab w:val="left" w:pos="720"/>
              </w:tabs>
              <w:adjustRightInd w:val="0"/>
              <w:snapToGrid w:val="0"/>
              <w:spacing w:line="240" w:lineRule="auto"/>
              <w:ind w:left="410" w:hanging="307" w:hangingChars="170"/>
              <w:rPr>
                <w:rFonts w:hint="eastAsia" w:ascii="宋体" w:hAnsi="宋体" w:eastAsia="宋体" w:cs="宋体"/>
                <w:b/>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14:paraId="7F288266">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top"/>
          </w:tcPr>
          <w:p w14:paraId="66F9A6C9">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3、积极组织员工参加</w:t>
            </w:r>
            <w:r>
              <w:rPr>
                <w:rFonts w:hint="eastAsia" w:ascii="宋体" w:hAnsi="宋体" w:eastAsia="宋体" w:cs="宋体"/>
                <w:color w:val="auto"/>
                <w:sz w:val="18"/>
                <w:szCs w:val="18"/>
                <w:lang w:eastAsia="zh-CN"/>
              </w:rPr>
              <w:t>服务区</w:t>
            </w:r>
            <w:r>
              <w:rPr>
                <w:rFonts w:hint="eastAsia" w:ascii="宋体" w:hAnsi="宋体" w:eastAsia="宋体" w:cs="宋体"/>
                <w:color w:val="auto"/>
                <w:sz w:val="18"/>
                <w:szCs w:val="18"/>
              </w:rPr>
              <w:t>组织各项教育培训活动；</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48E562BF">
            <w:pPr>
              <w:spacing w:line="240" w:lineRule="auto"/>
              <w:ind w:left="357" w:hanging="306" w:hangingChars="170"/>
              <w:jc w:val="left"/>
              <w:rPr>
                <w:rFonts w:hint="eastAsia" w:ascii="宋体" w:hAnsi="宋体" w:eastAsia="宋体" w:cs="宋体"/>
                <w:color w:val="auto"/>
                <w:sz w:val="18"/>
                <w:szCs w:val="18"/>
              </w:rPr>
            </w:pPr>
            <w:r>
              <w:rPr>
                <w:rFonts w:hint="eastAsia" w:ascii="宋体" w:hAnsi="宋体" w:eastAsia="宋体" w:cs="宋体"/>
                <w:color w:val="auto"/>
                <w:sz w:val="18"/>
                <w:szCs w:val="18"/>
              </w:rPr>
              <w:t>未能有效组织参加扣2分；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5D4F3593">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3D0C735">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r>
      <w:tr w14:paraId="15CC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center"/>
          </w:tcPr>
          <w:p w14:paraId="62BC1C47">
            <w:pPr>
              <w:tabs>
                <w:tab w:val="left" w:pos="540"/>
                <w:tab w:val="left" w:pos="720"/>
              </w:tabs>
              <w:adjustRightInd w:val="0"/>
              <w:snapToGrid w:val="0"/>
              <w:spacing w:line="240" w:lineRule="auto"/>
              <w:ind w:left="410" w:hanging="307" w:hangingChars="170"/>
              <w:rPr>
                <w:rFonts w:hint="eastAsia" w:ascii="宋体" w:hAnsi="宋体" w:eastAsia="宋体" w:cs="宋体"/>
                <w:b/>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14:paraId="5D06C89D">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top"/>
          </w:tcPr>
          <w:p w14:paraId="04C97239">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4、每年组织开展员工技能培训活动不少于4次；</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0D5F0B2C">
            <w:pPr>
              <w:spacing w:line="240" w:lineRule="auto"/>
              <w:ind w:left="357" w:hanging="306" w:hangingChars="170"/>
              <w:jc w:val="left"/>
              <w:rPr>
                <w:rFonts w:hint="eastAsia" w:ascii="宋体" w:hAnsi="宋体" w:eastAsia="宋体" w:cs="宋体"/>
                <w:color w:val="auto"/>
                <w:sz w:val="18"/>
                <w:szCs w:val="18"/>
              </w:rPr>
            </w:pPr>
            <w:r>
              <w:rPr>
                <w:rFonts w:hint="eastAsia" w:ascii="宋体" w:hAnsi="宋体" w:eastAsia="宋体" w:cs="宋体"/>
                <w:color w:val="auto"/>
                <w:sz w:val="18"/>
                <w:szCs w:val="18"/>
              </w:rPr>
              <w:t>未能有效组织实施一次扣2分；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37280401">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CE375CB">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r>
      <w:tr w14:paraId="0F93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center"/>
          </w:tcPr>
          <w:p w14:paraId="774DB12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14:paraId="41E2C9F3">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安</w:t>
            </w:r>
          </w:p>
          <w:p w14:paraId="26BD3C90">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全</w:t>
            </w:r>
          </w:p>
          <w:p w14:paraId="31894954">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生</w:t>
            </w:r>
          </w:p>
          <w:p w14:paraId="2E3D6FEF">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产</w:t>
            </w:r>
          </w:p>
          <w:p w14:paraId="07902C60">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（10分）</w:t>
            </w:r>
          </w:p>
          <w:p w14:paraId="622E5B42">
            <w:pPr>
              <w:spacing w:line="240" w:lineRule="auto"/>
              <w:jc w:val="left"/>
              <w:rPr>
                <w:rFonts w:hint="eastAsia" w:ascii="宋体" w:hAnsi="宋体" w:eastAsia="宋体" w:cs="宋体"/>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345D54C">
            <w:pPr>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、应急突发事件处置及时，响应迅速有效，措施到位。</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64842C11">
            <w:pPr>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处置不及时或处置方法不当，发现一次扣5分。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3FF4373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62E5D96">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4070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14:paraId="6CE1C87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5DEB638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2E9917EE">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2、定期开展安全检查工作，发现安全隐患，进行记录登记和上报，及落实整改及防范措施；</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2AE2EBD2">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未及时发现安全隐患扣5分/次，安全隐患整改落实不到位扣3分/次。</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6542582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D0284B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7732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14:paraId="030200C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75FB2FF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18E5FB9E">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3、现场安全措施落实到位，无“三违”现象。</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3AB82DF5">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违反一次扣5分/次。</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0D53808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55B8A97">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718C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bottom w:val="single" w:color="auto" w:sz="4" w:space="0"/>
              <w:right w:val="single" w:color="auto" w:sz="4" w:space="0"/>
            </w:tcBorders>
            <w:noWrap w:val="0"/>
            <w:vAlign w:val="top"/>
          </w:tcPr>
          <w:p w14:paraId="0439EA0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3C69F98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0ABBAD4">
            <w:pPr>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、不得出现责任性安全生产事故，因</w:t>
            </w:r>
            <w:r>
              <w:rPr>
                <w:rFonts w:hint="eastAsia" w:ascii="宋体" w:hAnsi="宋体" w:eastAsia="宋体" w:cs="宋体"/>
                <w:color w:val="auto"/>
                <w:sz w:val="18"/>
                <w:szCs w:val="18"/>
                <w:lang w:val="en-US" w:eastAsia="zh-CN"/>
              </w:rPr>
              <w:t>现场</w:t>
            </w:r>
            <w:r>
              <w:rPr>
                <w:rFonts w:hint="eastAsia" w:ascii="宋体" w:hAnsi="宋体" w:eastAsia="宋体" w:cs="宋体"/>
                <w:color w:val="auto"/>
                <w:sz w:val="18"/>
                <w:szCs w:val="18"/>
              </w:rPr>
              <w:t>管理不当造成安全生产事故。</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1B114B52">
            <w:pPr>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当月考核0分处理，并按合同约定，承担相应经济责任。</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5697FA5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EADE9D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2C3C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29FF36DE">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质</w:t>
            </w:r>
          </w:p>
          <w:p w14:paraId="103F8B7C">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量</w:t>
            </w:r>
          </w:p>
          <w:p w14:paraId="7A077AA7">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管</w:t>
            </w:r>
          </w:p>
          <w:p w14:paraId="19655E0D">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理</w:t>
            </w:r>
          </w:p>
          <w:p w14:paraId="14C02B5D">
            <w:pPr>
              <w:spacing w:line="240" w:lineRule="auto"/>
              <w:jc w:val="center"/>
              <w:rPr>
                <w:rFonts w:hint="eastAsia" w:ascii="宋体" w:hAnsi="宋体" w:eastAsia="宋体" w:cs="宋体"/>
                <w:bCs/>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50</w:t>
            </w:r>
            <w:r>
              <w:rPr>
                <w:rFonts w:hint="eastAsia" w:ascii="宋体" w:hAnsi="宋体" w:eastAsia="宋体" w:cs="宋体"/>
                <w:color w:val="auto"/>
                <w:sz w:val="18"/>
                <w:szCs w:val="18"/>
              </w:rPr>
              <w:t>分）</w:t>
            </w: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14:paraId="71539CB5">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六</w:t>
            </w:r>
          </w:p>
          <w:p w14:paraId="7A9B3AED">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大</w:t>
            </w:r>
          </w:p>
          <w:p w14:paraId="39D369AE">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禁</w:t>
            </w:r>
          </w:p>
          <w:p w14:paraId="5906190E">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令</w:t>
            </w:r>
          </w:p>
          <w:p w14:paraId="18E65B68">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（10分）</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30F90DB4">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1、严禁员工将</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rPr>
              <w:t>物品占为自有。</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14:paraId="25B8A1B1">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违者辞退处理，考核扣10分。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3665E7B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E26E9B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150A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434AD10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2417ECB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D9B1EA7">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2、严禁员工利用</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rPr>
              <w:t>私卖物品，谋取私利。</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10024A1F">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3897C36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4C451F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6D32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67F8D23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3690837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11395F69">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3、严禁员工向</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lang w:val="en-US" w:eastAsia="zh-CN"/>
              </w:rPr>
              <w:t>供应商</w:t>
            </w:r>
            <w:r>
              <w:rPr>
                <w:rFonts w:hint="eastAsia" w:ascii="宋体" w:hAnsi="宋体" w:eastAsia="宋体" w:cs="宋体"/>
                <w:color w:val="auto"/>
                <w:kern w:val="0"/>
                <w:sz w:val="18"/>
                <w:szCs w:val="18"/>
              </w:rPr>
              <w:t>“吃、拿、卡、要”。</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4A5232A2">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770295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1A92C47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16E5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63DED0D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559F486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34340256">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4、严禁员工与司乘人员吵闹、殴打。</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58A02BD1">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15F583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61BBDB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1BF4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756F7067">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58661D77">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286D01D">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5、严禁聚众赌博、班中饮酒、员工之间打架等</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1EE2FAB8">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D8A855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3B824D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6A4D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3160B7E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4F0A7CA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4039CC3D">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6、严禁利用工作之便偷盗、侵吞公共财物或串通外来人员进行违法行为。</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3A275695">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527F45A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96B2F3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4F11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24238C3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14:paraId="6F44AA26">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劳动纪律</w:t>
            </w:r>
          </w:p>
          <w:p w14:paraId="042B4882">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分）</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3150479B">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1、准时上下岗，保证内外现场不断人</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每日保证有人员在岗</w:t>
            </w:r>
            <w:r>
              <w:rPr>
                <w:rFonts w:hint="eastAsia" w:ascii="宋体" w:hAnsi="宋体" w:eastAsia="宋体" w:cs="宋体"/>
                <w:color w:val="auto"/>
                <w:kern w:val="0"/>
                <w:sz w:val="18"/>
                <w:szCs w:val="18"/>
              </w:rPr>
              <w:t>。</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14:paraId="2E12A36F">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违反一条每次扣2分，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0601988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5DD61D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2E79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68A65DD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14:paraId="16E54184">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399D7D64">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2、上岗期间不能发生脱岗、睡岗、聚众闲聊、玩游戏等行为。</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3CEFF5C1">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57D159F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3813934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1B90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262134E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14:paraId="115C1508">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7A065B6D">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3、按上报的排班表上岗，不发生岗位缺岗。</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3FC0A3FD">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558287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3324B7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1541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3608A43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012F195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0B750ED5">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4、上岗期间需配合</w:t>
            </w:r>
            <w:r>
              <w:rPr>
                <w:rFonts w:hint="eastAsia" w:ascii="宋体" w:hAnsi="宋体" w:eastAsia="宋体" w:cs="宋体"/>
                <w:color w:val="auto"/>
                <w:kern w:val="0"/>
                <w:sz w:val="18"/>
                <w:szCs w:val="18"/>
                <w:lang w:eastAsia="zh-CN"/>
              </w:rPr>
              <w:t>服务区</w:t>
            </w:r>
            <w:r>
              <w:rPr>
                <w:rFonts w:hint="eastAsia" w:ascii="宋体" w:hAnsi="宋体" w:eastAsia="宋体" w:cs="宋体"/>
                <w:color w:val="auto"/>
                <w:kern w:val="0"/>
                <w:sz w:val="18"/>
                <w:szCs w:val="18"/>
              </w:rPr>
              <w:t>稽查人员稽查。</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39438F9A">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521280D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2CCFF8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5509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594F6F2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top"/>
          </w:tcPr>
          <w:p w14:paraId="3EE8589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p w14:paraId="6ACECD00">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行为规范</w:t>
            </w:r>
          </w:p>
          <w:p w14:paraId="6DB69F3B">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分</w:t>
            </w:r>
            <w:r>
              <w:rPr>
                <w:rFonts w:hint="eastAsia" w:ascii="宋体" w:hAnsi="宋体" w:eastAsia="宋体" w:cs="宋体"/>
                <w:color w:val="auto"/>
                <w:sz w:val="18"/>
                <w:szCs w:val="18"/>
                <w:lang w:val="en-US" w:eastAsia="zh-CN"/>
              </w:rPr>
              <w:t>)</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18088A33">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1、正确的使用礼貌用语。</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14:paraId="61E7EBE3">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违反一条每次扣2分，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6AF7806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8E0FF5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149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2C5A635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6615585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168B7C2">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2、发生司乘人员求助时，应热情服务、积极帮助，不能借故推脱。</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1BEB7329">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865B2C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AAF6B2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26D6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43E8293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27B8AF1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3362A2D">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具备讲解能力，</w:t>
            </w:r>
            <w:r>
              <w:rPr>
                <w:rFonts w:hint="eastAsia" w:ascii="宋体" w:hAnsi="宋体" w:eastAsia="宋体" w:cs="宋体"/>
                <w:color w:val="auto"/>
                <w:kern w:val="0"/>
                <w:sz w:val="18"/>
                <w:szCs w:val="18"/>
              </w:rPr>
              <w:t>掌握</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rPr>
              <w:t>所在周边环境、道路交通、服务场所、旅游景点情况，能为司乘人员提供咨询服务。</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04E63E4B">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295C090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046EB2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6CA6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1493FBAD">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质</w:t>
            </w:r>
          </w:p>
          <w:p w14:paraId="0B693608">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量</w:t>
            </w:r>
          </w:p>
          <w:p w14:paraId="7CD18899">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管</w:t>
            </w:r>
          </w:p>
          <w:p w14:paraId="13990819">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理</w:t>
            </w:r>
          </w:p>
          <w:p w14:paraId="23EA2653">
            <w:pPr>
              <w:spacing w:line="240" w:lineRule="auto"/>
              <w:jc w:val="center"/>
              <w:rPr>
                <w:rFonts w:hint="eastAsia" w:ascii="宋体" w:hAnsi="宋体" w:eastAsia="宋体" w:cs="宋体"/>
                <w:bCs/>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50</w:t>
            </w:r>
            <w:r>
              <w:rPr>
                <w:rFonts w:hint="eastAsia" w:ascii="宋体" w:hAnsi="宋体" w:eastAsia="宋体" w:cs="宋体"/>
                <w:color w:val="auto"/>
                <w:sz w:val="18"/>
                <w:szCs w:val="18"/>
              </w:rPr>
              <w:t>分）</w:t>
            </w: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14:paraId="42B2B350">
            <w:pPr>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行为规范</w:t>
            </w: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分）</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011CDF93">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4、仪表、仪容端正、大方；男员工不留长发，不蓄胡须；女员工不浓妆艳抹。</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14:paraId="44843F73">
            <w:pPr>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违反一条每次扣2分。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33AAB3C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1AE3157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2D27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7812995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1831555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096B78AA">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5、佩证（工号牌）上岗，证（工号牌）不被遮挡。</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389917B1">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A30925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F9F9419">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1536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0601C81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7A5B4C1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C4B931B">
            <w:pPr>
              <w:widowControl/>
              <w:spacing w:line="240" w:lineRule="auto"/>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6、上岗时应按规定着工装</w:t>
            </w:r>
            <w:r>
              <w:rPr>
                <w:rFonts w:hint="eastAsia" w:ascii="宋体" w:hAnsi="宋体" w:eastAsia="宋体" w:cs="宋体"/>
                <w:color w:val="auto"/>
                <w:kern w:val="0"/>
                <w:sz w:val="18"/>
                <w:szCs w:val="18"/>
                <w:lang w:eastAsia="zh-CN"/>
              </w:rPr>
              <w:t>。</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05321A05">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38EE10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402748D">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3E63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719E2CD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5273E52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4E032B93">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7、熟悉工作岗位职责，保质保量完成交办的各项工作</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18EAAF69">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8DB405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6BBD67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040E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58C6230F">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14:paraId="65F43EE7">
            <w:pPr>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台</w:t>
            </w:r>
            <w:r>
              <w:rPr>
                <w:rFonts w:hint="eastAsia" w:ascii="宋体" w:hAnsi="宋体" w:eastAsia="宋体" w:cs="宋体"/>
                <w:color w:val="auto"/>
                <w:kern w:val="0"/>
                <w:sz w:val="18"/>
                <w:szCs w:val="18"/>
              </w:rPr>
              <w:t>帐管理</w:t>
            </w:r>
          </w:p>
          <w:p w14:paraId="7E3EE4B2">
            <w:pPr>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10</w:t>
            </w:r>
            <w:r>
              <w:rPr>
                <w:rFonts w:hint="eastAsia" w:ascii="宋体" w:hAnsi="宋体" w:eastAsia="宋体" w:cs="宋体"/>
                <w:color w:val="auto"/>
                <w:kern w:val="0"/>
                <w:sz w:val="18"/>
                <w:szCs w:val="18"/>
              </w:rPr>
              <w:t>分）</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76F2E54D">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1、及时按要求填写规定台帐；</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14:paraId="2632B7B2">
            <w:pPr>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违反一条每次扣1分。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4F31D48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59EBFD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2F09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1573F6F6">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3A3BC81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7D328C10">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2、台帐内容须填写规范；</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7D3F1C5F">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68D065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9A2DF7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287C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5F0707E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369CD0A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10DBF011">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3、按</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rPr>
              <w:t>要求及时上报台帐。</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22883E08">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042A79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60597E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699A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42A1E11E">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其</w:t>
            </w:r>
          </w:p>
          <w:p w14:paraId="58DC464C">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他</w:t>
            </w:r>
          </w:p>
          <w:p w14:paraId="430AE8A0">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考</w:t>
            </w:r>
          </w:p>
          <w:p w14:paraId="0B0610C5">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核</w:t>
            </w:r>
          </w:p>
        </w:tc>
        <w:tc>
          <w:tcPr>
            <w:tcW w:w="1104" w:type="dxa"/>
            <w:vMerge w:val="restart"/>
            <w:tcBorders>
              <w:top w:val="single" w:color="auto" w:sz="4" w:space="0"/>
              <w:left w:val="single" w:color="auto" w:sz="4" w:space="0"/>
              <w:bottom w:val="single" w:color="auto" w:sz="4" w:space="0"/>
              <w:right w:val="single" w:color="auto" w:sz="4" w:space="0"/>
            </w:tcBorders>
            <w:noWrap w:val="0"/>
            <w:vAlign w:val="top"/>
          </w:tcPr>
          <w:p w14:paraId="41EF01AB">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其</w:t>
            </w:r>
          </w:p>
          <w:p w14:paraId="088E6600">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他</w:t>
            </w:r>
          </w:p>
          <w:p w14:paraId="69A78C41">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处</w:t>
            </w:r>
          </w:p>
          <w:p w14:paraId="4BC89F81">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罚</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1B698778">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由于工作不当被新闻媒体曝光。</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14:paraId="729EE896">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视情况给予考核0分处理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00875F7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420FF7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0F2E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67BF67C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50D42487">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0C01E536">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发生有责投诉事件</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33E7B9A1">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5520D1A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B3DC1B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22CE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1FCC55F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0B089D7D">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AB528EA">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因管理不当被行业主管理部门或集团公司通报批评。</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4BF9B389">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283D399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A452A2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016A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3F34458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31615F96">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6DCB8C27">
            <w:pPr>
              <w:spacing w:line="240" w:lineRule="auto"/>
              <w:rPr>
                <w:rFonts w:hint="eastAsia" w:ascii="宋体" w:hAnsi="宋体" w:eastAsia="宋体" w:cs="宋体"/>
                <w:color w:val="auto"/>
                <w:sz w:val="18"/>
                <w:szCs w:val="18"/>
              </w:rPr>
            </w:pPr>
            <w:r>
              <w:rPr>
                <w:rFonts w:hint="eastAsia" w:ascii="宋体" w:hAnsi="宋体" w:eastAsia="宋体" w:cs="宋体"/>
                <w:color w:val="auto"/>
                <w:kern w:val="0"/>
                <w:sz w:val="18"/>
                <w:szCs w:val="18"/>
              </w:rPr>
              <w:t>对</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rPr>
              <w:t>交办的其他临时性工作完成较差。</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14:paraId="659C47D9">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AF18D60">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861116A">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659C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074D7243">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top"/>
          </w:tcPr>
          <w:p w14:paraId="363EB227">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加</w:t>
            </w:r>
          </w:p>
          <w:p w14:paraId="11DC0463">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分</w:t>
            </w:r>
          </w:p>
          <w:p w14:paraId="075292D4">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项</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2DD063FB">
            <w:pPr>
              <w:spacing w:line="240"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见义勇为、拾金不昧、好人好事被司乘人员或上级部门表扬和新闻媒体报道的。</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36D55159">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视情况给予2-20分加分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2B79C7B1">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D8297F2">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1D37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7C245A9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7CFC090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6097D866">
            <w:pPr>
              <w:spacing w:line="240"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因</w:t>
            </w:r>
            <w:r>
              <w:rPr>
                <w:rFonts w:hint="eastAsia" w:ascii="宋体" w:hAnsi="宋体" w:eastAsia="宋体" w:cs="宋体"/>
                <w:color w:val="auto"/>
                <w:kern w:val="0"/>
                <w:sz w:val="18"/>
                <w:szCs w:val="18"/>
                <w:lang w:val="en-US" w:eastAsia="zh-CN"/>
              </w:rPr>
              <w:t>表现</w:t>
            </w:r>
            <w:r>
              <w:rPr>
                <w:rFonts w:hint="eastAsia" w:ascii="宋体" w:hAnsi="宋体" w:eastAsia="宋体" w:cs="宋体"/>
                <w:color w:val="auto"/>
                <w:kern w:val="0"/>
                <w:sz w:val="18"/>
                <w:szCs w:val="18"/>
              </w:rPr>
              <w:t>优秀被上级部门表彰</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255FBAE2">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加2-15分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2C2BF1A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21FEE3B">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6D14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14:paraId="31B394C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14:paraId="4CA8D034">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14:paraId="32BC9939">
            <w:pPr>
              <w:spacing w:line="240"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该</w:t>
            </w:r>
            <w:r>
              <w:rPr>
                <w:rFonts w:hint="eastAsia" w:ascii="宋体" w:hAnsi="宋体" w:eastAsia="宋体" w:cs="宋体"/>
                <w:color w:val="auto"/>
                <w:kern w:val="0"/>
                <w:sz w:val="18"/>
                <w:szCs w:val="18"/>
              </w:rPr>
              <w:t>项目被评为市级以上优秀称号</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302A3E03">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加20分</w:t>
            </w:r>
          </w:p>
        </w:tc>
        <w:tc>
          <w:tcPr>
            <w:tcW w:w="1232" w:type="dxa"/>
            <w:tcBorders>
              <w:top w:val="single" w:color="auto" w:sz="4" w:space="0"/>
              <w:left w:val="single" w:color="auto" w:sz="4" w:space="0"/>
              <w:bottom w:val="single" w:color="auto" w:sz="4" w:space="0"/>
              <w:right w:val="single" w:color="auto" w:sz="4" w:space="0"/>
            </w:tcBorders>
            <w:noWrap w:val="0"/>
            <w:vAlign w:val="top"/>
          </w:tcPr>
          <w:p w14:paraId="6FDEF8E5">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3716BD6">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14:paraId="5453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6CE23113">
            <w:pPr>
              <w:tabs>
                <w:tab w:val="left" w:pos="540"/>
                <w:tab w:val="left" w:pos="720"/>
              </w:tabs>
              <w:adjustRightInd w:val="0"/>
              <w:snapToGrid w:val="0"/>
              <w:spacing w:line="240" w:lineRule="auto"/>
              <w:jc w:val="center"/>
              <w:rPr>
                <w:rFonts w:hint="default"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综合得分</w:t>
            </w:r>
          </w:p>
        </w:tc>
        <w:tc>
          <w:tcPr>
            <w:tcW w:w="1104" w:type="dxa"/>
            <w:tcBorders>
              <w:top w:val="single" w:color="auto" w:sz="4" w:space="0"/>
              <w:left w:val="single" w:color="auto" w:sz="4" w:space="0"/>
              <w:bottom w:val="single" w:color="auto" w:sz="4" w:space="0"/>
              <w:right w:val="single" w:color="auto" w:sz="4" w:space="0"/>
            </w:tcBorders>
            <w:noWrap w:val="0"/>
            <w:vAlign w:val="top"/>
          </w:tcPr>
          <w:p w14:paraId="7C5DC21C">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100分</w:t>
            </w:r>
          </w:p>
        </w:tc>
        <w:tc>
          <w:tcPr>
            <w:tcW w:w="6239" w:type="dxa"/>
            <w:tcBorders>
              <w:top w:val="single" w:color="auto" w:sz="4" w:space="0"/>
              <w:left w:val="single" w:color="auto" w:sz="4" w:space="0"/>
              <w:bottom w:val="single" w:color="auto" w:sz="4" w:space="0"/>
              <w:right w:val="single" w:color="auto" w:sz="4" w:space="0"/>
            </w:tcBorders>
            <w:noWrap w:val="0"/>
            <w:vAlign w:val="center"/>
          </w:tcPr>
          <w:p w14:paraId="5F765862">
            <w:pPr>
              <w:spacing w:line="240" w:lineRule="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考核分数在80分及以上，为考核合格。</w:t>
            </w:r>
          </w:p>
        </w:tc>
        <w:tc>
          <w:tcPr>
            <w:tcW w:w="4407" w:type="dxa"/>
            <w:tcBorders>
              <w:top w:val="single" w:color="auto" w:sz="4" w:space="0"/>
              <w:left w:val="single" w:color="auto" w:sz="4" w:space="0"/>
              <w:bottom w:val="single" w:color="auto" w:sz="4" w:space="0"/>
              <w:right w:val="single" w:color="auto" w:sz="4" w:space="0"/>
            </w:tcBorders>
            <w:noWrap w:val="0"/>
            <w:vAlign w:val="center"/>
          </w:tcPr>
          <w:p w14:paraId="3EF5CB17">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70ED92E">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D537588">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bl>
    <w:p w14:paraId="7F3CE29E">
      <w:pPr>
        <w:pStyle w:val="12"/>
        <w:rPr>
          <w:rFonts w:hint="eastAsia" w:ascii="宋体" w:hAnsi="宋体" w:eastAsia="宋体" w:cs="宋体"/>
          <w:color w:val="auto"/>
          <w:sz w:val="21"/>
          <w:szCs w:val="21"/>
          <w:highlight w:val="none"/>
          <w:lang w:val="en-US" w:eastAsia="zh-CN"/>
        </w:rPr>
      </w:pPr>
    </w:p>
    <w:p w14:paraId="4E2BF1BF">
      <w:pPr>
        <w:rPr>
          <w:rFonts w:hint="eastAsia" w:ascii="宋体" w:hAnsi="宋体" w:eastAsia="宋体" w:cs="宋体"/>
          <w:highlight w:val="none"/>
        </w:rPr>
        <w:sectPr>
          <w:pgSz w:w="16838" w:h="11906" w:orient="landscape"/>
          <w:pgMar w:top="1474" w:right="1474" w:bottom="1474" w:left="1417" w:header="737" w:footer="737" w:gutter="0"/>
          <w:cols w:space="0" w:num="1"/>
          <w:rtlGutter w:val="0"/>
          <w:docGrid w:linePitch="312" w:charSpace="0"/>
        </w:sectPr>
      </w:pPr>
    </w:p>
    <w:p w14:paraId="12A93603">
      <w:pPr>
        <w:pStyle w:val="2"/>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79"/>
      <w:bookmarkEnd w:id="180"/>
      <w:bookmarkEnd w:id="181"/>
      <w:bookmarkEnd w:id="182"/>
      <w:bookmarkEnd w:id="183"/>
      <w:bookmarkEnd w:id="184"/>
      <w:bookmarkEnd w:id="185"/>
      <w:bookmarkEnd w:id="186"/>
      <w:bookmarkEnd w:id="187"/>
      <w:bookmarkEnd w:id="188"/>
      <w:r>
        <w:rPr>
          <w:rFonts w:hint="eastAsia" w:ascii="宋体" w:hAnsi="宋体" w:eastAsia="宋体" w:cs="宋体"/>
          <w:sz w:val="44"/>
          <w:szCs w:val="44"/>
          <w:highlight w:val="none"/>
        </w:rPr>
        <w:t xml:space="preserve"> 投标文件的编制格式</w:t>
      </w:r>
      <w:bookmarkEnd w:id="190"/>
    </w:p>
    <w:p w14:paraId="15B6F5C6">
      <w:pPr>
        <w:spacing w:before="120" w:beforeLines="50" w:after="120" w:afterLines="50"/>
        <w:rPr>
          <w:rFonts w:hint="eastAsia" w:ascii="宋体" w:hAnsi="宋体" w:eastAsia="宋体" w:cs="宋体"/>
          <w:sz w:val="22"/>
          <w:highlight w:val="none"/>
        </w:rPr>
      </w:pPr>
    </w:p>
    <w:p w14:paraId="77994BD2">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14:paraId="6813C9EA">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585439D7">
      <w:pPr>
        <w:jc w:val="right"/>
        <w:rPr>
          <w:rFonts w:hint="eastAsia" w:ascii="宋体" w:hAnsi="宋体" w:eastAsia="宋体" w:cs="宋体"/>
          <w:szCs w:val="24"/>
          <w:highlight w:val="none"/>
        </w:rPr>
      </w:pPr>
    </w:p>
    <w:p w14:paraId="4A5D6DAC">
      <w:pPr>
        <w:rPr>
          <w:rFonts w:hint="eastAsia" w:ascii="宋体" w:hAnsi="宋体" w:eastAsia="宋体" w:cs="宋体"/>
          <w:szCs w:val="24"/>
          <w:highlight w:val="none"/>
        </w:rPr>
      </w:pPr>
    </w:p>
    <w:p w14:paraId="7B291B8B">
      <w:pPr>
        <w:ind w:left="480" w:hanging="480" w:hangingChars="200"/>
        <w:rPr>
          <w:rFonts w:hint="eastAsia" w:ascii="宋体" w:hAnsi="宋体" w:eastAsia="宋体" w:cs="宋体"/>
          <w:sz w:val="24"/>
          <w:szCs w:val="24"/>
          <w:highlight w:val="none"/>
        </w:rPr>
      </w:pPr>
    </w:p>
    <w:p w14:paraId="32E0AD1A">
      <w:pPr>
        <w:rPr>
          <w:rFonts w:hint="eastAsia" w:ascii="宋体" w:hAnsi="宋体" w:eastAsia="宋体" w:cs="宋体"/>
          <w:szCs w:val="24"/>
          <w:highlight w:val="none"/>
        </w:rPr>
      </w:pPr>
    </w:p>
    <w:p w14:paraId="7ACD2945">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14:paraId="006E6175">
      <w:pPr>
        <w:rPr>
          <w:rFonts w:hint="eastAsia" w:ascii="宋体" w:hAnsi="宋体" w:eastAsia="宋体" w:cs="宋体"/>
          <w:sz w:val="28"/>
          <w:szCs w:val="28"/>
          <w:highlight w:val="none"/>
        </w:rPr>
      </w:pPr>
    </w:p>
    <w:p w14:paraId="481C9008">
      <w:pPr>
        <w:rPr>
          <w:rFonts w:hint="eastAsia" w:ascii="宋体" w:hAnsi="宋体" w:eastAsia="宋体" w:cs="宋体"/>
          <w:sz w:val="28"/>
          <w:szCs w:val="28"/>
          <w:highlight w:val="none"/>
        </w:rPr>
      </w:pPr>
    </w:p>
    <w:p w14:paraId="056D5CD0">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4AFBC3E5">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1434CABA">
      <w:pPr>
        <w:rPr>
          <w:rFonts w:hint="eastAsia" w:ascii="宋体" w:hAnsi="宋体" w:eastAsia="宋体" w:cs="宋体"/>
          <w:sz w:val="28"/>
          <w:szCs w:val="28"/>
          <w:highlight w:val="none"/>
        </w:rPr>
      </w:pPr>
    </w:p>
    <w:p w14:paraId="798DAB31">
      <w:pPr>
        <w:rPr>
          <w:rFonts w:hint="eastAsia" w:ascii="宋体" w:hAnsi="宋体" w:eastAsia="宋体" w:cs="宋体"/>
          <w:sz w:val="28"/>
          <w:szCs w:val="28"/>
          <w:highlight w:val="none"/>
        </w:rPr>
      </w:pPr>
    </w:p>
    <w:p w14:paraId="6DA24033">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14:paraId="7EBABEBB">
      <w:pPr>
        <w:spacing w:line="480" w:lineRule="auto"/>
        <w:jc w:val="center"/>
        <w:rPr>
          <w:rFonts w:hint="eastAsia" w:ascii="宋体" w:hAnsi="宋体" w:eastAsia="宋体" w:cs="宋体"/>
          <w:sz w:val="44"/>
          <w:szCs w:val="44"/>
          <w:highlight w:val="none"/>
        </w:rPr>
      </w:pPr>
    </w:p>
    <w:p w14:paraId="2991DD6C">
      <w:pPr>
        <w:spacing w:line="360" w:lineRule="auto"/>
        <w:rPr>
          <w:rFonts w:hint="eastAsia" w:ascii="宋体" w:hAnsi="宋体" w:eastAsia="宋体" w:cs="宋体"/>
          <w:szCs w:val="21"/>
          <w:highlight w:val="none"/>
        </w:rPr>
      </w:pPr>
    </w:p>
    <w:p w14:paraId="4827D4C8">
      <w:pPr>
        <w:spacing w:line="360" w:lineRule="auto"/>
        <w:rPr>
          <w:rFonts w:hint="eastAsia" w:ascii="宋体" w:hAnsi="宋体" w:eastAsia="宋体" w:cs="宋体"/>
          <w:szCs w:val="21"/>
          <w:highlight w:val="none"/>
        </w:rPr>
      </w:pPr>
    </w:p>
    <w:p w14:paraId="4585B350">
      <w:pPr>
        <w:autoSpaceDE w:val="0"/>
        <w:autoSpaceDN w:val="0"/>
        <w:adjustRightInd w:val="0"/>
        <w:spacing w:after="120"/>
        <w:ind w:firstLine="210" w:firstLineChars="100"/>
        <w:jc w:val="left"/>
        <w:rPr>
          <w:rFonts w:hint="eastAsia" w:ascii="宋体" w:hAnsi="宋体" w:eastAsia="宋体" w:cs="宋体"/>
          <w:szCs w:val="24"/>
          <w:highlight w:val="none"/>
        </w:rPr>
      </w:pPr>
    </w:p>
    <w:p w14:paraId="5895BB9D">
      <w:pPr>
        <w:spacing w:line="360" w:lineRule="auto"/>
        <w:rPr>
          <w:rFonts w:hint="eastAsia" w:ascii="宋体" w:hAnsi="宋体" w:eastAsia="宋体" w:cs="宋体"/>
          <w:szCs w:val="21"/>
          <w:highlight w:val="none"/>
        </w:rPr>
      </w:pPr>
    </w:p>
    <w:p w14:paraId="441EDECC">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14:paraId="694499DF">
      <w:pPr>
        <w:rPr>
          <w:rFonts w:hint="eastAsia" w:ascii="宋体" w:hAnsi="宋体" w:eastAsia="宋体" w:cs="宋体"/>
          <w:sz w:val="28"/>
          <w:szCs w:val="28"/>
          <w:highlight w:val="none"/>
          <w:u w:val="single"/>
        </w:rPr>
      </w:pPr>
    </w:p>
    <w:p w14:paraId="48CBED0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36119A24">
      <w:pPr>
        <w:rPr>
          <w:rFonts w:hint="eastAsia" w:ascii="宋体" w:hAnsi="宋体" w:eastAsia="宋体" w:cs="宋体"/>
          <w:sz w:val="28"/>
          <w:szCs w:val="28"/>
          <w:highlight w:val="none"/>
        </w:rPr>
      </w:pPr>
    </w:p>
    <w:p w14:paraId="3B931208">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5F109E54">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14:paraId="6FB51052">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14:paraId="302B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56C4674">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14:paraId="68C2C192">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14:paraId="00F55C90">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14:paraId="359B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A00F687">
            <w:pPr>
              <w:jc w:val="center"/>
              <w:rPr>
                <w:rFonts w:hint="eastAsia" w:ascii="宋体" w:hAnsi="宋体" w:eastAsia="宋体" w:cs="宋体"/>
                <w:b/>
                <w:sz w:val="18"/>
                <w:szCs w:val="18"/>
                <w:highlight w:val="none"/>
              </w:rPr>
            </w:pPr>
          </w:p>
        </w:tc>
        <w:tc>
          <w:tcPr>
            <w:tcW w:w="7122" w:type="dxa"/>
            <w:vAlign w:val="center"/>
          </w:tcPr>
          <w:p w14:paraId="5BA147F7">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14:paraId="641DDE2E">
            <w:pPr>
              <w:jc w:val="center"/>
              <w:rPr>
                <w:rFonts w:hint="eastAsia" w:ascii="宋体" w:hAnsi="宋体" w:eastAsia="宋体" w:cs="宋体"/>
                <w:b/>
                <w:sz w:val="18"/>
                <w:szCs w:val="18"/>
                <w:highlight w:val="none"/>
              </w:rPr>
            </w:pPr>
          </w:p>
        </w:tc>
      </w:tr>
      <w:tr w14:paraId="0ACF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E77D5B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26993DD0">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14:paraId="541D838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14:paraId="540A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70E78FA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648E29AD">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14:paraId="06BE6DF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14:paraId="49A7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BCB1E0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645F9B7A">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14:paraId="0ABDCB9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14:paraId="5E3B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25CCDA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14:paraId="7F29B6E8">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14:paraId="2A85C53F">
            <w:pPr>
              <w:jc w:val="center"/>
              <w:rPr>
                <w:rFonts w:hint="eastAsia" w:ascii="宋体" w:hAnsi="宋体" w:eastAsia="宋体" w:cs="宋体"/>
                <w:sz w:val="18"/>
                <w:szCs w:val="18"/>
                <w:highlight w:val="none"/>
              </w:rPr>
            </w:pPr>
          </w:p>
        </w:tc>
      </w:tr>
      <w:tr w14:paraId="3E93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3F35B62">
            <w:pPr>
              <w:jc w:val="center"/>
              <w:rPr>
                <w:rFonts w:hint="eastAsia" w:ascii="宋体" w:hAnsi="宋体" w:eastAsia="宋体" w:cs="宋体"/>
                <w:sz w:val="18"/>
                <w:szCs w:val="18"/>
                <w:highlight w:val="none"/>
              </w:rPr>
            </w:pPr>
          </w:p>
        </w:tc>
        <w:tc>
          <w:tcPr>
            <w:tcW w:w="7122" w:type="dxa"/>
            <w:vAlign w:val="center"/>
          </w:tcPr>
          <w:p w14:paraId="7A1736BB">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14:paraId="3251615B">
            <w:pPr>
              <w:jc w:val="center"/>
              <w:rPr>
                <w:rFonts w:hint="eastAsia" w:ascii="宋体" w:hAnsi="宋体" w:eastAsia="宋体" w:cs="宋体"/>
                <w:sz w:val="18"/>
                <w:szCs w:val="18"/>
                <w:highlight w:val="none"/>
              </w:rPr>
            </w:pPr>
          </w:p>
        </w:tc>
      </w:tr>
      <w:tr w14:paraId="1492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5176E6C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14:paraId="5C09BD83">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14:paraId="7A282E73">
            <w:pPr>
              <w:jc w:val="center"/>
              <w:rPr>
                <w:rFonts w:hint="eastAsia" w:ascii="宋体" w:hAnsi="宋体" w:eastAsia="宋体" w:cs="宋体"/>
                <w:sz w:val="18"/>
                <w:szCs w:val="18"/>
                <w:highlight w:val="none"/>
              </w:rPr>
            </w:pPr>
          </w:p>
        </w:tc>
      </w:tr>
      <w:tr w14:paraId="6687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CC20E1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14:paraId="4296B5AB">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14:paraId="61712E46">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14:paraId="6DB8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FABA08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14:paraId="7B3A7B65">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参加国企采购活动前三年内，在经营活动中没有重大违法记录。请在投标声明书中如实填写（新成立不满三年的组织机构自成立之日起算）</w:t>
            </w:r>
          </w:p>
        </w:tc>
        <w:tc>
          <w:tcPr>
            <w:tcW w:w="1105" w:type="dxa"/>
            <w:vAlign w:val="center"/>
          </w:tcPr>
          <w:p w14:paraId="0B459E7B">
            <w:pPr>
              <w:jc w:val="center"/>
              <w:rPr>
                <w:rFonts w:hint="eastAsia" w:ascii="宋体" w:hAnsi="宋体" w:eastAsia="宋体" w:cs="宋体"/>
                <w:sz w:val="18"/>
                <w:szCs w:val="18"/>
                <w:highlight w:val="none"/>
              </w:rPr>
            </w:pPr>
          </w:p>
        </w:tc>
      </w:tr>
      <w:tr w14:paraId="1D8A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EB7C73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14:paraId="5A3D6479">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14:paraId="7CF201D4">
            <w:pPr>
              <w:jc w:val="center"/>
              <w:rPr>
                <w:rFonts w:hint="eastAsia" w:ascii="宋体" w:hAnsi="宋体" w:eastAsia="宋体" w:cs="宋体"/>
                <w:sz w:val="18"/>
                <w:szCs w:val="18"/>
                <w:highlight w:val="none"/>
              </w:rPr>
            </w:pPr>
          </w:p>
        </w:tc>
      </w:tr>
      <w:tr w14:paraId="49E5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D59D6D5">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14:paraId="3B78B430">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14:paraId="3BC50594">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14:paraId="4731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02BB650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14:paraId="37EC7A69">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14:paraId="65AFBEAF">
            <w:pPr>
              <w:jc w:val="center"/>
              <w:rPr>
                <w:rFonts w:hint="eastAsia" w:ascii="宋体" w:hAnsi="宋体" w:eastAsia="宋体" w:cs="宋体"/>
                <w:sz w:val="18"/>
                <w:szCs w:val="18"/>
                <w:highlight w:val="none"/>
              </w:rPr>
            </w:pPr>
          </w:p>
        </w:tc>
      </w:tr>
      <w:tr w14:paraId="60CF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4747130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14:paraId="62156E8B">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14:paraId="68EC720F">
            <w:pPr>
              <w:jc w:val="center"/>
              <w:rPr>
                <w:rFonts w:hint="eastAsia" w:ascii="宋体" w:hAnsi="宋体" w:eastAsia="宋体" w:cs="宋体"/>
                <w:sz w:val="18"/>
                <w:szCs w:val="18"/>
                <w:highlight w:val="none"/>
              </w:rPr>
            </w:pPr>
          </w:p>
        </w:tc>
      </w:tr>
      <w:tr w14:paraId="29AB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1ED6C9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14:paraId="42CC3596">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14:paraId="6A8E4FD3">
            <w:pPr>
              <w:jc w:val="center"/>
              <w:rPr>
                <w:rFonts w:hint="eastAsia" w:ascii="宋体" w:hAnsi="宋体" w:eastAsia="宋体" w:cs="宋体"/>
                <w:sz w:val="18"/>
                <w:szCs w:val="18"/>
                <w:highlight w:val="none"/>
              </w:rPr>
            </w:pPr>
          </w:p>
        </w:tc>
      </w:tr>
      <w:tr w14:paraId="7D09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66C6FC08">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14:paraId="0B3F2E22">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14:paraId="7AB2D9E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14:paraId="1FEA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1DB187E">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14:paraId="4045FD25">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14:paraId="0DC9C1B6">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14:paraId="2542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C0B719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14:paraId="55B33D06">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14:paraId="1E397C2A">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14:paraId="6922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3F4D2C3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14:paraId="55FCBA8C">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2021年1月1日以来</w:t>
            </w:r>
            <w:r>
              <w:rPr>
                <w:rFonts w:hint="eastAsia" w:ascii="宋体" w:hAnsi="宋体" w:eastAsia="宋体" w:cs="宋体"/>
                <w:sz w:val="18"/>
                <w:szCs w:val="18"/>
                <w:highlight w:val="none"/>
              </w:rPr>
              <w:t>同类项目业绩一览表</w:t>
            </w:r>
          </w:p>
        </w:tc>
        <w:tc>
          <w:tcPr>
            <w:tcW w:w="1105" w:type="dxa"/>
            <w:vAlign w:val="center"/>
          </w:tcPr>
          <w:p w14:paraId="62D1CFD3">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14:paraId="3DA7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22D72D19">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shd w:val="clear" w:color="auto" w:fill="auto"/>
            <w:vAlign w:val="center"/>
          </w:tcPr>
          <w:p w14:paraId="3B7D05DD">
            <w:pP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服务人员人均月工资承诺函</w:t>
            </w:r>
          </w:p>
        </w:tc>
        <w:tc>
          <w:tcPr>
            <w:tcW w:w="1105" w:type="dxa"/>
            <w:vAlign w:val="center"/>
          </w:tcPr>
          <w:p w14:paraId="6AE77D27">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w:t>
            </w:r>
          </w:p>
        </w:tc>
      </w:tr>
      <w:tr w14:paraId="4D37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14:paraId="1054A76F">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shd w:val="clear" w:color="auto" w:fill="auto"/>
            <w:vAlign w:val="center"/>
          </w:tcPr>
          <w:p w14:paraId="4D7D4033">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rPr>
              <w:t>根据采购文件中的采购内容及要求以及技术资信评分项目逐项编制</w:t>
            </w:r>
            <w:r>
              <w:rPr>
                <w:rFonts w:hint="eastAsia" w:ascii="宋体" w:hAnsi="宋体" w:eastAsia="宋体" w:cs="宋体"/>
                <w:sz w:val="18"/>
                <w:szCs w:val="18"/>
                <w:highlight w:val="none"/>
                <w:lang w:eastAsia="zh-CN"/>
              </w:rPr>
              <w:t>）</w:t>
            </w:r>
          </w:p>
        </w:tc>
        <w:tc>
          <w:tcPr>
            <w:tcW w:w="1105" w:type="dxa"/>
            <w:vAlign w:val="center"/>
          </w:tcPr>
          <w:p w14:paraId="081C8DF6">
            <w:pPr>
              <w:jc w:val="center"/>
              <w:rPr>
                <w:rFonts w:hint="eastAsia" w:ascii="宋体" w:hAnsi="宋体" w:eastAsia="宋体" w:cs="宋体"/>
                <w:sz w:val="18"/>
                <w:szCs w:val="18"/>
                <w:highlight w:val="none"/>
                <w:lang w:val="en-US" w:eastAsia="zh-CN"/>
              </w:rPr>
            </w:pPr>
          </w:p>
        </w:tc>
      </w:tr>
    </w:tbl>
    <w:p w14:paraId="23D815FA">
      <w:pPr>
        <w:pStyle w:val="12"/>
        <w:rPr>
          <w:rFonts w:hint="eastAsia" w:ascii="宋体" w:hAnsi="宋体" w:eastAsia="宋体" w:cs="宋体"/>
          <w:snapToGrid w:val="0"/>
          <w:sz w:val="32"/>
          <w:szCs w:val="20"/>
          <w:highlight w:val="none"/>
        </w:rPr>
      </w:pPr>
    </w:p>
    <w:p w14:paraId="5B6EFE07">
      <w:pPr>
        <w:pStyle w:val="12"/>
        <w:rPr>
          <w:rFonts w:hint="eastAsia" w:ascii="宋体" w:hAnsi="宋体" w:eastAsia="宋体" w:cs="宋体"/>
          <w:snapToGrid w:val="0"/>
          <w:sz w:val="32"/>
          <w:szCs w:val="20"/>
          <w:highlight w:val="none"/>
        </w:rPr>
      </w:pPr>
    </w:p>
    <w:p w14:paraId="653F1628">
      <w:pPr>
        <w:jc w:val="left"/>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br w:type="page"/>
      </w:r>
    </w:p>
    <w:p w14:paraId="5C8355B9">
      <w:pPr>
        <w:pStyle w:val="2"/>
        <w:ind w:firstLine="210"/>
        <w:rPr>
          <w:rFonts w:hint="eastAsia" w:ascii="宋体" w:hAnsi="宋体" w:eastAsia="宋体" w:cs="宋体"/>
          <w:highlight w:val="none"/>
        </w:rPr>
      </w:pPr>
    </w:p>
    <w:p w14:paraId="7FC559F4">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14:paraId="6006A649">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14:paraId="732A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14:paraId="08A630B3">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14:paraId="6C70DCB3">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14:paraId="0E57A064">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14:paraId="52FB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278ADB22">
            <w:pPr>
              <w:spacing w:line="420" w:lineRule="exact"/>
              <w:jc w:val="center"/>
              <w:rPr>
                <w:rFonts w:hint="eastAsia" w:ascii="宋体" w:hAnsi="宋体" w:eastAsia="宋体" w:cs="宋体"/>
                <w:sz w:val="18"/>
                <w:szCs w:val="18"/>
                <w:highlight w:val="none"/>
              </w:rPr>
            </w:pPr>
          </w:p>
        </w:tc>
        <w:tc>
          <w:tcPr>
            <w:tcW w:w="5144" w:type="dxa"/>
            <w:vAlign w:val="center"/>
          </w:tcPr>
          <w:p w14:paraId="66BB420E">
            <w:pPr>
              <w:spacing w:line="420" w:lineRule="exact"/>
              <w:jc w:val="center"/>
              <w:rPr>
                <w:rFonts w:hint="eastAsia" w:ascii="宋体" w:hAnsi="宋体" w:eastAsia="宋体" w:cs="宋体"/>
                <w:sz w:val="18"/>
                <w:szCs w:val="18"/>
                <w:highlight w:val="none"/>
              </w:rPr>
            </w:pPr>
          </w:p>
        </w:tc>
        <w:tc>
          <w:tcPr>
            <w:tcW w:w="2690" w:type="dxa"/>
            <w:vAlign w:val="center"/>
          </w:tcPr>
          <w:p w14:paraId="1011765D">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2751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6A0D7631">
            <w:pPr>
              <w:spacing w:line="420" w:lineRule="exact"/>
              <w:jc w:val="center"/>
              <w:rPr>
                <w:rFonts w:hint="eastAsia" w:ascii="宋体" w:hAnsi="宋体" w:eastAsia="宋体" w:cs="宋体"/>
                <w:sz w:val="18"/>
                <w:szCs w:val="18"/>
                <w:highlight w:val="none"/>
              </w:rPr>
            </w:pPr>
          </w:p>
        </w:tc>
        <w:tc>
          <w:tcPr>
            <w:tcW w:w="5144" w:type="dxa"/>
            <w:vAlign w:val="center"/>
          </w:tcPr>
          <w:p w14:paraId="2593F359">
            <w:pPr>
              <w:spacing w:line="420" w:lineRule="exact"/>
              <w:jc w:val="center"/>
              <w:rPr>
                <w:rFonts w:hint="eastAsia" w:ascii="宋体" w:hAnsi="宋体" w:eastAsia="宋体" w:cs="宋体"/>
                <w:sz w:val="18"/>
                <w:szCs w:val="18"/>
                <w:highlight w:val="none"/>
              </w:rPr>
            </w:pPr>
          </w:p>
        </w:tc>
        <w:tc>
          <w:tcPr>
            <w:tcW w:w="2690" w:type="dxa"/>
            <w:vAlign w:val="center"/>
          </w:tcPr>
          <w:p w14:paraId="7C67F99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4A28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5CB40671">
            <w:pPr>
              <w:spacing w:line="420" w:lineRule="exact"/>
              <w:jc w:val="center"/>
              <w:rPr>
                <w:rFonts w:hint="eastAsia" w:ascii="宋体" w:hAnsi="宋体" w:eastAsia="宋体" w:cs="宋体"/>
                <w:sz w:val="18"/>
                <w:szCs w:val="18"/>
                <w:highlight w:val="none"/>
              </w:rPr>
            </w:pPr>
          </w:p>
        </w:tc>
        <w:tc>
          <w:tcPr>
            <w:tcW w:w="5144" w:type="dxa"/>
            <w:vAlign w:val="center"/>
          </w:tcPr>
          <w:p w14:paraId="59AF1F86">
            <w:pPr>
              <w:spacing w:line="420" w:lineRule="exact"/>
              <w:jc w:val="center"/>
              <w:rPr>
                <w:rFonts w:hint="eastAsia" w:ascii="宋体" w:hAnsi="宋体" w:eastAsia="宋体" w:cs="宋体"/>
                <w:sz w:val="18"/>
                <w:szCs w:val="18"/>
                <w:highlight w:val="none"/>
              </w:rPr>
            </w:pPr>
          </w:p>
        </w:tc>
        <w:tc>
          <w:tcPr>
            <w:tcW w:w="2690" w:type="dxa"/>
            <w:vAlign w:val="center"/>
          </w:tcPr>
          <w:p w14:paraId="029B170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0150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E79D0C4">
            <w:pPr>
              <w:spacing w:line="420" w:lineRule="exact"/>
              <w:jc w:val="center"/>
              <w:rPr>
                <w:rFonts w:hint="eastAsia" w:ascii="宋体" w:hAnsi="宋体" w:eastAsia="宋体" w:cs="宋体"/>
                <w:sz w:val="18"/>
                <w:szCs w:val="18"/>
                <w:highlight w:val="none"/>
              </w:rPr>
            </w:pPr>
          </w:p>
        </w:tc>
        <w:tc>
          <w:tcPr>
            <w:tcW w:w="5144" w:type="dxa"/>
            <w:vAlign w:val="center"/>
          </w:tcPr>
          <w:p w14:paraId="5C427937">
            <w:pPr>
              <w:spacing w:line="420" w:lineRule="exact"/>
              <w:jc w:val="center"/>
              <w:rPr>
                <w:rFonts w:hint="eastAsia" w:ascii="宋体" w:hAnsi="宋体" w:eastAsia="宋体" w:cs="宋体"/>
                <w:sz w:val="18"/>
                <w:szCs w:val="18"/>
                <w:highlight w:val="none"/>
              </w:rPr>
            </w:pPr>
          </w:p>
        </w:tc>
        <w:tc>
          <w:tcPr>
            <w:tcW w:w="2690" w:type="dxa"/>
            <w:vAlign w:val="center"/>
          </w:tcPr>
          <w:p w14:paraId="52E1ED6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65F3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78FDB86A">
            <w:pPr>
              <w:spacing w:line="420" w:lineRule="exact"/>
              <w:jc w:val="center"/>
              <w:rPr>
                <w:rFonts w:hint="eastAsia" w:ascii="宋体" w:hAnsi="宋体" w:eastAsia="宋体" w:cs="宋体"/>
                <w:sz w:val="18"/>
                <w:szCs w:val="18"/>
                <w:highlight w:val="none"/>
              </w:rPr>
            </w:pPr>
          </w:p>
        </w:tc>
        <w:tc>
          <w:tcPr>
            <w:tcW w:w="5144" w:type="dxa"/>
            <w:vAlign w:val="center"/>
          </w:tcPr>
          <w:p w14:paraId="0D7D7FC4">
            <w:pPr>
              <w:spacing w:line="420" w:lineRule="exact"/>
              <w:jc w:val="center"/>
              <w:rPr>
                <w:rFonts w:hint="eastAsia" w:ascii="宋体" w:hAnsi="宋体" w:eastAsia="宋体" w:cs="宋体"/>
                <w:sz w:val="18"/>
                <w:szCs w:val="18"/>
                <w:highlight w:val="none"/>
              </w:rPr>
            </w:pPr>
          </w:p>
        </w:tc>
        <w:tc>
          <w:tcPr>
            <w:tcW w:w="2690" w:type="dxa"/>
            <w:vAlign w:val="center"/>
          </w:tcPr>
          <w:p w14:paraId="2F1E929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3C78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1F2B088D">
            <w:pPr>
              <w:spacing w:line="420" w:lineRule="exact"/>
              <w:jc w:val="center"/>
              <w:rPr>
                <w:rFonts w:hint="eastAsia" w:ascii="宋体" w:hAnsi="宋体" w:eastAsia="宋体" w:cs="宋体"/>
                <w:sz w:val="18"/>
                <w:szCs w:val="18"/>
                <w:highlight w:val="none"/>
              </w:rPr>
            </w:pPr>
          </w:p>
        </w:tc>
        <w:tc>
          <w:tcPr>
            <w:tcW w:w="5144" w:type="dxa"/>
            <w:vAlign w:val="center"/>
          </w:tcPr>
          <w:p w14:paraId="0F32059F">
            <w:pPr>
              <w:spacing w:line="420" w:lineRule="exact"/>
              <w:jc w:val="center"/>
              <w:rPr>
                <w:rFonts w:hint="eastAsia" w:ascii="宋体" w:hAnsi="宋体" w:eastAsia="宋体" w:cs="宋体"/>
                <w:sz w:val="18"/>
                <w:szCs w:val="18"/>
                <w:highlight w:val="none"/>
              </w:rPr>
            </w:pPr>
          </w:p>
        </w:tc>
        <w:tc>
          <w:tcPr>
            <w:tcW w:w="2690" w:type="dxa"/>
            <w:vAlign w:val="center"/>
          </w:tcPr>
          <w:p w14:paraId="2BC6C85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14:paraId="4B7C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14:paraId="418D6274">
            <w:pPr>
              <w:spacing w:line="420" w:lineRule="exact"/>
              <w:jc w:val="center"/>
              <w:rPr>
                <w:rFonts w:hint="eastAsia" w:ascii="宋体" w:hAnsi="宋体" w:eastAsia="宋体" w:cs="宋体"/>
                <w:sz w:val="18"/>
                <w:szCs w:val="18"/>
                <w:highlight w:val="none"/>
              </w:rPr>
            </w:pPr>
          </w:p>
        </w:tc>
        <w:tc>
          <w:tcPr>
            <w:tcW w:w="5144" w:type="dxa"/>
            <w:vAlign w:val="center"/>
          </w:tcPr>
          <w:p w14:paraId="075FEAE8">
            <w:pPr>
              <w:spacing w:line="420" w:lineRule="exact"/>
              <w:jc w:val="center"/>
              <w:rPr>
                <w:rFonts w:hint="eastAsia" w:ascii="宋体" w:hAnsi="宋体" w:eastAsia="宋体" w:cs="宋体"/>
                <w:sz w:val="18"/>
                <w:szCs w:val="18"/>
                <w:highlight w:val="none"/>
              </w:rPr>
            </w:pPr>
          </w:p>
        </w:tc>
        <w:tc>
          <w:tcPr>
            <w:tcW w:w="2690" w:type="dxa"/>
            <w:vAlign w:val="center"/>
          </w:tcPr>
          <w:p w14:paraId="66BC652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14:paraId="6DB893A3">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14:paraId="07123B7D">
      <w:pPr>
        <w:pStyle w:val="55"/>
        <w:numPr>
          <w:ilvl w:val="0"/>
          <w:numId w:val="26"/>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建议此表放在技术资信标封面后第一页，方便评委打分。</w:t>
      </w:r>
    </w:p>
    <w:p w14:paraId="42816142">
      <w:pPr>
        <w:pStyle w:val="55"/>
        <w:numPr>
          <w:ilvl w:val="0"/>
          <w:numId w:val="26"/>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格式可自拟。</w:t>
      </w:r>
    </w:p>
    <w:p w14:paraId="0BCAB7CE">
      <w:pPr>
        <w:pStyle w:val="2"/>
        <w:ind w:firstLine="210"/>
        <w:rPr>
          <w:rFonts w:hint="eastAsia" w:ascii="宋体" w:hAnsi="宋体" w:eastAsia="宋体" w:cs="宋体"/>
          <w:highlight w:val="none"/>
        </w:rPr>
      </w:pPr>
    </w:p>
    <w:p w14:paraId="3DA80DDD">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14:paraId="45015CF1">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14:paraId="4EEB2080">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14:paraId="4979D3F1">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项目（采购编号：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（投标供应商名称）作为投标供应商正式授权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14:paraId="537CF4E7">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14:paraId="40A88442">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（—）按“投标供应商须知”要求编制的投标文件技术标【正本一份，副本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14:paraId="012DCE4A">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（二）按“投标供应商须知”要求编制的投标文件商务（报价）标【正本一份，副本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14:paraId="427436C5">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14:paraId="5AC2E119">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14:paraId="653CD2F3">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14:paraId="537E4B54">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（三）我方明白并愿意在规定的开标时间之后，</w:t>
      </w:r>
      <w:r>
        <w:rPr>
          <w:rFonts w:hint="eastAsia" w:ascii="宋体" w:hAnsi="宋体" w:eastAsia="宋体" w:cs="宋体"/>
          <w:sz w:val="22"/>
          <w:szCs w:val="24"/>
          <w:highlight w:val="none"/>
          <w:lang w:val="en-US" w:eastAsia="zh-CN"/>
        </w:rPr>
        <w:t>如我方出现投标人须知第三条第13.4款规定的情况之一的，我方</w:t>
      </w:r>
      <w:r>
        <w:rPr>
          <w:rFonts w:hint="eastAsia" w:ascii="宋体" w:hAnsi="宋体" w:eastAsia="宋体" w:cs="宋体"/>
          <w:sz w:val="22"/>
          <w:szCs w:val="24"/>
          <w:highlight w:val="none"/>
        </w:rPr>
        <w:t>投标保证金将被贵方没收；</w:t>
      </w:r>
    </w:p>
    <w:p w14:paraId="10C57AF0">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）我方同意提供按照贵方可能要求的与投标有关的一切数据或资料；</w:t>
      </w:r>
    </w:p>
    <w:p w14:paraId="2191A3F8">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五</w:t>
      </w:r>
      <w:r>
        <w:rPr>
          <w:rFonts w:hint="eastAsia" w:ascii="宋体" w:hAnsi="宋体" w:eastAsia="宋体" w:cs="宋体"/>
          <w:sz w:val="22"/>
          <w:szCs w:val="24"/>
          <w:highlight w:val="none"/>
        </w:rPr>
        <w:t>）我方理解贵方不一定接受最低报价。</w:t>
      </w:r>
    </w:p>
    <w:p w14:paraId="45ECB7EA">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）我方如果中标，将保证履行采购文件以及采购文件修改书（如有）中的全部责任和义务，按质、按量、按期完成《合同书》中的全部任务。</w:t>
      </w:r>
    </w:p>
    <w:p w14:paraId="60C28296">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七</w:t>
      </w:r>
      <w:r>
        <w:rPr>
          <w:rFonts w:hint="eastAsia" w:ascii="宋体" w:hAnsi="宋体" w:eastAsia="宋体" w:cs="宋体"/>
          <w:sz w:val="22"/>
          <w:szCs w:val="24"/>
          <w:highlight w:val="none"/>
        </w:rPr>
        <w:t>）所有与本投标有关的函件请发往下列地址：</w:t>
      </w:r>
    </w:p>
    <w:p w14:paraId="1CF2F36F">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14:paraId="39B35079">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14:paraId="2F687006">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14:paraId="5732D567">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14:paraId="52FD8517">
      <w:pPr>
        <w:spacing w:line="360" w:lineRule="auto"/>
        <w:rPr>
          <w:rFonts w:hint="eastAsia" w:ascii="宋体" w:hAnsi="宋体" w:eastAsia="宋体" w:cs="宋体"/>
          <w:bCs/>
          <w:sz w:val="22"/>
          <w:highlight w:val="none"/>
        </w:rPr>
      </w:pPr>
    </w:p>
    <w:p w14:paraId="571EC1FA">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14:paraId="01E2F85D">
      <w:pPr>
        <w:spacing w:line="360" w:lineRule="auto"/>
        <w:rPr>
          <w:rFonts w:hint="eastAsia" w:ascii="宋体" w:hAnsi="宋体" w:eastAsia="宋体" w:cs="宋体"/>
          <w:bCs/>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14:paraId="781AD1E3">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14:paraId="75FDD479">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14:paraId="010866FF">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51314B88">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14:paraId="655B3364">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14:paraId="05087544">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采购编号：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14:paraId="3CF985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14:paraId="29F36579">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357B3303">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14:paraId="1835184E">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14:paraId="4A8A5E12">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14:paraId="5432C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14:paraId="7104E7DC">
            <w:pPr>
              <w:jc w:val="center"/>
              <w:rPr>
                <w:rFonts w:hint="eastAsia" w:ascii="宋体" w:hAnsi="宋体" w:eastAsia="宋体" w:cs="宋体"/>
                <w:sz w:val="22"/>
                <w:highlight w:val="none"/>
              </w:rPr>
            </w:pPr>
          </w:p>
        </w:tc>
        <w:tc>
          <w:tcPr>
            <w:tcW w:w="1115" w:type="dxa"/>
            <w:vAlign w:val="center"/>
          </w:tcPr>
          <w:p w14:paraId="35943614">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358BAA4D">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gridSpan w:val="2"/>
            <w:vAlign w:val="center"/>
          </w:tcPr>
          <w:p w14:paraId="3F2B5426">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23" w:type="dxa"/>
            <w:vAlign w:val="center"/>
          </w:tcPr>
          <w:p w14:paraId="679AEF30">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14:paraId="483D8AD7">
            <w:pPr>
              <w:autoSpaceDE w:val="0"/>
              <w:autoSpaceDN w:val="0"/>
              <w:adjustRightInd w:val="0"/>
              <w:jc w:val="center"/>
              <w:rPr>
                <w:rFonts w:hint="eastAsia" w:ascii="宋体" w:hAnsi="宋体" w:eastAsia="宋体" w:cs="宋体"/>
                <w:sz w:val="22"/>
                <w:highlight w:val="none"/>
              </w:rPr>
            </w:pPr>
          </w:p>
        </w:tc>
      </w:tr>
      <w:tr w14:paraId="08FCE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57964B4A">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14:paraId="125CAB4A">
            <w:pPr>
              <w:jc w:val="center"/>
              <w:rPr>
                <w:rFonts w:hint="eastAsia" w:ascii="宋体" w:hAnsi="宋体" w:eastAsia="宋体" w:cs="宋体"/>
                <w:sz w:val="22"/>
                <w:highlight w:val="none"/>
              </w:rPr>
            </w:pPr>
          </w:p>
        </w:tc>
        <w:tc>
          <w:tcPr>
            <w:tcW w:w="2634" w:type="dxa"/>
            <w:vAlign w:val="center"/>
          </w:tcPr>
          <w:p w14:paraId="6942A36B">
            <w:pPr>
              <w:jc w:val="center"/>
              <w:rPr>
                <w:rFonts w:hint="eastAsia" w:ascii="宋体" w:hAnsi="宋体" w:eastAsia="宋体" w:cs="宋体"/>
                <w:sz w:val="22"/>
                <w:highlight w:val="none"/>
              </w:rPr>
            </w:pPr>
          </w:p>
        </w:tc>
        <w:tc>
          <w:tcPr>
            <w:tcW w:w="1210" w:type="dxa"/>
            <w:gridSpan w:val="2"/>
            <w:vAlign w:val="center"/>
          </w:tcPr>
          <w:p w14:paraId="53D115D5">
            <w:pPr>
              <w:jc w:val="center"/>
              <w:rPr>
                <w:rFonts w:hint="eastAsia" w:ascii="宋体" w:hAnsi="宋体" w:eastAsia="宋体" w:cs="宋体"/>
                <w:sz w:val="22"/>
                <w:highlight w:val="none"/>
              </w:rPr>
            </w:pPr>
          </w:p>
        </w:tc>
        <w:tc>
          <w:tcPr>
            <w:tcW w:w="2323" w:type="dxa"/>
            <w:vAlign w:val="center"/>
          </w:tcPr>
          <w:p w14:paraId="17906876">
            <w:pPr>
              <w:jc w:val="center"/>
              <w:rPr>
                <w:rFonts w:hint="eastAsia" w:ascii="宋体" w:hAnsi="宋体" w:eastAsia="宋体" w:cs="宋体"/>
                <w:sz w:val="22"/>
                <w:highlight w:val="none"/>
              </w:rPr>
            </w:pPr>
          </w:p>
        </w:tc>
        <w:tc>
          <w:tcPr>
            <w:tcW w:w="1147" w:type="dxa"/>
            <w:vAlign w:val="center"/>
          </w:tcPr>
          <w:p w14:paraId="1CAA9A5C">
            <w:pPr>
              <w:jc w:val="center"/>
              <w:rPr>
                <w:rFonts w:hint="eastAsia" w:ascii="宋体" w:hAnsi="宋体" w:eastAsia="宋体" w:cs="宋体"/>
                <w:sz w:val="22"/>
                <w:highlight w:val="none"/>
              </w:rPr>
            </w:pPr>
          </w:p>
        </w:tc>
      </w:tr>
      <w:tr w14:paraId="0A184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4B546044">
            <w:pPr>
              <w:jc w:val="center"/>
              <w:rPr>
                <w:rFonts w:hint="eastAsia" w:ascii="宋体" w:hAnsi="宋体" w:eastAsia="宋体" w:cs="宋体"/>
                <w:sz w:val="22"/>
                <w:highlight w:val="none"/>
              </w:rPr>
            </w:pPr>
          </w:p>
        </w:tc>
        <w:tc>
          <w:tcPr>
            <w:tcW w:w="1115" w:type="dxa"/>
            <w:vAlign w:val="center"/>
          </w:tcPr>
          <w:p w14:paraId="29EE91E2">
            <w:pPr>
              <w:jc w:val="center"/>
              <w:rPr>
                <w:rFonts w:hint="eastAsia" w:ascii="宋体" w:hAnsi="宋体" w:eastAsia="宋体" w:cs="宋体"/>
                <w:sz w:val="22"/>
                <w:highlight w:val="none"/>
              </w:rPr>
            </w:pPr>
          </w:p>
        </w:tc>
        <w:tc>
          <w:tcPr>
            <w:tcW w:w="2634" w:type="dxa"/>
            <w:vAlign w:val="center"/>
          </w:tcPr>
          <w:p w14:paraId="49287C20">
            <w:pPr>
              <w:jc w:val="center"/>
              <w:rPr>
                <w:rFonts w:hint="eastAsia" w:ascii="宋体" w:hAnsi="宋体" w:eastAsia="宋体" w:cs="宋体"/>
                <w:sz w:val="22"/>
                <w:highlight w:val="none"/>
              </w:rPr>
            </w:pPr>
          </w:p>
        </w:tc>
        <w:tc>
          <w:tcPr>
            <w:tcW w:w="1210" w:type="dxa"/>
            <w:gridSpan w:val="2"/>
            <w:vAlign w:val="center"/>
          </w:tcPr>
          <w:p w14:paraId="74B9D1ED">
            <w:pPr>
              <w:jc w:val="center"/>
              <w:rPr>
                <w:rFonts w:hint="eastAsia" w:ascii="宋体" w:hAnsi="宋体" w:eastAsia="宋体" w:cs="宋体"/>
                <w:sz w:val="22"/>
                <w:highlight w:val="none"/>
              </w:rPr>
            </w:pPr>
          </w:p>
        </w:tc>
        <w:tc>
          <w:tcPr>
            <w:tcW w:w="2323" w:type="dxa"/>
            <w:vAlign w:val="center"/>
          </w:tcPr>
          <w:p w14:paraId="1A2FF0B9">
            <w:pPr>
              <w:jc w:val="center"/>
              <w:rPr>
                <w:rFonts w:hint="eastAsia" w:ascii="宋体" w:hAnsi="宋体" w:eastAsia="宋体" w:cs="宋体"/>
                <w:sz w:val="22"/>
                <w:highlight w:val="none"/>
              </w:rPr>
            </w:pPr>
          </w:p>
        </w:tc>
        <w:tc>
          <w:tcPr>
            <w:tcW w:w="1147" w:type="dxa"/>
            <w:vAlign w:val="center"/>
          </w:tcPr>
          <w:p w14:paraId="6DA7F289">
            <w:pPr>
              <w:jc w:val="center"/>
              <w:rPr>
                <w:rFonts w:hint="eastAsia" w:ascii="宋体" w:hAnsi="宋体" w:eastAsia="宋体" w:cs="宋体"/>
                <w:sz w:val="22"/>
                <w:highlight w:val="none"/>
              </w:rPr>
            </w:pPr>
          </w:p>
        </w:tc>
      </w:tr>
      <w:tr w14:paraId="19975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706BEFC">
            <w:pPr>
              <w:jc w:val="center"/>
              <w:rPr>
                <w:rFonts w:hint="eastAsia" w:ascii="宋体" w:hAnsi="宋体" w:eastAsia="宋体" w:cs="宋体"/>
                <w:sz w:val="22"/>
                <w:highlight w:val="none"/>
              </w:rPr>
            </w:pPr>
          </w:p>
        </w:tc>
        <w:tc>
          <w:tcPr>
            <w:tcW w:w="1115" w:type="dxa"/>
            <w:vAlign w:val="center"/>
          </w:tcPr>
          <w:p w14:paraId="318E4177">
            <w:pPr>
              <w:jc w:val="center"/>
              <w:rPr>
                <w:rFonts w:hint="eastAsia" w:ascii="宋体" w:hAnsi="宋体" w:eastAsia="宋体" w:cs="宋体"/>
                <w:sz w:val="22"/>
                <w:highlight w:val="none"/>
              </w:rPr>
            </w:pPr>
          </w:p>
        </w:tc>
        <w:tc>
          <w:tcPr>
            <w:tcW w:w="2634" w:type="dxa"/>
            <w:vAlign w:val="center"/>
          </w:tcPr>
          <w:p w14:paraId="70DE4A17">
            <w:pPr>
              <w:jc w:val="center"/>
              <w:rPr>
                <w:rFonts w:hint="eastAsia" w:ascii="宋体" w:hAnsi="宋体" w:eastAsia="宋体" w:cs="宋体"/>
                <w:sz w:val="22"/>
                <w:highlight w:val="none"/>
              </w:rPr>
            </w:pPr>
          </w:p>
        </w:tc>
        <w:tc>
          <w:tcPr>
            <w:tcW w:w="1210" w:type="dxa"/>
            <w:gridSpan w:val="2"/>
            <w:vAlign w:val="center"/>
          </w:tcPr>
          <w:p w14:paraId="215AA669">
            <w:pPr>
              <w:jc w:val="center"/>
              <w:rPr>
                <w:rFonts w:hint="eastAsia" w:ascii="宋体" w:hAnsi="宋体" w:eastAsia="宋体" w:cs="宋体"/>
                <w:sz w:val="22"/>
                <w:highlight w:val="none"/>
              </w:rPr>
            </w:pPr>
          </w:p>
        </w:tc>
        <w:tc>
          <w:tcPr>
            <w:tcW w:w="2323" w:type="dxa"/>
            <w:vAlign w:val="center"/>
          </w:tcPr>
          <w:p w14:paraId="6ADC70DC">
            <w:pPr>
              <w:jc w:val="center"/>
              <w:rPr>
                <w:rFonts w:hint="eastAsia" w:ascii="宋体" w:hAnsi="宋体" w:eastAsia="宋体" w:cs="宋体"/>
                <w:sz w:val="22"/>
                <w:highlight w:val="none"/>
              </w:rPr>
            </w:pPr>
          </w:p>
        </w:tc>
        <w:tc>
          <w:tcPr>
            <w:tcW w:w="1147" w:type="dxa"/>
            <w:vAlign w:val="center"/>
          </w:tcPr>
          <w:p w14:paraId="421E1081">
            <w:pPr>
              <w:jc w:val="center"/>
              <w:rPr>
                <w:rFonts w:hint="eastAsia" w:ascii="宋体" w:hAnsi="宋体" w:eastAsia="宋体" w:cs="宋体"/>
                <w:sz w:val="22"/>
                <w:highlight w:val="none"/>
              </w:rPr>
            </w:pPr>
          </w:p>
        </w:tc>
      </w:tr>
      <w:tr w14:paraId="7D9B6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6C159316">
            <w:pPr>
              <w:jc w:val="center"/>
              <w:rPr>
                <w:rFonts w:hint="eastAsia" w:ascii="宋体" w:hAnsi="宋体" w:eastAsia="宋体" w:cs="宋体"/>
                <w:sz w:val="22"/>
                <w:highlight w:val="none"/>
              </w:rPr>
            </w:pPr>
          </w:p>
        </w:tc>
        <w:tc>
          <w:tcPr>
            <w:tcW w:w="1115" w:type="dxa"/>
            <w:vAlign w:val="center"/>
          </w:tcPr>
          <w:p w14:paraId="1605B2EF">
            <w:pPr>
              <w:jc w:val="center"/>
              <w:rPr>
                <w:rFonts w:hint="eastAsia" w:ascii="宋体" w:hAnsi="宋体" w:eastAsia="宋体" w:cs="宋体"/>
                <w:sz w:val="22"/>
                <w:highlight w:val="none"/>
              </w:rPr>
            </w:pPr>
          </w:p>
        </w:tc>
        <w:tc>
          <w:tcPr>
            <w:tcW w:w="2634" w:type="dxa"/>
            <w:vAlign w:val="center"/>
          </w:tcPr>
          <w:p w14:paraId="186F6D9B">
            <w:pPr>
              <w:jc w:val="center"/>
              <w:rPr>
                <w:rFonts w:hint="eastAsia" w:ascii="宋体" w:hAnsi="宋体" w:eastAsia="宋体" w:cs="宋体"/>
                <w:sz w:val="22"/>
                <w:highlight w:val="none"/>
              </w:rPr>
            </w:pPr>
          </w:p>
        </w:tc>
        <w:tc>
          <w:tcPr>
            <w:tcW w:w="1210" w:type="dxa"/>
            <w:gridSpan w:val="2"/>
            <w:vAlign w:val="center"/>
          </w:tcPr>
          <w:p w14:paraId="186399D1">
            <w:pPr>
              <w:jc w:val="center"/>
              <w:rPr>
                <w:rFonts w:hint="eastAsia" w:ascii="宋体" w:hAnsi="宋体" w:eastAsia="宋体" w:cs="宋体"/>
                <w:sz w:val="22"/>
                <w:highlight w:val="none"/>
              </w:rPr>
            </w:pPr>
          </w:p>
        </w:tc>
        <w:tc>
          <w:tcPr>
            <w:tcW w:w="2323" w:type="dxa"/>
            <w:vAlign w:val="center"/>
          </w:tcPr>
          <w:p w14:paraId="09F41882">
            <w:pPr>
              <w:jc w:val="center"/>
              <w:rPr>
                <w:rFonts w:hint="eastAsia" w:ascii="宋体" w:hAnsi="宋体" w:eastAsia="宋体" w:cs="宋体"/>
                <w:sz w:val="22"/>
                <w:highlight w:val="none"/>
              </w:rPr>
            </w:pPr>
          </w:p>
        </w:tc>
        <w:tc>
          <w:tcPr>
            <w:tcW w:w="1147" w:type="dxa"/>
            <w:vAlign w:val="center"/>
          </w:tcPr>
          <w:p w14:paraId="464F1C77">
            <w:pPr>
              <w:jc w:val="center"/>
              <w:rPr>
                <w:rFonts w:hint="eastAsia" w:ascii="宋体" w:hAnsi="宋体" w:eastAsia="宋体" w:cs="宋体"/>
                <w:sz w:val="22"/>
                <w:highlight w:val="none"/>
              </w:rPr>
            </w:pPr>
          </w:p>
        </w:tc>
      </w:tr>
      <w:tr w14:paraId="3EDEB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1509E11B">
            <w:pPr>
              <w:jc w:val="center"/>
              <w:rPr>
                <w:rFonts w:hint="eastAsia" w:ascii="宋体" w:hAnsi="宋体" w:eastAsia="宋体" w:cs="宋体"/>
                <w:sz w:val="22"/>
                <w:highlight w:val="none"/>
              </w:rPr>
            </w:pPr>
          </w:p>
        </w:tc>
        <w:tc>
          <w:tcPr>
            <w:tcW w:w="1115" w:type="dxa"/>
            <w:vAlign w:val="center"/>
          </w:tcPr>
          <w:p w14:paraId="6942E4FF">
            <w:pPr>
              <w:jc w:val="center"/>
              <w:rPr>
                <w:rFonts w:hint="eastAsia" w:ascii="宋体" w:hAnsi="宋体" w:eastAsia="宋体" w:cs="宋体"/>
                <w:sz w:val="22"/>
                <w:highlight w:val="none"/>
              </w:rPr>
            </w:pPr>
          </w:p>
        </w:tc>
        <w:tc>
          <w:tcPr>
            <w:tcW w:w="2634" w:type="dxa"/>
            <w:vAlign w:val="center"/>
          </w:tcPr>
          <w:p w14:paraId="6EF60D17">
            <w:pPr>
              <w:jc w:val="center"/>
              <w:rPr>
                <w:rFonts w:hint="eastAsia" w:ascii="宋体" w:hAnsi="宋体" w:eastAsia="宋体" w:cs="宋体"/>
                <w:sz w:val="22"/>
                <w:highlight w:val="none"/>
              </w:rPr>
            </w:pPr>
          </w:p>
        </w:tc>
        <w:tc>
          <w:tcPr>
            <w:tcW w:w="1210" w:type="dxa"/>
            <w:gridSpan w:val="2"/>
            <w:vAlign w:val="center"/>
          </w:tcPr>
          <w:p w14:paraId="4791EB19">
            <w:pPr>
              <w:jc w:val="center"/>
              <w:rPr>
                <w:rFonts w:hint="eastAsia" w:ascii="宋体" w:hAnsi="宋体" w:eastAsia="宋体" w:cs="宋体"/>
                <w:sz w:val="22"/>
                <w:highlight w:val="none"/>
              </w:rPr>
            </w:pPr>
          </w:p>
        </w:tc>
        <w:tc>
          <w:tcPr>
            <w:tcW w:w="2323" w:type="dxa"/>
            <w:vAlign w:val="center"/>
          </w:tcPr>
          <w:p w14:paraId="17646EB5">
            <w:pPr>
              <w:jc w:val="center"/>
              <w:rPr>
                <w:rFonts w:hint="eastAsia" w:ascii="宋体" w:hAnsi="宋体" w:eastAsia="宋体" w:cs="宋体"/>
                <w:sz w:val="22"/>
                <w:highlight w:val="none"/>
              </w:rPr>
            </w:pPr>
          </w:p>
        </w:tc>
        <w:tc>
          <w:tcPr>
            <w:tcW w:w="1147" w:type="dxa"/>
            <w:vAlign w:val="center"/>
          </w:tcPr>
          <w:p w14:paraId="5AD48982">
            <w:pPr>
              <w:jc w:val="center"/>
              <w:rPr>
                <w:rFonts w:hint="eastAsia" w:ascii="宋体" w:hAnsi="宋体" w:eastAsia="宋体" w:cs="宋体"/>
                <w:sz w:val="22"/>
                <w:highlight w:val="none"/>
              </w:rPr>
            </w:pPr>
          </w:p>
        </w:tc>
      </w:tr>
      <w:tr w14:paraId="413B1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A3F27FD">
            <w:pPr>
              <w:jc w:val="center"/>
              <w:rPr>
                <w:rFonts w:hint="eastAsia" w:ascii="宋体" w:hAnsi="宋体" w:eastAsia="宋体" w:cs="宋体"/>
                <w:sz w:val="22"/>
                <w:highlight w:val="none"/>
              </w:rPr>
            </w:pPr>
          </w:p>
        </w:tc>
        <w:tc>
          <w:tcPr>
            <w:tcW w:w="1115" w:type="dxa"/>
            <w:vAlign w:val="center"/>
          </w:tcPr>
          <w:p w14:paraId="00821CC1">
            <w:pPr>
              <w:jc w:val="center"/>
              <w:rPr>
                <w:rFonts w:hint="eastAsia" w:ascii="宋体" w:hAnsi="宋体" w:eastAsia="宋体" w:cs="宋体"/>
                <w:sz w:val="22"/>
                <w:highlight w:val="none"/>
              </w:rPr>
            </w:pPr>
          </w:p>
        </w:tc>
        <w:tc>
          <w:tcPr>
            <w:tcW w:w="2634" w:type="dxa"/>
            <w:vAlign w:val="center"/>
          </w:tcPr>
          <w:p w14:paraId="143FEB39">
            <w:pPr>
              <w:jc w:val="center"/>
              <w:rPr>
                <w:rFonts w:hint="eastAsia" w:ascii="宋体" w:hAnsi="宋体" w:eastAsia="宋体" w:cs="宋体"/>
                <w:sz w:val="22"/>
                <w:highlight w:val="none"/>
              </w:rPr>
            </w:pPr>
          </w:p>
        </w:tc>
        <w:tc>
          <w:tcPr>
            <w:tcW w:w="1210" w:type="dxa"/>
            <w:gridSpan w:val="2"/>
            <w:vAlign w:val="center"/>
          </w:tcPr>
          <w:p w14:paraId="5D7DCE04">
            <w:pPr>
              <w:jc w:val="center"/>
              <w:rPr>
                <w:rFonts w:hint="eastAsia" w:ascii="宋体" w:hAnsi="宋体" w:eastAsia="宋体" w:cs="宋体"/>
                <w:sz w:val="22"/>
                <w:highlight w:val="none"/>
              </w:rPr>
            </w:pPr>
          </w:p>
        </w:tc>
        <w:tc>
          <w:tcPr>
            <w:tcW w:w="2323" w:type="dxa"/>
            <w:vAlign w:val="center"/>
          </w:tcPr>
          <w:p w14:paraId="694E5520">
            <w:pPr>
              <w:jc w:val="center"/>
              <w:rPr>
                <w:rFonts w:hint="eastAsia" w:ascii="宋体" w:hAnsi="宋体" w:eastAsia="宋体" w:cs="宋体"/>
                <w:sz w:val="22"/>
                <w:highlight w:val="none"/>
              </w:rPr>
            </w:pPr>
          </w:p>
        </w:tc>
        <w:tc>
          <w:tcPr>
            <w:tcW w:w="1147" w:type="dxa"/>
            <w:vAlign w:val="center"/>
          </w:tcPr>
          <w:p w14:paraId="3E3CFB5C">
            <w:pPr>
              <w:jc w:val="center"/>
              <w:rPr>
                <w:rFonts w:hint="eastAsia" w:ascii="宋体" w:hAnsi="宋体" w:eastAsia="宋体" w:cs="宋体"/>
                <w:sz w:val="22"/>
                <w:highlight w:val="none"/>
              </w:rPr>
            </w:pPr>
          </w:p>
        </w:tc>
      </w:tr>
      <w:tr w14:paraId="64488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25CA463E">
            <w:pPr>
              <w:jc w:val="center"/>
              <w:rPr>
                <w:rFonts w:hint="eastAsia" w:ascii="宋体" w:hAnsi="宋体" w:eastAsia="宋体" w:cs="宋体"/>
                <w:sz w:val="22"/>
                <w:highlight w:val="none"/>
              </w:rPr>
            </w:pPr>
          </w:p>
        </w:tc>
        <w:tc>
          <w:tcPr>
            <w:tcW w:w="1115" w:type="dxa"/>
            <w:vAlign w:val="center"/>
          </w:tcPr>
          <w:p w14:paraId="70408FC3">
            <w:pPr>
              <w:jc w:val="center"/>
              <w:rPr>
                <w:rFonts w:hint="eastAsia" w:ascii="宋体" w:hAnsi="宋体" w:eastAsia="宋体" w:cs="宋体"/>
                <w:sz w:val="22"/>
                <w:highlight w:val="none"/>
              </w:rPr>
            </w:pPr>
          </w:p>
        </w:tc>
        <w:tc>
          <w:tcPr>
            <w:tcW w:w="2634" w:type="dxa"/>
            <w:vAlign w:val="center"/>
          </w:tcPr>
          <w:p w14:paraId="1A0E46C4">
            <w:pPr>
              <w:jc w:val="center"/>
              <w:rPr>
                <w:rFonts w:hint="eastAsia" w:ascii="宋体" w:hAnsi="宋体" w:eastAsia="宋体" w:cs="宋体"/>
                <w:sz w:val="22"/>
                <w:highlight w:val="none"/>
              </w:rPr>
            </w:pPr>
          </w:p>
        </w:tc>
        <w:tc>
          <w:tcPr>
            <w:tcW w:w="1210" w:type="dxa"/>
            <w:gridSpan w:val="2"/>
            <w:vAlign w:val="center"/>
          </w:tcPr>
          <w:p w14:paraId="2F3F3D3D">
            <w:pPr>
              <w:jc w:val="center"/>
              <w:rPr>
                <w:rFonts w:hint="eastAsia" w:ascii="宋体" w:hAnsi="宋体" w:eastAsia="宋体" w:cs="宋体"/>
                <w:sz w:val="22"/>
                <w:highlight w:val="none"/>
              </w:rPr>
            </w:pPr>
          </w:p>
        </w:tc>
        <w:tc>
          <w:tcPr>
            <w:tcW w:w="2323" w:type="dxa"/>
            <w:vAlign w:val="center"/>
          </w:tcPr>
          <w:p w14:paraId="2F1A9944">
            <w:pPr>
              <w:jc w:val="center"/>
              <w:rPr>
                <w:rFonts w:hint="eastAsia" w:ascii="宋体" w:hAnsi="宋体" w:eastAsia="宋体" w:cs="宋体"/>
                <w:sz w:val="22"/>
                <w:highlight w:val="none"/>
              </w:rPr>
            </w:pPr>
          </w:p>
        </w:tc>
        <w:tc>
          <w:tcPr>
            <w:tcW w:w="1147" w:type="dxa"/>
            <w:vAlign w:val="center"/>
          </w:tcPr>
          <w:p w14:paraId="6F2FC989">
            <w:pPr>
              <w:jc w:val="center"/>
              <w:rPr>
                <w:rFonts w:hint="eastAsia" w:ascii="宋体" w:hAnsi="宋体" w:eastAsia="宋体" w:cs="宋体"/>
                <w:sz w:val="22"/>
                <w:highlight w:val="none"/>
              </w:rPr>
            </w:pPr>
          </w:p>
        </w:tc>
      </w:tr>
      <w:tr w14:paraId="1BC0D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14:paraId="62CB6BCD">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14:paraId="6EACF45F">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14:paraId="73DD6597">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14:paraId="5A0F7511">
            <w:pPr>
              <w:jc w:val="center"/>
              <w:rPr>
                <w:rFonts w:hint="eastAsia" w:ascii="宋体" w:hAnsi="宋体" w:eastAsia="宋体" w:cs="宋体"/>
                <w:sz w:val="22"/>
                <w:highlight w:val="none"/>
              </w:rPr>
            </w:pPr>
          </w:p>
        </w:tc>
      </w:tr>
      <w:tr w14:paraId="4F981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14:paraId="722012C6">
            <w:pPr>
              <w:jc w:val="center"/>
              <w:rPr>
                <w:rFonts w:hint="eastAsia" w:ascii="宋体" w:hAnsi="宋体" w:eastAsia="宋体" w:cs="宋体"/>
                <w:sz w:val="22"/>
                <w:highlight w:val="none"/>
              </w:rPr>
            </w:pPr>
          </w:p>
        </w:tc>
        <w:tc>
          <w:tcPr>
            <w:tcW w:w="1115" w:type="dxa"/>
            <w:vAlign w:val="center"/>
          </w:tcPr>
          <w:p w14:paraId="2DC93476">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14:paraId="4050F895">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96" w:type="dxa"/>
            <w:vAlign w:val="center"/>
          </w:tcPr>
          <w:p w14:paraId="31A1BC9F">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gridSpan w:val="2"/>
            <w:vAlign w:val="center"/>
          </w:tcPr>
          <w:p w14:paraId="5AA246FD">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14:paraId="02141035">
            <w:pPr>
              <w:autoSpaceDE w:val="0"/>
              <w:autoSpaceDN w:val="0"/>
              <w:adjustRightInd w:val="0"/>
              <w:jc w:val="center"/>
              <w:rPr>
                <w:rFonts w:hint="eastAsia" w:ascii="宋体" w:hAnsi="宋体" w:eastAsia="宋体" w:cs="宋体"/>
                <w:sz w:val="22"/>
                <w:highlight w:val="none"/>
              </w:rPr>
            </w:pPr>
          </w:p>
        </w:tc>
      </w:tr>
      <w:tr w14:paraId="000F8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14:paraId="5B0CC987">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商  务  偏  离</w:t>
            </w:r>
          </w:p>
        </w:tc>
        <w:tc>
          <w:tcPr>
            <w:tcW w:w="1115" w:type="dxa"/>
            <w:vAlign w:val="center"/>
          </w:tcPr>
          <w:p w14:paraId="5736633B">
            <w:pPr>
              <w:jc w:val="center"/>
              <w:rPr>
                <w:rFonts w:hint="eastAsia" w:ascii="宋体" w:hAnsi="宋体" w:eastAsia="宋体" w:cs="宋体"/>
                <w:sz w:val="22"/>
                <w:highlight w:val="none"/>
              </w:rPr>
            </w:pPr>
          </w:p>
        </w:tc>
        <w:tc>
          <w:tcPr>
            <w:tcW w:w="2634" w:type="dxa"/>
            <w:vAlign w:val="center"/>
          </w:tcPr>
          <w:p w14:paraId="17307346">
            <w:pPr>
              <w:jc w:val="center"/>
              <w:rPr>
                <w:rFonts w:hint="eastAsia" w:ascii="宋体" w:hAnsi="宋体" w:eastAsia="宋体" w:cs="宋体"/>
                <w:sz w:val="22"/>
                <w:highlight w:val="none"/>
              </w:rPr>
            </w:pPr>
          </w:p>
        </w:tc>
        <w:tc>
          <w:tcPr>
            <w:tcW w:w="1196" w:type="dxa"/>
            <w:vAlign w:val="center"/>
          </w:tcPr>
          <w:p w14:paraId="3F579E0D">
            <w:pPr>
              <w:jc w:val="center"/>
              <w:rPr>
                <w:rFonts w:hint="eastAsia" w:ascii="宋体" w:hAnsi="宋体" w:eastAsia="宋体" w:cs="宋体"/>
                <w:sz w:val="22"/>
                <w:highlight w:val="none"/>
              </w:rPr>
            </w:pPr>
          </w:p>
        </w:tc>
        <w:tc>
          <w:tcPr>
            <w:tcW w:w="2337" w:type="dxa"/>
            <w:gridSpan w:val="2"/>
            <w:vAlign w:val="center"/>
          </w:tcPr>
          <w:p w14:paraId="3F6772B4">
            <w:pPr>
              <w:jc w:val="center"/>
              <w:rPr>
                <w:rFonts w:hint="eastAsia" w:ascii="宋体" w:hAnsi="宋体" w:eastAsia="宋体" w:cs="宋体"/>
                <w:sz w:val="22"/>
                <w:highlight w:val="none"/>
              </w:rPr>
            </w:pPr>
          </w:p>
        </w:tc>
        <w:tc>
          <w:tcPr>
            <w:tcW w:w="1147" w:type="dxa"/>
            <w:vAlign w:val="center"/>
          </w:tcPr>
          <w:p w14:paraId="503DF0DD">
            <w:pPr>
              <w:jc w:val="center"/>
              <w:rPr>
                <w:rFonts w:hint="eastAsia" w:ascii="宋体" w:hAnsi="宋体" w:eastAsia="宋体" w:cs="宋体"/>
                <w:sz w:val="22"/>
                <w:highlight w:val="none"/>
              </w:rPr>
            </w:pPr>
          </w:p>
        </w:tc>
      </w:tr>
      <w:tr w14:paraId="72D2A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2F9C9A3F">
            <w:pPr>
              <w:jc w:val="center"/>
              <w:rPr>
                <w:rFonts w:hint="eastAsia" w:ascii="宋体" w:hAnsi="宋体" w:eastAsia="宋体" w:cs="宋体"/>
                <w:sz w:val="22"/>
                <w:highlight w:val="none"/>
              </w:rPr>
            </w:pPr>
          </w:p>
        </w:tc>
        <w:tc>
          <w:tcPr>
            <w:tcW w:w="1115" w:type="dxa"/>
            <w:vAlign w:val="center"/>
          </w:tcPr>
          <w:p w14:paraId="6BC53237">
            <w:pPr>
              <w:jc w:val="center"/>
              <w:rPr>
                <w:rFonts w:hint="eastAsia" w:ascii="宋体" w:hAnsi="宋体" w:eastAsia="宋体" w:cs="宋体"/>
                <w:sz w:val="22"/>
                <w:highlight w:val="none"/>
              </w:rPr>
            </w:pPr>
          </w:p>
        </w:tc>
        <w:tc>
          <w:tcPr>
            <w:tcW w:w="2634" w:type="dxa"/>
            <w:vAlign w:val="center"/>
          </w:tcPr>
          <w:p w14:paraId="7FDAAFF4">
            <w:pPr>
              <w:jc w:val="center"/>
              <w:rPr>
                <w:rFonts w:hint="eastAsia" w:ascii="宋体" w:hAnsi="宋体" w:eastAsia="宋体" w:cs="宋体"/>
                <w:sz w:val="22"/>
                <w:highlight w:val="none"/>
              </w:rPr>
            </w:pPr>
          </w:p>
        </w:tc>
        <w:tc>
          <w:tcPr>
            <w:tcW w:w="1196" w:type="dxa"/>
            <w:vAlign w:val="center"/>
          </w:tcPr>
          <w:p w14:paraId="41F31A4B">
            <w:pPr>
              <w:jc w:val="center"/>
              <w:rPr>
                <w:rFonts w:hint="eastAsia" w:ascii="宋体" w:hAnsi="宋体" w:eastAsia="宋体" w:cs="宋体"/>
                <w:sz w:val="22"/>
                <w:highlight w:val="none"/>
              </w:rPr>
            </w:pPr>
          </w:p>
        </w:tc>
        <w:tc>
          <w:tcPr>
            <w:tcW w:w="2337" w:type="dxa"/>
            <w:gridSpan w:val="2"/>
            <w:vAlign w:val="center"/>
          </w:tcPr>
          <w:p w14:paraId="51AA1C07">
            <w:pPr>
              <w:jc w:val="center"/>
              <w:rPr>
                <w:rFonts w:hint="eastAsia" w:ascii="宋体" w:hAnsi="宋体" w:eastAsia="宋体" w:cs="宋体"/>
                <w:sz w:val="22"/>
                <w:highlight w:val="none"/>
              </w:rPr>
            </w:pPr>
          </w:p>
        </w:tc>
        <w:tc>
          <w:tcPr>
            <w:tcW w:w="1147" w:type="dxa"/>
            <w:vAlign w:val="center"/>
          </w:tcPr>
          <w:p w14:paraId="7317347C">
            <w:pPr>
              <w:jc w:val="center"/>
              <w:rPr>
                <w:rFonts w:hint="eastAsia" w:ascii="宋体" w:hAnsi="宋体" w:eastAsia="宋体" w:cs="宋体"/>
                <w:sz w:val="22"/>
                <w:highlight w:val="none"/>
              </w:rPr>
            </w:pPr>
          </w:p>
        </w:tc>
      </w:tr>
      <w:tr w14:paraId="77900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40B0AFA6">
            <w:pPr>
              <w:jc w:val="center"/>
              <w:rPr>
                <w:rFonts w:hint="eastAsia" w:ascii="宋体" w:hAnsi="宋体" w:eastAsia="宋体" w:cs="宋体"/>
                <w:sz w:val="22"/>
                <w:highlight w:val="none"/>
              </w:rPr>
            </w:pPr>
          </w:p>
        </w:tc>
        <w:tc>
          <w:tcPr>
            <w:tcW w:w="1115" w:type="dxa"/>
            <w:vAlign w:val="center"/>
          </w:tcPr>
          <w:p w14:paraId="76C13890">
            <w:pPr>
              <w:jc w:val="center"/>
              <w:rPr>
                <w:rFonts w:hint="eastAsia" w:ascii="宋体" w:hAnsi="宋体" w:eastAsia="宋体" w:cs="宋体"/>
                <w:sz w:val="22"/>
                <w:highlight w:val="none"/>
              </w:rPr>
            </w:pPr>
          </w:p>
        </w:tc>
        <w:tc>
          <w:tcPr>
            <w:tcW w:w="2634" w:type="dxa"/>
            <w:vAlign w:val="center"/>
          </w:tcPr>
          <w:p w14:paraId="174B6762">
            <w:pPr>
              <w:jc w:val="center"/>
              <w:rPr>
                <w:rFonts w:hint="eastAsia" w:ascii="宋体" w:hAnsi="宋体" w:eastAsia="宋体" w:cs="宋体"/>
                <w:sz w:val="22"/>
                <w:highlight w:val="none"/>
              </w:rPr>
            </w:pPr>
          </w:p>
        </w:tc>
        <w:tc>
          <w:tcPr>
            <w:tcW w:w="1196" w:type="dxa"/>
            <w:vAlign w:val="center"/>
          </w:tcPr>
          <w:p w14:paraId="74D35090">
            <w:pPr>
              <w:jc w:val="center"/>
              <w:rPr>
                <w:rFonts w:hint="eastAsia" w:ascii="宋体" w:hAnsi="宋体" w:eastAsia="宋体" w:cs="宋体"/>
                <w:sz w:val="22"/>
                <w:highlight w:val="none"/>
              </w:rPr>
            </w:pPr>
          </w:p>
        </w:tc>
        <w:tc>
          <w:tcPr>
            <w:tcW w:w="2337" w:type="dxa"/>
            <w:gridSpan w:val="2"/>
            <w:vAlign w:val="center"/>
          </w:tcPr>
          <w:p w14:paraId="53C4021E">
            <w:pPr>
              <w:jc w:val="center"/>
              <w:rPr>
                <w:rFonts w:hint="eastAsia" w:ascii="宋体" w:hAnsi="宋体" w:eastAsia="宋体" w:cs="宋体"/>
                <w:sz w:val="22"/>
                <w:highlight w:val="none"/>
              </w:rPr>
            </w:pPr>
          </w:p>
        </w:tc>
        <w:tc>
          <w:tcPr>
            <w:tcW w:w="1147" w:type="dxa"/>
            <w:vAlign w:val="center"/>
          </w:tcPr>
          <w:p w14:paraId="3DABFFA9">
            <w:pPr>
              <w:jc w:val="center"/>
              <w:rPr>
                <w:rFonts w:hint="eastAsia" w:ascii="宋体" w:hAnsi="宋体" w:eastAsia="宋体" w:cs="宋体"/>
                <w:sz w:val="22"/>
                <w:highlight w:val="none"/>
              </w:rPr>
            </w:pPr>
          </w:p>
        </w:tc>
      </w:tr>
      <w:tr w14:paraId="259CD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03CCE8E2">
            <w:pPr>
              <w:jc w:val="center"/>
              <w:rPr>
                <w:rFonts w:hint="eastAsia" w:ascii="宋体" w:hAnsi="宋体" w:eastAsia="宋体" w:cs="宋体"/>
                <w:sz w:val="22"/>
                <w:highlight w:val="none"/>
              </w:rPr>
            </w:pPr>
          </w:p>
        </w:tc>
        <w:tc>
          <w:tcPr>
            <w:tcW w:w="1115" w:type="dxa"/>
            <w:vAlign w:val="center"/>
          </w:tcPr>
          <w:p w14:paraId="0573EF97">
            <w:pPr>
              <w:jc w:val="center"/>
              <w:rPr>
                <w:rFonts w:hint="eastAsia" w:ascii="宋体" w:hAnsi="宋体" w:eastAsia="宋体" w:cs="宋体"/>
                <w:sz w:val="22"/>
                <w:highlight w:val="none"/>
              </w:rPr>
            </w:pPr>
          </w:p>
        </w:tc>
        <w:tc>
          <w:tcPr>
            <w:tcW w:w="2634" w:type="dxa"/>
            <w:vAlign w:val="center"/>
          </w:tcPr>
          <w:p w14:paraId="5C071414">
            <w:pPr>
              <w:jc w:val="center"/>
              <w:rPr>
                <w:rFonts w:hint="eastAsia" w:ascii="宋体" w:hAnsi="宋体" w:eastAsia="宋体" w:cs="宋体"/>
                <w:sz w:val="22"/>
                <w:highlight w:val="none"/>
              </w:rPr>
            </w:pPr>
          </w:p>
        </w:tc>
        <w:tc>
          <w:tcPr>
            <w:tcW w:w="1196" w:type="dxa"/>
            <w:vAlign w:val="center"/>
          </w:tcPr>
          <w:p w14:paraId="3B4478C1">
            <w:pPr>
              <w:jc w:val="center"/>
              <w:rPr>
                <w:rFonts w:hint="eastAsia" w:ascii="宋体" w:hAnsi="宋体" w:eastAsia="宋体" w:cs="宋体"/>
                <w:sz w:val="22"/>
                <w:highlight w:val="none"/>
              </w:rPr>
            </w:pPr>
          </w:p>
        </w:tc>
        <w:tc>
          <w:tcPr>
            <w:tcW w:w="2337" w:type="dxa"/>
            <w:gridSpan w:val="2"/>
            <w:vAlign w:val="center"/>
          </w:tcPr>
          <w:p w14:paraId="3E6B2983">
            <w:pPr>
              <w:jc w:val="center"/>
              <w:rPr>
                <w:rFonts w:hint="eastAsia" w:ascii="宋体" w:hAnsi="宋体" w:eastAsia="宋体" w:cs="宋体"/>
                <w:sz w:val="22"/>
                <w:highlight w:val="none"/>
              </w:rPr>
            </w:pPr>
          </w:p>
        </w:tc>
        <w:tc>
          <w:tcPr>
            <w:tcW w:w="1147" w:type="dxa"/>
            <w:vAlign w:val="center"/>
          </w:tcPr>
          <w:p w14:paraId="079A5BF8">
            <w:pPr>
              <w:jc w:val="center"/>
              <w:rPr>
                <w:rFonts w:hint="eastAsia" w:ascii="宋体" w:hAnsi="宋体" w:eastAsia="宋体" w:cs="宋体"/>
                <w:sz w:val="22"/>
                <w:highlight w:val="none"/>
              </w:rPr>
            </w:pPr>
          </w:p>
        </w:tc>
      </w:tr>
      <w:tr w14:paraId="3C16F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44C275B2">
            <w:pPr>
              <w:jc w:val="center"/>
              <w:rPr>
                <w:rFonts w:hint="eastAsia" w:ascii="宋体" w:hAnsi="宋体" w:eastAsia="宋体" w:cs="宋体"/>
                <w:sz w:val="22"/>
                <w:highlight w:val="none"/>
              </w:rPr>
            </w:pPr>
          </w:p>
        </w:tc>
        <w:tc>
          <w:tcPr>
            <w:tcW w:w="1115" w:type="dxa"/>
            <w:vAlign w:val="center"/>
          </w:tcPr>
          <w:p w14:paraId="302889A2">
            <w:pPr>
              <w:jc w:val="center"/>
              <w:rPr>
                <w:rFonts w:hint="eastAsia" w:ascii="宋体" w:hAnsi="宋体" w:eastAsia="宋体" w:cs="宋体"/>
                <w:sz w:val="22"/>
                <w:highlight w:val="none"/>
              </w:rPr>
            </w:pPr>
          </w:p>
        </w:tc>
        <w:tc>
          <w:tcPr>
            <w:tcW w:w="2634" w:type="dxa"/>
            <w:vAlign w:val="center"/>
          </w:tcPr>
          <w:p w14:paraId="66763C3C">
            <w:pPr>
              <w:jc w:val="center"/>
              <w:rPr>
                <w:rFonts w:hint="eastAsia" w:ascii="宋体" w:hAnsi="宋体" w:eastAsia="宋体" w:cs="宋体"/>
                <w:sz w:val="22"/>
                <w:highlight w:val="none"/>
              </w:rPr>
            </w:pPr>
          </w:p>
        </w:tc>
        <w:tc>
          <w:tcPr>
            <w:tcW w:w="1196" w:type="dxa"/>
            <w:vAlign w:val="center"/>
          </w:tcPr>
          <w:p w14:paraId="1EA993C2">
            <w:pPr>
              <w:jc w:val="center"/>
              <w:rPr>
                <w:rFonts w:hint="eastAsia" w:ascii="宋体" w:hAnsi="宋体" w:eastAsia="宋体" w:cs="宋体"/>
                <w:sz w:val="22"/>
                <w:highlight w:val="none"/>
              </w:rPr>
            </w:pPr>
          </w:p>
        </w:tc>
        <w:tc>
          <w:tcPr>
            <w:tcW w:w="2337" w:type="dxa"/>
            <w:gridSpan w:val="2"/>
            <w:vAlign w:val="center"/>
          </w:tcPr>
          <w:p w14:paraId="6603FBC0">
            <w:pPr>
              <w:jc w:val="center"/>
              <w:rPr>
                <w:rFonts w:hint="eastAsia" w:ascii="宋体" w:hAnsi="宋体" w:eastAsia="宋体" w:cs="宋体"/>
                <w:sz w:val="22"/>
                <w:highlight w:val="none"/>
              </w:rPr>
            </w:pPr>
          </w:p>
        </w:tc>
        <w:tc>
          <w:tcPr>
            <w:tcW w:w="1147" w:type="dxa"/>
            <w:vAlign w:val="center"/>
          </w:tcPr>
          <w:p w14:paraId="1B5529E4">
            <w:pPr>
              <w:jc w:val="center"/>
              <w:rPr>
                <w:rFonts w:hint="eastAsia" w:ascii="宋体" w:hAnsi="宋体" w:eastAsia="宋体" w:cs="宋体"/>
                <w:sz w:val="22"/>
                <w:highlight w:val="none"/>
              </w:rPr>
            </w:pPr>
          </w:p>
        </w:tc>
      </w:tr>
      <w:tr w14:paraId="5FC91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14:paraId="5BE4B91D">
            <w:pPr>
              <w:jc w:val="center"/>
              <w:rPr>
                <w:rFonts w:hint="eastAsia" w:ascii="宋体" w:hAnsi="宋体" w:eastAsia="宋体" w:cs="宋体"/>
                <w:sz w:val="22"/>
                <w:highlight w:val="none"/>
              </w:rPr>
            </w:pPr>
          </w:p>
        </w:tc>
        <w:tc>
          <w:tcPr>
            <w:tcW w:w="1115" w:type="dxa"/>
            <w:vAlign w:val="center"/>
          </w:tcPr>
          <w:p w14:paraId="21BCF0EB">
            <w:pPr>
              <w:jc w:val="center"/>
              <w:rPr>
                <w:rFonts w:hint="eastAsia" w:ascii="宋体" w:hAnsi="宋体" w:eastAsia="宋体" w:cs="宋体"/>
                <w:sz w:val="22"/>
                <w:highlight w:val="none"/>
              </w:rPr>
            </w:pPr>
          </w:p>
        </w:tc>
        <w:tc>
          <w:tcPr>
            <w:tcW w:w="2634" w:type="dxa"/>
            <w:vAlign w:val="center"/>
          </w:tcPr>
          <w:p w14:paraId="0E2CBD35">
            <w:pPr>
              <w:jc w:val="center"/>
              <w:rPr>
                <w:rFonts w:hint="eastAsia" w:ascii="宋体" w:hAnsi="宋体" w:eastAsia="宋体" w:cs="宋体"/>
                <w:sz w:val="22"/>
                <w:highlight w:val="none"/>
              </w:rPr>
            </w:pPr>
          </w:p>
        </w:tc>
        <w:tc>
          <w:tcPr>
            <w:tcW w:w="1196" w:type="dxa"/>
            <w:vAlign w:val="center"/>
          </w:tcPr>
          <w:p w14:paraId="1EB5E33F">
            <w:pPr>
              <w:jc w:val="center"/>
              <w:rPr>
                <w:rFonts w:hint="eastAsia" w:ascii="宋体" w:hAnsi="宋体" w:eastAsia="宋体" w:cs="宋体"/>
                <w:sz w:val="22"/>
                <w:highlight w:val="none"/>
              </w:rPr>
            </w:pPr>
          </w:p>
        </w:tc>
        <w:tc>
          <w:tcPr>
            <w:tcW w:w="2337" w:type="dxa"/>
            <w:gridSpan w:val="2"/>
            <w:vAlign w:val="center"/>
          </w:tcPr>
          <w:p w14:paraId="5AC3388C">
            <w:pPr>
              <w:jc w:val="center"/>
              <w:rPr>
                <w:rFonts w:hint="eastAsia" w:ascii="宋体" w:hAnsi="宋体" w:eastAsia="宋体" w:cs="宋体"/>
                <w:sz w:val="22"/>
                <w:highlight w:val="none"/>
              </w:rPr>
            </w:pPr>
          </w:p>
        </w:tc>
        <w:tc>
          <w:tcPr>
            <w:tcW w:w="1147" w:type="dxa"/>
            <w:vAlign w:val="center"/>
          </w:tcPr>
          <w:p w14:paraId="21FBFF76">
            <w:pPr>
              <w:jc w:val="center"/>
              <w:rPr>
                <w:rFonts w:hint="eastAsia" w:ascii="宋体" w:hAnsi="宋体" w:eastAsia="宋体" w:cs="宋体"/>
                <w:sz w:val="22"/>
                <w:highlight w:val="none"/>
              </w:rPr>
            </w:pPr>
          </w:p>
        </w:tc>
      </w:tr>
      <w:tr w14:paraId="03FC8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14:paraId="0C7FE59A">
            <w:pPr>
              <w:jc w:val="center"/>
              <w:rPr>
                <w:rFonts w:hint="eastAsia" w:ascii="宋体" w:hAnsi="宋体" w:eastAsia="宋体" w:cs="宋体"/>
                <w:sz w:val="22"/>
                <w:highlight w:val="none"/>
              </w:rPr>
            </w:pPr>
          </w:p>
        </w:tc>
        <w:tc>
          <w:tcPr>
            <w:tcW w:w="1115" w:type="dxa"/>
            <w:vAlign w:val="center"/>
          </w:tcPr>
          <w:p w14:paraId="61A6413A">
            <w:pPr>
              <w:jc w:val="center"/>
              <w:rPr>
                <w:rFonts w:hint="eastAsia" w:ascii="宋体" w:hAnsi="宋体" w:eastAsia="宋体" w:cs="宋体"/>
                <w:sz w:val="22"/>
                <w:highlight w:val="none"/>
              </w:rPr>
            </w:pPr>
          </w:p>
        </w:tc>
        <w:tc>
          <w:tcPr>
            <w:tcW w:w="2634" w:type="dxa"/>
            <w:vAlign w:val="center"/>
          </w:tcPr>
          <w:p w14:paraId="596C2F13">
            <w:pPr>
              <w:jc w:val="center"/>
              <w:rPr>
                <w:rFonts w:hint="eastAsia" w:ascii="宋体" w:hAnsi="宋体" w:eastAsia="宋体" w:cs="宋体"/>
                <w:sz w:val="22"/>
                <w:highlight w:val="none"/>
              </w:rPr>
            </w:pPr>
          </w:p>
        </w:tc>
        <w:tc>
          <w:tcPr>
            <w:tcW w:w="1196" w:type="dxa"/>
            <w:vAlign w:val="center"/>
          </w:tcPr>
          <w:p w14:paraId="1627622B">
            <w:pPr>
              <w:jc w:val="center"/>
              <w:rPr>
                <w:rFonts w:hint="eastAsia" w:ascii="宋体" w:hAnsi="宋体" w:eastAsia="宋体" w:cs="宋体"/>
                <w:sz w:val="22"/>
                <w:highlight w:val="none"/>
              </w:rPr>
            </w:pPr>
          </w:p>
        </w:tc>
        <w:tc>
          <w:tcPr>
            <w:tcW w:w="2337" w:type="dxa"/>
            <w:gridSpan w:val="2"/>
            <w:vAlign w:val="center"/>
          </w:tcPr>
          <w:p w14:paraId="5EC4AED8">
            <w:pPr>
              <w:jc w:val="center"/>
              <w:rPr>
                <w:rFonts w:hint="eastAsia" w:ascii="宋体" w:hAnsi="宋体" w:eastAsia="宋体" w:cs="宋体"/>
                <w:sz w:val="22"/>
                <w:highlight w:val="none"/>
              </w:rPr>
            </w:pPr>
          </w:p>
        </w:tc>
        <w:tc>
          <w:tcPr>
            <w:tcW w:w="1147" w:type="dxa"/>
            <w:vAlign w:val="center"/>
          </w:tcPr>
          <w:p w14:paraId="37E52223">
            <w:pPr>
              <w:jc w:val="center"/>
              <w:rPr>
                <w:rFonts w:hint="eastAsia" w:ascii="宋体" w:hAnsi="宋体" w:eastAsia="宋体" w:cs="宋体"/>
                <w:sz w:val="22"/>
                <w:highlight w:val="none"/>
              </w:rPr>
            </w:pPr>
          </w:p>
        </w:tc>
      </w:tr>
    </w:tbl>
    <w:p w14:paraId="0A5834AF">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14:paraId="54EB62EB">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2、不填写此表视为完全响应采购文件内容。</w:t>
      </w:r>
    </w:p>
    <w:p w14:paraId="35D347D1">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3、▲不提供“技术规格、商务条款偏离表”的投标文件将被视为未实质性响应采购文件。</w:t>
      </w:r>
    </w:p>
    <w:p w14:paraId="19EC6B51">
      <w:pPr>
        <w:spacing w:line="380" w:lineRule="exact"/>
        <w:ind w:firstLine="4417" w:firstLineChars="2000"/>
        <w:rPr>
          <w:rFonts w:hint="eastAsia" w:ascii="宋体" w:hAnsi="宋体" w:eastAsia="宋体" w:cs="宋体"/>
          <w:b/>
          <w:sz w:val="22"/>
          <w:highlight w:val="none"/>
        </w:rPr>
      </w:pPr>
    </w:p>
    <w:p w14:paraId="1054D851">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021A36BA">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753CE54F">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5995C6F2">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14:paraId="0812A5C6">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14:paraId="622E52D0">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授权书</w:t>
      </w:r>
    </w:p>
    <w:p w14:paraId="56EFFB3C">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14:paraId="0B2003AC">
      <w:pPr>
        <w:spacing w:line="420" w:lineRule="exact"/>
        <w:rPr>
          <w:rFonts w:hint="eastAsia" w:ascii="宋体" w:hAnsi="宋体" w:eastAsia="宋体" w:cs="宋体"/>
          <w:sz w:val="22"/>
          <w:highlight w:val="none"/>
          <w:lang w:eastAsia="zh-CN"/>
        </w:rPr>
      </w:pPr>
    </w:p>
    <w:p w14:paraId="36ADA89C">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14:paraId="19110DBC">
      <w:pPr>
        <w:spacing w:line="460" w:lineRule="exact"/>
        <w:rPr>
          <w:rFonts w:hint="eastAsia" w:ascii="宋体" w:hAnsi="宋体" w:eastAsia="宋体" w:cs="宋体"/>
          <w:sz w:val="22"/>
          <w:highlight w:val="none"/>
        </w:rPr>
      </w:pPr>
    </w:p>
    <w:p w14:paraId="7C94DC90">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14:paraId="21C8D5E4">
      <w:pPr>
        <w:spacing w:line="460" w:lineRule="exact"/>
        <w:ind w:firstLine="2955"/>
        <w:rPr>
          <w:rFonts w:hint="eastAsia" w:ascii="宋体" w:hAnsi="宋体" w:eastAsia="宋体" w:cs="宋体"/>
          <w:sz w:val="22"/>
          <w:highlight w:val="none"/>
        </w:rPr>
      </w:pPr>
    </w:p>
    <w:p w14:paraId="6E719DEF">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 xml:space="preserve"> (签字或盖章)：</w:t>
      </w:r>
    </w:p>
    <w:p w14:paraId="180B22EA">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14:paraId="7A05FFDC">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14:paraId="46364755">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14:paraId="1E59D7CF">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14:paraId="2A266C66">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14:paraId="02D60CF2">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14:paraId="0AADF087">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14:paraId="064E73EE">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14:paraId="5FDD01A1">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14:paraId="4B99268E">
      <w:pPr>
        <w:spacing w:line="460" w:lineRule="exact"/>
        <w:rPr>
          <w:rFonts w:hint="eastAsia" w:ascii="宋体" w:hAnsi="宋体" w:eastAsia="宋体" w:cs="宋体"/>
          <w:bCs/>
          <w:sz w:val="22"/>
          <w:highlight w:val="none"/>
        </w:rPr>
      </w:pPr>
    </w:p>
    <w:tbl>
      <w:tblPr>
        <w:tblStyle w:val="25"/>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14:paraId="0C96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14:paraId="003F1BA9">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14:paraId="19C9D128">
            <w:pPr>
              <w:spacing w:line="380" w:lineRule="exact"/>
              <w:jc w:val="center"/>
              <w:rPr>
                <w:rFonts w:hint="eastAsia" w:ascii="宋体" w:hAnsi="宋体" w:eastAsia="宋体" w:cs="宋体"/>
                <w:bCs/>
                <w:sz w:val="28"/>
                <w:szCs w:val="24"/>
                <w:highlight w:val="none"/>
              </w:rPr>
            </w:pPr>
          </w:p>
        </w:tc>
      </w:tr>
    </w:tbl>
    <w:p w14:paraId="097270D5">
      <w:pPr>
        <w:spacing w:line="400" w:lineRule="exact"/>
        <w:ind w:firstLine="140" w:firstLineChars="64"/>
        <w:rPr>
          <w:rFonts w:hint="eastAsia" w:ascii="宋体" w:hAnsi="宋体" w:eastAsia="宋体" w:cs="宋体"/>
          <w:sz w:val="22"/>
          <w:szCs w:val="24"/>
          <w:highlight w:val="none"/>
        </w:rPr>
      </w:pPr>
    </w:p>
    <w:p w14:paraId="584B4FB7">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lang w:eastAsia="zh-CN"/>
        </w:rPr>
        <w:t>法定代表人</w:t>
      </w:r>
      <w:r>
        <w:rPr>
          <w:rFonts w:hint="eastAsia" w:ascii="宋体" w:hAnsi="宋体" w:eastAsia="宋体" w:cs="宋体"/>
          <w:bCs/>
          <w:kern w:val="0"/>
          <w:sz w:val="32"/>
          <w:szCs w:val="32"/>
          <w:highlight w:val="none"/>
        </w:rPr>
        <w:t>资格证明书</w:t>
      </w:r>
    </w:p>
    <w:p w14:paraId="275657DD">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w:t>
      </w:r>
      <w:r>
        <w:rPr>
          <w:rFonts w:hint="eastAsia" w:ascii="宋体" w:hAnsi="宋体" w:eastAsia="宋体" w:cs="宋体"/>
          <w:bCs/>
          <w:kern w:val="0"/>
          <w:sz w:val="28"/>
          <w:szCs w:val="28"/>
          <w:highlight w:val="none"/>
          <w:lang w:eastAsia="zh-CN"/>
        </w:rPr>
        <w:t>法定代表人</w:t>
      </w:r>
      <w:r>
        <w:rPr>
          <w:rFonts w:hint="eastAsia" w:ascii="宋体" w:hAnsi="宋体" w:eastAsia="宋体" w:cs="宋体"/>
          <w:bCs/>
          <w:kern w:val="0"/>
          <w:sz w:val="28"/>
          <w:szCs w:val="28"/>
          <w:highlight w:val="none"/>
        </w:rPr>
        <w:t>参加投标时提供）</w:t>
      </w:r>
    </w:p>
    <w:p w14:paraId="6F6C5AA7">
      <w:pPr>
        <w:widowControl/>
        <w:spacing w:line="360" w:lineRule="auto"/>
        <w:rPr>
          <w:rFonts w:hint="eastAsia" w:ascii="宋体" w:hAnsi="宋体" w:eastAsia="宋体" w:cs="宋体"/>
          <w:sz w:val="24"/>
          <w:szCs w:val="24"/>
          <w:highlight w:val="none"/>
          <w:u w:val="single"/>
        </w:rPr>
      </w:pPr>
    </w:p>
    <w:p w14:paraId="23377977">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14:paraId="1AFCA61F">
      <w:pPr>
        <w:widowControl/>
        <w:spacing w:line="360" w:lineRule="auto"/>
        <w:ind w:left="420" w:firstLine="473"/>
        <w:jc w:val="left"/>
        <w:rPr>
          <w:rFonts w:hint="eastAsia" w:ascii="宋体" w:hAnsi="宋体" w:eastAsia="宋体" w:cs="宋体"/>
          <w:kern w:val="0"/>
          <w:sz w:val="24"/>
          <w:szCs w:val="24"/>
          <w:highlight w:val="none"/>
        </w:rPr>
      </w:pPr>
    </w:p>
    <w:p w14:paraId="397F8409">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14:paraId="1016AC11">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14:paraId="05AB2792">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14:paraId="46080904">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。为你单位组织的采购编号为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14:paraId="5CD18500">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14:paraId="7619DE81">
      <w:pPr>
        <w:widowControl/>
        <w:spacing w:line="360" w:lineRule="auto"/>
        <w:ind w:left="-540" w:firstLine="540"/>
        <w:jc w:val="center"/>
        <w:rPr>
          <w:rFonts w:hint="eastAsia" w:ascii="宋体" w:hAnsi="宋体" w:eastAsia="宋体" w:cs="宋体"/>
          <w:b/>
          <w:bCs/>
          <w:kern w:val="0"/>
          <w:sz w:val="24"/>
          <w:szCs w:val="24"/>
          <w:highlight w:val="none"/>
        </w:rPr>
      </w:pPr>
    </w:p>
    <w:p w14:paraId="260B1934">
      <w:pPr>
        <w:widowControl/>
        <w:spacing w:line="360" w:lineRule="auto"/>
        <w:ind w:left="-540" w:firstLine="540"/>
        <w:jc w:val="center"/>
        <w:rPr>
          <w:rFonts w:hint="eastAsia" w:ascii="宋体" w:hAnsi="宋体" w:eastAsia="宋体" w:cs="宋体"/>
          <w:b/>
          <w:bCs/>
          <w:kern w:val="0"/>
          <w:sz w:val="24"/>
          <w:szCs w:val="24"/>
          <w:highlight w:val="none"/>
        </w:rPr>
      </w:pPr>
    </w:p>
    <w:p w14:paraId="3CCAC262">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身份证复印件※）</w:t>
      </w:r>
    </w:p>
    <w:p w14:paraId="7351F137">
      <w:pPr>
        <w:widowControl/>
        <w:spacing w:line="480" w:lineRule="auto"/>
        <w:ind w:left="420" w:firstLine="473"/>
        <w:jc w:val="left"/>
        <w:rPr>
          <w:rFonts w:hint="eastAsia" w:ascii="宋体" w:hAnsi="宋体" w:eastAsia="宋体" w:cs="宋体"/>
          <w:kern w:val="0"/>
          <w:sz w:val="24"/>
          <w:szCs w:val="24"/>
          <w:highlight w:val="none"/>
        </w:rPr>
      </w:pPr>
    </w:p>
    <w:p w14:paraId="11F84714">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14:paraId="3C7C6BE5">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14:paraId="7E4BC1D6">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14:paraId="64101430">
      <w:pPr>
        <w:widowControl/>
        <w:rPr>
          <w:rFonts w:hint="eastAsia" w:ascii="宋体" w:hAnsi="宋体" w:eastAsia="宋体" w:cs="宋体"/>
          <w:kern w:val="0"/>
          <w:szCs w:val="21"/>
          <w:highlight w:val="none"/>
        </w:rPr>
      </w:pPr>
    </w:p>
    <w:p w14:paraId="4C0E7690">
      <w:pPr>
        <w:widowControl/>
        <w:rPr>
          <w:rFonts w:hint="eastAsia" w:ascii="宋体" w:hAnsi="宋体" w:eastAsia="宋体" w:cs="宋体"/>
          <w:kern w:val="0"/>
          <w:szCs w:val="21"/>
          <w:highlight w:val="none"/>
        </w:rPr>
      </w:pPr>
    </w:p>
    <w:p w14:paraId="3F0242F0">
      <w:pPr>
        <w:widowControl/>
        <w:spacing w:line="480" w:lineRule="atLeast"/>
        <w:jc w:val="center"/>
        <w:rPr>
          <w:rFonts w:hint="eastAsia" w:ascii="宋体" w:hAnsi="宋体" w:eastAsia="宋体" w:cs="宋体"/>
          <w:b/>
          <w:bCs/>
          <w:kern w:val="0"/>
          <w:sz w:val="24"/>
          <w:szCs w:val="24"/>
          <w:highlight w:val="none"/>
        </w:rPr>
      </w:pPr>
    </w:p>
    <w:p w14:paraId="738BCEB3">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参加本采购项目投标的，仅须提供此证明书。</w:t>
      </w:r>
    </w:p>
    <w:p w14:paraId="185E518F">
      <w:pPr>
        <w:spacing w:line="460" w:lineRule="exact"/>
        <w:jc w:val="center"/>
        <w:rPr>
          <w:rFonts w:hint="eastAsia" w:ascii="宋体" w:hAnsi="宋体" w:eastAsia="宋体" w:cs="宋体"/>
          <w:b/>
          <w:bCs/>
          <w:kern w:val="0"/>
          <w:sz w:val="24"/>
          <w:szCs w:val="24"/>
          <w:highlight w:val="none"/>
        </w:rPr>
      </w:pPr>
    </w:p>
    <w:p w14:paraId="1B8785F0">
      <w:pPr>
        <w:spacing w:line="460" w:lineRule="exact"/>
        <w:jc w:val="center"/>
        <w:rPr>
          <w:rFonts w:hint="eastAsia" w:ascii="宋体" w:hAnsi="宋体" w:eastAsia="宋体" w:cs="宋体"/>
          <w:b/>
          <w:bCs/>
          <w:kern w:val="0"/>
          <w:sz w:val="24"/>
          <w:szCs w:val="24"/>
          <w:highlight w:val="none"/>
        </w:rPr>
      </w:pPr>
    </w:p>
    <w:p w14:paraId="4A4D5368">
      <w:pP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4"/>
          <w:szCs w:val="24"/>
          <w:highlight w:val="none"/>
        </w:rPr>
        <w:t>（2）投标供应商企业法人有效营业执照（或法人登记证书）复印件加盖单位公章</w:t>
      </w:r>
    </w:p>
    <w:p w14:paraId="79233C53">
      <w:pPr>
        <w:rPr>
          <w:rFonts w:hint="eastAsia" w:ascii="宋体" w:hAnsi="宋体" w:eastAsia="宋体" w:cs="宋体"/>
          <w:b/>
          <w:bCs/>
          <w:sz w:val="24"/>
          <w:szCs w:val="24"/>
          <w:highlight w:val="none"/>
        </w:rPr>
      </w:pPr>
    </w:p>
    <w:p w14:paraId="1C7A422C">
      <w:pPr>
        <w:snapToGrid w:val="0"/>
        <w:spacing w:before="50" w:after="120" w:afterLines="50"/>
        <w:jc w:val="left"/>
        <w:rPr>
          <w:rFonts w:hint="eastAsia" w:ascii="宋体" w:hAnsi="宋体" w:eastAsia="宋体" w:cs="宋体"/>
          <w:b/>
          <w:sz w:val="24"/>
          <w:szCs w:val="24"/>
          <w:highlight w:val="none"/>
        </w:rPr>
      </w:pPr>
    </w:p>
    <w:p w14:paraId="05FCCE6F">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以上证书若为复印件，须加盖投标人单位公章</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14:paraId="531DAA26">
      <w:pPr>
        <w:snapToGrid w:val="0"/>
        <w:spacing w:before="120" w:beforeLines="50" w:after="50"/>
        <w:jc w:val="center"/>
        <w:rPr>
          <w:rFonts w:hint="eastAsia" w:ascii="宋体" w:hAnsi="宋体" w:eastAsia="宋体" w:cs="宋体"/>
          <w:b/>
          <w:sz w:val="30"/>
          <w:szCs w:val="24"/>
          <w:highlight w:val="none"/>
        </w:rPr>
      </w:pPr>
    </w:p>
    <w:p w14:paraId="4EABD62A">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3</w:t>
      </w:r>
      <w:r>
        <w:rPr>
          <w:rFonts w:hint="eastAsia" w:ascii="宋体" w:hAnsi="宋体" w:eastAsia="宋体" w:cs="宋体"/>
          <w:b/>
          <w:sz w:val="30"/>
          <w:szCs w:val="24"/>
          <w:highlight w:val="none"/>
        </w:rPr>
        <w:t>）投标声明书</w:t>
      </w:r>
    </w:p>
    <w:p w14:paraId="5702C94D">
      <w:pPr>
        <w:snapToGrid w:val="0"/>
        <w:spacing w:before="120" w:beforeLines="50" w:after="50"/>
        <w:rPr>
          <w:rFonts w:hint="eastAsia" w:ascii="宋体" w:hAnsi="宋体" w:eastAsia="宋体" w:cs="宋体"/>
          <w:sz w:val="22"/>
          <w:highlight w:val="none"/>
        </w:rPr>
      </w:pPr>
    </w:p>
    <w:p w14:paraId="77953D67">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致：温州市高速公路资产经营有限公司：</w:t>
      </w:r>
    </w:p>
    <w:p w14:paraId="7E866F1C">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31EB4F8D">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，我方愿意参加贵方组织的</w:t>
      </w:r>
      <w:r>
        <w:rPr>
          <w:rFonts w:hint="eastAsia" w:ascii="宋体" w:hAnsi="宋体" w:eastAsia="宋体" w:cs="宋体"/>
          <w:sz w:val="22"/>
          <w:highlight w:val="none"/>
          <w:u w:val="single"/>
        </w:rPr>
        <w:t xml:space="preserve">   （项目名称名称、项目编号）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14:paraId="0BB8480A">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14:paraId="60AE8E97">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14:paraId="124CE693">
      <w:pPr>
        <w:snapToGrid w:val="0"/>
        <w:spacing w:before="120" w:line="320" w:lineRule="exact"/>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3.我方不是采购人的附属机构</w:t>
      </w:r>
      <w:r>
        <w:rPr>
          <w:rFonts w:hint="eastAsia" w:ascii="宋体" w:hAnsi="宋体" w:eastAsia="宋体" w:cs="宋体"/>
          <w:sz w:val="22"/>
          <w:highlight w:val="none"/>
          <w:lang w:eastAsia="zh-CN"/>
        </w:rPr>
        <w:t>。</w:t>
      </w:r>
    </w:p>
    <w:p w14:paraId="7213462F">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w:t>
      </w:r>
      <w:r>
        <w:rPr>
          <w:rFonts w:hint="eastAsia" w:ascii="宋体" w:hAnsi="宋体" w:eastAsia="宋体" w:cs="宋体"/>
          <w:sz w:val="22"/>
          <w:highlight w:val="none"/>
          <w:lang w:val="en-US" w:eastAsia="zh-CN"/>
        </w:rPr>
        <w:t>过</w:t>
      </w:r>
      <w:r>
        <w:rPr>
          <w:rFonts w:hint="eastAsia" w:ascii="宋体" w:hAnsi="宋体" w:eastAsia="宋体" w:cs="宋体"/>
          <w:sz w:val="22"/>
          <w:highlight w:val="none"/>
        </w:rPr>
        <w:t>本采购项目的整体设计、规范编制或者项目管理、监理、检测等服务</w:t>
      </w:r>
      <w:r>
        <w:rPr>
          <w:rFonts w:hint="eastAsia" w:ascii="宋体" w:hAnsi="宋体" w:eastAsia="宋体" w:cs="宋体"/>
          <w:sz w:val="22"/>
          <w:highlight w:val="none"/>
          <w:lang w:val="en-US" w:eastAsia="zh-CN"/>
        </w:rPr>
        <w:t>工作。</w:t>
      </w:r>
    </w:p>
    <w:p w14:paraId="70CCF5B2">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14:paraId="7B32A3D0">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7F56E390">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14:paraId="6D70D539">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14:paraId="3252FFC9">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14:paraId="060B5BEB">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14:paraId="2A998301">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14:paraId="441C5421">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14:paraId="2B5E84EF">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至本项目投标截止前，我方被列入“信用中国”网站(www.creditchina.gov.cn)“记录失信被执行人或重大税收违法案件当事人名单”记录名单情况：</w:t>
      </w:r>
    </w:p>
    <w:p w14:paraId="2D493D0D">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14:paraId="4BCC4F37">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10.我方承诺具有履行合同所必需的所必需的场地、设备</w:t>
      </w:r>
      <w:r>
        <w:rPr>
          <w:rFonts w:hint="eastAsia" w:ascii="宋体" w:hAnsi="宋体" w:eastAsia="宋体" w:cs="宋体"/>
          <w:sz w:val="22"/>
          <w:highlight w:val="none"/>
          <w:lang w:eastAsia="zh-CN"/>
        </w:rPr>
        <w:t>、</w:t>
      </w:r>
      <w:r>
        <w:rPr>
          <w:rFonts w:hint="eastAsia" w:ascii="宋体" w:hAnsi="宋体" w:eastAsia="宋体" w:cs="宋体"/>
          <w:sz w:val="22"/>
          <w:highlight w:val="none"/>
        </w:rPr>
        <w:t>专业技术</w:t>
      </w:r>
      <w:r>
        <w:rPr>
          <w:rFonts w:hint="eastAsia" w:ascii="宋体" w:hAnsi="宋体" w:eastAsia="宋体" w:cs="宋体"/>
          <w:sz w:val="22"/>
          <w:highlight w:val="none"/>
          <w:lang w:val="en-US" w:eastAsia="zh-CN"/>
        </w:rPr>
        <w:t>和</w:t>
      </w:r>
      <w:r>
        <w:rPr>
          <w:rFonts w:hint="eastAsia" w:ascii="宋体" w:hAnsi="宋体" w:eastAsia="宋体" w:cs="宋体"/>
          <w:sz w:val="22"/>
          <w:highlight w:val="none"/>
        </w:rPr>
        <w:t>售后保障等能力。如有虚假，采购人可取消我方任何资格（投标/中标/签订合同），我方对此无任何异议。</w:t>
      </w:r>
    </w:p>
    <w:p w14:paraId="22366C9C">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14:paraId="6B1D2322">
      <w:pPr>
        <w:snapToGrid w:val="0"/>
        <w:spacing w:before="120" w:beforeLines="50"/>
        <w:ind w:firstLine="200"/>
        <w:rPr>
          <w:rFonts w:hint="eastAsia" w:ascii="宋体" w:hAnsi="宋体" w:eastAsia="宋体" w:cs="宋体"/>
          <w:sz w:val="18"/>
          <w:szCs w:val="18"/>
          <w:highlight w:val="none"/>
        </w:rPr>
      </w:pPr>
    </w:p>
    <w:p w14:paraId="163BF65D">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14:paraId="36A9BF94">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14:paraId="36F1D120">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14:paraId="4BC81B0A">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05DBB3C4">
      <w:pPr>
        <w:pStyle w:val="24"/>
        <w:ind w:left="0" w:firstLine="0" w:firstLineChars="0"/>
        <w:rPr>
          <w:rFonts w:hint="eastAsia" w:ascii="宋体" w:hAnsi="宋体" w:eastAsia="宋体" w:cs="宋体"/>
          <w:sz w:val="22"/>
          <w:highlight w:val="none"/>
        </w:rPr>
      </w:pPr>
      <w:r>
        <w:rPr>
          <w:rFonts w:hint="eastAsia" w:ascii="宋体" w:hAnsi="宋体" w:eastAsia="宋体" w:cs="宋体"/>
          <w:sz w:val="22"/>
          <w:highlight w:val="none"/>
        </w:rPr>
        <w:t>附件五</w:t>
      </w:r>
    </w:p>
    <w:p w14:paraId="53C11113">
      <w:pPr>
        <w:pStyle w:val="2"/>
        <w:ind w:firstLine="0" w:firstLineChars="0"/>
        <w:rPr>
          <w:rFonts w:hint="eastAsia" w:ascii="宋体" w:hAnsi="宋体" w:eastAsia="宋体" w:cs="宋体"/>
          <w:b/>
          <w:bCs/>
          <w:sz w:val="28"/>
          <w:szCs w:val="28"/>
          <w:highlight w:val="none"/>
        </w:rPr>
      </w:pPr>
    </w:p>
    <w:p w14:paraId="2A76BAB0">
      <w:pPr>
        <w:spacing w:line="400" w:lineRule="exact"/>
        <w:jc w:val="center"/>
        <w:rPr>
          <w:rFonts w:hint="eastAsia" w:ascii="宋体" w:hAnsi="宋体" w:eastAsia="宋体" w:cs="宋体"/>
          <w:b/>
          <w:color w:val="auto"/>
          <w:sz w:val="24"/>
          <w:highlight w:val="none"/>
          <w:lang w:val="en-US" w:eastAsia="zh-CN"/>
        </w:rPr>
      </w:pPr>
      <w:bookmarkStart w:id="192" w:name="_Toc480556784"/>
      <w:r>
        <w:rPr>
          <w:rFonts w:hint="eastAsia" w:ascii="宋体" w:hAnsi="宋体" w:eastAsia="宋体" w:cs="宋体"/>
          <w:b/>
          <w:color w:val="auto"/>
          <w:sz w:val="24"/>
          <w:highlight w:val="none"/>
          <w:lang w:val="en-US" w:eastAsia="zh-CN"/>
        </w:rPr>
        <w:t>供应商简介</w:t>
      </w:r>
    </w:p>
    <w:p w14:paraId="1FD846FF">
      <w:pPr>
        <w:pStyle w:val="3"/>
        <w:adjustRightInd w:val="0"/>
        <w:snapToGrid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名称及概况：</w:t>
      </w:r>
    </w:p>
    <w:p w14:paraId="654FE926">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（1）投标人名称：</w:t>
      </w:r>
      <w:r>
        <w:rPr>
          <w:rFonts w:hint="eastAsia" w:ascii="宋体" w:hAnsi="宋体" w:eastAsia="宋体" w:cs="宋体"/>
          <w:color w:val="auto"/>
          <w:sz w:val="22"/>
          <w:szCs w:val="22"/>
          <w:highlight w:val="none"/>
          <w:u w:val="single"/>
        </w:rPr>
        <w:t xml:space="preserve">                             </w:t>
      </w:r>
    </w:p>
    <w:p w14:paraId="19506C8A">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（2）地址：</w:t>
      </w:r>
      <w:r>
        <w:rPr>
          <w:rFonts w:hint="eastAsia" w:ascii="宋体" w:hAnsi="宋体" w:eastAsia="宋体" w:cs="宋体"/>
          <w:color w:val="auto"/>
          <w:sz w:val="22"/>
          <w:szCs w:val="22"/>
          <w:highlight w:val="none"/>
          <w:u w:val="single"/>
        </w:rPr>
        <w:t xml:space="preserve">                                   </w:t>
      </w:r>
    </w:p>
    <w:p w14:paraId="2BC26EFC">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传真/电话号码：</w:t>
      </w:r>
      <w:r>
        <w:rPr>
          <w:rFonts w:hint="eastAsia" w:ascii="宋体" w:hAnsi="宋体" w:eastAsia="宋体" w:cs="宋体"/>
          <w:color w:val="auto"/>
          <w:sz w:val="22"/>
          <w:szCs w:val="22"/>
          <w:highlight w:val="none"/>
          <w:u w:val="single"/>
        </w:rPr>
        <w:t xml:space="preserve">                          </w:t>
      </w:r>
    </w:p>
    <w:p w14:paraId="6F71D2DF">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（3）成立和/或注册日期：</w:t>
      </w:r>
      <w:r>
        <w:rPr>
          <w:rFonts w:hint="eastAsia" w:ascii="宋体" w:hAnsi="宋体" w:eastAsia="宋体" w:cs="宋体"/>
          <w:color w:val="auto"/>
          <w:sz w:val="22"/>
          <w:szCs w:val="22"/>
          <w:highlight w:val="none"/>
          <w:u w:val="single"/>
        </w:rPr>
        <w:t xml:space="preserve">                      </w:t>
      </w:r>
    </w:p>
    <w:p w14:paraId="262292F2">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（4）实收资本：</w:t>
      </w:r>
      <w:r>
        <w:rPr>
          <w:rFonts w:hint="eastAsia" w:ascii="宋体" w:hAnsi="宋体" w:eastAsia="宋体" w:cs="宋体"/>
          <w:color w:val="auto"/>
          <w:sz w:val="22"/>
          <w:szCs w:val="22"/>
          <w:highlight w:val="none"/>
          <w:u w:val="single"/>
        </w:rPr>
        <w:t xml:space="preserve">                               </w:t>
      </w:r>
    </w:p>
    <w:p w14:paraId="068BCFE9">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（5）近期资产负债表（截止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2C4830D1">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a）固定资产：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b）流动资产：</w:t>
      </w:r>
      <w:r>
        <w:rPr>
          <w:rFonts w:hint="eastAsia" w:ascii="宋体" w:hAnsi="宋体" w:eastAsia="宋体" w:cs="宋体"/>
          <w:color w:val="auto"/>
          <w:sz w:val="22"/>
          <w:szCs w:val="22"/>
          <w:highlight w:val="none"/>
          <w:u w:val="single"/>
        </w:rPr>
        <w:t xml:space="preserve">                 </w:t>
      </w:r>
    </w:p>
    <w:p w14:paraId="29BE092C">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c）长期负债：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d）流动负债：</w:t>
      </w:r>
      <w:r>
        <w:rPr>
          <w:rFonts w:hint="eastAsia" w:ascii="宋体" w:hAnsi="宋体" w:eastAsia="宋体" w:cs="宋体"/>
          <w:color w:val="auto"/>
          <w:sz w:val="22"/>
          <w:szCs w:val="22"/>
          <w:highlight w:val="none"/>
          <w:u w:val="single"/>
        </w:rPr>
        <w:t xml:space="preserve">                 </w:t>
      </w:r>
    </w:p>
    <w:p w14:paraId="6997316E">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e）净值：</w:t>
      </w:r>
      <w:r>
        <w:rPr>
          <w:rFonts w:hint="eastAsia" w:ascii="宋体" w:hAnsi="宋体" w:eastAsia="宋体" w:cs="宋体"/>
          <w:color w:val="auto"/>
          <w:sz w:val="22"/>
          <w:szCs w:val="22"/>
          <w:highlight w:val="none"/>
          <w:u w:val="single"/>
        </w:rPr>
        <w:t xml:space="preserve">                     </w:t>
      </w:r>
    </w:p>
    <w:p w14:paraId="34B79BD8">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（6）主要负责人姓名：</w:t>
      </w:r>
      <w:r>
        <w:rPr>
          <w:rFonts w:hint="eastAsia" w:ascii="宋体" w:hAnsi="宋体" w:eastAsia="宋体" w:cs="宋体"/>
          <w:color w:val="auto"/>
          <w:sz w:val="22"/>
          <w:szCs w:val="22"/>
          <w:highlight w:val="none"/>
          <w:u w:val="single"/>
        </w:rPr>
        <w:t xml:space="preserve">                         </w:t>
      </w:r>
    </w:p>
    <w:p w14:paraId="2A17E75D">
      <w:pPr>
        <w:spacing w:line="360" w:lineRule="exact"/>
        <w:ind w:left="663" w:hanging="663" w:hangingChars="3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 设施及其它情况：</w:t>
      </w:r>
    </w:p>
    <w:p w14:paraId="5908503E">
      <w:pPr>
        <w:spacing w:line="400" w:lineRule="exact"/>
        <w:rPr>
          <w:rFonts w:hint="eastAsia" w:ascii="宋体" w:hAnsi="宋体" w:eastAsia="宋体" w:cs="宋体"/>
          <w:color w:val="auto"/>
          <w:sz w:val="22"/>
          <w:highlight w:val="none"/>
        </w:rPr>
      </w:pPr>
    </w:p>
    <w:p w14:paraId="197E9000">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拥有的服务设备</w:t>
      </w:r>
      <w:r>
        <w:rPr>
          <w:rFonts w:hint="eastAsia" w:ascii="宋体" w:hAnsi="宋体" w:eastAsia="宋体" w:cs="宋体"/>
          <w:color w:val="auto"/>
          <w:sz w:val="22"/>
          <w:highlight w:val="none"/>
        </w:rPr>
        <w:t xml:space="preserve">设施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14:paraId="0452FC64">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人，其中持证上岗的人数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14:paraId="0159DB7F">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专业人员构成</w:t>
      </w:r>
      <w:r>
        <w:rPr>
          <w:rFonts w:hint="eastAsia" w:ascii="宋体" w:hAnsi="宋体" w:eastAsia="宋体" w:cs="宋体"/>
          <w:color w:val="auto"/>
          <w:sz w:val="22"/>
          <w:highlight w:val="none"/>
          <w:u w:val="single"/>
        </w:rPr>
        <w:t xml:space="preserve">                                            </w:t>
      </w:r>
    </w:p>
    <w:p w14:paraId="353E77EC">
      <w:pPr>
        <w:spacing w:line="40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通过有关认证</w:t>
      </w:r>
      <w:r>
        <w:rPr>
          <w:rFonts w:hint="eastAsia" w:ascii="宋体" w:hAnsi="宋体" w:eastAsia="宋体" w:cs="宋体"/>
          <w:color w:val="auto"/>
          <w:sz w:val="22"/>
          <w:highlight w:val="none"/>
          <w:u w:val="single"/>
        </w:rPr>
        <w:t xml:space="preserve">                                                </w:t>
      </w:r>
    </w:p>
    <w:p w14:paraId="2581FB7C">
      <w:pPr>
        <w:spacing w:line="360" w:lineRule="exact"/>
        <w:ind w:left="663" w:hanging="663" w:hangingChars="300"/>
        <w:jc w:val="left"/>
        <w:rPr>
          <w:rFonts w:hint="eastAsia" w:ascii="宋体" w:hAnsi="宋体" w:eastAsia="宋体" w:cs="宋体"/>
          <w:b/>
          <w:color w:val="auto"/>
          <w:sz w:val="22"/>
          <w:highlight w:val="none"/>
        </w:rPr>
      </w:pPr>
    </w:p>
    <w:p w14:paraId="45DF43CD">
      <w:pPr>
        <w:spacing w:line="360" w:lineRule="exact"/>
        <w:ind w:left="663" w:hanging="663" w:hangingChars="300"/>
        <w:jc w:val="left"/>
        <w:rPr>
          <w:rFonts w:hint="eastAsia" w:ascii="宋体" w:hAnsi="宋体" w:eastAsia="宋体" w:cs="宋体"/>
          <w:color w:val="auto"/>
          <w:sz w:val="22"/>
          <w:highlight w:val="none"/>
        </w:rPr>
      </w:pPr>
      <w:r>
        <w:rPr>
          <w:rFonts w:hint="eastAsia" w:ascii="宋体" w:hAnsi="宋体" w:eastAsia="宋体" w:cs="宋体"/>
          <w:b/>
          <w:color w:val="auto"/>
          <w:sz w:val="22"/>
          <w:highlight w:val="none"/>
        </w:rPr>
        <w:t>3. 近三年的年营业总额</w:t>
      </w:r>
      <w:r>
        <w:rPr>
          <w:rFonts w:hint="eastAsia" w:ascii="宋体" w:hAnsi="宋体" w:eastAsia="宋体" w:cs="宋体"/>
          <w:b/>
          <w:color w:val="auto"/>
          <w:sz w:val="22"/>
          <w:highlight w:val="none"/>
          <w:u w:val="single"/>
        </w:rPr>
        <w:t xml:space="preserve">                       </w:t>
      </w:r>
    </w:p>
    <w:p w14:paraId="3A821226">
      <w:pPr>
        <w:spacing w:line="400" w:lineRule="exact"/>
        <w:rPr>
          <w:rFonts w:hint="eastAsia" w:ascii="宋体" w:hAnsi="宋体" w:eastAsia="宋体" w:cs="宋体"/>
          <w:color w:val="auto"/>
          <w:sz w:val="22"/>
          <w:highlight w:val="none"/>
        </w:rPr>
      </w:pPr>
    </w:p>
    <w:p w14:paraId="5AD28FE4">
      <w:pPr>
        <w:spacing w:line="40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14:paraId="1888DCC9">
      <w:pPr>
        <w:spacing w:line="400" w:lineRule="exact"/>
        <w:rPr>
          <w:rFonts w:hint="eastAsia" w:ascii="宋体" w:hAnsi="宋体" w:eastAsia="宋体" w:cs="宋体"/>
          <w:color w:val="auto"/>
          <w:sz w:val="22"/>
          <w:highlight w:val="none"/>
        </w:rPr>
      </w:pPr>
    </w:p>
    <w:bookmarkEnd w:id="192"/>
    <w:p w14:paraId="1651A7F8">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314F30B3">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1160F099">
      <w:pPr>
        <w:spacing w:line="360" w:lineRule="auto"/>
        <w:rPr>
          <w:rFonts w:hint="eastAsia" w:ascii="宋体" w:hAnsi="宋体" w:eastAsia="宋体" w:cs="宋体"/>
          <w:sz w:val="22"/>
          <w:highlight w:val="none"/>
          <w:lang w:val="en-US" w:eastAsia="zh-CN"/>
        </w:rPr>
      </w:pPr>
      <w:r>
        <w:rPr>
          <w:rFonts w:hint="eastAsia" w:ascii="宋体" w:hAnsi="宋体" w:eastAsia="宋体" w:cs="宋体"/>
          <w:sz w:val="22"/>
          <w:highlight w:val="none"/>
        </w:rPr>
        <w:t>日  期：</w:t>
      </w:r>
      <w:r>
        <w:rPr>
          <w:rFonts w:hint="eastAsia" w:ascii="宋体" w:hAnsi="宋体" w:eastAsia="宋体" w:cs="宋体"/>
          <w:sz w:val="22"/>
          <w:highlight w:val="none"/>
          <w:lang w:val="en-US" w:eastAsia="zh-CN"/>
        </w:rPr>
        <w:t xml:space="preserve"> </w:t>
      </w:r>
    </w:p>
    <w:p w14:paraId="2244DBFA">
      <w:pPr>
        <w:rPr>
          <w:rFonts w:hint="eastAsia" w:ascii="宋体" w:hAnsi="宋体" w:eastAsia="宋体" w:cs="宋体"/>
          <w:sz w:val="22"/>
          <w:highlight w:val="none"/>
        </w:rPr>
      </w:pPr>
      <w:r>
        <w:rPr>
          <w:rFonts w:hint="eastAsia" w:ascii="宋体" w:hAnsi="宋体" w:eastAsia="宋体" w:cs="宋体"/>
          <w:sz w:val="22"/>
          <w:highlight w:val="none"/>
        </w:rPr>
        <w:br w:type="page"/>
      </w:r>
    </w:p>
    <w:p w14:paraId="4BE1DC38">
      <w:pPr>
        <w:pStyle w:val="5"/>
        <w:adjustRightInd/>
        <w:snapToGrid/>
        <w:spacing w:before="120" w:after="12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附件六  </w:t>
      </w:r>
    </w:p>
    <w:p w14:paraId="23DB1F6D">
      <w:pPr>
        <w:spacing w:before="120" w:beforeLines="50" w:after="120" w:afterLines="50"/>
        <w:ind w:right="-10"/>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拟投入设备、工具、耗材一览表</w:t>
      </w:r>
    </w:p>
    <w:p w14:paraId="06432A39">
      <w:pPr>
        <w:spacing w:after="120" w:afterLines="50"/>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5"/>
        <w:tblW w:w="88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231"/>
        <w:gridCol w:w="1214"/>
        <w:gridCol w:w="1500"/>
        <w:gridCol w:w="1170"/>
        <w:gridCol w:w="755"/>
      </w:tblGrid>
      <w:tr w14:paraId="4E757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809" w:type="dxa"/>
            <w:noWrap w:val="0"/>
            <w:vAlign w:val="center"/>
          </w:tcPr>
          <w:p w14:paraId="2E088564">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装备、工具、名称</w:t>
            </w:r>
          </w:p>
        </w:tc>
        <w:tc>
          <w:tcPr>
            <w:tcW w:w="1134" w:type="dxa"/>
            <w:noWrap w:val="0"/>
            <w:vAlign w:val="center"/>
          </w:tcPr>
          <w:p w14:paraId="46EA46BB">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规格型号</w:t>
            </w:r>
          </w:p>
        </w:tc>
        <w:tc>
          <w:tcPr>
            <w:tcW w:w="1231" w:type="dxa"/>
            <w:noWrap w:val="0"/>
            <w:vAlign w:val="center"/>
          </w:tcPr>
          <w:p w14:paraId="78877437">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1214" w:type="dxa"/>
            <w:noWrap w:val="0"/>
            <w:vAlign w:val="center"/>
          </w:tcPr>
          <w:p w14:paraId="7B0FBDB9">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产地</w:t>
            </w:r>
          </w:p>
        </w:tc>
        <w:tc>
          <w:tcPr>
            <w:tcW w:w="1500" w:type="dxa"/>
            <w:noWrap w:val="0"/>
            <w:vAlign w:val="center"/>
          </w:tcPr>
          <w:p w14:paraId="305F178E">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价格</w:t>
            </w:r>
            <w:r>
              <w:rPr>
                <w:rFonts w:hint="eastAsia" w:ascii="宋体" w:hAnsi="宋体" w:eastAsia="宋体" w:cs="宋体"/>
                <w:b/>
                <w:color w:val="auto"/>
                <w:sz w:val="18"/>
                <w:szCs w:val="18"/>
                <w:highlight w:val="none"/>
              </w:rPr>
              <w:t>（元）</w:t>
            </w:r>
          </w:p>
        </w:tc>
        <w:tc>
          <w:tcPr>
            <w:tcW w:w="1170" w:type="dxa"/>
            <w:noWrap w:val="0"/>
            <w:vAlign w:val="center"/>
          </w:tcPr>
          <w:p w14:paraId="53E89E25">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包装形式</w:t>
            </w:r>
          </w:p>
        </w:tc>
        <w:tc>
          <w:tcPr>
            <w:tcW w:w="755" w:type="dxa"/>
            <w:noWrap w:val="0"/>
            <w:vAlign w:val="center"/>
          </w:tcPr>
          <w:p w14:paraId="4AA8D3EF">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14:paraId="25DC0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677BEBD0">
            <w:pPr>
              <w:ind w:firstLine="592"/>
              <w:jc w:val="center"/>
              <w:rPr>
                <w:rFonts w:hint="eastAsia" w:ascii="宋体" w:hAnsi="宋体" w:eastAsia="宋体" w:cs="宋体"/>
                <w:color w:val="auto"/>
                <w:sz w:val="18"/>
                <w:szCs w:val="18"/>
                <w:highlight w:val="none"/>
              </w:rPr>
            </w:pPr>
          </w:p>
        </w:tc>
        <w:tc>
          <w:tcPr>
            <w:tcW w:w="1134" w:type="dxa"/>
            <w:noWrap w:val="0"/>
            <w:vAlign w:val="center"/>
          </w:tcPr>
          <w:p w14:paraId="3F6283E9">
            <w:pPr>
              <w:ind w:firstLine="592"/>
              <w:jc w:val="center"/>
              <w:rPr>
                <w:rFonts w:hint="eastAsia" w:ascii="宋体" w:hAnsi="宋体" w:eastAsia="宋体" w:cs="宋体"/>
                <w:color w:val="auto"/>
                <w:sz w:val="18"/>
                <w:szCs w:val="18"/>
                <w:highlight w:val="none"/>
              </w:rPr>
            </w:pPr>
          </w:p>
        </w:tc>
        <w:tc>
          <w:tcPr>
            <w:tcW w:w="1231" w:type="dxa"/>
            <w:noWrap w:val="0"/>
            <w:vAlign w:val="center"/>
          </w:tcPr>
          <w:p w14:paraId="50AEC6C1">
            <w:pPr>
              <w:ind w:firstLine="592"/>
              <w:jc w:val="center"/>
              <w:rPr>
                <w:rFonts w:hint="eastAsia" w:ascii="宋体" w:hAnsi="宋体" w:eastAsia="宋体" w:cs="宋体"/>
                <w:color w:val="auto"/>
                <w:sz w:val="18"/>
                <w:szCs w:val="18"/>
                <w:highlight w:val="none"/>
              </w:rPr>
            </w:pPr>
          </w:p>
        </w:tc>
        <w:tc>
          <w:tcPr>
            <w:tcW w:w="1214" w:type="dxa"/>
            <w:noWrap w:val="0"/>
            <w:vAlign w:val="center"/>
          </w:tcPr>
          <w:p w14:paraId="5EF906DF">
            <w:pPr>
              <w:ind w:firstLine="592"/>
              <w:jc w:val="center"/>
              <w:rPr>
                <w:rFonts w:hint="eastAsia" w:ascii="宋体" w:hAnsi="宋体" w:eastAsia="宋体" w:cs="宋体"/>
                <w:color w:val="auto"/>
                <w:sz w:val="18"/>
                <w:szCs w:val="18"/>
                <w:highlight w:val="none"/>
              </w:rPr>
            </w:pPr>
          </w:p>
        </w:tc>
        <w:tc>
          <w:tcPr>
            <w:tcW w:w="1500" w:type="dxa"/>
            <w:noWrap w:val="0"/>
            <w:vAlign w:val="center"/>
          </w:tcPr>
          <w:p w14:paraId="37AB5C81">
            <w:pPr>
              <w:ind w:firstLine="592"/>
              <w:jc w:val="center"/>
              <w:rPr>
                <w:rFonts w:hint="eastAsia" w:ascii="宋体" w:hAnsi="宋体" w:eastAsia="宋体" w:cs="宋体"/>
                <w:color w:val="auto"/>
                <w:sz w:val="18"/>
                <w:szCs w:val="18"/>
                <w:highlight w:val="none"/>
              </w:rPr>
            </w:pPr>
          </w:p>
        </w:tc>
        <w:tc>
          <w:tcPr>
            <w:tcW w:w="1170" w:type="dxa"/>
            <w:noWrap w:val="0"/>
            <w:vAlign w:val="center"/>
          </w:tcPr>
          <w:p w14:paraId="4A031A19">
            <w:pPr>
              <w:ind w:firstLine="592"/>
              <w:jc w:val="center"/>
              <w:rPr>
                <w:rFonts w:hint="eastAsia" w:ascii="宋体" w:hAnsi="宋体" w:eastAsia="宋体" w:cs="宋体"/>
                <w:color w:val="auto"/>
                <w:sz w:val="18"/>
                <w:szCs w:val="18"/>
                <w:highlight w:val="none"/>
              </w:rPr>
            </w:pPr>
          </w:p>
        </w:tc>
        <w:tc>
          <w:tcPr>
            <w:tcW w:w="755" w:type="dxa"/>
            <w:noWrap w:val="0"/>
            <w:vAlign w:val="center"/>
          </w:tcPr>
          <w:p w14:paraId="11D194A5">
            <w:pPr>
              <w:ind w:firstLine="592"/>
              <w:jc w:val="center"/>
              <w:rPr>
                <w:rFonts w:hint="eastAsia" w:ascii="宋体" w:hAnsi="宋体" w:eastAsia="宋体" w:cs="宋体"/>
                <w:color w:val="auto"/>
                <w:sz w:val="18"/>
                <w:szCs w:val="18"/>
                <w:highlight w:val="none"/>
              </w:rPr>
            </w:pPr>
          </w:p>
        </w:tc>
      </w:tr>
      <w:tr w14:paraId="65AD0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3C0EAD78">
            <w:pPr>
              <w:ind w:firstLine="592"/>
              <w:jc w:val="center"/>
              <w:rPr>
                <w:rFonts w:hint="eastAsia" w:ascii="宋体" w:hAnsi="宋体" w:eastAsia="宋体" w:cs="宋体"/>
                <w:color w:val="auto"/>
                <w:sz w:val="18"/>
                <w:szCs w:val="18"/>
                <w:highlight w:val="none"/>
              </w:rPr>
            </w:pPr>
          </w:p>
        </w:tc>
        <w:tc>
          <w:tcPr>
            <w:tcW w:w="1134" w:type="dxa"/>
            <w:noWrap w:val="0"/>
            <w:vAlign w:val="center"/>
          </w:tcPr>
          <w:p w14:paraId="7624E4BE">
            <w:pPr>
              <w:ind w:firstLine="592"/>
              <w:jc w:val="center"/>
              <w:rPr>
                <w:rFonts w:hint="eastAsia" w:ascii="宋体" w:hAnsi="宋体" w:eastAsia="宋体" w:cs="宋体"/>
                <w:color w:val="auto"/>
                <w:sz w:val="18"/>
                <w:szCs w:val="18"/>
                <w:highlight w:val="none"/>
              </w:rPr>
            </w:pPr>
          </w:p>
        </w:tc>
        <w:tc>
          <w:tcPr>
            <w:tcW w:w="1231" w:type="dxa"/>
            <w:noWrap w:val="0"/>
            <w:vAlign w:val="center"/>
          </w:tcPr>
          <w:p w14:paraId="0CD68A02">
            <w:pPr>
              <w:ind w:firstLine="592"/>
              <w:jc w:val="center"/>
              <w:rPr>
                <w:rFonts w:hint="eastAsia" w:ascii="宋体" w:hAnsi="宋体" w:eastAsia="宋体" w:cs="宋体"/>
                <w:color w:val="auto"/>
                <w:sz w:val="18"/>
                <w:szCs w:val="18"/>
                <w:highlight w:val="none"/>
              </w:rPr>
            </w:pPr>
          </w:p>
        </w:tc>
        <w:tc>
          <w:tcPr>
            <w:tcW w:w="1214" w:type="dxa"/>
            <w:noWrap w:val="0"/>
            <w:vAlign w:val="center"/>
          </w:tcPr>
          <w:p w14:paraId="7A03FC4C">
            <w:pPr>
              <w:ind w:firstLine="592"/>
              <w:jc w:val="center"/>
              <w:rPr>
                <w:rFonts w:hint="eastAsia" w:ascii="宋体" w:hAnsi="宋体" w:eastAsia="宋体" w:cs="宋体"/>
                <w:color w:val="auto"/>
                <w:sz w:val="18"/>
                <w:szCs w:val="18"/>
                <w:highlight w:val="none"/>
              </w:rPr>
            </w:pPr>
          </w:p>
        </w:tc>
        <w:tc>
          <w:tcPr>
            <w:tcW w:w="1500" w:type="dxa"/>
            <w:noWrap w:val="0"/>
            <w:vAlign w:val="center"/>
          </w:tcPr>
          <w:p w14:paraId="75A850B6">
            <w:pPr>
              <w:ind w:firstLine="592"/>
              <w:jc w:val="center"/>
              <w:rPr>
                <w:rFonts w:hint="eastAsia" w:ascii="宋体" w:hAnsi="宋体" w:eastAsia="宋体" w:cs="宋体"/>
                <w:color w:val="auto"/>
                <w:sz w:val="18"/>
                <w:szCs w:val="18"/>
                <w:highlight w:val="none"/>
              </w:rPr>
            </w:pPr>
          </w:p>
        </w:tc>
        <w:tc>
          <w:tcPr>
            <w:tcW w:w="1170" w:type="dxa"/>
            <w:noWrap w:val="0"/>
            <w:vAlign w:val="center"/>
          </w:tcPr>
          <w:p w14:paraId="20D2DE8A">
            <w:pPr>
              <w:ind w:firstLine="592"/>
              <w:jc w:val="center"/>
              <w:rPr>
                <w:rFonts w:hint="eastAsia" w:ascii="宋体" w:hAnsi="宋体" w:eastAsia="宋体" w:cs="宋体"/>
                <w:color w:val="auto"/>
                <w:sz w:val="18"/>
                <w:szCs w:val="18"/>
                <w:highlight w:val="none"/>
              </w:rPr>
            </w:pPr>
          </w:p>
        </w:tc>
        <w:tc>
          <w:tcPr>
            <w:tcW w:w="755" w:type="dxa"/>
            <w:noWrap w:val="0"/>
            <w:vAlign w:val="center"/>
          </w:tcPr>
          <w:p w14:paraId="716AD1EA">
            <w:pPr>
              <w:ind w:firstLine="592"/>
              <w:jc w:val="center"/>
              <w:rPr>
                <w:rFonts w:hint="eastAsia" w:ascii="宋体" w:hAnsi="宋体" w:eastAsia="宋体" w:cs="宋体"/>
                <w:color w:val="auto"/>
                <w:sz w:val="18"/>
                <w:szCs w:val="18"/>
                <w:highlight w:val="none"/>
              </w:rPr>
            </w:pPr>
          </w:p>
        </w:tc>
      </w:tr>
      <w:tr w14:paraId="366F8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06579AAC">
            <w:pPr>
              <w:ind w:firstLine="592"/>
              <w:jc w:val="center"/>
              <w:rPr>
                <w:rFonts w:hint="eastAsia" w:ascii="宋体" w:hAnsi="宋体" w:eastAsia="宋体" w:cs="宋体"/>
                <w:color w:val="auto"/>
                <w:sz w:val="18"/>
                <w:szCs w:val="18"/>
                <w:highlight w:val="none"/>
              </w:rPr>
            </w:pPr>
          </w:p>
        </w:tc>
        <w:tc>
          <w:tcPr>
            <w:tcW w:w="1134" w:type="dxa"/>
            <w:noWrap w:val="0"/>
            <w:vAlign w:val="center"/>
          </w:tcPr>
          <w:p w14:paraId="4218331C">
            <w:pPr>
              <w:ind w:firstLine="592"/>
              <w:jc w:val="center"/>
              <w:rPr>
                <w:rFonts w:hint="eastAsia" w:ascii="宋体" w:hAnsi="宋体" w:eastAsia="宋体" w:cs="宋体"/>
                <w:color w:val="auto"/>
                <w:sz w:val="18"/>
                <w:szCs w:val="18"/>
                <w:highlight w:val="none"/>
              </w:rPr>
            </w:pPr>
          </w:p>
        </w:tc>
        <w:tc>
          <w:tcPr>
            <w:tcW w:w="1231" w:type="dxa"/>
            <w:noWrap w:val="0"/>
            <w:vAlign w:val="center"/>
          </w:tcPr>
          <w:p w14:paraId="1376A51B">
            <w:pPr>
              <w:ind w:firstLine="592"/>
              <w:jc w:val="center"/>
              <w:rPr>
                <w:rFonts w:hint="eastAsia" w:ascii="宋体" w:hAnsi="宋体" w:eastAsia="宋体" w:cs="宋体"/>
                <w:color w:val="auto"/>
                <w:sz w:val="18"/>
                <w:szCs w:val="18"/>
                <w:highlight w:val="none"/>
              </w:rPr>
            </w:pPr>
          </w:p>
        </w:tc>
        <w:tc>
          <w:tcPr>
            <w:tcW w:w="1214" w:type="dxa"/>
            <w:noWrap w:val="0"/>
            <w:vAlign w:val="center"/>
          </w:tcPr>
          <w:p w14:paraId="0840E878">
            <w:pPr>
              <w:ind w:firstLine="592"/>
              <w:jc w:val="center"/>
              <w:rPr>
                <w:rFonts w:hint="eastAsia" w:ascii="宋体" w:hAnsi="宋体" w:eastAsia="宋体" w:cs="宋体"/>
                <w:color w:val="auto"/>
                <w:sz w:val="18"/>
                <w:szCs w:val="18"/>
                <w:highlight w:val="none"/>
              </w:rPr>
            </w:pPr>
          </w:p>
        </w:tc>
        <w:tc>
          <w:tcPr>
            <w:tcW w:w="1500" w:type="dxa"/>
            <w:noWrap w:val="0"/>
            <w:vAlign w:val="center"/>
          </w:tcPr>
          <w:p w14:paraId="72B34B51">
            <w:pPr>
              <w:ind w:firstLine="592"/>
              <w:jc w:val="center"/>
              <w:rPr>
                <w:rFonts w:hint="eastAsia" w:ascii="宋体" w:hAnsi="宋体" w:eastAsia="宋体" w:cs="宋体"/>
                <w:color w:val="auto"/>
                <w:sz w:val="18"/>
                <w:szCs w:val="18"/>
                <w:highlight w:val="none"/>
              </w:rPr>
            </w:pPr>
          </w:p>
        </w:tc>
        <w:tc>
          <w:tcPr>
            <w:tcW w:w="1170" w:type="dxa"/>
            <w:noWrap w:val="0"/>
            <w:vAlign w:val="center"/>
          </w:tcPr>
          <w:p w14:paraId="10AEFA22">
            <w:pPr>
              <w:ind w:firstLine="592"/>
              <w:jc w:val="center"/>
              <w:rPr>
                <w:rFonts w:hint="eastAsia" w:ascii="宋体" w:hAnsi="宋体" w:eastAsia="宋体" w:cs="宋体"/>
                <w:color w:val="auto"/>
                <w:sz w:val="18"/>
                <w:szCs w:val="18"/>
                <w:highlight w:val="none"/>
              </w:rPr>
            </w:pPr>
          </w:p>
        </w:tc>
        <w:tc>
          <w:tcPr>
            <w:tcW w:w="755" w:type="dxa"/>
            <w:noWrap w:val="0"/>
            <w:vAlign w:val="center"/>
          </w:tcPr>
          <w:p w14:paraId="495246AD">
            <w:pPr>
              <w:ind w:firstLine="592"/>
              <w:jc w:val="center"/>
              <w:rPr>
                <w:rFonts w:hint="eastAsia" w:ascii="宋体" w:hAnsi="宋体" w:eastAsia="宋体" w:cs="宋体"/>
                <w:color w:val="auto"/>
                <w:sz w:val="18"/>
                <w:szCs w:val="18"/>
                <w:highlight w:val="none"/>
              </w:rPr>
            </w:pPr>
          </w:p>
        </w:tc>
      </w:tr>
      <w:tr w14:paraId="42096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724377AE">
            <w:pPr>
              <w:ind w:firstLine="592"/>
              <w:jc w:val="center"/>
              <w:rPr>
                <w:rFonts w:hint="eastAsia" w:ascii="宋体" w:hAnsi="宋体" w:eastAsia="宋体" w:cs="宋体"/>
                <w:color w:val="auto"/>
                <w:sz w:val="18"/>
                <w:szCs w:val="18"/>
                <w:highlight w:val="none"/>
              </w:rPr>
            </w:pPr>
          </w:p>
        </w:tc>
        <w:tc>
          <w:tcPr>
            <w:tcW w:w="1134" w:type="dxa"/>
            <w:noWrap w:val="0"/>
            <w:vAlign w:val="center"/>
          </w:tcPr>
          <w:p w14:paraId="0ADB6553">
            <w:pPr>
              <w:ind w:firstLine="592"/>
              <w:jc w:val="center"/>
              <w:rPr>
                <w:rFonts w:hint="eastAsia" w:ascii="宋体" w:hAnsi="宋体" w:eastAsia="宋体" w:cs="宋体"/>
                <w:color w:val="auto"/>
                <w:sz w:val="18"/>
                <w:szCs w:val="18"/>
                <w:highlight w:val="none"/>
              </w:rPr>
            </w:pPr>
          </w:p>
        </w:tc>
        <w:tc>
          <w:tcPr>
            <w:tcW w:w="1231" w:type="dxa"/>
            <w:noWrap w:val="0"/>
            <w:vAlign w:val="center"/>
          </w:tcPr>
          <w:p w14:paraId="029E1E9F">
            <w:pPr>
              <w:ind w:firstLine="592"/>
              <w:jc w:val="center"/>
              <w:rPr>
                <w:rFonts w:hint="eastAsia" w:ascii="宋体" w:hAnsi="宋体" w:eastAsia="宋体" w:cs="宋体"/>
                <w:color w:val="auto"/>
                <w:sz w:val="18"/>
                <w:szCs w:val="18"/>
                <w:highlight w:val="none"/>
              </w:rPr>
            </w:pPr>
          </w:p>
        </w:tc>
        <w:tc>
          <w:tcPr>
            <w:tcW w:w="1214" w:type="dxa"/>
            <w:noWrap w:val="0"/>
            <w:vAlign w:val="center"/>
          </w:tcPr>
          <w:p w14:paraId="00FA6D9D">
            <w:pPr>
              <w:ind w:firstLine="592"/>
              <w:jc w:val="center"/>
              <w:rPr>
                <w:rFonts w:hint="eastAsia" w:ascii="宋体" w:hAnsi="宋体" w:eastAsia="宋体" w:cs="宋体"/>
                <w:color w:val="auto"/>
                <w:sz w:val="18"/>
                <w:szCs w:val="18"/>
                <w:highlight w:val="none"/>
              </w:rPr>
            </w:pPr>
          </w:p>
        </w:tc>
        <w:tc>
          <w:tcPr>
            <w:tcW w:w="1500" w:type="dxa"/>
            <w:noWrap w:val="0"/>
            <w:vAlign w:val="center"/>
          </w:tcPr>
          <w:p w14:paraId="3AA9A257">
            <w:pPr>
              <w:ind w:firstLine="592"/>
              <w:jc w:val="center"/>
              <w:rPr>
                <w:rFonts w:hint="eastAsia" w:ascii="宋体" w:hAnsi="宋体" w:eastAsia="宋体" w:cs="宋体"/>
                <w:color w:val="auto"/>
                <w:sz w:val="18"/>
                <w:szCs w:val="18"/>
                <w:highlight w:val="none"/>
              </w:rPr>
            </w:pPr>
          </w:p>
        </w:tc>
        <w:tc>
          <w:tcPr>
            <w:tcW w:w="1170" w:type="dxa"/>
            <w:noWrap w:val="0"/>
            <w:vAlign w:val="center"/>
          </w:tcPr>
          <w:p w14:paraId="498EB8CF">
            <w:pPr>
              <w:ind w:firstLine="592"/>
              <w:jc w:val="center"/>
              <w:rPr>
                <w:rFonts w:hint="eastAsia" w:ascii="宋体" w:hAnsi="宋体" w:eastAsia="宋体" w:cs="宋体"/>
                <w:color w:val="auto"/>
                <w:sz w:val="18"/>
                <w:szCs w:val="18"/>
                <w:highlight w:val="none"/>
              </w:rPr>
            </w:pPr>
          </w:p>
        </w:tc>
        <w:tc>
          <w:tcPr>
            <w:tcW w:w="755" w:type="dxa"/>
            <w:noWrap w:val="0"/>
            <w:vAlign w:val="center"/>
          </w:tcPr>
          <w:p w14:paraId="15E9DB71">
            <w:pPr>
              <w:ind w:firstLine="592"/>
              <w:jc w:val="center"/>
              <w:rPr>
                <w:rFonts w:hint="eastAsia" w:ascii="宋体" w:hAnsi="宋体" w:eastAsia="宋体" w:cs="宋体"/>
                <w:color w:val="auto"/>
                <w:sz w:val="18"/>
                <w:szCs w:val="18"/>
                <w:highlight w:val="none"/>
              </w:rPr>
            </w:pPr>
          </w:p>
        </w:tc>
      </w:tr>
      <w:tr w14:paraId="3DC07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0459D999">
            <w:pPr>
              <w:ind w:firstLine="592"/>
              <w:jc w:val="center"/>
              <w:rPr>
                <w:rFonts w:hint="eastAsia" w:ascii="宋体" w:hAnsi="宋体" w:eastAsia="宋体" w:cs="宋体"/>
                <w:color w:val="auto"/>
                <w:sz w:val="18"/>
                <w:szCs w:val="18"/>
                <w:highlight w:val="none"/>
              </w:rPr>
            </w:pPr>
          </w:p>
        </w:tc>
        <w:tc>
          <w:tcPr>
            <w:tcW w:w="1134" w:type="dxa"/>
            <w:noWrap w:val="0"/>
            <w:vAlign w:val="center"/>
          </w:tcPr>
          <w:p w14:paraId="1832C716">
            <w:pPr>
              <w:ind w:firstLine="592"/>
              <w:jc w:val="center"/>
              <w:rPr>
                <w:rFonts w:hint="eastAsia" w:ascii="宋体" w:hAnsi="宋体" w:eastAsia="宋体" w:cs="宋体"/>
                <w:color w:val="auto"/>
                <w:sz w:val="18"/>
                <w:szCs w:val="18"/>
                <w:highlight w:val="none"/>
              </w:rPr>
            </w:pPr>
          </w:p>
        </w:tc>
        <w:tc>
          <w:tcPr>
            <w:tcW w:w="1231" w:type="dxa"/>
            <w:noWrap w:val="0"/>
            <w:vAlign w:val="center"/>
          </w:tcPr>
          <w:p w14:paraId="3CDF07FB">
            <w:pPr>
              <w:ind w:firstLine="592"/>
              <w:jc w:val="center"/>
              <w:rPr>
                <w:rFonts w:hint="eastAsia" w:ascii="宋体" w:hAnsi="宋体" w:eastAsia="宋体" w:cs="宋体"/>
                <w:color w:val="auto"/>
                <w:sz w:val="18"/>
                <w:szCs w:val="18"/>
                <w:highlight w:val="none"/>
              </w:rPr>
            </w:pPr>
          </w:p>
        </w:tc>
        <w:tc>
          <w:tcPr>
            <w:tcW w:w="1214" w:type="dxa"/>
            <w:noWrap w:val="0"/>
            <w:vAlign w:val="center"/>
          </w:tcPr>
          <w:p w14:paraId="3C02C1B5">
            <w:pPr>
              <w:ind w:firstLine="592"/>
              <w:jc w:val="center"/>
              <w:rPr>
                <w:rFonts w:hint="eastAsia" w:ascii="宋体" w:hAnsi="宋体" w:eastAsia="宋体" w:cs="宋体"/>
                <w:color w:val="auto"/>
                <w:sz w:val="18"/>
                <w:szCs w:val="18"/>
                <w:highlight w:val="none"/>
              </w:rPr>
            </w:pPr>
          </w:p>
        </w:tc>
        <w:tc>
          <w:tcPr>
            <w:tcW w:w="1500" w:type="dxa"/>
            <w:noWrap w:val="0"/>
            <w:vAlign w:val="center"/>
          </w:tcPr>
          <w:p w14:paraId="4CE4991F">
            <w:pPr>
              <w:ind w:firstLine="592"/>
              <w:jc w:val="center"/>
              <w:rPr>
                <w:rFonts w:hint="eastAsia" w:ascii="宋体" w:hAnsi="宋体" w:eastAsia="宋体" w:cs="宋体"/>
                <w:color w:val="auto"/>
                <w:sz w:val="18"/>
                <w:szCs w:val="18"/>
                <w:highlight w:val="none"/>
              </w:rPr>
            </w:pPr>
          </w:p>
        </w:tc>
        <w:tc>
          <w:tcPr>
            <w:tcW w:w="1170" w:type="dxa"/>
            <w:noWrap w:val="0"/>
            <w:vAlign w:val="center"/>
          </w:tcPr>
          <w:p w14:paraId="45DA0A6F">
            <w:pPr>
              <w:ind w:firstLine="592"/>
              <w:jc w:val="center"/>
              <w:rPr>
                <w:rFonts w:hint="eastAsia" w:ascii="宋体" w:hAnsi="宋体" w:eastAsia="宋体" w:cs="宋体"/>
                <w:color w:val="auto"/>
                <w:sz w:val="18"/>
                <w:szCs w:val="18"/>
                <w:highlight w:val="none"/>
              </w:rPr>
            </w:pPr>
          </w:p>
        </w:tc>
        <w:tc>
          <w:tcPr>
            <w:tcW w:w="755" w:type="dxa"/>
            <w:noWrap w:val="0"/>
            <w:vAlign w:val="center"/>
          </w:tcPr>
          <w:p w14:paraId="69AA1C5B">
            <w:pPr>
              <w:ind w:firstLine="592"/>
              <w:jc w:val="center"/>
              <w:rPr>
                <w:rFonts w:hint="eastAsia" w:ascii="宋体" w:hAnsi="宋体" w:eastAsia="宋体" w:cs="宋体"/>
                <w:color w:val="auto"/>
                <w:sz w:val="18"/>
                <w:szCs w:val="18"/>
                <w:highlight w:val="none"/>
              </w:rPr>
            </w:pPr>
          </w:p>
        </w:tc>
      </w:tr>
      <w:tr w14:paraId="0E6ADA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0AF84147">
            <w:pPr>
              <w:ind w:firstLine="592"/>
              <w:jc w:val="center"/>
              <w:rPr>
                <w:rFonts w:hint="eastAsia" w:ascii="宋体" w:hAnsi="宋体" w:eastAsia="宋体" w:cs="宋体"/>
                <w:color w:val="auto"/>
                <w:sz w:val="18"/>
                <w:szCs w:val="18"/>
                <w:highlight w:val="none"/>
              </w:rPr>
            </w:pPr>
          </w:p>
        </w:tc>
        <w:tc>
          <w:tcPr>
            <w:tcW w:w="1134" w:type="dxa"/>
            <w:noWrap w:val="0"/>
            <w:vAlign w:val="center"/>
          </w:tcPr>
          <w:p w14:paraId="7B65A044">
            <w:pPr>
              <w:ind w:firstLine="592"/>
              <w:jc w:val="center"/>
              <w:rPr>
                <w:rFonts w:hint="eastAsia" w:ascii="宋体" w:hAnsi="宋体" w:eastAsia="宋体" w:cs="宋体"/>
                <w:color w:val="auto"/>
                <w:sz w:val="18"/>
                <w:szCs w:val="18"/>
                <w:highlight w:val="none"/>
              </w:rPr>
            </w:pPr>
          </w:p>
        </w:tc>
        <w:tc>
          <w:tcPr>
            <w:tcW w:w="1231" w:type="dxa"/>
            <w:noWrap w:val="0"/>
            <w:vAlign w:val="center"/>
          </w:tcPr>
          <w:p w14:paraId="1AD88758">
            <w:pPr>
              <w:ind w:firstLine="592"/>
              <w:jc w:val="center"/>
              <w:rPr>
                <w:rFonts w:hint="eastAsia" w:ascii="宋体" w:hAnsi="宋体" w:eastAsia="宋体" w:cs="宋体"/>
                <w:color w:val="auto"/>
                <w:sz w:val="18"/>
                <w:szCs w:val="18"/>
                <w:highlight w:val="none"/>
              </w:rPr>
            </w:pPr>
          </w:p>
        </w:tc>
        <w:tc>
          <w:tcPr>
            <w:tcW w:w="1214" w:type="dxa"/>
            <w:noWrap w:val="0"/>
            <w:vAlign w:val="center"/>
          </w:tcPr>
          <w:p w14:paraId="40C2FE8E">
            <w:pPr>
              <w:ind w:firstLine="592"/>
              <w:jc w:val="center"/>
              <w:rPr>
                <w:rFonts w:hint="eastAsia" w:ascii="宋体" w:hAnsi="宋体" w:eastAsia="宋体" w:cs="宋体"/>
                <w:color w:val="auto"/>
                <w:sz w:val="18"/>
                <w:szCs w:val="18"/>
                <w:highlight w:val="none"/>
              </w:rPr>
            </w:pPr>
          </w:p>
        </w:tc>
        <w:tc>
          <w:tcPr>
            <w:tcW w:w="1500" w:type="dxa"/>
            <w:noWrap w:val="0"/>
            <w:vAlign w:val="center"/>
          </w:tcPr>
          <w:p w14:paraId="5207F9AF">
            <w:pPr>
              <w:ind w:firstLine="592"/>
              <w:jc w:val="center"/>
              <w:rPr>
                <w:rFonts w:hint="eastAsia" w:ascii="宋体" w:hAnsi="宋体" w:eastAsia="宋体" w:cs="宋体"/>
                <w:color w:val="auto"/>
                <w:sz w:val="18"/>
                <w:szCs w:val="18"/>
                <w:highlight w:val="none"/>
              </w:rPr>
            </w:pPr>
          </w:p>
        </w:tc>
        <w:tc>
          <w:tcPr>
            <w:tcW w:w="1170" w:type="dxa"/>
            <w:noWrap w:val="0"/>
            <w:vAlign w:val="center"/>
          </w:tcPr>
          <w:p w14:paraId="2548AC60">
            <w:pPr>
              <w:ind w:firstLine="592"/>
              <w:jc w:val="center"/>
              <w:rPr>
                <w:rFonts w:hint="eastAsia" w:ascii="宋体" w:hAnsi="宋体" w:eastAsia="宋体" w:cs="宋体"/>
                <w:color w:val="auto"/>
                <w:sz w:val="18"/>
                <w:szCs w:val="18"/>
                <w:highlight w:val="none"/>
              </w:rPr>
            </w:pPr>
          </w:p>
        </w:tc>
        <w:tc>
          <w:tcPr>
            <w:tcW w:w="755" w:type="dxa"/>
            <w:noWrap w:val="0"/>
            <w:vAlign w:val="center"/>
          </w:tcPr>
          <w:p w14:paraId="204EB6E1">
            <w:pPr>
              <w:ind w:firstLine="592"/>
              <w:jc w:val="center"/>
              <w:rPr>
                <w:rFonts w:hint="eastAsia" w:ascii="宋体" w:hAnsi="宋体" w:eastAsia="宋体" w:cs="宋体"/>
                <w:color w:val="auto"/>
                <w:sz w:val="18"/>
                <w:szCs w:val="18"/>
                <w:highlight w:val="none"/>
              </w:rPr>
            </w:pPr>
          </w:p>
        </w:tc>
      </w:tr>
      <w:tr w14:paraId="4CAED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1B155152">
            <w:pPr>
              <w:ind w:firstLine="592"/>
              <w:jc w:val="center"/>
              <w:rPr>
                <w:rFonts w:hint="eastAsia" w:ascii="宋体" w:hAnsi="宋体" w:eastAsia="宋体" w:cs="宋体"/>
                <w:color w:val="auto"/>
                <w:sz w:val="18"/>
                <w:szCs w:val="18"/>
                <w:highlight w:val="none"/>
              </w:rPr>
            </w:pPr>
          </w:p>
        </w:tc>
        <w:tc>
          <w:tcPr>
            <w:tcW w:w="1134" w:type="dxa"/>
            <w:noWrap w:val="0"/>
            <w:vAlign w:val="center"/>
          </w:tcPr>
          <w:p w14:paraId="2593288F">
            <w:pPr>
              <w:ind w:firstLine="592"/>
              <w:jc w:val="center"/>
              <w:rPr>
                <w:rFonts w:hint="eastAsia" w:ascii="宋体" w:hAnsi="宋体" w:eastAsia="宋体" w:cs="宋体"/>
                <w:color w:val="auto"/>
                <w:sz w:val="18"/>
                <w:szCs w:val="18"/>
                <w:highlight w:val="none"/>
              </w:rPr>
            </w:pPr>
          </w:p>
        </w:tc>
        <w:tc>
          <w:tcPr>
            <w:tcW w:w="1231" w:type="dxa"/>
            <w:noWrap w:val="0"/>
            <w:vAlign w:val="center"/>
          </w:tcPr>
          <w:p w14:paraId="501DA1F3">
            <w:pPr>
              <w:ind w:firstLine="592"/>
              <w:jc w:val="center"/>
              <w:rPr>
                <w:rFonts w:hint="eastAsia" w:ascii="宋体" w:hAnsi="宋体" w:eastAsia="宋体" w:cs="宋体"/>
                <w:color w:val="auto"/>
                <w:sz w:val="18"/>
                <w:szCs w:val="18"/>
                <w:highlight w:val="none"/>
              </w:rPr>
            </w:pPr>
          </w:p>
        </w:tc>
        <w:tc>
          <w:tcPr>
            <w:tcW w:w="1214" w:type="dxa"/>
            <w:noWrap w:val="0"/>
            <w:vAlign w:val="center"/>
          </w:tcPr>
          <w:p w14:paraId="7636AC2C">
            <w:pPr>
              <w:ind w:firstLine="592"/>
              <w:jc w:val="center"/>
              <w:rPr>
                <w:rFonts w:hint="eastAsia" w:ascii="宋体" w:hAnsi="宋体" w:eastAsia="宋体" w:cs="宋体"/>
                <w:color w:val="auto"/>
                <w:sz w:val="18"/>
                <w:szCs w:val="18"/>
                <w:highlight w:val="none"/>
              </w:rPr>
            </w:pPr>
          </w:p>
        </w:tc>
        <w:tc>
          <w:tcPr>
            <w:tcW w:w="1500" w:type="dxa"/>
            <w:noWrap w:val="0"/>
            <w:vAlign w:val="center"/>
          </w:tcPr>
          <w:p w14:paraId="54CEE6A2">
            <w:pPr>
              <w:ind w:firstLine="592"/>
              <w:jc w:val="center"/>
              <w:rPr>
                <w:rFonts w:hint="eastAsia" w:ascii="宋体" w:hAnsi="宋体" w:eastAsia="宋体" w:cs="宋体"/>
                <w:color w:val="auto"/>
                <w:sz w:val="18"/>
                <w:szCs w:val="18"/>
                <w:highlight w:val="none"/>
              </w:rPr>
            </w:pPr>
          </w:p>
        </w:tc>
        <w:tc>
          <w:tcPr>
            <w:tcW w:w="1170" w:type="dxa"/>
            <w:noWrap w:val="0"/>
            <w:vAlign w:val="center"/>
          </w:tcPr>
          <w:p w14:paraId="23E92C96">
            <w:pPr>
              <w:ind w:firstLine="592"/>
              <w:jc w:val="center"/>
              <w:rPr>
                <w:rFonts w:hint="eastAsia" w:ascii="宋体" w:hAnsi="宋体" w:eastAsia="宋体" w:cs="宋体"/>
                <w:color w:val="auto"/>
                <w:sz w:val="18"/>
                <w:szCs w:val="18"/>
                <w:highlight w:val="none"/>
              </w:rPr>
            </w:pPr>
          </w:p>
        </w:tc>
        <w:tc>
          <w:tcPr>
            <w:tcW w:w="755" w:type="dxa"/>
            <w:noWrap w:val="0"/>
            <w:vAlign w:val="center"/>
          </w:tcPr>
          <w:p w14:paraId="70C65AA6">
            <w:pPr>
              <w:ind w:firstLine="592"/>
              <w:jc w:val="center"/>
              <w:rPr>
                <w:rFonts w:hint="eastAsia" w:ascii="宋体" w:hAnsi="宋体" w:eastAsia="宋体" w:cs="宋体"/>
                <w:color w:val="auto"/>
                <w:sz w:val="18"/>
                <w:szCs w:val="18"/>
                <w:highlight w:val="none"/>
              </w:rPr>
            </w:pPr>
          </w:p>
        </w:tc>
      </w:tr>
      <w:tr w14:paraId="58404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4294F94E">
            <w:pPr>
              <w:ind w:firstLine="592"/>
              <w:jc w:val="center"/>
              <w:rPr>
                <w:rFonts w:hint="eastAsia" w:ascii="宋体" w:hAnsi="宋体" w:eastAsia="宋体" w:cs="宋体"/>
                <w:color w:val="auto"/>
                <w:sz w:val="18"/>
                <w:szCs w:val="18"/>
                <w:highlight w:val="none"/>
              </w:rPr>
            </w:pPr>
          </w:p>
        </w:tc>
        <w:tc>
          <w:tcPr>
            <w:tcW w:w="1134" w:type="dxa"/>
            <w:noWrap w:val="0"/>
            <w:vAlign w:val="center"/>
          </w:tcPr>
          <w:p w14:paraId="0F0373D2">
            <w:pPr>
              <w:ind w:firstLine="592"/>
              <w:jc w:val="center"/>
              <w:rPr>
                <w:rFonts w:hint="eastAsia" w:ascii="宋体" w:hAnsi="宋体" w:eastAsia="宋体" w:cs="宋体"/>
                <w:color w:val="auto"/>
                <w:sz w:val="18"/>
                <w:szCs w:val="18"/>
                <w:highlight w:val="none"/>
              </w:rPr>
            </w:pPr>
          </w:p>
        </w:tc>
        <w:tc>
          <w:tcPr>
            <w:tcW w:w="1231" w:type="dxa"/>
            <w:noWrap w:val="0"/>
            <w:vAlign w:val="center"/>
          </w:tcPr>
          <w:p w14:paraId="01732BE5">
            <w:pPr>
              <w:ind w:firstLine="592"/>
              <w:jc w:val="center"/>
              <w:rPr>
                <w:rFonts w:hint="eastAsia" w:ascii="宋体" w:hAnsi="宋体" w:eastAsia="宋体" w:cs="宋体"/>
                <w:color w:val="auto"/>
                <w:sz w:val="18"/>
                <w:szCs w:val="18"/>
                <w:highlight w:val="none"/>
              </w:rPr>
            </w:pPr>
          </w:p>
        </w:tc>
        <w:tc>
          <w:tcPr>
            <w:tcW w:w="1214" w:type="dxa"/>
            <w:noWrap w:val="0"/>
            <w:vAlign w:val="center"/>
          </w:tcPr>
          <w:p w14:paraId="7C3271A2">
            <w:pPr>
              <w:ind w:firstLine="592"/>
              <w:jc w:val="center"/>
              <w:rPr>
                <w:rFonts w:hint="eastAsia" w:ascii="宋体" w:hAnsi="宋体" w:eastAsia="宋体" w:cs="宋体"/>
                <w:color w:val="auto"/>
                <w:sz w:val="18"/>
                <w:szCs w:val="18"/>
                <w:highlight w:val="none"/>
              </w:rPr>
            </w:pPr>
          </w:p>
        </w:tc>
        <w:tc>
          <w:tcPr>
            <w:tcW w:w="1500" w:type="dxa"/>
            <w:noWrap w:val="0"/>
            <w:vAlign w:val="center"/>
          </w:tcPr>
          <w:p w14:paraId="7A96ED5F">
            <w:pPr>
              <w:ind w:firstLine="592"/>
              <w:jc w:val="center"/>
              <w:rPr>
                <w:rFonts w:hint="eastAsia" w:ascii="宋体" w:hAnsi="宋体" w:eastAsia="宋体" w:cs="宋体"/>
                <w:color w:val="auto"/>
                <w:sz w:val="18"/>
                <w:szCs w:val="18"/>
                <w:highlight w:val="none"/>
              </w:rPr>
            </w:pPr>
          </w:p>
        </w:tc>
        <w:tc>
          <w:tcPr>
            <w:tcW w:w="1170" w:type="dxa"/>
            <w:noWrap w:val="0"/>
            <w:vAlign w:val="center"/>
          </w:tcPr>
          <w:p w14:paraId="55D4D18E">
            <w:pPr>
              <w:ind w:firstLine="592"/>
              <w:jc w:val="center"/>
              <w:rPr>
                <w:rFonts w:hint="eastAsia" w:ascii="宋体" w:hAnsi="宋体" w:eastAsia="宋体" w:cs="宋体"/>
                <w:color w:val="auto"/>
                <w:sz w:val="18"/>
                <w:szCs w:val="18"/>
                <w:highlight w:val="none"/>
              </w:rPr>
            </w:pPr>
          </w:p>
        </w:tc>
        <w:tc>
          <w:tcPr>
            <w:tcW w:w="755" w:type="dxa"/>
            <w:noWrap w:val="0"/>
            <w:vAlign w:val="center"/>
          </w:tcPr>
          <w:p w14:paraId="66D05FEA">
            <w:pPr>
              <w:ind w:firstLine="592"/>
              <w:jc w:val="center"/>
              <w:rPr>
                <w:rFonts w:hint="eastAsia" w:ascii="宋体" w:hAnsi="宋体" w:eastAsia="宋体" w:cs="宋体"/>
                <w:color w:val="auto"/>
                <w:sz w:val="18"/>
                <w:szCs w:val="18"/>
                <w:highlight w:val="none"/>
              </w:rPr>
            </w:pPr>
          </w:p>
        </w:tc>
      </w:tr>
      <w:tr w14:paraId="0E597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53D22910">
            <w:pPr>
              <w:ind w:firstLine="592"/>
              <w:jc w:val="center"/>
              <w:rPr>
                <w:rFonts w:hint="eastAsia" w:ascii="宋体" w:hAnsi="宋体" w:eastAsia="宋体" w:cs="宋体"/>
                <w:color w:val="auto"/>
                <w:sz w:val="18"/>
                <w:szCs w:val="18"/>
                <w:highlight w:val="none"/>
              </w:rPr>
            </w:pPr>
          </w:p>
        </w:tc>
        <w:tc>
          <w:tcPr>
            <w:tcW w:w="1134" w:type="dxa"/>
            <w:noWrap w:val="0"/>
            <w:vAlign w:val="center"/>
          </w:tcPr>
          <w:p w14:paraId="314D40B2">
            <w:pPr>
              <w:ind w:firstLine="592"/>
              <w:jc w:val="center"/>
              <w:rPr>
                <w:rFonts w:hint="eastAsia" w:ascii="宋体" w:hAnsi="宋体" w:eastAsia="宋体" w:cs="宋体"/>
                <w:color w:val="auto"/>
                <w:sz w:val="18"/>
                <w:szCs w:val="18"/>
                <w:highlight w:val="none"/>
              </w:rPr>
            </w:pPr>
          </w:p>
        </w:tc>
        <w:tc>
          <w:tcPr>
            <w:tcW w:w="1231" w:type="dxa"/>
            <w:noWrap w:val="0"/>
            <w:vAlign w:val="center"/>
          </w:tcPr>
          <w:p w14:paraId="237F70CB">
            <w:pPr>
              <w:ind w:firstLine="592"/>
              <w:jc w:val="center"/>
              <w:rPr>
                <w:rFonts w:hint="eastAsia" w:ascii="宋体" w:hAnsi="宋体" w:eastAsia="宋体" w:cs="宋体"/>
                <w:color w:val="auto"/>
                <w:sz w:val="18"/>
                <w:szCs w:val="18"/>
                <w:highlight w:val="none"/>
              </w:rPr>
            </w:pPr>
          </w:p>
        </w:tc>
        <w:tc>
          <w:tcPr>
            <w:tcW w:w="1214" w:type="dxa"/>
            <w:noWrap w:val="0"/>
            <w:vAlign w:val="center"/>
          </w:tcPr>
          <w:p w14:paraId="7448673D">
            <w:pPr>
              <w:ind w:firstLine="592"/>
              <w:jc w:val="center"/>
              <w:rPr>
                <w:rFonts w:hint="eastAsia" w:ascii="宋体" w:hAnsi="宋体" w:eastAsia="宋体" w:cs="宋体"/>
                <w:color w:val="auto"/>
                <w:sz w:val="18"/>
                <w:szCs w:val="18"/>
                <w:highlight w:val="none"/>
              </w:rPr>
            </w:pPr>
          </w:p>
        </w:tc>
        <w:tc>
          <w:tcPr>
            <w:tcW w:w="1500" w:type="dxa"/>
            <w:noWrap w:val="0"/>
            <w:vAlign w:val="center"/>
          </w:tcPr>
          <w:p w14:paraId="4A3F3EAF">
            <w:pPr>
              <w:ind w:firstLine="592"/>
              <w:jc w:val="center"/>
              <w:rPr>
                <w:rFonts w:hint="eastAsia" w:ascii="宋体" w:hAnsi="宋体" w:eastAsia="宋体" w:cs="宋体"/>
                <w:color w:val="auto"/>
                <w:sz w:val="18"/>
                <w:szCs w:val="18"/>
                <w:highlight w:val="none"/>
              </w:rPr>
            </w:pPr>
          </w:p>
        </w:tc>
        <w:tc>
          <w:tcPr>
            <w:tcW w:w="1170" w:type="dxa"/>
            <w:noWrap w:val="0"/>
            <w:vAlign w:val="center"/>
          </w:tcPr>
          <w:p w14:paraId="5FD3C11E">
            <w:pPr>
              <w:ind w:firstLine="592"/>
              <w:jc w:val="center"/>
              <w:rPr>
                <w:rFonts w:hint="eastAsia" w:ascii="宋体" w:hAnsi="宋体" w:eastAsia="宋体" w:cs="宋体"/>
                <w:color w:val="auto"/>
                <w:sz w:val="18"/>
                <w:szCs w:val="18"/>
                <w:highlight w:val="none"/>
              </w:rPr>
            </w:pPr>
          </w:p>
        </w:tc>
        <w:tc>
          <w:tcPr>
            <w:tcW w:w="755" w:type="dxa"/>
            <w:noWrap w:val="0"/>
            <w:vAlign w:val="center"/>
          </w:tcPr>
          <w:p w14:paraId="237A795F">
            <w:pPr>
              <w:ind w:firstLine="592"/>
              <w:jc w:val="center"/>
              <w:rPr>
                <w:rFonts w:hint="eastAsia" w:ascii="宋体" w:hAnsi="宋体" w:eastAsia="宋体" w:cs="宋体"/>
                <w:color w:val="auto"/>
                <w:sz w:val="18"/>
                <w:szCs w:val="18"/>
                <w:highlight w:val="none"/>
              </w:rPr>
            </w:pPr>
          </w:p>
        </w:tc>
      </w:tr>
      <w:tr w14:paraId="2A418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03CFA76D">
            <w:pPr>
              <w:ind w:firstLine="592"/>
              <w:jc w:val="center"/>
              <w:rPr>
                <w:rFonts w:hint="eastAsia" w:ascii="宋体" w:hAnsi="宋体" w:eastAsia="宋体" w:cs="宋体"/>
                <w:color w:val="auto"/>
                <w:sz w:val="18"/>
                <w:szCs w:val="18"/>
                <w:highlight w:val="none"/>
              </w:rPr>
            </w:pPr>
          </w:p>
        </w:tc>
        <w:tc>
          <w:tcPr>
            <w:tcW w:w="1134" w:type="dxa"/>
            <w:noWrap w:val="0"/>
            <w:vAlign w:val="center"/>
          </w:tcPr>
          <w:p w14:paraId="22496218">
            <w:pPr>
              <w:ind w:firstLine="592"/>
              <w:jc w:val="center"/>
              <w:rPr>
                <w:rFonts w:hint="eastAsia" w:ascii="宋体" w:hAnsi="宋体" w:eastAsia="宋体" w:cs="宋体"/>
                <w:color w:val="auto"/>
                <w:sz w:val="18"/>
                <w:szCs w:val="18"/>
                <w:highlight w:val="none"/>
              </w:rPr>
            </w:pPr>
          </w:p>
        </w:tc>
        <w:tc>
          <w:tcPr>
            <w:tcW w:w="1231" w:type="dxa"/>
            <w:noWrap w:val="0"/>
            <w:vAlign w:val="center"/>
          </w:tcPr>
          <w:p w14:paraId="15502FC4">
            <w:pPr>
              <w:ind w:firstLine="592"/>
              <w:jc w:val="center"/>
              <w:rPr>
                <w:rFonts w:hint="eastAsia" w:ascii="宋体" w:hAnsi="宋体" w:eastAsia="宋体" w:cs="宋体"/>
                <w:color w:val="auto"/>
                <w:sz w:val="18"/>
                <w:szCs w:val="18"/>
                <w:highlight w:val="none"/>
              </w:rPr>
            </w:pPr>
          </w:p>
        </w:tc>
        <w:tc>
          <w:tcPr>
            <w:tcW w:w="1214" w:type="dxa"/>
            <w:noWrap w:val="0"/>
            <w:vAlign w:val="center"/>
          </w:tcPr>
          <w:p w14:paraId="01604765">
            <w:pPr>
              <w:ind w:firstLine="592"/>
              <w:jc w:val="center"/>
              <w:rPr>
                <w:rFonts w:hint="eastAsia" w:ascii="宋体" w:hAnsi="宋体" w:eastAsia="宋体" w:cs="宋体"/>
                <w:color w:val="auto"/>
                <w:sz w:val="18"/>
                <w:szCs w:val="18"/>
                <w:highlight w:val="none"/>
              </w:rPr>
            </w:pPr>
          </w:p>
        </w:tc>
        <w:tc>
          <w:tcPr>
            <w:tcW w:w="1500" w:type="dxa"/>
            <w:noWrap w:val="0"/>
            <w:vAlign w:val="center"/>
          </w:tcPr>
          <w:p w14:paraId="6724BF16">
            <w:pPr>
              <w:ind w:firstLine="592"/>
              <w:jc w:val="center"/>
              <w:rPr>
                <w:rFonts w:hint="eastAsia" w:ascii="宋体" w:hAnsi="宋体" w:eastAsia="宋体" w:cs="宋体"/>
                <w:color w:val="auto"/>
                <w:sz w:val="18"/>
                <w:szCs w:val="18"/>
                <w:highlight w:val="none"/>
              </w:rPr>
            </w:pPr>
          </w:p>
        </w:tc>
        <w:tc>
          <w:tcPr>
            <w:tcW w:w="1170" w:type="dxa"/>
            <w:noWrap w:val="0"/>
            <w:vAlign w:val="center"/>
          </w:tcPr>
          <w:p w14:paraId="4C54CA25">
            <w:pPr>
              <w:ind w:firstLine="592"/>
              <w:jc w:val="center"/>
              <w:rPr>
                <w:rFonts w:hint="eastAsia" w:ascii="宋体" w:hAnsi="宋体" w:eastAsia="宋体" w:cs="宋体"/>
                <w:color w:val="auto"/>
                <w:sz w:val="18"/>
                <w:szCs w:val="18"/>
                <w:highlight w:val="none"/>
              </w:rPr>
            </w:pPr>
          </w:p>
        </w:tc>
        <w:tc>
          <w:tcPr>
            <w:tcW w:w="755" w:type="dxa"/>
            <w:noWrap w:val="0"/>
            <w:vAlign w:val="center"/>
          </w:tcPr>
          <w:p w14:paraId="66975799">
            <w:pPr>
              <w:ind w:firstLine="592"/>
              <w:jc w:val="center"/>
              <w:rPr>
                <w:rFonts w:hint="eastAsia" w:ascii="宋体" w:hAnsi="宋体" w:eastAsia="宋体" w:cs="宋体"/>
                <w:color w:val="auto"/>
                <w:sz w:val="18"/>
                <w:szCs w:val="18"/>
                <w:highlight w:val="none"/>
              </w:rPr>
            </w:pPr>
          </w:p>
        </w:tc>
      </w:tr>
      <w:tr w14:paraId="25A8F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75C7CE6E">
            <w:pPr>
              <w:ind w:firstLine="592"/>
              <w:jc w:val="center"/>
              <w:rPr>
                <w:rFonts w:hint="eastAsia" w:ascii="宋体" w:hAnsi="宋体" w:eastAsia="宋体" w:cs="宋体"/>
                <w:color w:val="auto"/>
                <w:sz w:val="18"/>
                <w:szCs w:val="18"/>
                <w:highlight w:val="none"/>
              </w:rPr>
            </w:pPr>
          </w:p>
        </w:tc>
        <w:tc>
          <w:tcPr>
            <w:tcW w:w="1134" w:type="dxa"/>
            <w:noWrap w:val="0"/>
            <w:vAlign w:val="center"/>
          </w:tcPr>
          <w:p w14:paraId="69881522">
            <w:pPr>
              <w:ind w:firstLine="592"/>
              <w:jc w:val="center"/>
              <w:rPr>
                <w:rFonts w:hint="eastAsia" w:ascii="宋体" w:hAnsi="宋体" w:eastAsia="宋体" w:cs="宋体"/>
                <w:color w:val="auto"/>
                <w:sz w:val="18"/>
                <w:szCs w:val="18"/>
                <w:highlight w:val="none"/>
              </w:rPr>
            </w:pPr>
          </w:p>
        </w:tc>
        <w:tc>
          <w:tcPr>
            <w:tcW w:w="1231" w:type="dxa"/>
            <w:noWrap w:val="0"/>
            <w:vAlign w:val="center"/>
          </w:tcPr>
          <w:p w14:paraId="5DA8E148">
            <w:pPr>
              <w:ind w:firstLine="592"/>
              <w:jc w:val="center"/>
              <w:rPr>
                <w:rFonts w:hint="eastAsia" w:ascii="宋体" w:hAnsi="宋体" w:eastAsia="宋体" w:cs="宋体"/>
                <w:color w:val="auto"/>
                <w:sz w:val="18"/>
                <w:szCs w:val="18"/>
                <w:highlight w:val="none"/>
              </w:rPr>
            </w:pPr>
          </w:p>
        </w:tc>
        <w:tc>
          <w:tcPr>
            <w:tcW w:w="1214" w:type="dxa"/>
            <w:noWrap w:val="0"/>
            <w:vAlign w:val="center"/>
          </w:tcPr>
          <w:p w14:paraId="574903C6">
            <w:pPr>
              <w:ind w:firstLine="592"/>
              <w:jc w:val="center"/>
              <w:rPr>
                <w:rFonts w:hint="eastAsia" w:ascii="宋体" w:hAnsi="宋体" w:eastAsia="宋体" w:cs="宋体"/>
                <w:color w:val="auto"/>
                <w:sz w:val="18"/>
                <w:szCs w:val="18"/>
                <w:highlight w:val="none"/>
              </w:rPr>
            </w:pPr>
          </w:p>
        </w:tc>
        <w:tc>
          <w:tcPr>
            <w:tcW w:w="1500" w:type="dxa"/>
            <w:noWrap w:val="0"/>
            <w:vAlign w:val="center"/>
          </w:tcPr>
          <w:p w14:paraId="4854B29D">
            <w:pPr>
              <w:ind w:firstLine="592"/>
              <w:jc w:val="center"/>
              <w:rPr>
                <w:rFonts w:hint="eastAsia" w:ascii="宋体" w:hAnsi="宋体" w:eastAsia="宋体" w:cs="宋体"/>
                <w:color w:val="auto"/>
                <w:sz w:val="18"/>
                <w:szCs w:val="18"/>
                <w:highlight w:val="none"/>
              </w:rPr>
            </w:pPr>
          </w:p>
        </w:tc>
        <w:tc>
          <w:tcPr>
            <w:tcW w:w="1170" w:type="dxa"/>
            <w:noWrap w:val="0"/>
            <w:vAlign w:val="center"/>
          </w:tcPr>
          <w:p w14:paraId="2B6108A2">
            <w:pPr>
              <w:ind w:firstLine="592"/>
              <w:jc w:val="center"/>
              <w:rPr>
                <w:rFonts w:hint="eastAsia" w:ascii="宋体" w:hAnsi="宋体" w:eastAsia="宋体" w:cs="宋体"/>
                <w:color w:val="auto"/>
                <w:sz w:val="18"/>
                <w:szCs w:val="18"/>
                <w:highlight w:val="none"/>
              </w:rPr>
            </w:pPr>
          </w:p>
        </w:tc>
        <w:tc>
          <w:tcPr>
            <w:tcW w:w="755" w:type="dxa"/>
            <w:noWrap w:val="0"/>
            <w:vAlign w:val="center"/>
          </w:tcPr>
          <w:p w14:paraId="547987DC">
            <w:pPr>
              <w:ind w:firstLine="592"/>
              <w:jc w:val="center"/>
              <w:rPr>
                <w:rFonts w:hint="eastAsia" w:ascii="宋体" w:hAnsi="宋体" w:eastAsia="宋体" w:cs="宋体"/>
                <w:color w:val="auto"/>
                <w:sz w:val="18"/>
                <w:szCs w:val="18"/>
                <w:highlight w:val="none"/>
              </w:rPr>
            </w:pPr>
          </w:p>
        </w:tc>
      </w:tr>
      <w:tr w14:paraId="67A1A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0" w:hRule="atLeast"/>
          <w:jc w:val="center"/>
        </w:trPr>
        <w:tc>
          <w:tcPr>
            <w:tcW w:w="1809" w:type="dxa"/>
            <w:noWrap w:val="0"/>
            <w:vAlign w:val="center"/>
          </w:tcPr>
          <w:p w14:paraId="478DB632">
            <w:pPr>
              <w:ind w:firstLine="592"/>
              <w:jc w:val="center"/>
              <w:rPr>
                <w:rFonts w:hint="eastAsia" w:ascii="宋体" w:hAnsi="宋体" w:eastAsia="宋体" w:cs="宋体"/>
                <w:color w:val="auto"/>
                <w:sz w:val="18"/>
                <w:szCs w:val="18"/>
                <w:highlight w:val="none"/>
              </w:rPr>
            </w:pPr>
          </w:p>
        </w:tc>
        <w:tc>
          <w:tcPr>
            <w:tcW w:w="1134" w:type="dxa"/>
            <w:noWrap w:val="0"/>
            <w:vAlign w:val="center"/>
          </w:tcPr>
          <w:p w14:paraId="59CECA68">
            <w:pPr>
              <w:ind w:firstLine="592"/>
              <w:jc w:val="center"/>
              <w:rPr>
                <w:rFonts w:hint="eastAsia" w:ascii="宋体" w:hAnsi="宋体" w:eastAsia="宋体" w:cs="宋体"/>
                <w:color w:val="auto"/>
                <w:sz w:val="18"/>
                <w:szCs w:val="18"/>
                <w:highlight w:val="none"/>
              </w:rPr>
            </w:pPr>
          </w:p>
        </w:tc>
        <w:tc>
          <w:tcPr>
            <w:tcW w:w="1231" w:type="dxa"/>
            <w:noWrap w:val="0"/>
            <w:vAlign w:val="center"/>
          </w:tcPr>
          <w:p w14:paraId="49E17CAE">
            <w:pPr>
              <w:ind w:firstLine="592"/>
              <w:jc w:val="center"/>
              <w:rPr>
                <w:rFonts w:hint="eastAsia" w:ascii="宋体" w:hAnsi="宋体" w:eastAsia="宋体" w:cs="宋体"/>
                <w:color w:val="auto"/>
                <w:sz w:val="18"/>
                <w:szCs w:val="18"/>
                <w:highlight w:val="none"/>
              </w:rPr>
            </w:pPr>
          </w:p>
        </w:tc>
        <w:tc>
          <w:tcPr>
            <w:tcW w:w="1214" w:type="dxa"/>
            <w:noWrap w:val="0"/>
            <w:vAlign w:val="center"/>
          </w:tcPr>
          <w:p w14:paraId="5F117EF8">
            <w:pPr>
              <w:ind w:firstLine="592"/>
              <w:jc w:val="center"/>
              <w:rPr>
                <w:rFonts w:hint="eastAsia" w:ascii="宋体" w:hAnsi="宋体" w:eastAsia="宋体" w:cs="宋体"/>
                <w:color w:val="auto"/>
                <w:sz w:val="18"/>
                <w:szCs w:val="18"/>
                <w:highlight w:val="none"/>
              </w:rPr>
            </w:pPr>
          </w:p>
        </w:tc>
        <w:tc>
          <w:tcPr>
            <w:tcW w:w="1500" w:type="dxa"/>
            <w:noWrap w:val="0"/>
            <w:vAlign w:val="center"/>
          </w:tcPr>
          <w:p w14:paraId="4C636935">
            <w:pPr>
              <w:ind w:firstLine="592"/>
              <w:jc w:val="center"/>
              <w:rPr>
                <w:rFonts w:hint="eastAsia" w:ascii="宋体" w:hAnsi="宋体" w:eastAsia="宋体" w:cs="宋体"/>
                <w:color w:val="auto"/>
                <w:sz w:val="18"/>
                <w:szCs w:val="18"/>
                <w:highlight w:val="none"/>
              </w:rPr>
            </w:pPr>
          </w:p>
        </w:tc>
        <w:tc>
          <w:tcPr>
            <w:tcW w:w="1170" w:type="dxa"/>
            <w:noWrap w:val="0"/>
            <w:vAlign w:val="center"/>
          </w:tcPr>
          <w:p w14:paraId="73AD2BAB">
            <w:pPr>
              <w:ind w:firstLine="592"/>
              <w:jc w:val="center"/>
              <w:rPr>
                <w:rFonts w:hint="eastAsia" w:ascii="宋体" w:hAnsi="宋体" w:eastAsia="宋体" w:cs="宋体"/>
                <w:color w:val="auto"/>
                <w:sz w:val="18"/>
                <w:szCs w:val="18"/>
                <w:highlight w:val="none"/>
              </w:rPr>
            </w:pPr>
          </w:p>
        </w:tc>
        <w:tc>
          <w:tcPr>
            <w:tcW w:w="755" w:type="dxa"/>
            <w:noWrap w:val="0"/>
            <w:vAlign w:val="center"/>
          </w:tcPr>
          <w:p w14:paraId="75F34311">
            <w:pPr>
              <w:ind w:firstLine="592"/>
              <w:jc w:val="center"/>
              <w:rPr>
                <w:rFonts w:hint="eastAsia" w:ascii="宋体" w:hAnsi="宋体" w:eastAsia="宋体" w:cs="宋体"/>
                <w:color w:val="auto"/>
                <w:sz w:val="18"/>
                <w:szCs w:val="18"/>
                <w:highlight w:val="none"/>
              </w:rPr>
            </w:pPr>
          </w:p>
        </w:tc>
      </w:tr>
      <w:tr w14:paraId="3E4F5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14:paraId="25FC35E4">
            <w:pPr>
              <w:ind w:firstLine="592"/>
              <w:jc w:val="center"/>
              <w:rPr>
                <w:rFonts w:hint="eastAsia" w:ascii="宋体" w:hAnsi="宋体" w:eastAsia="宋体" w:cs="宋体"/>
                <w:color w:val="auto"/>
                <w:sz w:val="18"/>
                <w:szCs w:val="18"/>
                <w:highlight w:val="none"/>
              </w:rPr>
            </w:pPr>
          </w:p>
        </w:tc>
        <w:tc>
          <w:tcPr>
            <w:tcW w:w="1134" w:type="dxa"/>
            <w:noWrap w:val="0"/>
            <w:vAlign w:val="center"/>
          </w:tcPr>
          <w:p w14:paraId="7C01B68D">
            <w:pPr>
              <w:ind w:firstLine="592"/>
              <w:jc w:val="center"/>
              <w:rPr>
                <w:rFonts w:hint="eastAsia" w:ascii="宋体" w:hAnsi="宋体" w:eastAsia="宋体" w:cs="宋体"/>
                <w:color w:val="auto"/>
                <w:sz w:val="18"/>
                <w:szCs w:val="18"/>
                <w:highlight w:val="none"/>
              </w:rPr>
            </w:pPr>
          </w:p>
        </w:tc>
        <w:tc>
          <w:tcPr>
            <w:tcW w:w="1231" w:type="dxa"/>
            <w:noWrap w:val="0"/>
            <w:vAlign w:val="center"/>
          </w:tcPr>
          <w:p w14:paraId="43F61DCC">
            <w:pPr>
              <w:ind w:firstLine="592"/>
              <w:jc w:val="center"/>
              <w:rPr>
                <w:rFonts w:hint="eastAsia" w:ascii="宋体" w:hAnsi="宋体" w:eastAsia="宋体" w:cs="宋体"/>
                <w:color w:val="auto"/>
                <w:sz w:val="18"/>
                <w:szCs w:val="18"/>
                <w:highlight w:val="none"/>
              </w:rPr>
            </w:pPr>
          </w:p>
        </w:tc>
        <w:tc>
          <w:tcPr>
            <w:tcW w:w="1214" w:type="dxa"/>
            <w:noWrap w:val="0"/>
            <w:vAlign w:val="center"/>
          </w:tcPr>
          <w:p w14:paraId="0688F198">
            <w:pPr>
              <w:ind w:firstLine="592"/>
              <w:jc w:val="center"/>
              <w:rPr>
                <w:rFonts w:hint="eastAsia" w:ascii="宋体" w:hAnsi="宋体" w:eastAsia="宋体" w:cs="宋体"/>
                <w:color w:val="auto"/>
                <w:sz w:val="18"/>
                <w:szCs w:val="18"/>
                <w:highlight w:val="none"/>
              </w:rPr>
            </w:pPr>
          </w:p>
        </w:tc>
        <w:tc>
          <w:tcPr>
            <w:tcW w:w="1500" w:type="dxa"/>
            <w:noWrap w:val="0"/>
            <w:vAlign w:val="center"/>
          </w:tcPr>
          <w:p w14:paraId="7F3FAD53">
            <w:pPr>
              <w:ind w:firstLine="592"/>
              <w:jc w:val="center"/>
              <w:rPr>
                <w:rFonts w:hint="eastAsia" w:ascii="宋体" w:hAnsi="宋体" w:eastAsia="宋体" w:cs="宋体"/>
                <w:color w:val="auto"/>
                <w:sz w:val="18"/>
                <w:szCs w:val="18"/>
                <w:highlight w:val="none"/>
              </w:rPr>
            </w:pPr>
          </w:p>
        </w:tc>
        <w:tc>
          <w:tcPr>
            <w:tcW w:w="1170" w:type="dxa"/>
            <w:noWrap w:val="0"/>
            <w:vAlign w:val="center"/>
          </w:tcPr>
          <w:p w14:paraId="6699BD70">
            <w:pPr>
              <w:ind w:firstLine="592"/>
              <w:jc w:val="center"/>
              <w:rPr>
                <w:rFonts w:hint="eastAsia" w:ascii="宋体" w:hAnsi="宋体" w:eastAsia="宋体" w:cs="宋体"/>
                <w:color w:val="auto"/>
                <w:sz w:val="18"/>
                <w:szCs w:val="18"/>
                <w:highlight w:val="none"/>
              </w:rPr>
            </w:pPr>
          </w:p>
        </w:tc>
        <w:tc>
          <w:tcPr>
            <w:tcW w:w="755" w:type="dxa"/>
            <w:noWrap w:val="0"/>
            <w:vAlign w:val="center"/>
          </w:tcPr>
          <w:p w14:paraId="1FE6EF89">
            <w:pPr>
              <w:ind w:firstLine="592"/>
              <w:jc w:val="center"/>
              <w:rPr>
                <w:rFonts w:hint="eastAsia" w:ascii="宋体" w:hAnsi="宋体" w:eastAsia="宋体" w:cs="宋体"/>
                <w:color w:val="auto"/>
                <w:sz w:val="18"/>
                <w:szCs w:val="18"/>
                <w:highlight w:val="none"/>
              </w:rPr>
            </w:pPr>
          </w:p>
        </w:tc>
      </w:tr>
    </w:tbl>
    <w:p w14:paraId="284841AD">
      <w:pPr>
        <w:spacing w:before="120" w:beforeLines="50"/>
        <w:ind w:left="840" w:right="-11" w:hanging="840" w:hangingChars="400"/>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1. 本表所列为项目所需的装备及工具，请按每种装备、工具分别填写。</w:t>
      </w:r>
    </w:p>
    <w:p w14:paraId="7895F7FE">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本表中所列装备价格不计入投标总价，但装备的损耗及耗材等需包含在投标总价中。</w:t>
      </w:r>
    </w:p>
    <w:p w14:paraId="5E8E89CE">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此表仅提供了表格形式，投标人应根据需要准备足够数量的表格来填写。</w:t>
      </w:r>
    </w:p>
    <w:p w14:paraId="2411CFEB">
      <w:pPr>
        <w:rPr>
          <w:rFonts w:hint="eastAsia" w:ascii="宋体" w:hAnsi="宋体" w:eastAsia="宋体" w:cs="宋体"/>
          <w:b/>
          <w:color w:val="auto"/>
          <w:sz w:val="22"/>
          <w:szCs w:val="22"/>
          <w:highlight w:val="none"/>
        </w:rPr>
      </w:pPr>
    </w:p>
    <w:p w14:paraId="3AC1CAD5">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4D57146A">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1B34C198">
      <w:pPr>
        <w:spacing w:line="360" w:lineRule="auto"/>
        <w:rPr>
          <w:rFonts w:hint="eastAsia" w:ascii="宋体" w:hAnsi="宋体" w:eastAsia="宋体" w:cs="宋体"/>
          <w:sz w:val="22"/>
          <w:highlight w:val="none"/>
        </w:rPr>
      </w:pPr>
      <w:r>
        <w:rPr>
          <w:rFonts w:hint="eastAsia" w:ascii="宋体" w:hAnsi="宋体" w:eastAsia="宋体" w:cs="宋体"/>
          <w:sz w:val="22"/>
          <w:highlight w:val="none"/>
        </w:rPr>
        <w:t>日  期：</w:t>
      </w:r>
    </w:p>
    <w:p w14:paraId="72CFE588">
      <w:pPr>
        <w:spacing w:line="400" w:lineRule="exact"/>
        <w:rPr>
          <w:rFonts w:hint="eastAsia" w:ascii="宋体" w:hAnsi="宋体" w:eastAsia="宋体" w:cs="宋体"/>
          <w:color w:val="auto"/>
          <w:sz w:val="22"/>
          <w:szCs w:val="22"/>
          <w:highlight w:val="none"/>
        </w:rPr>
      </w:pPr>
    </w:p>
    <w:p w14:paraId="60D3609F">
      <w:pPr>
        <w:ind w:right="-10"/>
        <w:rPr>
          <w:rFonts w:hint="eastAsia" w:ascii="宋体" w:hAnsi="宋体" w:eastAsia="宋体" w:cs="宋体"/>
          <w:b/>
          <w:bCs/>
          <w:snapToGrid w:val="0"/>
          <w:color w:val="auto"/>
          <w:kern w:val="0"/>
          <w:sz w:val="28"/>
          <w:highlight w:val="none"/>
        </w:rPr>
      </w:pPr>
      <w:bookmarkStart w:id="193" w:name="_Toc336413112"/>
      <w:r>
        <w:rPr>
          <w:rFonts w:hint="eastAsia" w:ascii="宋体" w:hAnsi="宋体" w:eastAsia="宋体" w:cs="宋体"/>
          <w:color w:val="auto"/>
          <w:sz w:val="22"/>
          <w:szCs w:val="22"/>
          <w:highlight w:val="none"/>
        </w:rPr>
        <w:br w:type="page"/>
      </w:r>
      <w:bookmarkEnd w:id="193"/>
      <w:r>
        <w:rPr>
          <w:rFonts w:hint="eastAsia" w:ascii="宋体" w:hAnsi="宋体" w:eastAsia="宋体" w:cs="宋体"/>
          <w:b/>
          <w:snapToGrid w:val="0"/>
          <w:color w:val="auto"/>
          <w:kern w:val="0"/>
          <w:sz w:val="22"/>
          <w:szCs w:val="22"/>
          <w:highlight w:val="none"/>
        </w:rPr>
        <w:t>附件七</w:t>
      </w:r>
    </w:p>
    <w:p w14:paraId="5DA71516">
      <w:pPr>
        <w:ind w:right="-10"/>
        <w:jc w:val="center"/>
        <w:rPr>
          <w:rFonts w:hint="eastAsia" w:ascii="宋体" w:hAnsi="宋体" w:eastAsia="宋体" w:cs="宋体"/>
          <w:b/>
          <w:bCs/>
          <w:snapToGrid w:val="0"/>
          <w:color w:val="auto"/>
          <w:kern w:val="0"/>
          <w:sz w:val="28"/>
          <w:highlight w:val="none"/>
        </w:rPr>
      </w:pPr>
      <w:r>
        <w:rPr>
          <w:rFonts w:hint="eastAsia" w:ascii="宋体" w:hAnsi="宋体" w:eastAsia="宋体" w:cs="宋体"/>
          <w:b/>
          <w:bCs/>
          <w:snapToGrid w:val="0"/>
          <w:color w:val="auto"/>
          <w:kern w:val="0"/>
          <w:sz w:val="28"/>
          <w:highlight w:val="none"/>
        </w:rPr>
        <w:t>拟派项目负责人情况表</w:t>
      </w:r>
    </w:p>
    <w:p w14:paraId="4A9474B8">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 xml:space="preserve">       </w:t>
      </w:r>
    </w:p>
    <w:p w14:paraId="24A76330">
      <w:pPr>
        <w:ind w:firstLine="1185" w:firstLineChars="539"/>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5"/>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451"/>
        <w:gridCol w:w="4873"/>
      </w:tblGrid>
      <w:tr w14:paraId="32D6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12" w:space="0"/>
              <w:left w:val="single" w:color="auto" w:sz="12" w:space="0"/>
              <w:bottom w:val="single" w:color="auto" w:sz="4" w:space="0"/>
              <w:right w:val="single" w:color="auto" w:sz="4" w:space="0"/>
            </w:tcBorders>
            <w:noWrap w:val="0"/>
            <w:vAlign w:val="center"/>
          </w:tcPr>
          <w:p w14:paraId="0680181B">
            <w:pPr>
              <w:pStyle w:val="69"/>
              <w:autoSpaceDE w:val="0"/>
              <w:autoSpaceDN w:val="0"/>
              <w:adjustRightInd w:val="0"/>
              <w:spacing w:line="24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14:paraId="4712366B">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tcBorders>
              <w:top w:val="single" w:color="auto" w:sz="12" w:space="0"/>
              <w:left w:val="single" w:color="auto" w:sz="4" w:space="0"/>
              <w:bottom w:val="single" w:color="auto" w:sz="4" w:space="0"/>
              <w:right w:val="single" w:color="auto" w:sz="12" w:space="0"/>
            </w:tcBorders>
            <w:noWrap w:val="0"/>
            <w:vAlign w:val="center"/>
          </w:tcPr>
          <w:p w14:paraId="60CFB95B">
            <w:pPr>
              <w:pStyle w:val="69"/>
              <w:autoSpaceDE w:val="0"/>
              <w:autoSpaceDN w:val="0"/>
              <w:adjustRightInd w:val="0"/>
              <w:spacing w:line="36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近年来主要工作业绩</w:t>
            </w:r>
          </w:p>
        </w:tc>
      </w:tr>
      <w:tr w14:paraId="34F2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07CA3931">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64554BA9">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restart"/>
            <w:tcBorders>
              <w:top w:val="single" w:color="auto" w:sz="4" w:space="0"/>
              <w:left w:val="single" w:color="auto" w:sz="4" w:space="0"/>
              <w:bottom w:val="single" w:color="auto" w:sz="4" w:space="0"/>
              <w:right w:val="single" w:color="auto" w:sz="12" w:space="0"/>
            </w:tcBorders>
            <w:noWrap w:val="0"/>
            <w:vAlign w:val="center"/>
          </w:tcPr>
          <w:p w14:paraId="3A063F2A">
            <w:pPr>
              <w:pStyle w:val="70"/>
              <w:widowControl w:val="0"/>
              <w:autoSpaceDE w:val="0"/>
              <w:autoSpaceDN w:val="0"/>
              <w:adjustRightInd w:val="0"/>
              <w:spacing w:before="0" w:beforeAutospacing="0" w:after="0" w:afterAutospacing="0" w:line="360" w:lineRule="auto"/>
              <w:ind w:left="447" w:hanging="447"/>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注：业绩证明应提供旁证材料</w:t>
            </w:r>
          </w:p>
          <w:p w14:paraId="0BD93E77">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r>
              <w:rPr>
                <w:rFonts w:hint="eastAsia" w:ascii="宋体" w:hAnsi="宋体" w:eastAsia="宋体" w:cs="宋体"/>
                <w:snapToGrid w:val="0"/>
                <w:color w:val="auto"/>
                <w:kern w:val="0"/>
                <w:sz w:val="18"/>
                <w:szCs w:val="18"/>
                <w:highlight w:val="none"/>
              </w:rPr>
              <w:t>（合同或中标通知书）</w:t>
            </w:r>
          </w:p>
        </w:tc>
      </w:tr>
      <w:tr w14:paraId="7E75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0A7D3275">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329DAC6">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203DBE5D">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4B24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41E03B3A">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53782A1C">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4BAE688A">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4497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0AC96C5E">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76CBA61">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23B42323">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6D13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3B108240">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1ACF257F">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16FD9462">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6329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4787CDC6">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476E69D7">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2A44AB20">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2BA9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14:paraId="0FBFAE71">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ADFC95D">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14:paraId="140CE229">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14:paraId="7BA2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4" w:space="0"/>
              <w:left w:val="single" w:color="auto" w:sz="12" w:space="0"/>
              <w:bottom w:val="single" w:color="auto" w:sz="12" w:space="0"/>
              <w:right w:val="single" w:color="auto" w:sz="4" w:space="0"/>
            </w:tcBorders>
            <w:noWrap w:val="0"/>
            <w:vAlign w:val="center"/>
          </w:tcPr>
          <w:p w14:paraId="4BD57146">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拟在本项目中担任主要工作</w:t>
            </w:r>
          </w:p>
        </w:tc>
        <w:tc>
          <w:tcPr>
            <w:tcW w:w="7324" w:type="dxa"/>
            <w:gridSpan w:val="2"/>
            <w:tcBorders>
              <w:top w:val="single" w:color="auto" w:sz="4" w:space="0"/>
              <w:left w:val="single" w:color="auto" w:sz="4" w:space="0"/>
              <w:bottom w:val="single" w:color="auto" w:sz="12" w:space="0"/>
              <w:right w:val="single" w:color="auto" w:sz="12" w:space="0"/>
            </w:tcBorders>
            <w:noWrap w:val="0"/>
            <w:vAlign w:val="center"/>
          </w:tcPr>
          <w:p w14:paraId="1BDA6BA1">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bl>
    <w:p w14:paraId="357348A6">
      <w:pPr>
        <w:pStyle w:val="9"/>
        <w:spacing w:line="400" w:lineRule="exact"/>
        <w:ind w:firstLine="442" w:firstLineChars="200"/>
        <w:jc w:val="left"/>
        <w:rPr>
          <w:rFonts w:hint="eastAsia" w:ascii="宋体" w:hAnsi="宋体" w:eastAsia="宋体" w:cs="宋体"/>
          <w:snapToGrid w:val="0"/>
          <w:color w:val="auto"/>
          <w:sz w:val="22"/>
          <w:szCs w:val="22"/>
          <w:highlight w:val="none"/>
        </w:rPr>
      </w:pPr>
      <w:r>
        <w:rPr>
          <w:rFonts w:hint="eastAsia" w:ascii="宋体" w:hAnsi="宋体" w:eastAsia="宋体" w:cs="宋体"/>
          <w:b/>
          <w:snapToGrid w:val="0"/>
          <w:color w:val="auto"/>
          <w:sz w:val="22"/>
          <w:szCs w:val="22"/>
          <w:highlight w:val="none"/>
        </w:rPr>
        <w:t>注：本表后应附人员身份证、在本单位社保证明等复印件</w:t>
      </w:r>
      <w:r>
        <w:rPr>
          <w:rFonts w:hint="eastAsia" w:ascii="宋体" w:hAnsi="宋体" w:eastAsia="宋体" w:cs="宋体"/>
          <w:snapToGrid w:val="0"/>
          <w:color w:val="auto"/>
          <w:sz w:val="22"/>
          <w:szCs w:val="22"/>
          <w:highlight w:val="none"/>
        </w:rPr>
        <w:t>。</w:t>
      </w:r>
    </w:p>
    <w:p w14:paraId="0EBBF183">
      <w:pPr>
        <w:pStyle w:val="13"/>
        <w:spacing w:line="400" w:lineRule="atLeast"/>
        <w:ind w:left="660" w:hanging="660" w:hangingChars="300"/>
        <w:rPr>
          <w:rFonts w:hint="eastAsia" w:ascii="宋体" w:hAnsi="宋体" w:eastAsia="宋体" w:cs="宋体"/>
          <w:snapToGrid w:val="0"/>
          <w:color w:val="auto"/>
          <w:sz w:val="22"/>
          <w:szCs w:val="22"/>
          <w:highlight w:val="none"/>
        </w:rPr>
      </w:pPr>
    </w:p>
    <w:p w14:paraId="0DD95995">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14:paraId="143418A0">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14:paraId="370F8886">
      <w:pPr>
        <w:spacing w:line="38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z w:val="21"/>
          <w:szCs w:val="21"/>
          <w:highlight w:val="none"/>
        </w:rPr>
        <w:t>日  期：</w:t>
      </w:r>
    </w:p>
    <w:p w14:paraId="3A9FCBF6">
      <w:pPr>
        <w:spacing w:line="380" w:lineRule="exact"/>
        <w:ind w:firstLine="4400" w:firstLineChars="2000"/>
        <w:rPr>
          <w:rFonts w:hint="eastAsia" w:ascii="宋体" w:hAnsi="宋体" w:eastAsia="宋体" w:cs="宋体"/>
          <w:snapToGrid w:val="0"/>
          <w:color w:val="auto"/>
          <w:kern w:val="0"/>
          <w:sz w:val="22"/>
          <w:szCs w:val="22"/>
          <w:highlight w:val="none"/>
        </w:rPr>
      </w:pPr>
    </w:p>
    <w:p w14:paraId="10AE6AD5">
      <w:pPr>
        <w:spacing w:line="380" w:lineRule="exact"/>
        <w:ind w:firstLine="4400" w:firstLineChars="2000"/>
        <w:rPr>
          <w:rFonts w:hint="eastAsia" w:ascii="宋体" w:hAnsi="宋体" w:eastAsia="宋体" w:cs="宋体"/>
          <w:snapToGrid w:val="0"/>
          <w:color w:val="auto"/>
          <w:kern w:val="0"/>
          <w:sz w:val="22"/>
          <w:szCs w:val="22"/>
          <w:highlight w:val="none"/>
        </w:rPr>
      </w:pPr>
    </w:p>
    <w:p w14:paraId="43F37D80">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br w:type="page"/>
      </w:r>
    </w:p>
    <w:p w14:paraId="2C1FA2A9">
      <w:pPr>
        <w:spacing w:before="240" w:beforeLines="100" w:after="120" w:afterLines="50" w:line="400" w:lineRule="exact"/>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附件八</w:t>
      </w:r>
    </w:p>
    <w:p w14:paraId="15B1BFEE">
      <w:pPr>
        <w:spacing w:before="240" w:beforeLines="100" w:after="120" w:afterLines="50" w:line="400" w:lineRule="exact"/>
        <w:jc w:val="center"/>
        <w:rPr>
          <w:rFonts w:hint="eastAsia" w:ascii="宋体" w:hAnsi="宋体" w:eastAsia="宋体" w:cs="宋体"/>
          <w:bCs/>
          <w:color w:val="auto"/>
          <w:kern w:val="0"/>
          <w:sz w:val="32"/>
          <w:highlight w:val="none"/>
        </w:rPr>
      </w:pPr>
      <w:r>
        <w:rPr>
          <w:rFonts w:hint="eastAsia" w:ascii="宋体" w:hAnsi="宋体" w:eastAsia="宋体" w:cs="宋体"/>
          <w:b/>
          <w:bCs/>
          <w:color w:val="auto"/>
          <w:kern w:val="0"/>
          <w:sz w:val="30"/>
          <w:highlight w:val="none"/>
        </w:rPr>
        <w:t>项目服务人员汇总表</w:t>
      </w:r>
    </w:p>
    <w:p w14:paraId="21AD26F9">
      <w:pPr>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5"/>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948"/>
        <w:gridCol w:w="720"/>
        <w:gridCol w:w="720"/>
        <w:gridCol w:w="780"/>
        <w:gridCol w:w="900"/>
        <w:gridCol w:w="821"/>
        <w:gridCol w:w="1186"/>
        <w:gridCol w:w="2001"/>
      </w:tblGrid>
      <w:tr w14:paraId="19BD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8" w:type="dxa"/>
            <w:tcBorders>
              <w:top w:val="single" w:color="auto" w:sz="12" w:space="0"/>
              <w:left w:val="single" w:color="auto" w:sz="12" w:space="0"/>
              <w:bottom w:val="single" w:color="auto" w:sz="12" w:space="0"/>
            </w:tcBorders>
            <w:noWrap w:val="0"/>
            <w:vAlign w:val="center"/>
          </w:tcPr>
          <w:p w14:paraId="3A38A412">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948" w:type="dxa"/>
            <w:tcBorders>
              <w:top w:val="single" w:color="auto" w:sz="12" w:space="0"/>
              <w:bottom w:val="single" w:color="auto" w:sz="12" w:space="0"/>
            </w:tcBorders>
            <w:noWrap w:val="0"/>
            <w:vAlign w:val="center"/>
          </w:tcPr>
          <w:p w14:paraId="7B90854F">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w:t>
            </w:r>
          </w:p>
          <w:p w14:paraId="045A8225">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主要工作</w:t>
            </w:r>
          </w:p>
        </w:tc>
        <w:tc>
          <w:tcPr>
            <w:tcW w:w="720" w:type="dxa"/>
            <w:tcBorders>
              <w:top w:val="single" w:color="auto" w:sz="12" w:space="0"/>
              <w:bottom w:val="single" w:color="auto" w:sz="12" w:space="0"/>
            </w:tcBorders>
            <w:noWrap w:val="0"/>
            <w:vAlign w:val="center"/>
          </w:tcPr>
          <w:p w14:paraId="72E7D469">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年龄</w:t>
            </w:r>
          </w:p>
        </w:tc>
        <w:tc>
          <w:tcPr>
            <w:tcW w:w="720" w:type="dxa"/>
            <w:tcBorders>
              <w:top w:val="single" w:color="auto" w:sz="12" w:space="0"/>
              <w:bottom w:val="single" w:color="auto" w:sz="12" w:space="0"/>
            </w:tcBorders>
            <w:noWrap w:val="0"/>
            <w:vAlign w:val="center"/>
          </w:tcPr>
          <w:p w14:paraId="079C3496">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性别</w:t>
            </w:r>
          </w:p>
        </w:tc>
        <w:tc>
          <w:tcPr>
            <w:tcW w:w="780" w:type="dxa"/>
            <w:tcBorders>
              <w:top w:val="single" w:color="auto" w:sz="12" w:space="0"/>
              <w:bottom w:val="single" w:color="auto" w:sz="12" w:space="0"/>
              <w:right w:val="single" w:color="auto" w:sz="4" w:space="0"/>
            </w:tcBorders>
            <w:noWrap w:val="0"/>
            <w:vAlign w:val="center"/>
          </w:tcPr>
          <w:p w14:paraId="208A9801">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职称/职务</w:t>
            </w:r>
          </w:p>
        </w:tc>
        <w:tc>
          <w:tcPr>
            <w:tcW w:w="900" w:type="dxa"/>
            <w:tcBorders>
              <w:top w:val="single" w:color="auto" w:sz="12" w:space="0"/>
              <w:left w:val="single" w:color="auto" w:sz="4" w:space="0"/>
              <w:bottom w:val="single" w:color="auto" w:sz="12" w:space="0"/>
            </w:tcBorders>
            <w:noWrap w:val="0"/>
            <w:vAlign w:val="center"/>
          </w:tcPr>
          <w:p w14:paraId="5D86DADD">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w:t>
            </w:r>
          </w:p>
          <w:p w14:paraId="0CE67295">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年限</w:t>
            </w:r>
          </w:p>
        </w:tc>
        <w:tc>
          <w:tcPr>
            <w:tcW w:w="821" w:type="dxa"/>
            <w:tcBorders>
              <w:top w:val="single" w:color="auto" w:sz="12" w:space="0"/>
              <w:bottom w:val="single" w:color="auto" w:sz="12" w:space="0"/>
            </w:tcBorders>
            <w:noWrap w:val="0"/>
            <w:vAlign w:val="center"/>
          </w:tcPr>
          <w:p w14:paraId="4EBBA298">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承诺</w:t>
            </w:r>
          </w:p>
          <w:p w14:paraId="2C6217AE">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到位率</w:t>
            </w:r>
          </w:p>
        </w:tc>
        <w:tc>
          <w:tcPr>
            <w:tcW w:w="1186" w:type="dxa"/>
            <w:tcBorders>
              <w:top w:val="single" w:color="auto" w:sz="12" w:space="0"/>
              <w:bottom w:val="single" w:color="auto" w:sz="12" w:space="0"/>
            </w:tcBorders>
            <w:noWrap w:val="0"/>
            <w:vAlign w:val="center"/>
          </w:tcPr>
          <w:p w14:paraId="08ACE391">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到现场服务起止时间</w:t>
            </w:r>
          </w:p>
        </w:tc>
        <w:tc>
          <w:tcPr>
            <w:tcW w:w="2001" w:type="dxa"/>
            <w:tcBorders>
              <w:top w:val="single" w:color="auto" w:sz="12" w:space="0"/>
              <w:bottom w:val="single" w:color="auto" w:sz="12" w:space="0"/>
              <w:right w:val="single" w:color="auto" w:sz="12" w:space="0"/>
            </w:tcBorders>
            <w:noWrap w:val="0"/>
            <w:vAlign w:val="center"/>
          </w:tcPr>
          <w:p w14:paraId="2A67FC1C">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类似服务的经历、业绩、是否有上岗证等介绍（或另附简历）</w:t>
            </w:r>
          </w:p>
        </w:tc>
      </w:tr>
      <w:tr w14:paraId="0932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top w:val="single" w:color="auto" w:sz="12" w:space="0"/>
              <w:left w:val="single" w:color="auto" w:sz="12" w:space="0"/>
            </w:tcBorders>
            <w:noWrap w:val="0"/>
            <w:vAlign w:val="center"/>
          </w:tcPr>
          <w:p w14:paraId="1FB5691D">
            <w:pPr>
              <w:rPr>
                <w:rFonts w:hint="eastAsia" w:ascii="宋体" w:hAnsi="宋体" w:eastAsia="宋体" w:cs="宋体"/>
                <w:color w:val="auto"/>
                <w:kern w:val="0"/>
                <w:sz w:val="18"/>
                <w:szCs w:val="18"/>
                <w:highlight w:val="none"/>
              </w:rPr>
            </w:pPr>
          </w:p>
        </w:tc>
        <w:tc>
          <w:tcPr>
            <w:tcW w:w="948" w:type="dxa"/>
            <w:tcBorders>
              <w:top w:val="single" w:color="auto" w:sz="12" w:space="0"/>
            </w:tcBorders>
            <w:noWrap w:val="0"/>
            <w:vAlign w:val="center"/>
          </w:tcPr>
          <w:p w14:paraId="2C3E5788">
            <w:pPr>
              <w:pStyle w:val="59"/>
              <w:widowControl w:val="0"/>
              <w:pBdr>
                <w:left w:val="none" w:color="auto" w:sz="0" w:space="0"/>
                <w:bottom w:val="none" w:color="auto" w:sz="0" w:space="0"/>
                <w:right w:val="none" w:color="auto" w:sz="0" w:space="0"/>
              </w:pBdr>
              <w:spacing w:before="0" w:beforeAutospacing="0" w:after="0" w:afterAutospacing="0"/>
              <w:textAlignment w:val="auto"/>
              <w:rPr>
                <w:rFonts w:hint="eastAsia" w:ascii="宋体" w:hAnsi="宋体" w:eastAsia="宋体" w:cs="宋体"/>
                <w:color w:val="auto"/>
                <w:sz w:val="18"/>
                <w:szCs w:val="18"/>
                <w:highlight w:val="none"/>
              </w:rPr>
            </w:pPr>
          </w:p>
        </w:tc>
        <w:tc>
          <w:tcPr>
            <w:tcW w:w="720" w:type="dxa"/>
            <w:tcBorders>
              <w:top w:val="single" w:color="auto" w:sz="12" w:space="0"/>
            </w:tcBorders>
            <w:noWrap w:val="0"/>
            <w:vAlign w:val="center"/>
          </w:tcPr>
          <w:p w14:paraId="41801F41">
            <w:pPr>
              <w:rPr>
                <w:rFonts w:hint="eastAsia" w:ascii="宋体" w:hAnsi="宋体" w:eastAsia="宋体" w:cs="宋体"/>
                <w:color w:val="auto"/>
                <w:kern w:val="0"/>
                <w:sz w:val="18"/>
                <w:szCs w:val="18"/>
                <w:highlight w:val="none"/>
              </w:rPr>
            </w:pPr>
          </w:p>
        </w:tc>
        <w:tc>
          <w:tcPr>
            <w:tcW w:w="720" w:type="dxa"/>
            <w:tcBorders>
              <w:top w:val="single" w:color="auto" w:sz="12" w:space="0"/>
            </w:tcBorders>
            <w:noWrap w:val="0"/>
            <w:vAlign w:val="center"/>
          </w:tcPr>
          <w:p w14:paraId="36A08ED5">
            <w:pPr>
              <w:rPr>
                <w:rFonts w:hint="eastAsia" w:ascii="宋体" w:hAnsi="宋体" w:eastAsia="宋体" w:cs="宋体"/>
                <w:color w:val="auto"/>
                <w:kern w:val="0"/>
                <w:sz w:val="18"/>
                <w:szCs w:val="18"/>
                <w:highlight w:val="none"/>
              </w:rPr>
            </w:pPr>
          </w:p>
        </w:tc>
        <w:tc>
          <w:tcPr>
            <w:tcW w:w="780" w:type="dxa"/>
            <w:tcBorders>
              <w:top w:val="single" w:color="auto" w:sz="12" w:space="0"/>
              <w:right w:val="single" w:color="auto" w:sz="4" w:space="0"/>
            </w:tcBorders>
            <w:noWrap w:val="0"/>
            <w:vAlign w:val="center"/>
          </w:tcPr>
          <w:p w14:paraId="3067A8F7">
            <w:pPr>
              <w:rPr>
                <w:rFonts w:hint="eastAsia" w:ascii="宋体" w:hAnsi="宋体" w:eastAsia="宋体" w:cs="宋体"/>
                <w:color w:val="auto"/>
                <w:kern w:val="0"/>
                <w:sz w:val="18"/>
                <w:szCs w:val="18"/>
                <w:highlight w:val="none"/>
              </w:rPr>
            </w:pPr>
          </w:p>
        </w:tc>
        <w:tc>
          <w:tcPr>
            <w:tcW w:w="900" w:type="dxa"/>
            <w:tcBorders>
              <w:top w:val="single" w:color="auto" w:sz="12" w:space="0"/>
              <w:left w:val="single" w:color="auto" w:sz="4" w:space="0"/>
            </w:tcBorders>
            <w:noWrap w:val="0"/>
            <w:vAlign w:val="center"/>
          </w:tcPr>
          <w:p w14:paraId="39F621DA">
            <w:pPr>
              <w:rPr>
                <w:rFonts w:hint="eastAsia" w:ascii="宋体" w:hAnsi="宋体" w:eastAsia="宋体" w:cs="宋体"/>
                <w:color w:val="auto"/>
                <w:kern w:val="0"/>
                <w:sz w:val="18"/>
                <w:szCs w:val="18"/>
                <w:highlight w:val="none"/>
              </w:rPr>
            </w:pPr>
          </w:p>
        </w:tc>
        <w:tc>
          <w:tcPr>
            <w:tcW w:w="821" w:type="dxa"/>
            <w:tcBorders>
              <w:top w:val="single" w:color="auto" w:sz="12" w:space="0"/>
              <w:right w:val="single" w:color="auto" w:sz="4" w:space="0"/>
            </w:tcBorders>
            <w:noWrap w:val="0"/>
            <w:vAlign w:val="center"/>
          </w:tcPr>
          <w:p w14:paraId="7EB20889">
            <w:pPr>
              <w:rPr>
                <w:rFonts w:hint="eastAsia" w:ascii="宋体" w:hAnsi="宋体" w:eastAsia="宋体" w:cs="宋体"/>
                <w:color w:val="auto"/>
                <w:kern w:val="0"/>
                <w:sz w:val="18"/>
                <w:szCs w:val="18"/>
                <w:highlight w:val="none"/>
              </w:rPr>
            </w:pPr>
          </w:p>
        </w:tc>
        <w:tc>
          <w:tcPr>
            <w:tcW w:w="1186" w:type="dxa"/>
            <w:tcBorders>
              <w:top w:val="single" w:color="auto" w:sz="12" w:space="0"/>
              <w:left w:val="single" w:color="auto" w:sz="4" w:space="0"/>
              <w:right w:val="single" w:color="auto" w:sz="4" w:space="0"/>
            </w:tcBorders>
            <w:noWrap w:val="0"/>
            <w:vAlign w:val="center"/>
          </w:tcPr>
          <w:p w14:paraId="17D273E5">
            <w:pPr>
              <w:rPr>
                <w:rFonts w:hint="eastAsia" w:ascii="宋体" w:hAnsi="宋体" w:eastAsia="宋体" w:cs="宋体"/>
                <w:color w:val="auto"/>
                <w:kern w:val="0"/>
                <w:sz w:val="18"/>
                <w:szCs w:val="18"/>
                <w:highlight w:val="none"/>
              </w:rPr>
            </w:pPr>
          </w:p>
        </w:tc>
        <w:tc>
          <w:tcPr>
            <w:tcW w:w="2001" w:type="dxa"/>
            <w:tcBorders>
              <w:top w:val="single" w:color="auto" w:sz="12" w:space="0"/>
              <w:left w:val="single" w:color="auto" w:sz="4" w:space="0"/>
              <w:right w:val="single" w:color="auto" w:sz="12" w:space="0"/>
            </w:tcBorders>
            <w:noWrap w:val="0"/>
            <w:vAlign w:val="center"/>
          </w:tcPr>
          <w:p w14:paraId="69B0836E">
            <w:pPr>
              <w:rPr>
                <w:rFonts w:hint="eastAsia" w:ascii="宋体" w:hAnsi="宋体" w:eastAsia="宋体" w:cs="宋体"/>
                <w:color w:val="auto"/>
                <w:kern w:val="0"/>
                <w:sz w:val="18"/>
                <w:szCs w:val="18"/>
                <w:highlight w:val="none"/>
              </w:rPr>
            </w:pPr>
          </w:p>
        </w:tc>
      </w:tr>
      <w:tr w14:paraId="42B7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3F708059">
            <w:pPr>
              <w:rPr>
                <w:rFonts w:hint="eastAsia" w:ascii="宋体" w:hAnsi="宋体" w:eastAsia="宋体" w:cs="宋体"/>
                <w:color w:val="auto"/>
                <w:kern w:val="0"/>
                <w:sz w:val="18"/>
                <w:szCs w:val="18"/>
                <w:highlight w:val="none"/>
              </w:rPr>
            </w:pPr>
          </w:p>
        </w:tc>
        <w:tc>
          <w:tcPr>
            <w:tcW w:w="948" w:type="dxa"/>
            <w:noWrap w:val="0"/>
            <w:vAlign w:val="center"/>
          </w:tcPr>
          <w:p w14:paraId="4A662625">
            <w:pPr>
              <w:rPr>
                <w:rFonts w:hint="eastAsia" w:ascii="宋体" w:hAnsi="宋体" w:eastAsia="宋体" w:cs="宋体"/>
                <w:color w:val="auto"/>
                <w:kern w:val="0"/>
                <w:sz w:val="18"/>
                <w:szCs w:val="18"/>
                <w:highlight w:val="none"/>
              </w:rPr>
            </w:pPr>
          </w:p>
        </w:tc>
        <w:tc>
          <w:tcPr>
            <w:tcW w:w="720" w:type="dxa"/>
            <w:noWrap w:val="0"/>
            <w:vAlign w:val="center"/>
          </w:tcPr>
          <w:p w14:paraId="483E819E">
            <w:pPr>
              <w:rPr>
                <w:rFonts w:hint="eastAsia" w:ascii="宋体" w:hAnsi="宋体" w:eastAsia="宋体" w:cs="宋体"/>
                <w:color w:val="auto"/>
                <w:kern w:val="0"/>
                <w:sz w:val="18"/>
                <w:szCs w:val="18"/>
                <w:highlight w:val="none"/>
              </w:rPr>
            </w:pPr>
          </w:p>
        </w:tc>
        <w:tc>
          <w:tcPr>
            <w:tcW w:w="720" w:type="dxa"/>
            <w:noWrap w:val="0"/>
            <w:vAlign w:val="center"/>
          </w:tcPr>
          <w:p w14:paraId="44A62E05">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001994E2">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2F28D605">
            <w:pPr>
              <w:rPr>
                <w:rFonts w:hint="eastAsia" w:ascii="宋体" w:hAnsi="宋体" w:eastAsia="宋体" w:cs="宋体"/>
                <w:color w:val="auto"/>
                <w:kern w:val="0"/>
                <w:sz w:val="18"/>
                <w:szCs w:val="18"/>
                <w:highlight w:val="none"/>
              </w:rPr>
            </w:pPr>
          </w:p>
        </w:tc>
        <w:tc>
          <w:tcPr>
            <w:tcW w:w="821" w:type="dxa"/>
            <w:noWrap w:val="0"/>
            <w:vAlign w:val="center"/>
          </w:tcPr>
          <w:p w14:paraId="51058F01">
            <w:pPr>
              <w:rPr>
                <w:rFonts w:hint="eastAsia" w:ascii="宋体" w:hAnsi="宋体" w:eastAsia="宋体" w:cs="宋体"/>
                <w:color w:val="auto"/>
                <w:kern w:val="0"/>
                <w:sz w:val="18"/>
                <w:szCs w:val="18"/>
                <w:highlight w:val="none"/>
              </w:rPr>
            </w:pPr>
          </w:p>
        </w:tc>
        <w:tc>
          <w:tcPr>
            <w:tcW w:w="1186" w:type="dxa"/>
            <w:noWrap w:val="0"/>
            <w:vAlign w:val="center"/>
          </w:tcPr>
          <w:p w14:paraId="0364B7C9">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1C00602B">
            <w:pPr>
              <w:pStyle w:val="14"/>
              <w:ind w:left="5250"/>
              <w:rPr>
                <w:rFonts w:hint="eastAsia" w:ascii="宋体" w:hAnsi="宋体" w:eastAsia="宋体" w:cs="宋体"/>
                <w:color w:val="auto"/>
                <w:kern w:val="0"/>
                <w:sz w:val="18"/>
                <w:szCs w:val="18"/>
                <w:highlight w:val="none"/>
              </w:rPr>
            </w:pPr>
          </w:p>
        </w:tc>
      </w:tr>
      <w:tr w14:paraId="24D9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204DFE5D">
            <w:pPr>
              <w:rPr>
                <w:rFonts w:hint="eastAsia" w:ascii="宋体" w:hAnsi="宋体" w:eastAsia="宋体" w:cs="宋体"/>
                <w:color w:val="auto"/>
                <w:kern w:val="0"/>
                <w:sz w:val="18"/>
                <w:szCs w:val="18"/>
                <w:highlight w:val="none"/>
              </w:rPr>
            </w:pPr>
          </w:p>
        </w:tc>
        <w:tc>
          <w:tcPr>
            <w:tcW w:w="948" w:type="dxa"/>
            <w:noWrap w:val="0"/>
            <w:vAlign w:val="center"/>
          </w:tcPr>
          <w:p w14:paraId="05FD2534">
            <w:pPr>
              <w:rPr>
                <w:rFonts w:hint="eastAsia" w:ascii="宋体" w:hAnsi="宋体" w:eastAsia="宋体" w:cs="宋体"/>
                <w:color w:val="auto"/>
                <w:kern w:val="0"/>
                <w:sz w:val="18"/>
                <w:szCs w:val="18"/>
                <w:highlight w:val="none"/>
              </w:rPr>
            </w:pPr>
          </w:p>
        </w:tc>
        <w:tc>
          <w:tcPr>
            <w:tcW w:w="720" w:type="dxa"/>
            <w:noWrap w:val="0"/>
            <w:vAlign w:val="center"/>
          </w:tcPr>
          <w:p w14:paraId="2CC4714C">
            <w:pPr>
              <w:rPr>
                <w:rFonts w:hint="eastAsia" w:ascii="宋体" w:hAnsi="宋体" w:eastAsia="宋体" w:cs="宋体"/>
                <w:color w:val="auto"/>
                <w:kern w:val="0"/>
                <w:sz w:val="18"/>
                <w:szCs w:val="18"/>
                <w:highlight w:val="none"/>
              </w:rPr>
            </w:pPr>
          </w:p>
        </w:tc>
        <w:tc>
          <w:tcPr>
            <w:tcW w:w="720" w:type="dxa"/>
            <w:noWrap w:val="0"/>
            <w:vAlign w:val="center"/>
          </w:tcPr>
          <w:p w14:paraId="617BD9E5">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32DAC74A">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63539092">
            <w:pPr>
              <w:rPr>
                <w:rFonts w:hint="eastAsia" w:ascii="宋体" w:hAnsi="宋体" w:eastAsia="宋体" w:cs="宋体"/>
                <w:color w:val="auto"/>
                <w:kern w:val="0"/>
                <w:sz w:val="18"/>
                <w:szCs w:val="18"/>
                <w:highlight w:val="none"/>
              </w:rPr>
            </w:pPr>
          </w:p>
        </w:tc>
        <w:tc>
          <w:tcPr>
            <w:tcW w:w="821" w:type="dxa"/>
            <w:noWrap w:val="0"/>
            <w:vAlign w:val="center"/>
          </w:tcPr>
          <w:p w14:paraId="7DA10B19">
            <w:pPr>
              <w:rPr>
                <w:rFonts w:hint="eastAsia" w:ascii="宋体" w:hAnsi="宋体" w:eastAsia="宋体" w:cs="宋体"/>
                <w:color w:val="auto"/>
                <w:kern w:val="0"/>
                <w:sz w:val="18"/>
                <w:szCs w:val="18"/>
                <w:highlight w:val="none"/>
              </w:rPr>
            </w:pPr>
          </w:p>
        </w:tc>
        <w:tc>
          <w:tcPr>
            <w:tcW w:w="1186" w:type="dxa"/>
            <w:noWrap w:val="0"/>
            <w:vAlign w:val="center"/>
          </w:tcPr>
          <w:p w14:paraId="6182C09D">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529045FD">
            <w:pPr>
              <w:rPr>
                <w:rFonts w:hint="eastAsia" w:ascii="宋体" w:hAnsi="宋体" w:eastAsia="宋体" w:cs="宋体"/>
                <w:color w:val="auto"/>
                <w:kern w:val="0"/>
                <w:sz w:val="18"/>
                <w:szCs w:val="18"/>
                <w:highlight w:val="none"/>
              </w:rPr>
            </w:pPr>
          </w:p>
        </w:tc>
      </w:tr>
      <w:tr w14:paraId="160E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6E793A3D">
            <w:pPr>
              <w:rPr>
                <w:rFonts w:hint="eastAsia" w:ascii="宋体" w:hAnsi="宋体" w:eastAsia="宋体" w:cs="宋体"/>
                <w:color w:val="auto"/>
                <w:kern w:val="0"/>
                <w:sz w:val="18"/>
                <w:szCs w:val="18"/>
                <w:highlight w:val="none"/>
              </w:rPr>
            </w:pPr>
          </w:p>
        </w:tc>
        <w:tc>
          <w:tcPr>
            <w:tcW w:w="948" w:type="dxa"/>
            <w:noWrap w:val="0"/>
            <w:vAlign w:val="center"/>
          </w:tcPr>
          <w:p w14:paraId="595C8825">
            <w:pPr>
              <w:rPr>
                <w:rFonts w:hint="eastAsia" w:ascii="宋体" w:hAnsi="宋体" w:eastAsia="宋体" w:cs="宋体"/>
                <w:color w:val="auto"/>
                <w:kern w:val="0"/>
                <w:sz w:val="18"/>
                <w:szCs w:val="18"/>
                <w:highlight w:val="none"/>
              </w:rPr>
            </w:pPr>
          </w:p>
        </w:tc>
        <w:tc>
          <w:tcPr>
            <w:tcW w:w="720" w:type="dxa"/>
            <w:noWrap w:val="0"/>
            <w:vAlign w:val="center"/>
          </w:tcPr>
          <w:p w14:paraId="722DB917">
            <w:pPr>
              <w:rPr>
                <w:rFonts w:hint="eastAsia" w:ascii="宋体" w:hAnsi="宋体" w:eastAsia="宋体" w:cs="宋体"/>
                <w:color w:val="auto"/>
                <w:kern w:val="0"/>
                <w:sz w:val="18"/>
                <w:szCs w:val="18"/>
                <w:highlight w:val="none"/>
              </w:rPr>
            </w:pPr>
          </w:p>
        </w:tc>
        <w:tc>
          <w:tcPr>
            <w:tcW w:w="720" w:type="dxa"/>
            <w:noWrap w:val="0"/>
            <w:vAlign w:val="center"/>
          </w:tcPr>
          <w:p w14:paraId="50052405">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3EB679AC">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0F46AD2C">
            <w:pPr>
              <w:rPr>
                <w:rFonts w:hint="eastAsia" w:ascii="宋体" w:hAnsi="宋体" w:eastAsia="宋体" w:cs="宋体"/>
                <w:color w:val="auto"/>
                <w:kern w:val="0"/>
                <w:sz w:val="18"/>
                <w:szCs w:val="18"/>
                <w:highlight w:val="none"/>
              </w:rPr>
            </w:pPr>
          </w:p>
        </w:tc>
        <w:tc>
          <w:tcPr>
            <w:tcW w:w="821" w:type="dxa"/>
            <w:noWrap w:val="0"/>
            <w:vAlign w:val="center"/>
          </w:tcPr>
          <w:p w14:paraId="2D44AA4D">
            <w:pPr>
              <w:rPr>
                <w:rFonts w:hint="eastAsia" w:ascii="宋体" w:hAnsi="宋体" w:eastAsia="宋体" w:cs="宋体"/>
                <w:color w:val="auto"/>
                <w:kern w:val="0"/>
                <w:sz w:val="18"/>
                <w:szCs w:val="18"/>
                <w:highlight w:val="none"/>
              </w:rPr>
            </w:pPr>
          </w:p>
        </w:tc>
        <w:tc>
          <w:tcPr>
            <w:tcW w:w="1186" w:type="dxa"/>
            <w:noWrap w:val="0"/>
            <w:vAlign w:val="center"/>
          </w:tcPr>
          <w:p w14:paraId="64513B06">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332BAF53">
            <w:pPr>
              <w:rPr>
                <w:rFonts w:hint="eastAsia" w:ascii="宋体" w:hAnsi="宋体" w:eastAsia="宋体" w:cs="宋体"/>
                <w:color w:val="auto"/>
                <w:kern w:val="0"/>
                <w:sz w:val="18"/>
                <w:szCs w:val="18"/>
                <w:highlight w:val="none"/>
              </w:rPr>
            </w:pPr>
          </w:p>
        </w:tc>
      </w:tr>
      <w:tr w14:paraId="69AA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3C35C061">
            <w:pPr>
              <w:rPr>
                <w:rFonts w:hint="eastAsia" w:ascii="宋体" w:hAnsi="宋体" w:eastAsia="宋体" w:cs="宋体"/>
                <w:color w:val="auto"/>
                <w:kern w:val="0"/>
                <w:sz w:val="18"/>
                <w:szCs w:val="18"/>
                <w:highlight w:val="none"/>
              </w:rPr>
            </w:pPr>
          </w:p>
        </w:tc>
        <w:tc>
          <w:tcPr>
            <w:tcW w:w="948" w:type="dxa"/>
            <w:noWrap w:val="0"/>
            <w:vAlign w:val="center"/>
          </w:tcPr>
          <w:p w14:paraId="6D04E772">
            <w:pPr>
              <w:rPr>
                <w:rFonts w:hint="eastAsia" w:ascii="宋体" w:hAnsi="宋体" w:eastAsia="宋体" w:cs="宋体"/>
                <w:color w:val="auto"/>
                <w:kern w:val="0"/>
                <w:sz w:val="18"/>
                <w:szCs w:val="18"/>
                <w:highlight w:val="none"/>
              </w:rPr>
            </w:pPr>
          </w:p>
        </w:tc>
        <w:tc>
          <w:tcPr>
            <w:tcW w:w="720" w:type="dxa"/>
            <w:noWrap w:val="0"/>
            <w:vAlign w:val="center"/>
          </w:tcPr>
          <w:p w14:paraId="4E3D93BB">
            <w:pPr>
              <w:rPr>
                <w:rFonts w:hint="eastAsia" w:ascii="宋体" w:hAnsi="宋体" w:eastAsia="宋体" w:cs="宋体"/>
                <w:color w:val="auto"/>
                <w:kern w:val="0"/>
                <w:sz w:val="18"/>
                <w:szCs w:val="18"/>
                <w:highlight w:val="none"/>
              </w:rPr>
            </w:pPr>
          </w:p>
        </w:tc>
        <w:tc>
          <w:tcPr>
            <w:tcW w:w="720" w:type="dxa"/>
            <w:noWrap w:val="0"/>
            <w:vAlign w:val="center"/>
          </w:tcPr>
          <w:p w14:paraId="39E1BD57">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54ECF8EC">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486A366F">
            <w:pPr>
              <w:rPr>
                <w:rFonts w:hint="eastAsia" w:ascii="宋体" w:hAnsi="宋体" w:eastAsia="宋体" w:cs="宋体"/>
                <w:color w:val="auto"/>
                <w:kern w:val="0"/>
                <w:sz w:val="18"/>
                <w:szCs w:val="18"/>
                <w:highlight w:val="none"/>
              </w:rPr>
            </w:pPr>
          </w:p>
        </w:tc>
        <w:tc>
          <w:tcPr>
            <w:tcW w:w="821" w:type="dxa"/>
            <w:noWrap w:val="0"/>
            <w:vAlign w:val="center"/>
          </w:tcPr>
          <w:p w14:paraId="4321A626">
            <w:pPr>
              <w:rPr>
                <w:rFonts w:hint="eastAsia" w:ascii="宋体" w:hAnsi="宋体" w:eastAsia="宋体" w:cs="宋体"/>
                <w:color w:val="auto"/>
                <w:kern w:val="0"/>
                <w:sz w:val="18"/>
                <w:szCs w:val="18"/>
                <w:highlight w:val="none"/>
              </w:rPr>
            </w:pPr>
          </w:p>
        </w:tc>
        <w:tc>
          <w:tcPr>
            <w:tcW w:w="1186" w:type="dxa"/>
            <w:noWrap w:val="0"/>
            <w:vAlign w:val="center"/>
          </w:tcPr>
          <w:p w14:paraId="66DCE5EF">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1B2E74B7">
            <w:pPr>
              <w:rPr>
                <w:rFonts w:hint="eastAsia" w:ascii="宋体" w:hAnsi="宋体" w:eastAsia="宋体" w:cs="宋体"/>
                <w:color w:val="auto"/>
                <w:kern w:val="0"/>
                <w:sz w:val="18"/>
                <w:szCs w:val="18"/>
                <w:highlight w:val="none"/>
              </w:rPr>
            </w:pPr>
          </w:p>
        </w:tc>
      </w:tr>
      <w:tr w14:paraId="1A5C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DF4760D">
            <w:pPr>
              <w:rPr>
                <w:rFonts w:hint="eastAsia" w:ascii="宋体" w:hAnsi="宋体" w:eastAsia="宋体" w:cs="宋体"/>
                <w:color w:val="auto"/>
                <w:kern w:val="0"/>
                <w:sz w:val="18"/>
                <w:szCs w:val="18"/>
                <w:highlight w:val="none"/>
              </w:rPr>
            </w:pPr>
          </w:p>
        </w:tc>
        <w:tc>
          <w:tcPr>
            <w:tcW w:w="948" w:type="dxa"/>
            <w:noWrap w:val="0"/>
            <w:vAlign w:val="center"/>
          </w:tcPr>
          <w:p w14:paraId="5A832440">
            <w:pPr>
              <w:rPr>
                <w:rFonts w:hint="eastAsia" w:ascii="宋体" w:hAnsi="宋体" w:eastAsia="宋体" w:cs="宋体"/>
                <w:color w:val="auto"/>
                <w:kern w:val="0"/>
                <w:sz w:val="18"/>
                <w:szCs w:val="18"/>
                <w:highlight w:val="none"/>
              </w:rPr>
            </w:pPr>
          </w:p>
        </w:tc>
        <w:tc>
          <w:tcPr>
            <w:tcW w:w="720" w:type="dxa"/>
            <w:noWrap w:val="0"/>
            <w:vAlign w:val="center"/>
          </w:tcPr>
          <w:p w14:paraId="1BFC2EFF">
            <w:pPr>
              <w:rPr>
                <w:rFonts w:hint="eastAsia" w:ascii="宋体" w:hAnsi="宋体" w:eastAsia="宋体" w:cs="宋体"/>
                <w:color w:val="auto"/>
                <w:kern w:val="0"/>
                <w:sz w:val="18"/>
                <w:szCs w:val="18"/>
                <w:highlight w:val="none"/>
              </w:rPr>
            </w:pPr>
          </w:p>
        </w:tc>
        <w:tc>
          <w:tcPr>
            <w:tcW w:w="720" w:type="dxa"/>
            <w:noWrap w:val="0"/>
            <w:vAlign w:val="center"/>
          </w:tcPr>
          <w:p w14:paraId="59BD7D88">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14:paraId="25BAF5A9">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14:paraId="4DA1EB9C">
            <w:pPr>
              <w:rPr>
                <w:rFonts w:hint="eastAsia" w:ascii="宋体" w:hAnsi="宋体" w:eastAsia="宋体" w:cs="宋体"/>
                <w:color w:val="auto"/>
                <w:kern w:val="0"/>
                <w:sz w:val="18"/>
                <w:szCs w:val="18"/>
                <w:highlight w:val="none"/>
              </w:rPr>
            </w:pPr>
          </w:p>
        </w:tc>
        <w:tc>
          <w:tcPr>
            <w:tcW w:w="821" w:type="dxa"/>
            <w:noWrap w:val="0"/>
            <w:vAlign w:val="center"/>
          </w:tcPr>
          <w:p w14:paraId="448E50A1">
            <w:pPr>
              <w:rPr>
                <w:rFonts w:hint="eastAsia" w:ascii="宋体" w:hAnsi="宋体" w:eastAsia="宋体" w:cs="宋体"/>
                <w:color w:val="auto"/>
                <w:kern w:val="0"/>
                <w:sz w:val="18"/>
                <w:szCs w:val="18"/>
                <w:highlight w:val="none"/>
              </w:rPr>
            </w:pPr>
          </w:p>
        </w:tc>
        <w:tc>
          <w:tcPr>
            <w:tcW w:w="1186" w:type="dxa"/>
            <w:noWrap w:val="0"/>
            <w:vAlign w:val="center"/>
          </w:tcPr>
          <w:p w14:paraId="2783D085">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0A690534">
            <w:pPr>
              <w:rPr>
                <w:rFonts w:hint="eastAsia" w:ascii="宋体" w:hAnsi="宋体" w:eastAsia="宋体" w:cs="宋体"/>
                <w:color w:val="auto"/>
                <w:kern w:val="0"/>
                <w:sz w:val="18"/>
                <w:szCs w:val="18"/>
                <w:highlight w:val="none"/>
              </w:rPr>
            </w:pPr>
          </w:p>
        </w:tc>
      </w:tr>
      <w:tr w14:paraId="4FC7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1F9C0F33">
            <w:pPr>
              <w:rPr>
                <w:rFonts w:hint="eastAsia" w:ascii="宋体" w:hAnsi="宋体" w:eastAsia="宋体" w:cs="宋体"/>
                <w:color w:val="auto"/>
                <w:kern w:val="0"/>
                <w:sz w:val="18"/>
                <w:szCs w:val="18"/>
                <w:highlight w:val="none"/>
              </w:rPr>
            </w:pPr>
          </w:p>
        </w:tc>
        <w:tc>
          <w:tcPr>
            <w:tcW w:w="948" w:type="dxa"/>
            <w:noWrap w:val="0"/>
            <w:vAlign w:val="center"/>
          </w:tcPr>
          <w:p w14:paraId="1D18CDDB">
            <w:pPr>
              <w:rPr>
                <w:rFonts w:hint="eastAsia" w:ascii="宋体" w:hAnsi="宋体" w:eastAsia="宋体" w:cs="宋体"/>
                <w:color w:val="auto"/>
                <w:kern w:val="0"/>
                <w:sz w:val="18"/>
                <w:szCs w:val="18"/>
                <w:highlight w:val="none"/>
              </w:rPr>
            </w:pPr>
          </w:p>
        </w:tc>
        <w:tc>
          <w:tcPr>
            <w:tcW w:w="720" w:type="dxa"/>
            <w:noWrap w:val="0"/>
            <w:vAlign w:val="center"/>
          </w:tcPr>
          <w:p w14:paraId="3556D23F">
            <w:pPr>
              <w:rPr>
                <w:rFonts w:hint="eastAsia" w:ascii="宋体" w:hAnsi="宋体" w:eastAsia="宋体" w:cs="宋体"/>
                <w:color w:val="auto"/>
                <w:kern w:val="0"/>
                <w:sz w:val="18"/>
                <w:szCs w:val="18"/>
                <w:highlight w:val="none"/>
              </w:rPr>
            </w:pPr>
          </w:p>
        </w:tc>
        <w:tc>
          <w:tcPr>
            <w:tcW w:w="720" w:type="dxa"/>
            <w:noWrap w:val="0"/>
            <w:vAlign w:val="center"/>
          </w:tcPr>
          <w:p w14:paraId="5739112F">
            <w:pPr>
              <w:rPr>
                <w:rFonts w:hint="eastAsia" w:ascii="宋体" w:hAnsi="宋体" w:eastAsia="宋体" w:cs="宋体"/>
                <w:color w:val="auto"/>
                <w:kern w:val="0"/>
                <w:sz w:val="18"/>
                <w:szCs w:val="18"/>
                <w:highlight w:val="none"/>
              </w:rPr>
            </w:pPr>
          </w:p>
        </w:tc>
        <w:tc>
          <w:tcPr>
            <w:tcW w:w="780" w:type="dxa"/>
            <w:noWrap w:val="0"/>
            <w:vAlign w:val="center"/>
          </w:tcPr>
          <w:p w14:paraId="4B963791">
            <w:pPr>
              <w:rPr>
                <w:rFonts w:hint="eastAsia" w:ascii="宋体" w:hAnsi="宋体" w:eastAsia="宋体" w:cs="宋体"/>
                <w:color w:val="auto"/>
                <w:kern w:val="0"/>
                <w:sz w:val="18"/>
                <w:szCs w:val="18"/>
                <w:highlight w:val="none"/>
              </w:rPr>
            </w:pPr>
          </w:p>
        </w:tc>
        <w:tc>
          <w:tcPr>
            <w:tcW w:w="900" w:type="dxa"/>
            <w:noWrap w:val="0"/>
            <w:vAlign w:val="center"/>
          </w:tcPr>
          <w:p w14:paraId="11A986ED">
            <w:pPr>
              <w:rPr>
                <w:rFonts w:hint="eastAsia" w:ascii="宋体" w:hAnsi="宋体" w:eastAsia="宋体" w:cs="宋体"/>
                <w:color w:val="auto"/>
                <w:kern w:val="0"/>
                <w:sz w:val="18"/>
                <w:szCs w:val="18"/>
                <w:highlight w:val="none"/>
              </w:rPr>
            </w:pPr>
          </w:p>
        </w:tc>
        <w:tc>
          <w:tcPr>
            <w:tcW w:w="821" w:type="dxa"/>
            <w:noWrap w:val="0"/>
            <w:vAlign w:val="center"/>
          </w:tcPr>
          <w:p w14:paraId="1EE8E15C">
            <w:pPr>
              <w:rPr>
                <w:rFonts w:hint="eastAsia" w:ascii="宋体" w:hAnsi="宋体" w:eastAsia="宋体" w:cs="宋体"/>
                <w:color w:val="auto"/>
                <w:kern w:val="0"/>
                <w:sz w:val="18"/>
                <w:szCs w:val="18"/>
                <w:highlight w:val="none"/>
              </w:rPr>
            </w:pPr>
          </w:p>
        </w:tc>
        <w:tc>
          <w:tcPr>
            <w:tcW w:w="1186" w:type="dxa"/>
            <w:noWrap w:val="0"/>
            <w:vAlign w:val="center"/>
          </w:tcPr>
          <w:p w14:paraId="3E25FD87">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0F47A5B5">
            <w:pPr>
              <w:rPr>
                <w:rFonts w:hint="eastAsia" w:ascii="宋体" w:hAnsi="宋体" w:eastAsia="宋体" w:cs="宋体"/>
                <w:color w:val="auto"/>
                <w:kern w:val="0"/>
                <w:sz w:val="18"/>
                <w:szCs w:val="18"/>
                <w:highlight w:val="none"/>
              </w:rPr>
            </w:pPr>
          </w:p>
        </w:tc>
      </w:tr>
      <w:tr w14:paraId="7B31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69DC5C79">
            <w:pPr>
              <w:rPr>
                <w:rFonts w:hint="eastAsia" w:ascii="宋体" w:hAnsi="宋体" w:eastAsia="宋体" w:cs="宋体"/>
                <w:color w:val="auto"/>
                <w:kern w:val="0"/>
                <w:sz w:val="18"/>
                <w:szCs w:val="18"/>
                <w:highlight w:val="none"/>
              </w:rPr>
            </w:pPr>
          </w:p>
        </w:tc>
        <w:tc>
          <w:tcPr>
            <w:tcW w:w="948" w:type="dxa"/>
            <w:noWrap w:val="0"/>
            <w:vAlign w:val="center"/>
          </w:tcPr>
          <w:p w14:paraId="0F789527">
            <w:pPr>
              <w:rPr>
                <w:rFonts w:hint="eastAsia" w:ascii="宋体" w:hAnsi="宋体" w:eastAsia="宋体" w:cs="宋体"/>
                <w:color w:val="auto"/>
                <w:kern w:val="0"/>
                <w:sz w:val="18"/>
                <w:szCs w:val="18"/>
                <w:highlight w:val="none"/>
              </w:rPr>
            </w:pPr>
          </w:p>
        </w:tc>
        <w:tc>
          <w:tcPr>
            <w:tcW w:w="720" w:type="dxa"/>
            <w:noWrap w:val="0"/>
            <w:vAlign w:val="center"/>
          </w:tcPr>
          <w:p w14:paraId="443867B9">
            <w:pPr>
              <w:rPr>
                <w:rFonts w:hint="eastAsia" w:ascii="宋体" w:hAnsi="宋体" w:eastAsia="宋体" w:cs="宋体"/>
                <w:color w:val="auto"/>
                <w:kern w:val="0"/>
                <w:sz w:val="18"/>
                <w:szCs w:val="18"/>
                <w:highlight w:val="none"/>
              </w:rPr>
            </w:pPr>
          </w:p>
        </w:tc>
        <w:tc>
          <w:tcPr>
            <w:tcW w:w="720" w:type="dxa"/>
            <w:noWrap w:val="0"/>
            <w:vAlign w:val="center"/>
          </w:tcPr>
          <w:p w14:paraId="21B081F6">
            <w:pPr>
              <w:rPr>
                <w:rFonts w:hint="eastAsia" w:ascii="宋体" w:hAnsi="宋体" w:eastAsia="宋体" w:cs="宋体"/>
                <w:color w:val="auto"/>
                <w:kern w:val="0"/>
                <w:sz w:val="18"/>
                <w:szCs w:val="18"/>
                <w:highlight w:val="none"/>
              </w:rPr>
            </w:pPr>
          </w:p>
        </w:tc>
        <w:tc>
          <w:tcPr>
            <w:tcW w:w="780" w:type="dxa"/>
            <w:noWrap w:val="0"/>
            <w:vAlign w:val="center"/>
          </w:tcPr>
          <w:p w14:paraId="64935853">
            <w:pPr>
              <w:rPr>
                <w:rFonts w:hint="eastAsia" w:ascii="宋体" w:hAnsi="宋体" w:eastAsia="宋体" w:cs="宋体"/>
                <w:color w:val="auto"/>
                <w:kern w:val="0"/>
                <w:sz w:val="18"/>
                <w:szCs w:val="18"/>
                <w:highlight w:val="none"/>
              </w:rPr>
            </w:pPr>
          </w:p>
        </w:tc>
        <w:tc>
          <w:tcPr>
            <w:tcW w:w="900" w:type="dxa"/>
            <w:noWrap w:val="0"/>
            <w:vAlign w:val="center"/>
          </w:tcPr>
          <w:p w14:paraId="69C088D2">
            <w:pPr>
              <w:rPr>
                <w:rFonts w:hint="eastAsia" w:ascii="宋体" w:hAnsi="宋体" w:eastAsia="宋体" w:cs="宋体"/>
                <w:color w:val="auto"/>
                <w:kern w:val="0"/>
                <w:sz w:val="18"/>
                <w:szCs w:val="18"/>
                <w:highlight w:val="none"/>
              </w:rPr>
            </w:pPr>
          </w:p>
        </w:tc>
        <w:tc>
          <w:tcPr>
            <w:tcW w:w="821" w:type="dxa"/>
            <w:noWrap w:val="0"/>
            <w:vAlign w:val="center"/>
          </w:tcPr>
          <w:p w14:paraId="10C834AD">
            <w:pPr>
              <w:rPr>
                <w:rFonts w:hint="eastAsia" w:ascii="宋体" w:hAnsi="宋体" w:eastAsia="宋体" w:cs="宋体"/>
                <w:color w:val="auto"/>
                <w:kern w:val="0"/>
                <w:sz w:val="18"/>
                <w:szCs w:val="18"/>
                <w:highlight w:val="none"/>
              </w:rPr>
            </w:pPr>
          </w:p>
        </w:tc>
        <w:tc>
          <w:tcPr>
            <w:tcW w:w="1186" w:type="dxa"/>
            <w:noWrap w:val="0"/>
            <w:vAlign w:val="center"/>
          </w:tcPr>
          <w:p w14:paraId="123F92E7">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634C364F">
            <w:pPr>
              <w:rPr>
                <w:rFonts w:hint="eastAsia" w:ascii="宋体" w:hAnsi="宋体" w:eastAsia="宋体" w:cs="宋体"/>
                <w:color w:val="auto"/>
                <w:kern w:val="0"/>
                <w:sz w:val="18"/>
                <w:szCs w:val="18"/>
                <w:highlight w:val="none"/>
              </w:rPr>
            </w:pPr>
          </w:p>
        </w:tc>
      </w:tr>
      <w:tr w14:paraId="351F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3A4C2F44">
            <w:pPr>
              <w:rPr>
                <w:rFonts w:hint="eastAsia" w:ascii="宋体" w:hAnsi="宋体" w:eastAsia="宋体" w:cs="宋体"/>
                <w:color w:val="auto"/>
                <w:kern w:val="0"/>
                <w:sz w:val="18"/>
                <w:szCs w:val="18"/>
                <w:highlight w:val="none"/>
              </w:rPr>
            </w:pPr>
          </w:p>
        </w:tc>
        <w:tc>
          <w:tcPr>
            <w:tcW w:w="948" w:type="dxa"/>
            <w:noWrap w:val="0"/>
            <w:vAlign w:val="center"/>
          </w:tcPr>
          <w:p w14:paraId="4481D8F9">
            <w:pPr>
              <w:rPr>
                <w:rFonts w:hint="eastAsia" w:ascii="宋体" w:hAnsi="宋体" w:eastAsia="宋体" w:cs="宋体"/>
                <w:color w:val="auto"/>
                <w:kern w:val="0"/>
                <w:sz w:val="18"/>
                <w:szCs w:val="18"/>
                <w:highlight w:val="none"/>
              </w:rPr>
            </w:pPr>
          </w:p>
        </w:tc>
        <w:tc>
          <w:tcPr>
            <w:tcW w:w="720" w:type="dxa"/>
            <w:noWrap w:val="0"/>
            <w:vAlign w:val="center"/>
          </w:tcPr>
          <w:p w14:paraId="486E586A">
            <w:pPr>
              <w:rPr>
                <w:rFonts w:hint="eastAsia" w:ascii="宋体" w:hAnsi="宋体" w:eastAsia="宋体" w:cs="宋体"/>
                <w:color w:val="auto"/>
                <w:kern w:val="0"/>
                <w:sz w:val="18"/>
                <w:szCs w:val="18"/>
                <w:highlight w:val="none"/>
              </w:rPr>
            </w:pPr>
          </w:p>
        </w:tc>
        <w:tc>
          <w:tcPr>
            <w:tcW w:w="720" w:type="dxa"/>
            <w:noWrap w:val="0"/>
            <w:vAlign w:val="center"/>
          </w:tcPr>
          <w:p w14:paraId="56627C6F">
            <w:pPr>
              <w:rPr>
                <w:rFonts w:hint="eastAsia" w:ascii="宋体" w:hAnsi="宋体" w:eastAsia="宋体" w:cs="宋体"/>
                <w:color w:val="auto"/>
                <w:kern w:val="0"/>
                <w:sz w:val="18"/>
                <w:szCs w:val="18"/>
                <w:highlight w:val="none"/>
              </w:rPr>
            </w:pPr>
          </w:p>
        </w:tc>
        <w:tc>
          <w:tcPr>
            <w:tcW w:w="780" w:type="dxa"/>
            <w:noWrap w:val="0"/>
            <w:vAlign w:val="center"/>
          </w:tcPr>
          <w:p w14:paraId="3E4EB5E9">
            <w:pPr>
              <w:rPr>
                <w:rFonts w:hint="eastAsia" w:ascii="宋体" w:hAnsi="宋体" w:eastAsia="宋体" w:cs="宋体"/>
                <w:color w:val="auto"/>
                <w:kern w:val="0"/>
                <w:sz w:val="18"/>
                <w:szCs w:val="18"/>
                <w:highlight w:val="none"/>
              </w:rPr>
            </w:pPr>
          </w:p>
        </w:tc>
        <w:tc>
          <w:tcPr>
            <w:tcW w:w="900" w:type="dxa"/>
            <w:noWrap w:val="0"/>
            <w:vAlign w:val="center"/>
          </w:tcPr>
          <w:p w14:paraId="33D545E3">
            <w:pPr>
              <w:rPr>
                <w:rFonts w:hint="eastAsia" w:ascii="宋体" w:hAnsi="宋体" w:eastAsia="宋体" w:cs="宋体"/>
                <w:color w:val="auto"/>
                <w:kern w:val="0"/>
                <w:sz w:val="18"/>
                <w:szCs w:val="18"/>
                <w:highlight w:val="none"/>
              </w:rPr>
            </w:pPr>
          </w:p>
        </w:tc>
        <w:tc>
          <w:tcPr>
            <w:tcW w:w="821" w:type="dxa"/>
            <w:noWrap w:val="0"/>
            <w:vAlign w:val="center"/>
          </w:tcPr>
          <w:p w14:paraId="3886AB56">
            <w:pPr>
              <w:rPr>
                <w:rFonts w:hint="eastAsia" w:ascii="宋体" w:hAnsi="宋体" w:eastAsia="宋体" w:cs="宋体"/>
                <w:color w:val="auto"/>
                <w:kern w:val="0"/>
                <w:sz w:val="18"/>
                <w:szCs w:val="18"/>
                <w:highlight w:val="none"/>
              </w:rPr>
            </w:pPr>
          </w:p>
        </w:tc>
        <w:tc>
          <w:tcPr>
            <w:tcW w:w="1186" w:type="dxa"/>
            <w:noWrap w:val="0"/>
            <w:vAlign w:val="center"/>
          </w:tcPr>
          <w:p w14:paraId="27A53638">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323C1426">
            <w:pPr>
              <w:rPr>
                <w:rFonts w:hint="eastAsia" w:ascii="宋体" w:hAnsi="宋体" w:eastAsia="宋体" w:cs="宋体"/>
                <w:color w:val="auto"/>
                <w:kern w:val="0"/>
                <w:sz w:val="18"/>
                <w:szCs w:val="18"/>
                <w:highlight w:val="none"/>
              </w:rPr>
            </w:pPr>
          </w:p>
        </w:tc>
      </w:tr>
      <w:tr w14:paraId="3FE6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2F510BA3">
            <w:pPr>
              <w:rPr>
                <w:rFonts w:hint="eastAsia" w:ascii="宋体" w:hAnsi="宋体" w:eastAsia="宋体" w:cs="宋体"/>
                <w:color w:val="auto"/>
                <w:kern w:val="0"/>
                <w:sz w:val="18"/>
                <w:szCs w:val="18"/>
                <w:highlight w:val="none"/>
              </w:rPr>
            </w:pPr>
          </w:p>
        </w:tc>
        <w:tc>
          <w:tcPr>
            <w:tcW w:w="948" w:type="dxa"/>
            <w:noWrap w:val="0"/>
            <w:vAlign w:val="center"/>
          </w:tcPr>
          <w:p w14:paraId="1C957719">
            <w:pPr>
              <w:rPr>
                <w:rFonts w:hint="eastAsia" w:ascii="宋体" w:hAnsi="宋体" w:eastAsia="宋体" w:cs="宋体"/>
                <w:color w:val="auto"/>
                <w:kern w:val="0"/>
                <w:sz w:val="18"/>
                <w:szCs w:val="18"/>
                <w:highlight w:val="none"/>
              </w:rPr>
            </w:pPr>
          </w:p>
        </w:tc>
        <w:tc>
          <w:tcPr>
            <w:tcW w:w="720" w:type="dxa"/>
            <w:noWrap w:val="0"/>
            <w:vAlign w:val="center"/>
          </w:tcPr>
          <w:p w14:paraId="12DB45CE">
            <w:pPr>
              <w:rPr>
                <w:rFonts w:hint="eastAsia" w:ascii="宋体" w:hAnsi="宋体" w:eastAsia="宋体" w:cs="宋体"/>
                <w:color w:val="auto"/>
                <w:kern w:val="0"/>
                <w:sz w:val="18"/>
                <w:szCs w:val="18"/>
                <w:highlight w:val="none"/>
              </w:rPr>
            </w:pPr>
          </w:p>
        </w:tc>
        <w:tc>
          <w:tcPr>
            <w:tcW w:w="720" w:type="dxa"/>
            <w:noWrap w:val="0"/>
            <w:vAlign w:val="center"/>
          </w:tcPr>
          <w:p w14:paraId="6DACE407">
            <w:pPr>
              <w:rPr>
                <w:rFonts w:hint="eastAsia" w:ascii="宋体" w:hAnsi="宋体" w:eastAsia="宋体" w:cs="宋体"/>
                <w:color w:val="auto"/>
                <w:kern w:val="0"/>
                <w:sz w:val="18"/>
                <w:szCs w:val="18"/>
                <w:highlight w:val="none"/>
              </w:rPr>
            </w:pPr>
          </w:p>
        </w:tc>
        <w:tc>
          <w:tcPr>
            <w:tcW w:w="780" w:type="dxa"/>
            <w:noWrap w:val="0"/>
            <w:vAlign w:val="center"/>
          </w:tcPr>
          <w:p w14:paraId="51A6B4CC">
            <w:pPr>
              <w:rPr>
                <w:rFonts w:hint="eastAsia" w:ascii="宋体" w:hAnsi="宋体" w:eastAsia="宋体" w:cs="宋体"/>
                <w:color w:val="auto"/>
                <w:kern w:val="0"/>
                <w:sz w:val="18"/>
                <w:szCs w:val="18"/>
                <w:highlight w:val="none"/>
              </w:rPr>
            </w:pPr>
          </w:p>
        </w:tc>
        <w:tc>
          <w:tcPr>
            <w:tcW w:w="900" w:type="dxa"/>
            <w:noWrap w:val="0"/>
            <w:vAlign w:val="center"/>
          </w:tcPr>
          <w:p w14:paraId="5E526A9D">
            <w:pPr>
              <w:rPr>
                <w:rFonts w:hint="eastAsia" w:ascii="宋体" w:hAnsi="宋体" w:eastAsia="宋体" w:cs="宋体"/>
                <w:color w:val="auto"/>
                <w:kern w:val="0"/>
                <w:sz w:val="18"/>
                <w:szCs w:val="18"/>
                <w:highlight w:val="none"/>
              </w:rPr>
            </w:pPr>
          </w:p>
        </w:tc>
        <w:tc>
          <w:tcPr>
            <w:tcW w:w="821" w:type="dxa"/>
            <w:noWrap w:val="0"/>
            <w:vAlign w:val="center"/>
          </w:tcPr>
          <w:p w14:paraId="4DC6EF6E">
            <w:pPr>
              <w:rPr>
                <w:rFonts w:hint="eastAsia" w:ascii="宋体" w:hAnsi="宋体" w:eastAsia="宋体" w:cs="宋体"/>
                <w:color w:val="auto"/>
                <w:kern w:val="0"/>
                <w:sz w:val="18"/>
                <w:szCs w:val="18"/>
                <w:highlight w:val="none"/>
              </w:rPr>
            </w:pPr>
          </w:p>
        </w:tc>
        <w:tc>
          <w:tcPr>
            <w:tcW w:w="1186" w:type="dxa"/>
            <w:noWrap w:val="0"/>
            <w:vAlign w:val="center"/>
          </w:tcPr>
          <w:p w14:paraId="32AA1D33">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6FC7795C">
            <w:pPr>
              <w:rPr>
                <w:rFonts w:hint="eastAsia" w:ascii="宋体" w:hAnsi="宋体" w:eastAsia="宋体" w:cs="宋体"/>
                <w:color w:val="auto"/>
                <w:kern w:val="0"/>
                <w:sz w:val="18"/>
                <w:szCs w:val="18"/>
                <w:highlight w:val="none"/>
              </w:rPr>
            </w:pPr>
          </w:p>
        </w:tc>
      </w:tr>
      <w:tr w14:paraId="2984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7B7B8E36">
            <w:pPr>
              <w:rPr>
                <w:rFonts w:hint="eastAsia" w:ascii="宋体" w:hAnsi="宋体" w:eastAsia="宋体" w:cs="宋体"/>
                <w:color w:val="auto"/>
                <w:kern w:val="0"/>
                <w:sz w:val="18"/>
                <w:szCs w:val="18"/>
                <w:highlight w:val="none"/>
              </w:rPr>
            </w:pPr>
          </w:p>
        </w:tc>
        <w:tc>
          <w:tcPr>
            <w:tcW w:w="948" w:type="dxa"/>
            <w:noWrap w:val="0"/>
            <w:vAlign w:val="center"/>
          </w:tcPr>
          <w:p w14:paraId="52F6CA3B">
            <w:pPr>
              <w:rPr>
                <w:rFonts w:hint="eastAsia" w:ascii="宋体" w:hAnsi="宋体" w:eastAsia="宋体" w:cs="宋体"/>
                <w:color w:val="auto"/>
                <w:kern w:val="0"/>
                <w:sz w:val="18"/>
                <w:szCs w:val="18"/>
                <w:highlight w:val="none"/>
              </w:rPr>
            </w:pPr>
          </w:p>
        </w:tc>
        <w:tc>
          <w:tcPr>
            <w:tcW w:w="720" w:type="dxa"/>
            <w:noWrap w:val="0"/>
            <w:vAlign w:val="center"/>
          </w:tcPr>
          <w:p w14:paraId="7188ED6D">
            <w:pPr>
              <w:rPr>
                <w:rFonts w:hint="eastAsia" w:ascii="宋体" w:hAnsi="宋体" w:eastAsia="宋体" w:cs="宋体"/>
                <w:color w:val="auto"/>
                <w:kern w:val="0"/>
                <w:sz w:val="18"/>
                <w:szCs w:val="18"/>
                <w:highlight w:val="none"/>
              </w:rPr>
            </w:pPr>
          </w:p>
        </w:tc>
        <w:tc>
          <w:tcPr>
            <w:tcW w:w="720" w:type="dxa"/>
            <w:noWrap w:val="0"/>
            <w:vAlign w:val="center"/>
          </w:tcPr>
          <w:p w14:paraId="395CAF14">
            <w:pPr>
              <w:rPr>
                <w:rFonts w:hint="eastAsia" w:ascii="宋体" w:hAnsi="宋体" w:eastAsia="宋体" w:cs="宋体"/>
                <w:color w:val="auto"/>
                <w:kern w:val="0"/>
                <w:sz w:val="18"/>
                <w:szCs w:val="18"/>
                <w:highlight w:val="none"/>
              </w:rPr>
            </w:pPr>
          </w:p>
        </w:tc>
        <w:tc>
          <w:tcPr>
            <w:tcW w:w="780" w:type="dxa"/>
            <w:noWrap w:val="0"/>
            <w:vAlign w:val="center"/>
          </w:tcPr>
          <w:p w14:paraId="38A9451F">
            <w:pPr>
              <w:rPr>
                <w:rFonts w:hint="eastAsia" w:ascii="宋体" w:hAnsi="宋体" w:eastAsia="宋体" w:cs="宋体"/>
                <w:color w:val="auto"/>
                <w:kern w:val="0"/>
                <w:sz w:val="18"/>
                <w:szCs w:val="18"/>
                <w:highlight w:val="none"/>
              </w:rPr>
            </w:pPr>
          </w:p>
        </w:tc>
        <w:tc>
          <w:tcPr>
            <w:tcW w:w="900" w:type="dxa"/>
            <w:noWrap w:val="0"/>
            <w:vAlign w:val="center"/>
          </w:tcPr>
          <w:p w14:paraId="0A423E6C">
            <w:pPr>
              <w:rPr>
                <w:rFonts w:hint="eastAsia" w:ascii="宋体" w:hAnsi="宋体" w:eastAsia="宋体" w:cs="宋体"/>
                <w:color w:val="auto"/>
                <w:kern w:val="0"/>
                <w:sz w:val="18"/>
                <w:szCs w:val="18"/>
                <w:highlight w:val="none"/>
              </w:rPr>
            </w:pPr>
          </w:p>
        </w:tc>
        <w:tc>
          <w:tcPr>
            <w:tcW w:w="821" w:type="dxa"/>
            <w:noWrap w:val="0"/>
            <w:vAlign w:val="center"/>
          </w:tcPr>
          <w:p w14:paraId="1C7A54B3">
            <w:pPr>
              <w:rPr>
                <w:rFonts w:hint="eastAsia" w:ascii="宋体" w:hAnsi="宋体" w:eastAsia="宋体" w:cs="宋体"/>
                <w:color w:val="auto"/>
                <w:kern w:val="0"/>
                <w:sz w:val="18"/>
                <w:szCs w:val="18"/>
                <w:highlight w:val="none"/>
              </w:rPr>
            </w:pPr>
          </w:p>
        </w:tc>
        <w:tc>
          <w:tcPr>
            <w:tcW w:w="1186" w:type="dxa"/>
            <w:noWrap w:val="0"/>
            <w:vAlign w:val="center"/>
          </w:tcPr>
          <w:p w14:paraId="0F9C786C">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55CD63DC">
            <w:pPr>
              <w:rPr>
                <w:rFonts w:hint="eastAsia" w:ascii="宋体" w:hAnsi="宋体" w:eastAsia="宋体" w:cs="宋体"/>
                <w:color w:val="auto"/>
                <w:kern w:val="0"/>
                <w:sz w:val="18"/>
                <w:szCs w:val="18"/>
                <w:highlight w:val="none"/>
              </w:rPr>
            </w:pPr>
          </w:p>
        </w:tc>
      </w:tr>
      <w:tr w14:paraId="141A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6ED5E709">
            <w:pPr>
              <w:rPr>
                <w:rFonts w:hint="eastAsia" w:ascii="宋体" w:hAnsi="宋体" w:eastAsia="宋体" w:cs="宋体"/>
                <w:color w:val="auto"/>
                <w:kern w:val="0"/>
                <w:sz w:val="18"/>
                <w:szCs w:val="18"/>
                <w:highlight w:val="none"/>
              </w:rPr>
            </w:pPr>
          </w:p>
        </w:tc>
        <w:tc>
          <w:tcPr>
            <w:tcW w:w="948" w:type="dxa"/>
            <w:noWrap w:val="0"/>
            <w:vAlign w:val="center"/>
          </w:tcPr>
          <w:p w14:paraId="5ECDBBDF">
            <w:pPr>
              <w:rPr>
                <w:rFonts w:hint="eastAsia" w:ascii="宋体" w:hAnsi="宋体" w:eastAsia="宋体" w:cs="宋体"/>
                <w:color w:val="auto"/>
                <w:kern w:val="0"/>
                <w:sz w:val="18"/>
                <w:szCs w:val="18"/>
                <w:highlight w:val="none"/>
              </w:rPr>
            </w:pPr>
          </w:p>
        </w:tc>
        <w:tc>
          <w:tcPr>
            <w:tcW w:w="720" w:type="dxa"/>
            <w:noWrap w:val="0"/>
            <w:vAlign w:val="center"/>
          </w:tcPr>
          <w:p w14:paraId="2313F681">
            <w:pPr>
              <w:rPr>
                <w:rFonts w:hint="eastAsia" w:ascii="宋体" w:hAnsi="宋体" w:eastAsia="宋体" w:cs="宋体"/>
                <w:color w:val="auto"/>
                <w:kern w:val="0"/>
                <w:sz w:val="18"/>
                <w:szCs w:val="18"/>
                <w:highlight w:val="none"/>
              </w:rPr>
            </w:pPr>
          </w:p>
        </w:tc>
        <w:tc>
          <w:tcPr>
            <w:tcW w:w="720" w:type="dxa"/>
            <w:noWrap w:val="0"/>
            <w:vAlign w:val="center"/>
          </w:tcPr>
          <w:p w14:paraId="6C8D0057">
            <w:pPr>
              <w:rPr>
                <w:rFonts w:hint="eastAsia" w:ascii="宋体" w:hAnsi="宋体" w:eastAsia="宋体" w:cs="宋体"/>
                <w:color w:val="auto"/>
                <w:kern w:val="0"/>
                <w:sz w:val="18"/>
                <w:szCs w:val="18"/>
                <w:highlight w:val="none"/>
              </w:rPr>
            </w:pPr>
          </w:p>
        </w:tc>
        <w:tc>
          <w:tcPr>
            <w:tcW w:w="780" w:type="dxa"/>
            <w:noWrap w:val="0"/>
            <w:vAlign w:val="center"/>
          </w:tcPr>
          <w:p w14:paraId="0EF8F783">
            <w:pPr>
              <w:rPr>
                <w:rFonts w:hint="eastAsia" w:ascii="宋体" w:hAnsi="宋体" w:eastAsia="宋体" w:cs="宋体"/>
                <w:color w:val="auto"/>
                <w:kern w:val="0"/>
                <w:sz w:val="18"/>
                <w:szCs w:val="18"/>
                <w:highlight w:val="none"/>
              </w:rPr>
            </w:pPr>
          </w:p>
        </w:tc>
        <w:tc>
          <w:tcPr>
            <w:tcW w:w="900" w:type="dxa"/>
            <w:noWrap w:val="0"/>
            <w:vAlign w:val="center"/>
          </w:tcPr>
          <w:p w14:paraId="690F6113">
            <w:pPr>
              <w:rPr>
                <w:rFonts w:hint="eastAsia" w:ascii="宋体" w:hAnsi="宋体" w:eastAsia="宋体" w:cs="宋体"/>
                <w:color w:val="auto"/>
                <w:kern w:val="0"/>
                <w:sz w:val="18"/>
                <w:szCs w:val="18"/>
                <w:highlight w:val="none"/>
              </w:rPr>
            </w:pPr>
          </w:p>
        </w:tc>
        <w:tc>
          <w:tcPr>
            <w:tcW w:w="821" w:type="dxa"/>
            <w:noWrap w:val="0"/>
            <w:vAlign w:val="center"/>
          </w:tcPr>
          <w:p w14:paraId="6C42578B">
            <w:pPr>
              <w:rPr>
                <w:rFonts w:hint="eastAsia" w:ascii="宋体" w:hAnsi="宋体" w:eastAsia="宋体" w:cs="宋体"/>
                <w:color w:val="auto"/>
                <w:kern w:val="0"/>
                <w:sz w:val="18"/>
                <w:szCs w:val="18"/>
                <w:highlight w:val="none"/>
              </w:rPr>
            </w:pPr>
          </w:p>
        </w:tc>
        <w:tc>
          <w:tcPr>
            <w:tcW w:w="1186" w:type="dxa"/>
            <w:noWrap w:val="0"/>
            <w:vAlign w:val="center"/>
          </w:tcPr>
          <w:p w14:paraId="4C1655BC">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68244A7E">
            <w:pPr>
              <w:rPr>
                <w:rFonts w:hint="eastAsia" w:ascii="宋体" w:hAnsi="宋体" w:eastAsia="宋体" w:cs="宋体"/>
                <w:color w:val="auto"/>
                <w:kern w:val="0"/>
                <w:sz w:val="18"/>
                <w:szCs w:val="18"/>
                <w:highlight w:val="none"/>
              </w:rPr>
            </w:pPr>
          </w:p>
        </w:tc>
      </w:tr>
      <w:tr w14:paraId="4084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14:paraId="6955FD47">
            <w:pPr>
              <w:rPr>
                <w:rFonts w:hint="eastAsia" w:ascii="宋体" w:hAnsi="宋体" w:eastAsia="宋体" w:cs="宋体"/>
                <w:color w:val="auto"/>
                <w:kern w:val="0"/>
                <w:sz w:val="18"/>
                <w:szCs w:val="18"/>
                <w:highlight w:val="none"/>
              </w:rPr>
            </w:pPr>
          </w:p>
        </w:tc>
        <w:tc>
          <w:tcPr>
            <w:tcW w:w="948" w:type="dxa"/>
            <w:noWrap w:val="0"/>
            <w:vAlign w:val="center"/>
          </w:tcPr>
          <w:p w14:paraId="4CD61D76">
            <w:pPr>
              <w:rPr>
                <w:rFonts w:hint="eastAsia" w:ascii="宋体" w:hAnsi="宋体" w:eastAsia="宋体" w:cs="宋体"/>
                <w:color w:val="auto"/>
                <w:kern w:val="0"/>
                <w:sz w:val="18"/>
                <w:szCs w:val="18"/>
                <w:highlight w:val="none"/>
              </w:rPr>
            </w:pPr>
          </w:p>
        </w:tc>
        <w:tc>
          <w:tcPr>
            <w:tcW w:w="720" w:type="dxa"/>
            <w:noWrap w:val="0"/>
            <w:vAlign w:val="center"/>
          </w:tcPr>
          <w:p w14:paraId="1D3D5E36">
            <w:pPr>
              <w:rPr>
                <w:rFonts w:hint="eastAsia" w:ascii="宋体" w:hAnsi="宋体" w:eastAsia="宋体" w:cs="宋体"/>
                <w:color w:val="auto"/>
                <w:kern w:val="0"/>
                <w:sz w:val="18"/>
                <w:szCs w:val="18"/>
                <w:highlight w:val="none"/>
              </w:rPr>
            </w:pPr>
          </w:p>
        </w:tc>
        <w:tc>
          <w:tcPr>
            <w:tcW w:w="720" w:type="dxa"/>
            <w:noWrap w:val="0"/>
            <w:vAlign w:val="center"/>
          </w:tcPr>
          <w:p w14:paraId="363C6BAC">
            <w:pPr>
              <w:rPr>
                <w:rFonts w:hint="eastAsia" w:ascii="宋体" w:hAnsi="宋体" w:eastAsia="宋体" w:cs="宋体"/>
                <w:color w:val="auto"/>
                <w:kern w:val="0"/>
                <w:sz w:val="18"/>
                <w:szCs w:val="18"/>
                <w:highlight w:val="none"/>
              </w:rPr>
            </w:pPr>
          </w:p>
        </w:tc>
        <w:tc>
          <w:tcPr>
            <w:tcW w:w="780" w:type="dxa"/>
            <w:noWrap w:val="0"/>
            <w:vAlign w:val="center"/>
          </w:tcPr>
          <w:p w14:paraId="4A74CC76">
            <w:pPr>
              <w:rPr>
                <w:rFonts w:hint="eastAsia" w:ascii="宋体" w:hAnsi="宋体" w:eastAsia="宋体" w:cs="宋体"/>
                <w:color w:val="auto"/>
                <w:kern w:val="0"/>
                <w:sz w:val="18"/>
                <w:szCs w:val="18"/>
                <w:highlight w:val="none"/>
              </w:rPr>
            </w:pPr>
          </w:p>
        </w:tc>
        <w:tc>
          <w:tcPr>
            <w:tcW w:w="900" w:type="dxa"/>
            <w:noWrap w:val="0"/>
            <w:vAlign w:val="center"/>
          </w:tcPr>
          <w:p w14:paraId="2A8AEBE5">
            <w:pPr>
              <w:rPr>
                <w:rFonts w:hint="eastAsia" w:ascii="宋体" w:hAnsi="宋体" w:eastAsia="宋体" w:cs="宋体"/>
                <w:color w:val="auto"/>
                <w:kern w:val="0"/>
                <w:sz w:val="18"/>
                <w:szCs w:val="18"/>
                <w:highlight w:val="none"/>
              </w:rPr>
            </w:pPr>
          </w:p>
        </w:tc>
        <w:tc>
          <w:tcPr>
            <w:tcW w:w="821" w:type="dxa"/>
            <w:noWrap w:val="0"/>
            <w:vAlign w:val="center"/>
          </w:tcPr>
          <w:p w14:paraId="6DC92626">
            <w:pPr>
              <w:rPr>
                <w:rFonts w:hint="eastAsia" w:ascii="宋体" w:hAnsi="宋体" w:eastAsia="宋体" w:cs="宋体"/>
                <w:color w:val="auto"/>
                <w:kern w:val="0"/>
                <w:sz w:val="18"/>
                <w:szCs w:val="18"/>
                <w:highlight w:val="none"/>
              </w:rPr>
            </w:pPr>
          </w:p>
        </w:tc>
        <w:tc>
          <w:tcPr>
            <w:tcW w:w="1186" w:type="dxa"/>
            <w:noWrap w:val="0"/>
            <w:vAlign w:val="center"/>
          </w:tcPr>
          <w:p w14:paraId="65027AD6">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14:paraId="550D7E6F">
            <w:pPr>
              <w:rPr>
                <w:rFonts w:hint="eastAsia" w:ascii="宋体" w:hAnsi="宋体" w:eastAsia="宋体" w:cs="宋体"/>
                <w:color w:val="auto"/>
                <w:kern w:val="0"/>
                <w:sz w:val="18"/>
                <w:szCs w:val="18"/>
                <w:highlight w:val="none"/>
              </w:rPr>
            </w:pPr>
          </w:p>
        </w:tc>
      </w:tr>
      <w:tr w14:paraId="2760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104" w:type="dxa"/>
            <w:gridSpan w:val="9"/>
            <w:tcBorders>
              <w:left w:val="single" w:color="auto" w:sz="12" w:space="0"/>
              <w:bottom w:val="single" w:color="auto" w:sz="12" w:space="0"/>
              <w:right w:val="single" w:color="auto" w:sz="12" w:space="0"/>
            </w:tcBorders>
            <w:noWrap w:val="0"/>
            <w:vAlign w:val="center"/>
          </w:tcPr>
          <w:p w14:paraId="4A8ADCA4">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一旦我单位中标，将实行</w:t>
            </w:r>
            <w:r>
              <w:rPr>
                <w:rFonts w:hint="eastAsia" w:ascii="宋体" w:hAnsi="宋体" w:eastAsia="宋体" w:cs="宋体"/>
                <w:color w:val="auto"/>
                <w:kern w:val="0"/>
                <w:sz w:val="18"/>
                <w:szCs w:val="18"/>
                <w:highlight w:val="none"/>
                <w:lang w:eastAsia="zh-CN"/>
              </w:rPr>
              <w:t>物业经理</w:t>
            </w:r>
            <w:r>
              <w:rPr>
                <w:rFonts w:hint="eastAsia" w:ascii="宋体" w:hAnsi="宋体" w:eastAsia="宋体" w:cs="宋体"/>
                <w:color w:val="auto"/>
                <w:kern w:val="0"/>
                <w:sz w:val="18"/>
                <w:szCs w:val="18"/>
                <w:highlight w:val="none"/>
              </w:rPr>
              <w:t>（负责人）负责制，我方保证并配备上述项目管理机构。上述填报内容真实，若不真实，愿按有关规定接受处理。</w:t>
            </w:r>
          </w:p>
        </w:tc>
      </w:tr>
    </w:tbl>
    <w:p w14:paraId="18D83D11">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w:t>
      </w:r>
      <w:r>
        <w:rPr>
          <w:rFonts w:hint="eastAsia" w:ascii="宋体" w:hAnsi="宋体" w:eastAsia="宋体" w:cs="宋体"/>
          <w:color w:val="auto"/>
          <w:highlight w:val="none"/>
          <w:lang w:val="en-US" w:eastAsia="zh-CN"/>
        </w:rPr>
        <w:t>本表格可暂时只填写项目管理人员的，驻守保安人员如已明确的也可填入本表，未明确的驻守人员可在表述中明确招聘标准及到岗时间</w:t>
      </w:r>
      <w:r>
        <w:rPr>
          <w:rFonts w:hint="eastAsia" w:ascii="宋体" w:hAnsi="宋体" w:eastAsia="宋体" w:cs="宋体"/>
          <w:color w:val="auto"/>
          <w:highlight w:val="none"/>
        </w:rPr>
        <w:t>；</w:t>
      </w:r>
    </w:p>
    <w:p w14:paraId="52F5288C">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2、本表人员有资格证书的应随表提交职称、资格证书复印件（加盖公章）。</w:t>
      </w:r>
    </w:p>
    <w:p w14:paraId="42D81458">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3、列入本表人员如要更换，需经</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单位同意；擅自更换或不到位属违约行为。</w:t>
      </w:r>
    </w:p>
    <w:p w14:paraId="08397F9C">
      <w:pPr>
        <w:spacing w:line="360" w:lineRule="auto"/>
        <w:rPr>
          <w:rFonts w:hint="eastAsia" w:ascii="宋体" w:hAnsi="宋体" w:eastAsia="宋体" w:cs="宋体"/>
          <w:sz w:val="21"/>
          <w:szCs w:val="21"/>
          <w:highlight w:val="none"/>
        </w:rPr>
      </w:pPr>
    </w:p>
    <w:p w14:paraId="1442495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14:paraId="66A81F70">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14:paraId="15BEAB59">
      <w:pPr>
        <w:spacing w:line="360" w:lineRule="auto"/>
        <w:jc w:val="both"/>
        <w:rPr>
          <w:rFonts w:hint="eastAsia" w:ascii="宋体" w:hAnsi="宋体" w:eastAsia="宋体" w:cs="宋体"/>
          <w:b/>
          <w:color w:val="auto"/>
          <w:sz w:val="48"/>
          <w:szCs w:val="48"/>
          <w:highlight w:val="none"/>
        </w:rPr>
      </w:pPr>
      <w:r>
        <w:rPr>
          <w:rFonts w:hint="eastAsia" w:ascii="宋体" w:hAnsi="宋体" w:eastAsia="宋体" w:cs="宋体"/>
          <w:sz w:val="21"/>
          <w:szCs w:val="21"/>
          <w:highlight w:val="none"/>
        </w:rPr>
        <w:t>日  期：</w:t>
      </w:r>
    </w:p>
    <w:p w14:paraId="52D42194">
      <w:pPr>
        <w:jc w:val="center"/>
        <w:rPr>
          <w:rFonts w:hint="eastAsia" w:ascii="宋体" w:hAnsi="宋体" w:eastAsia="宋体" w:cs="宋体"/>
          <w:b/>
          <w:color w:val="auto"/>
          <w:sz w:val="48"/>
          <w:szCs w:val="48"/>
          <w:highlight w:val="none"/>
        </w:rPr>
      </w:pPr>
    </w:p>
    <w:p w14:paraId="1BA7BE79">
      <w:pPr>
        <w:spacing w:before="120" w:after="120"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附件九</w:t>
      </w:r>
    </w:p>
    <w:p w14:paraId="16782458">
      <w:pPr>
        <w:spacing w:before="120" w:after="12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2021年1月1日以来</w:t>
      </w:r>
      <w:r>
        <w:rPr>
          <w:rFonts w:hint="eastAsia" w:ascii="宋体" w:hAnsi="宋体" w:eastAsia="宋体" w:cs="宋体"/>
          <w:b/>
          <w:bCs/>
          <w:color w:val="auto"/>
          <w:szCs w:val="21"/>
          <w:highlight w:val="none"/>
        </w:rPr>
        <w:t>同类项目业绩一览表</w:t>
      </w:r>
    </w:p>
    <w:p w14:paraId="782341B0">
      <w:pPr>
        <w:rPr>
          <w:rFonts w:hint="eastAsia" w:ascii="宋体" w:hAnsi="宋体" w:eastAsia="宋体" w:cs="宋体"/>
          <w:color w:val="auto"/>
          <w:highlight w:val="none"/>
          <w:lang w:val="zh-CN"/>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5"/>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876"/>
        <w:gridCol w:w="3024"/>
        <w:gridCol w:w="1188"/>
        <w:gridCol w:w="998"/>
      </w:tblGrid>
      <w:tr w14:paraId="6CD05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6" w:type="dxa"/>
            <w:noWrap w:val="0"/>
            <w:vAlign w:val="center"/>
          </w:tcPr>
          <w:p w14:paraId="2BECC74B">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876" w:type="dxa"/>
            <w:noWrap w:val="0"/>
            <w:vAlign w:val="center"/>
          </w:tcPr>
          <w:p w14:paraId="04882D00">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使用单位</w:t>
            </w:r>
          </w:p>
        </w:tc>
        <w:tc>
          <w:tcPr>
            <w:tcW w:w="3024" w:type="dxa"/>
            <w:noWrap w:val="0"/>
            <w:vAlign w:val="center"/>
          </w:tcPr>
          <w:p w14:paraId="041DB366">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地址/联系电话</w:t>
            </w:r>
          </w:p>
        </w:tc>
        <w:tc>
          <w:tcPr>
            <w:tcW w:w="1188" w:type="dxa"/>
            <w:noWrap w:val="0"/>
            <w:vAlign w:val="center"/>
          </w:tcPr>
          <w:p w14:paraId="6A14A99C">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合同金额</w:t>
            </w:r>
            <w:r>
              <w:rPr>
                <w:rFonts w:hint="eastAsia" w:ascii="宋体" w:hAnsi="宋体" w:eastAsia="宋体" w:cs="宋体"/>
                <w:color w:val="auto"/>
                <w:sz w:val="18"/>
                <w:szCs w:val="18"/>
                <w:highlight w:val="none"/>
              </w:rPr>
              <w:t>（万元）</w:t>
            </w:r>
          </w:p>
        </w:tc>
        <w:tc>
          <w:tcPr>
            <w:tcW w:w="998" w:type="dxa"/>
            <w:noWrap w:val="0"/>
            <w:vAlign w:val="center"/>
          </w:tcPr>
          <w:p w14:paraId="4E08AB84">
            <w:pPr>
              <w:pStyle w:val="69"/>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00643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3A7A14F4">
            <w:pPr>
              <w:rPr>
                <w:rFonts w:hint="eastAsia" w:ascii="宋体" w:hAnsi="宋体" w:eastAsia="宋体" w:cs="宋体"/>
                <w:color w:val="auto"/>
                <w:sz w:val="18"/>
                <w:szCs w:val="18"/>
                <w:highlight w:val="none"/>
              </w:rPr>
            </w:pPr>
          </w:p>
        </w:tc>
        <w:tc>
          <w:tcPr>
            <w:tcW w:w="1876" w:type="dxa"/>
            <w:noWrap w:val="0"/>
            <w:vAlign w:val="top"/>
          </w:tcPr>
          <w:p w14:paraId="041879FB">
            <w:pPr>
              <w:rPr>
                <w:rFonts w:hint="eastAsia" w:ascii="宋体" w:hAnsi="宋体" w:eastAsia="宋体" w:cs="宋体"/>
                <w:color w:val="auto"/>
                <w:sz w:val="18"/>
                <w:szCs w:val="18"/>
                <w:highlight w:val="none"/>
              </w:rPr>
            </w:pPr>
          </w:p>
        </w:tc>
        <w:tc>
          <w:tcPr>
            <w:tcW w:w="3024" w:type="dxa"/>
            <w:noWrap w:val="0"/>
            <w:vAlign w:val="top"/>
          </w:tcPr>
          <w:p w14:paraId="0B1C8319">
            <w:pPr>
              <w:rPr>
                <w:rFonts w:hint="eastAsia" w:ascii="宋体" w:hAnsi="宋体" w:eastAsia="宋体" w:cs="宋体"/>
                <w:color w:val="auto"/>
                <w:sz w:val="18"/>
                <w:szCs w:val="18"/>
                <w:highlight w:val="none"/>
              </w:rPr>
            </w:pPr>
          </w:p>
        </w:tc>
        <w:tc>
          <w:tcPr>
            <w:tcW w:w="1188" w:type="dxa"/>
            <w:noWrap w:val="0"/>
            <w:vAlign w:val="top"/>
          </w:tcPr>
          <w:p w14:paraId="4F4ECDAE">
            <w:pPr>
              <w:rPr>
                <w:rFonts w:hint="eastAsia" w:ascii="宋体" w:hAnsi="宋体" w:eastAsia="宋体" w:cs="宋体"/>
                <w:color w:val="auto"/>
                <w:sz w:val="18"/>
                <w:szCs w:val="18"/>
                <w:highlight w:val="none"/>
              </w:rPr>
            </w:pPr>
          </w:p>
        </w:tc>
        <w:tc>
          <w:tcPr>
            <w:tcW w:w="998" w:type="dxa"/>
            <w:noWrap w:val="0"/>
            <w:vAlign w:val="top"/>
          </w:tcPr>
          <w:p w14:paraId="0E62DC87">
            <w:pPr>
              <w:rPr>
                <w:rFonts w:hint="eastAsia" w:ascii="宋体" w:hAnsi="宋体" w:eastAsia="宋体" w:cs="宋体"/>
                <w:color w:val="auto"/>
                <w:sz w:val="18"/>
                <w:szCs w:val="18"/>
                <w:highlight w:val="none"/>
              </w:rPr>
            </w:pPr>
          </w:p>
        </w:tc>
      </w:tr>
      <w:tr w14:paraId="50F3E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475713A0">
            <w:pPr>
              <w:rPr>
                <w:rFonts w:hint="eastAsia" w:ascii="宋体" w:hAnsi="宋体" w:eastAsia="宋体" w:cs="宋体"/>
                <w:color w:val="auto"/>
                <w:sz w:val="18"/>
                <w:szCs w:val="18"/>
                <w:highlight w:val="none"/>
              </w:rPr>
            </w:pPr>
          </w:p>
        </w:tc>
        <w:tc>
          <w:tcPr>
            <w:tcW w:w="1876" w:type="dxa"/>
            <w:noWrap w:val="0"/>
            <w:vAlign w:val="top"/>
          </w:tcPr>
          <w:p w14:paraId="7937568B">
            <w:pPr>
              <w:rPr>
                <w:rFonts w:hint="eastAsia" w:ascii="宋体" w:hAnsi="宋体" w:eastAsia="宋体" w:cs="宋体"/>
                <w:color w:val="auto"/>
                <w:sz w:val="18"/>
                <w:szCs w:val="18"/>
                <w:highlight w:val="none"/>
              </w:rPr>
            </w:pPr>
          </w:p>
        </w:tc>
        <w:tc>
          <w:tcPr>
            <w:tcW w:w="3024" w:type="dxa"/>
            <w:noWrap w:val="0"/>
            <w:vAlign w:val="top"/>
          </w:tcPr>
          <w:p w14:paraId="552CF762">
            <w:pPr>
              <w:rPr>
                <w:rFonts w:hint="eastAsia" w:ascii="宋体" w:hAnsi="宋体" w:eastAsia="宋体" w:cs="宋体"/>
                <w:color w:val="auto"/>
                <w:sz w:val="18"/>
                <w:szCs w:val="18"/>
                <w:highlight w:val="none"/>
              </w:rPr>
            </w:pPr>
          </w:p>
        </w:tc>
        <w:tc>
          <w:tcPr>
            <w:tcW w:w="1188" w:type="dxa"/>
            <w:noWrap w:val="0"/>
            <w:vAlign w:val="top"/>
          </w:tcPr>
          <w:p w14:paraId="143D7821">
            <w:pPr>
              <w:rPr>
                <w:rFonts w:hint="eastAsia" w:ascii="宋体" w:hAnsi="宋体" w:eastAsia="宋体" w:cs="宋体"/>
                <w:color w:val="auto"/>
                <w:sz w:val="18"/>
                <w:szCs w:val="18"/>
                <w:highlight w:val="none"/>
              </w:rPr>
            </w:pPr>
          </w:p>
        </w:tc>
        <w:tc>
          <w:tcPr>
            <w:tcW w:w="998" w:type="dxa"/>
            <w:noWrap w:val="0"/>
            <w:vAlign w:val="top"/>
          </w:tcPr>
          <w:p w14:paraId="08F62CAD">
            <w:pPr>
              <w:rPr>
                <w:rFonts w:hint="eastAsia" w:ascii="宋体" w:hAnsi="宋体" w:eastAsia="宋体" w:cs="宋体"/>
                <w:color w:val="auto"/>
                <w:sz w:val="18"/>
                <w:szCs w:val="18"/>
                <w:highlight w:val="none"/>
              </w:rPr>
            </w:pPr>
          </w:p>
        </w:tc>
      </w:tr>
      <w:tr w14:paraId="60A16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32059370">
            <w:pPr>
              <w:rPr>
                <w:rFonts w:hint="eastAsia" w:ascii="宋体" w:hAnsi="宋体" w:eastAsia="宋体" w:cs="宋体"/>
                <w:color w:val="auto"/>
                <w:sz w:val="18"/>
                <w:szCs w:val="18"/>
                <w:highlight w:val="none"/>
              </w:rPr>
            </w:pPr>
          </w:p>
        </w:tc>
        <w:tc>
          <w:tcPr>
            <w:tcW w:w="1876" w:type="dxa"/>
            <w:noWrap w:val="0"/>
            <w:vAlign w:val="top"/>
          </w:tcPr>
          <w:p w14:paraId="6AF9063E">
            <w:pPr>
              <w:rPr>
                <w:rFonts w:hint="eastAsia" w:ascii="宋体" w:hAnsi="宋体" w:eastAsia="宋体" w:cs="宋体"/>
                <w:color w:val="auto"/>
                <w:sz w:val="18"/>
                <w:szCs w:val="18"/>
                <w:highlight w:val="none"/>
              </w:rPr>
            </w:pPr>
          </w:p>
        </w:tc>
        <w:tc>
          <w:tcPr>
            <w:tcW w:w="3024" w:type="dxa"/>
            <w:noWrap w:val="0"/>
            <w:vAlign w:val="top"/>
          </w:tcPr>
          <w:p w14:paraId="3D51C04E">
            <w:pPr>
              <w:rPr>
                <w:rFonts w:hint="eastAsia" w:ascii="宋体" w:hAnsi="宋体" w:eastAsia="宋体" w:cs="宋体"/>
                <w:color w:val="auto"/>
                <w:sz w:val="18"/>
                <w:szCs w:val="18"/>
                <w:highlight w:val="none"/>
              </w:rPr>
            </w:pPr>
          </w:p>
        </w:tc>
        <w:tc>
          <w:tcPr>
            <w:tcW w:w="1188" w:type="dxa"/>
            <w:noWrap w:val="0"/>
            <w:vAlign w:val="top"/>
          </w:tcPr>
          <w:p w14:paraId="1D240B75">
            <w:pPr>
              <w:rPr>
                <w:rFonts w:hint="eastAsia" w:ascii="宋体" w:hAnsi="宋体" w:eastAsia="宋体" w:cs="宋体"/>
                <w:color w:val="auto"/>
                <w:sz w:val="18"/>
                <w:szCs w:val="18"/>
                <w:highlight w:val="none"/>
              </w:rPr>
            </w:pPr>
          </w:p>
        </w:tc>
        <w:tc>
          <w:tcPr>
            <w:tcW w:w="998" w:type="dxa"/>
            <w:noWrap w:val="0"/>
            <w:vAlign w:val="top"/>
          </w:tcPr>
          <w:p w14:paraId="59737CA3">
            <w:pPr>
              <w:rPr>
                <w:rFonts w:hint="eastAsia" w:ascii="宋体" w:hAnsi="宋体" w:eastAsia="宋体" w:cs="宋体"/>
                <w:color w:val="auto"/>
                <w:sz w:val="18"/>
                <w:szCs w:val="18"/>
                <w:highlight w:val="none"/>
              </w:rPr>
            </w:pPr>
          </w:p>
        </w:tc>
      </w:tr>
      <w:tr w14:paraId="645AD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513C6979">
            <w:pPr>
              <w:rPr>
                <w:rFonts w:hint="eastAsia" w:ascii="宋体" w:hAnsi="宋体" w:eastAsia="宋体" w:cs="宋体"/>
                <w:color w:val="auto"/>
                <w:sz w:val="18"/>
                <w:szCs w:val="18"/>
                <w:highlight w:val="none"/>
              </w:rPr>
            </w:pPr>
          </w:p>
        </w:tc>
        <w:tc>
          <w:tcPr>
            <w:tcW w:w="1876" w:type="dxa"/>
            <w:noWrap w:val="0"/>
            <w:vAlign w:val="top"/>
          </w:tcPr>
          <w:p w14:paraId="429AA1D7">
            <w:pPr>
              <w:rPr>
                <w:rFonts w:hint="eastAsia" w:ascii="宋体" w:hAnsi="宋体" w:eastAsia="宋体" w:cs="宋体"/>
                <w:color w:val="auto"/>
                <w:sz w:val="18"/>
                <w:szCs w:val="18"/>
                <w:highlight w:val="none"/>
              </w:rPr>
            </w:pPr>
          </w:p>
        </w:tc>
        <w:tc>
          <w:tcPr>
            <w:tcW w:w="3024" w:type="dxa"/>
            <w:noWrap w:val="0"/>
            <w:vAlign w:val="top"/>
          </w:tcPr>
          <w:p w14:paraId="06FA36A6">
            <w:pPr>
              <w:rPr>
                <w:rFonts w:hint="eastAsia" w:ascii="宋体" w:hAnsi="宋体" w:eastAsia="宋体" w:cs="宋体"/>
                <w:color w:val="auto"/>
                <w:sz w:val="18"/>
                <w:szCs w:val="18"/>
                <w:highlight w:val="none"/>
              </w:rPr>
            </w:pPr>
          </w:p>
        </w:tc>
        <w:tc>
          <w:tcPr>
            <w:tcW w:w="1188" w:type="dxa"/>
            <w:noWrap w:val="0"/>
            <w:vAlign w:val="top"/>
          </w:tcPr>
          <w:p w14:paraId="1E33C1DA">
            <w:pPr>
              <w:rPr>
                <w:rFonts w:hint="eastAsia" w:ascii="宋体" w:hAnsi="宋体" w:eastAsia="宋体" w:cs="宋体"/>
                <w:color w:val="auto"/>
                <w:sz w:val="18"/>
                <w:szCs w:val="18"/>
                <w:highlight w:val="none"/>
              </w:rPr>
            </w:pPr>
          </w:p>
        </w:tc>
        <w:tc>
          <w:tcPr>
            <w:tcW w:w="998" w:type="dxa"/>
            <w:noWrap w:val="0"/>
            <w:vAlign w:val="top"/>
          </w:tcPr>
          <w:p w14:paraId="3E97580A">
            <w:pPr>
              <w:rPr>
                <w:rFonts w:hint="eastAsia" w:ascii="宋体" w:hAnsi="宋体" w:eastAsia="宋体" w:cs="宋体"/>
                <w:color w:val="auto"/>
                <w:sz w:val="18"/>
                <w:szCs w:val="18"/>
                <w:highlight w:val="none"/>
              </w:rPr>
            </w:pPr>
          </w:p>
        </w:tc>
      </w:tr>
      <w:tr w14:paraId="1C219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0BEF0D28">
            <w:pPr>
              <w:rPr>
                <w:rFonts w:hint="eastAsia" w:ascii="宋体" w:hAnsi="宋体" w:eastAsia="宋体" w:cs="宋体"/>
                <w:color w:val="auto"/>
                <w:sz w:val="18"/>
                <w:szCs w:val="18"/>
                <w:highlight w:val="none"/>
              </w:rPr>
            </w:pPr>
          </w:p>
        </w:tc>
        <w:tc>
          <w:tcPr>
            <w:tcW w:w="1876" w:type="dxa"/>
            <w:noWrap w:val="0"/>
            <w:vAlign w:val="top"/>
          </w:tcPr>
          <w:p w14:paraId="52F41E93">
            <w:pPr>
              <w:rPr>
                <w:rFonts w:hint="eastAsia" w:ascii="宋体" w:hAnsi="宋体" w:eastAsia="宋体" w:cs="宋体"/>
                <w:color w:val="auto"/>
                <w:sz w:val="18"/>
                <w:szCs w:val="18"/>
                <w:highlight w:val="none"/>
              </w:rPr>
            </w:pPr>
          </w:p>
        </w:tc>
        <w:tc>
          <w:tcPr>
            <w:tcW w:w="3024" w:type="dxa"/>
            <w:noWrap w:val="0"/>
            <w:vAlign w:val="top"/>
          </w:tcPr>
          <w:p w14:paraId="1EA7D178">
            <w:pPr>
              <w:rPr>
                <w:rFonts w:hint="eastAsia" w:ascii="宋体" w:hAnsi="宋体" w:eastAsia="宋体" w:cs="宋体"/>
                <w:color w:val="auto"/>
                <w:sz w:val="18"/>
                <w:szCs w:val="18"/>
                <w:highlight w:val="none"/>
              </w:rPr>
            </w:pPr>
          </w:p>
        </w:tc>
        <w:tc>
          <w:tcPr>
            <w:tcW w:w="1188" w:type="dxa"/>
            <w:noWrap w:val="0"/>
            <w:vAlign w:val="top"/>
          </w:tcPr>
          <w:p w14:paraId="13F5C206">
            <w:pPr>
              <w:rPr>
                <w:rFonts w:hint="eastAsia" w:ascii="宋体" w:hAnsi="宋体" w:eastAsia="宋体" w:cs="宋体"/>
                <w:color w:val="auto"/>
                <w:sz w:val="18"/>
                <w:szCs w:val="18"/>
                <w:highlight w:val="none"/>
              </w:rPr>
            </w:pPr>
          </w:p>
        </w:tc>
        <w:tc>
          <w:tcPr>
            <w:tcW w:w="998" w:type="dxa"/>
            <w:noWrap w:val="0"/>
            <w:vAlign w:val="top"/>
          </w:tcPr>
          <w:p w14:paraId="472B9D9B">
            <w:pPr>
              <w:rPr>
                <w:rFonts w:hint="eastAsia" w:ascii="宋体" w:hAnsi="宋体" w:eastAsia="宋体" w:cs="宋体"/>
                <w:color w:val="auto"/>
                <w:sz w:val="18"/>
                <w:szCs w:val="18"/>
                <w:highlight w:val="none"/>
              </w:rPr>
            </w:pPr>
          </w:p>
        </w:tc>
      </w:tr>
      <w:tr w14:paraId="125F9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6051F588">
            <w:pPr>
              <w:rPr>
                <w:rFonts w:hint="eastAsia" w:ascii="宋体" w:hAnsi="宋体" w:eastAsia="宋体" w:cs="宋体"/>
                <w:color w:val="auto"/>
                <w:sz w:val="18"/>
                <w:szCs w:val="18"/>
                <w:highlight w:val="none"/>
              </w:rPr>
            </w:pPr>
          </w:p>
        </w:tc>
        <w:tc>
          <w:tcPr>
            <w:tcW w:w="1876" w:type="dxa"/>
            <w:noWrap w:val="0"/>
            <w:vAlign w:val="top"/>
          </w:tcPr>
          <w:p w14:paraId="4B5DA947">
            <w:pPr>
              <w:rPr>
                <w:rFonts w:hint="eastAsia" w:ascii="宋体" w:hAnsi="宋体" w:eastAsia="宋体" w:cs="宋体"/>
                <w:color w:val="auto"/>
                <w:sz w:val="18"/>
                <w:szCs w:val="18"/>
                <w:highlight w:val="none"/>
              </w:rPr>
            </w:pPr>
          </w:p>
        </w:tc>
        <w:tc>
          <w:tcPr>
            <w:tcW w:w="3024" w:type="dxa"/>
            <w:noWrap w:val="0"/>
            <w:vAlign w:val="top"/>
          </w:tcPr>
          <w:p w14:paraId="07C6973C">
            <w:pPr>
              <w:rPr>
                <w:rFonts w:hint="eastAsia" w:ascii="宋体" w:hAnsi="宋体" w:eastAsia="宋体" w:cs="宋体"/>
                <w:color w:val="auto"/>
                <w:sz w:val="18"/>
                <w:szCs w:val="18"/>
                <w:highlight w:val="none"/>
              </w:rPr>
            </w:pPr>
          </w:p>
        </w:tc>
        <w:tc>
          <w:tcPr>
            <w:tcW w:w="1188" w:type="dxa"/>
            <w:noWrap w:val="0"/>
            <w:vAlign w:val="top"/>
          </w:tcPr>
          <w:p w14:paraId="4A87ACD3">
            <w:pPr>
              <w:rPr>
                <w:rFonts w:hint="eastAsia" w:ascii="宋体" w:hAnsi="宋体" w:eastAsia="宋体" w:cs="宋体"/>
                <w:color w:val="auto"/>
                <w:sz w:val="18"/>
                <w:szCs w:val="18"/>
                <w:highlight w:val="none"/>
              </w:rPr>
            </w:pPr>
          </w:p>
        </w:tc>
        <w:tc>
          <w:tcPr>
            <w:tcW w:w="998" w:type="dxa"/>
            <w:noWrap w:val="0"/>
            <w:vAlign w:val="top"/>
          </w:tcPr>
          <w:p w14:paraId="6BB1A493">
            <w:pPr>
              <w:rPr>
                <w:rFonts w:hint="eastAsia" w:ascii="宋体" w:hAnsi="宋体" w:eastAsia="宋体" w:cs="宋体"/>
                <w:color w:val="auto"/>
                <w:sz w:val="18"/>
                <w:szCs w:val="18"/>
                <w:highlight w:val="none"/>
              </w:rPr>
            </w:pPr>
          </w:p>
        </w:tc>
      </w:tr>
      <w:tr w14:paraId="49EDF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686A7C55">
            <w:pPr>
              <w:rPr>
                <w:rFonts w:hint="eastAsia" w:ascii="宋体" w:hAnsi="宋体" w:eastAsia="宋体" w:cs="宋体"/>
                <w:color w:val="auto"/>
                <w:sz w:val="18"/>
                <w:szCs w:val="18"/>
                <w:highlight w:val="none"/>
              </w:rPr>
            </w:pPr>
          </w:p>
        </w:tc>
        <w:tc>
          <w:tcPr>
            <w:tcW w:w="1876" w:type="dxa"/>
            <w:noWrap w:val="0"/>
            <w:vAlign w:val="top"/>
          </w:tcPr>
          <w:p w14:paraId="47C111D5">
            <w:pPr>
              <w:rPr>
                <w:rFonts w:hint="eastAsia" w:ascii="宋体" w:hAnsi="宋体" w:eastAsia="宋体" w:cs="宋体"/>
                <w:color w:val="auto"/>
                <w:sz w:val="18"/>
                <w:szCs w:val="18"/>
                <w:highlight w:val="none"/>
              </w:rPr>
            </w:pPr>
          </w:p>
        </w:tc>
        <w:tc>
          <w:tcPr>
            <w:tcW w:w="3024" w:type="dxa"/>
            <w:noWrap w:val="0"/>
            <w:vAlign w:val="top"/>
          </w:tcPr>
          <w:p w14:paraId="619BEE76">
            <w:pPr>
              <w:rPr>
                <w:rFonts w:hint="eastAsia" w:ascii="宋体" w:hAnsi="宋体" w:eastAsia="宋体" w:cs="宋体"/>
                <w:color w:val="auto"/>
                <w:sz w:val="18"/>
                <w:szCs w:val="18"/>
                <w:highlight w:val="none"/>
              </w:rPr>
            </w:pPr>
          </w:p>
        </w:tc>
        <w:tc>
          <w:tcPr>
            <w:tcW w:w="1188" w:type="dxa"/>
            <w:noWrap w:val="0"/>
            <w:vAlign w:val="top"/>
          </w:tcPr>
          <w:p w14:paraId="61323F0A">
            <w:pPr>
              <w:rPr>
                <w:rFonts w:hint="eastAsia" w:ascii="宋体" w:hAnsi="宋体" w:eastAsia="宋体" w:cs="宋体"/>
                <w:color w:val="auto"/>
                <w:sz w:val="18"/>
                <w:szCs w:val="18"/>
                <w:highlight w:val="none"/>
              </w:rPr>
            </w:pPr>
          </w:p>
        </w:tc>
        <w:tc>
          <w:tcPr>
            <w:tcW w:w="998" w:type="dxa"/>
            <w:noWrap w:val="0"/>
            <w:vAlign w:val="top"/>
          </w:tcPr>
          <w:p w14:paraId="3EDA5CCA">
            <w:pPr>
              <w:rPr>
                <w:rFonts w:hint="eastAsia" w:ascii="宋体" w:hAnsi="宋体" w:eastAsia="宋体" w:cs="宋体"/>
                <w:color w:val="auto"/>
                <w:sz w:val="18"/>
                <w:szCs w:val="18"/>
                <w:highlight w:val="none"/>
              </w:rPr>
            </w:pPr>
          </w:p>
        </w:tc>
      </w:tr>
      <w:tr w14:paraId="1DA20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70DFB252">
            <w:pPr>
              <w:rPr>
                <w:rFonts w:hint="eastAsia" w:ascii="宋体" w:hAnsi="宋体" w:eastAsia="宋体" w:cs="宋体"/>
                <w:color w:val="auto"/>
                <w:sz w:val="18"/>
                <w:szCs w:val="18"/>
                <w:highlight w:val="none"/>
              </w:rPr>
            </w:pPr>
          </w:p>
        </w:tc>
        <w:tc>
          <w:tcPr>
            <w:tcW w:w="1876" w:type="dxa"/>
            <w:noWrap w:val="0"/>
            <w:vAlign w:val="top"/>
          </w:tcPr>
          <w:p w14:paraId="2B97A11D">
            <w:pPr>
              <w:rPr>
                <w:rFonts w:hint="eastAsia" w:ascii="宋体" w:hAnsi="宋体" w:eastAsia="宋体" w:cs="宋体"/>
                <w:color w:val="auto"/>
                <w:sz w:val="18"/>
                <w:szCs w:val="18"/>
                <w:highlight w:val="none"/>
              </w:rPr>
            </w:pPr>
          </w:p>
        </w:tc>
        <w:tc>
          <w:tcPr>
            <w:tcW w:w="3024" w:type="dxa"/>
            <w:noWrap w:val="0"/>
            <w:vAlign w:val="top"/>
          </w:tcPr>
          <w:p w14:paraId="3581C20E">
            <w:pPr>
              <w:rPr>
                <w:rFonts w:hint="eastAsia" w:ascii="宋体" w:hAnsi="宋体" w:eastAsia="宋体" w:cs="宋体"/>
                <w:color w:val="auto"/>
                <w:sz w:val="18"/>
                <w:szCs w:val="18"/>
                <w:highlight w:val="none"/>
              </w:rPr>
            </w:pPr>
          </w:p>
        </w:tc>
        <w:tc>
          <w:tcPr>
            <w:tcW w:w="1188" w:type="dxa"/>
            <w:noWrap w:val="0"/>
            <w:vAlign w:val="top"/>
          </w:tcPr>
          <w:p w14:paraId="3F669612">
            <w:pPr>
              <w:rPr>
                <w:rFonts w:hint="eastAsia" w:ascii="宋体" w:hAnsi="宋体" w:eastAsia="宋体" w:cs="宋体"/>
                <w:color w:val="auto"/>
                <w:sz w:val="18"/>
                <w:szCs w:val="18"/>
                <w:highlight w:val="none"/>
              </w:rPr>
            </w:pPr>
          </w:p>
        </w:tc>
        <w:tc>
          <w:tcPr>
            <w:tcW w:w="998" w:type="dxa"/>
            <w:noWrap w:val="0"/>
            <w:vAlign w:val="top"/>
          </w:tcPr>
          <w:p w14:paraId="5B88F514">
            <w:pPr>
              <w:rPr>
                <w:rFonts w:hint="eastAsia" w:ascii="宋体" w:hAnsi="宋体" w:eastAsia="宋体" w:cs="宋体"/>
                <w:color w:val="auto"/>
                <w:sz w:val="18"/>
                <w:szCs w:val="18"/>
                <w:highlight w:val="none"/>
              </w:rPr>
            </w:pPr>
          </w:p>
        </w:tc>
      </w:tr>
      <w:tr w14:paraId="133E7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2CE9D977">
            <w:pPr>
              <w:rPr>
                <w:rFonts w:hint="eastAsia" w:ascii="宋体" w:hAnsi="宋体" w:eastAsia="宋体" w:cs="宋体"/>
                <w:color w:val="auto"/>
                <w:sz w:val="18"/>
                <w:szCs w:val="18"/>
                <w:highlight w:val="none"/>
              </w:rPr>
            </w:pPr>
          </w:p>
        </w:tc>
        <w:tc>
          <w:tcPr>
            <w:tcW w:w="1876" w:type="dxa"/>
            <w:noWrap w:val="0"/>
            <w:vAlign w:val="top"/>
          </w:tcPr>
          <w:p w14:paraId="0E4488DD">
            <w:pPr>
              <w:rPr>
                <w:rFonts w:hint="eastAsia" w:ascii="宋体" w:hAnsi="宋体" w:eastAsia="宋体" w:cs="宋体"/>
                <w:color w:val="auto"/>
                <w:sz w:val="18"/>
                <w:szCs w:val="18"/>
                <w:highlight w:val="none"/>
              </w:rPr>
            </w:pPr>
          </w:p>
        </w:tc>
        <w:tc>
          <w:tcPr>
            <w:tcW w:w="3024" w:type="dxa"/>
            <w:noWrap w:val="0"/>
            <w:vAlign w:val="top"/>
          </w:tcPr>
          <w:p w14:paraId="3A4ACE74">
            <w:pPr>
              <w:rPr>
                <w:rFonts w:hint="eastAsia" w:ascii="宋体" w:hAnsi="宋体" w:eastAsia="宋体" w:cs="宋体"/>
                <w:color w:val="auto"/>
                <w:sz w:val="18"/>
                <w:szCs w:val="18"/>
                <w:highlight w:val="none"/>
              </w:rPr>
            </w:pPr>
          </w:p>
        </w:tc>
        <w:tc>
          <w:tcPr>
            <w:tcW w:w="1188" w:type="dxa"/>
            <w:noWrap w:val="0"/>
            <w:vAlign w:val="top"/>
          </w:tcPr>
          <w:p w14:paraId="47453F51">
            <w:pPr>
              <w:rPr>
                <w:rFonts w:hint="eastAsia" w:ascii="宋体" w:hAnsi="宋体" w:eastAsia="宋体" w:cs="宋体"/>
                <w:color w:val="auto"/>
                <w:sz w:val="18"/>
                <w:szCs w:val="18"/>
                <w:highlight w:val="none"/>
              </w:rPr>
            </w:pPr>
          </w:p>
        </w:tc>
        <w:tc>
          <w:tcPr>
            <w:tcW w:w="998" w:type="dxa"/>
            <w:noWrap w:val="0"/>
            <w:vAlign w:val="top"/>
          </w:tcPr>
          <w:p w14:paraId="51B261F6">
            <w:pPr>
              <w:rPr>
                <w:rFonts w:hint="eastAsia" w:ascii="宋体" w:hAnsi="宋体" w:eastAsia="宋体" w:cs="宋体"/>
                <w:color w:val="auto"/>
                <w:sz w:val="18"/>
                <w:szCs w:val="18"/>
                <w:highlight w:val="none"/>
              </w:rPr>
            </w:pPr>
          </w:p>
        </w:tc>
      </w:tr>
      <w:tr w14:paraId="5C8B2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7C5F3137">
            <w:pPr>
              <w:rPr>
                <w:rFonts w:hint="eastAsia" w:ascii="宋体" w:hAnsi="宋体" w:eastAsia="宋体" w:cs="宋体"/>
                <w:color w:val="auto"/>
                <w:sz w:val="18"/>
                <w:szCs w:val="18"/>
                <w:highlight w:val="none"/>
              </w:rPr>
            </w:pPr>
          </w:p>
        </w:tc>
        <w:tc>
          <w:tcPr>
            <w:tcW w:w="1876" w:type="dxa"/>
            <w:noWrap w:val="0"/>
            <w:vAlign w:val="top"/>
          </w:tcPr>
          <w:p w14:paraId="3821D888">
            <w:pPr>
              <w:rPr>
                <w:rFonts w:hint="eastAsia" w:ascii="宋体" w:hAnsi="宋体" w:eastAsia="宋体" w:cs="宋体"/>
                <w:color w:val="auto"/>
                <w:sz w:val="18"/>
                <w:szCs w:val="18"/>
                <w:highlight w:val="none"/>
              </w:rPr>
            </w:pPr>
          </w:p>
        </w:tc>
        <w:tc>
          <w:tcPr>
            <w:tcW w:w="3024" w:type="dxa"/>
            <w:noWrap w:val="0"/>
            <w:vAlign w:val="top"/>
          </w:tcPr>
          <w:p w14:paraId="093CF2AB">
            <w:pPr>
              <w:rPr>
                <w:rFonts w:hint="eastAsia" w:ascii="宋体" w:hAnsi="宋体" w:eastAsia="宋体" w:cs="宋体"/>
                <w:color w:val="auto"/>
                <w:sz w:val="18"/>
                <w:szCs w:val="18"/>
                <w:highlight w:val="none"/>
              </w:rPr>
            </w:pPr>
          </w:p>
        </w:tc>
        <w:tc>
          <w:tcPr>
            <w:tcW w:w="1188" w:type="dxa"/>
            <w:noWrap w:val="0"/>
            <w:vAlign w:val="top"/>
          </w:tcPr>
          <w:p w14:paraId="436701FE">
            <w:pPr>
              <w:rPr>
                <w:rFonts w:hint="eastAsia" w:ascii="宋体" w:hAnsi="宋体" w:eastAsia="宋体" w:cs="宋体"/>
                <w:color w:val="auto"/>
                <w:sz w:val="18"/>
                <w:szCs w:val="18"/>
                <w:highlight w:val="none"/>
              </w:rPr>
            </w:pPr>
          </w:p>
        </w:tc>
        <w:tc>
          <w:tcPr>
            <w:tcW w:w="998" w:type="dxa"/>
            <w:noWrap w:val="0"/>
            <w:vAlign w:val="top"/>
          </w:tcPr>
          <w:p w14:paraId="3CF6B9A5">
            <w:pPr>
              <w:rPr>
                <w:rFonts w:hint="eastAsia" w:ascii="宋体" w:hAnsi="宋体" w:eastAsia="宋体" w:cs="宋体"/>
                <w:color w:val="auto"/>
                <w:sz w:val="18"/>
                <w:szCs w:val="18"/>
                <w:highlight w:val="none"/>
              </w:rPr>
            </w:pPr>
          </w:p>
        </w:tc>
      </w:tr>
      <w:tr w14:paraId="050E9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14:paraId="23132F34">
            <w:pPr>
              <w:rPr>
                <w:rFonts w:hint="eastAsia" w:ascii="宋体" w:hAnsi="宋体" w:eastAsia="宋体" w:cs="宋体"/>
                <w:color w:val="auto"/>
                <w:sz w:val="18"/>
                <w:szCs w:val="18"/>
                <w:highlight w:val="none"/>
              </w:rPr>
            </w:pPr>
          </w:p>
        </w:tc>
        <w:tc>
          <w:tcPr>
            <w:tcW w:w="1876" w:type="dxa"/>
            <w:noWrap w:val="0"/>
            <w:vAlign w:val="top"/>
          </w:tcPr>
          <w:p w14:paraId="68012964">
            <w:pPr>
              <w:rPr>
                <w:rFonts w:hint="eastAsia" w:ascii="宋体" w:hAnsi="宋体" w:eastAsia="宋体" w:cs="宋体"/>
                <w:color w:val="auto"/>
                <w:sz w:val="18"/>
                <w:szCs w:val="18"/>
                <w:highlight w:val="none"/>
              </w:rPr>
            </w:pPr>
          </w:p>
        </w:tc>
        <w:tc>
          <w:tcPr>
            <w:tcW w:w="3024" w:type="dxa"/>
            <w:noWrap w:val="0"/>
            <w:vAlign w:val="top"/>
          </w:tcPr>
          <w:p w14:paraId="6267F04D">
            <w:pPr>
              <w:rPr>
                <w:rFonts w:hint="eastAsia" w:ascii="宋体" w:hAnsi="宋体" w:eastAsia="宋体" w:cs="宋体"/>
                <w:color w:val="auto"/>
                <w:sz w:val="18"/>
                <w:szCs w:val="18"/>
                <w:highlight w:val="none"/>
              </w:rPr>
            </w:pPr>
          </w:p>
        </w:tc>
        <w:tc>
          <w:tcPr>
            <w:tcW w:w="1188" w:type="dxa"/>
            <w:noWrap w:val="0"/>
            <w:vAlign w:val="top"/>
          </w:tcPr>
          <w:p w14:paraId="29D28245">
            <w:pPr>
              <w:rPr>
                <w:rFonts w:hint="eastAsia" w:ascii="宋体" w:hAnsi="宋体" w:eastAsia="宋体" w:cs="宋体"/>
                <w:color w:val="auto"/>
                <w:sz w:val="18"/>
                <w:szCs w:val="18"/>
                <w:highlight w:val="none"/>
              </w:rPr>
            </w:pPr>
          </w:p>
        </w:tc>
        <w:tc>
          <w:tcPr>
            <w:tcW w:w="998" w:type="dxa"/>
            <w:noWrap w:val="0"/>
            <w:vAlign w:val="top"/>
          </w:tcPr>
          <w:p w14:paraId="2493E818">
            <w:pPr>
              <w:rPr>
                <w:rFonts w:hint="eastAsia" w:ascii="宋体" w:hAnsi="宋体" w:eastAsia="宋体" w:cs="宋体"/>
                <w:color w:val="auto"/>
                <w:sz w:val="18"/>
                <w:szCs w:val="18"/>
                <w:highlight w:val="none"/>
              </w:rPr>
            </w:pPr>
          </w:p>
        </w:tc>
      </w:tr>
    </w:tbl>
    <w:p w14:paraId="1A2D7926">
      <w:pPr>
        <w:spacing w:before="120" w:beforeLines="50" w:line="360" w:lineRule="exact"/>
        <w:ind w:right="-21" w:rightChars="-1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注：1.提供投标人在国内的同类项目服务业绩，每项业绩须附证明文件，以提供的合同或中标通知书为准（合同</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中标通知书复印件加盖公章）。</w:t>
      </w:r>
    </w:p>
    <w:p w14:paraId="7E93FC4E">
      <w:pPr>
        <w:spacing w:before="120" w:beforeLines="50" w:line="360" w:lineRule="exact"/>
        <w:ind w:right="-21" w:rightChars="-1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2.投标人不按此要求填写此项内容及提供相应的证明材料将视为无业绩，在技术资信评审中将不予认可。</w:t>
      </w:r>
    </w:p>
    <w:p w14:paraId="0067A02E">
      <w:pPr>
        <w:spacing w:line="400" w:lineRule="exact"/>
        <w:ind w:firstLine="433" w:firstLineChars="196"/>
        <w:rPr>
          <w:rFonts w:hint="eastAsia" w:ascii="宋体" w:hAnsi="宋体" w:eastAsia="宋体" w:cs="宋体"/>
          <w:b/>
          <w:color w:val="auto"/>
          <w:sz w:val="22"/>
          <w:szCs w:val="22"/>
          <w:highlight w:val="none"/>
        </w:rPr>
      </w:pPr>
    </w:p>
    <w:p w14:paraId="7697245A">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14:paraId="3407063C">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14:paraId="5A638ABA">
      <w:pPr>
        <w:spacing w:line="360" w:lineRule="auto"/>
        <w:jc w:val="both"/>
        <w:rPr>
          <w:rFonts w:hint="eastAsia" w:ascii="宋体" w:hAnsi="宋体" w:eastAsia="宋体" w:cs="宋体"/>
          <w:b/>
          <w:bCs/>
          <w:color w:val="auto"/>
          <w:sz w:val="20"/>
          <w:szCs w:val="20"/>
          <w:highlight w:val="none"/>
        </w:rPr>
      </w:pPr>
      <w:r>
        <w:rPr>
          <w:rFonts w:hint="eastAsia" w:ascii="宋体" w:hAnsi="宋体" w:eastAsia="宋体" w:cs="宋体"/>
          <w:sz w:val="21"/>
          <w:szCs w:val="21"/>
          <w:highlight w:val="none"/>
        </w:rPr>
        <w:t>日  期：</w:t>
      </w:r>
    </w:p>
    <w:p w14:paraId="2BDC292E">
      <w:pPr>
        <w:spacing w:before="120" w:beforeLines="50" w:after="120" w:afterLines="50" w:line="240" w:lineRule="auto"/>
        <w:ind w:right="-10"/>
        <w:rPr>
          <w:rFonts w:hint="eastAsia" w:ascii="宋体" w:hAnsi="宋体" w:eastAsia="宋体" w:cs="宋体"/>
          <w:color w:val="auto"/>
          <w:highlight w:val="none"/>
        </w:rPr>
      </w:pPr>
      <w:r>
        <w:rPr>
          <w:rFonts w:hint="eastAsia" w:ascii="宋体" w:hAnsi="宋体" w:eastAsia="宋体" w:cs="宋体"/>
          <w:b/>
          <w:bCs/>
          <w:color w:val="auto"/>
          <w:sz w:val="24"/>
          <w:highlight w:val="none"/>
        </w:rPr>
        <w:br w:type="page"/>
      </w:r>
    </w:p>
    <w:p w14:paraId="1BBBDEF5">
      <w:pPr>
        <w:spacing w:before="240" w:beforeLines="100" w:after="120" w:afterLines="50"/>
        <w:rPr>
          <w:rFonts w:hint="eastAsia" w:ascii="宋体" w:hAnsi="宋体" w:eastAsia="宋体" w:cs="宋体"/>
          <w:b/>
          <w:color w:val="auto"/>
          <w:highlight w:val="none"/>
          <w:lang w:eastAsia="zh-CN"/>
        </w:rPr>
      </w:pPr>
      <w:r>
        <w:rPr>
          <w:rFonts w:hint="eastAsia" w:ascii="宋体" w:hAnsi="宋体" w:eastAsia="宋体" w:cs="宋体"/>
          <w:b/>
          <w:color w:val="auto"/>
          <w:highlight w:val="none"/>
        </w:rPr>
        <w:t>附件十</w:t>
      </w:r>
    </w:p>
    <w:p w14:paraId="5151762E">
      <w:pPr>
        <w:spacing w:line="380" w:lineRule="exact"/>
        <w:jc w:val="center"/>
        <w:rPr>
          <w:rFonts w:hint="eastAsia" w:ascii="宋体" w:hAnsi="宋体" w:eastAsia="宋体" w:cs="宋体"/>
          <w:b/>
          <w:color w:val="auto"/>
          <w:spacing w:val="-2"/>
          <w:sz w:val="32"/>
          <w:szCs w:val="32"/>
          <w:highlight w:val="none"/>
        </w:rPr>
      </w:pPr>
      <w:r>
        <w:rPr>
          <w:rFonts w:hint="eastAsia" w:ascii="宋体" w:hAnsi="宋体" w:eastAsia="宋体" w:cs="宋体"/>
          <w:b/>
          <w:color w:val="auto"/>
          <w:spacing w:val="-2"/>
          <w:sz w:val="32"/>
          <w:szCs w:val="32"/>
          <w:highlight w:val="none"/>
          <w:lang w:val="en-US" w:eastAsia="zh-CN"/>
        </w:rPr>
        <w:t>服务人员最低</w:t>
      </w:r>
      <w:r>
        <w:rPr>
          <w:rFonts w:hint="eastAsia" w:ascii="宋体" w:hAnsi="宋体" w:eastAsia="宋体" w:cs="宋体"/>
          <w:b/>
          <w:color w:val="auto"/>
          <w:spacing w:val="-2"/>
          <w:sz w:val="32"/>
          <w:szCs w:val="32"/>
          <w:highlight w:val="none"/>
        </w:rPr>
        <w:t>月工资承诺函</w:t>
      </w:r>
    </w:p>
    <w:p w14:paraId="1A16364B">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5FBB6AA7">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温州市高速公路资产经营有限公司：</w:t>
      </w:r>
    </w:p>
    <w:p w14:paraId="3C0B4777">
      <w:pPr>
        <w:tabs>
          <w:tab w:val="left" w:pos="4860"/>
        </w:tabs>
        <w:spacing w:line="360" w:lineRule="auto"/>
        <w:ind w:right="98" w:firstLine="432" w:firstLineChars="200"/>
        <w:jc w:val="left"/>
        <w:rPr>
          <w:rFonts w:hint="eastAsia" w:ascii="宋体" w:hAnsi="宋体" w:eastAsia="宋体" w:cs="宋体"/>
          <w:color w:val="auto"/>
          <w:spacing w:val="-2"/>
          <w:sz w:val="22"/>
          <w:szCs w:val="22"/>
          <w:highlight w:val="none"/>
        </w:rPr>
      </w:pPr>
    </w:p>
    <w:p w14:paraId="18452EA6">
      <w:pPr>
        <w:tabs>
          <w:tab w:val="left" w:pos="4860"/>
        </w:tabs>
        <w:spacing w:line="360" w:lineRule="auto"/>
        <w:ind w:right="98" w:firstLine="432" w:firstLineChars="200"/>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我单位参与的贵单位组织的</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lang w:eastAsia="zh-CN"/>
        </w:rPr>
        <w:t>陶山服务区物业项目</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rPr>
        <w:t>项目（项目编号：</w:t>
      </w:r>
      <w:r>
        <w:rPr>
          <w:rFonts w:hint="eastAsia" w:ascii="宋体" w:hAnsi="宋体" w:eastAsia="宋体" w:cs="宋体"/>
          <w:color w:val="auto"/>
          <w:spacing w:val="-2"/>
          <w:sz w:val="22"/>
          <w:szCs w:val="22"/>
          <w:highlight w:val="none"/>
          <w:u w:val="single"/>
          <w:lang w:eastAsia="zh-CN"/>
        </w:rPr>
        <w:t>WGSS-JFJT-X-2024008</w:t>
      </w:r>
      <w:r>
        <w:rPr>
          <w:rFonts w:hint="eastAsia" w:ascii="宋体" w:hAnsi="宋体" w:eastAsia="宋体" w:cs="宋体"/>
          <w:color w:val="auto"/>
          <w:spacing w:val="-2"/>
          <w:sz w:val="22"/>
          <w:szCs w:val="22"/>
          <w:highlight w:val="none"/>
        </w:rPr>
        <w:t>）的投标。我单位对</w:t>
      </w:r>
      <w:r>
        <w:rPr>
          <w:rFonts w:hint="eastAsia" w:ascii="宋体" w:hAnsi="宋体" w:eastAsia="宋体" w:cs="宋体"/>
          <w:color w:val="auto"/>
          <w:spacing w:val="-2"/>
          <w:sz w:val="22"/>
          <w:szCs w:val="22"/>
          <w:highlight w:val="none"/>
          <w:lang w:val="en-US" w:eastAsia="zh-CN"/>
        </w:rPr>
        <w:t>拟派的服务人员</w:t>
      </w:r>
      <w:r>
        <w:rPr>
          <w:rFonts w:hint="eastAsia" w:ascii="宋体" w:hAnsi="宋体" w:eastAsia="宋体" w:cs="宋体"/>
          <w:color w:val="auto"/>
          <w:spacing w:val="-2"/>
          <w:sz w:val="22"/>
          <w:szCs w:val="22"/>
          <w:highlight w:val="none"/>
          <w:u w:val="single"/>
          <w:lang w:val="en-US" w:eastAsia="zh-CN"/>
        </w:rPr>
        <w:t xml:space="preserve"> 最低月工资 </w:t>
      </w:r>
      <w:r>
        <w:rPr>
          <w:rFonts w:hint="eastAsia" w:ascii="宋体" w:hAnsi="宋体" w:eastAsia="宋体" w:cs="宋体"/>
          <w:color w:val="auto"/>
          <w:spacing w:val="-2"/>
          <w:sz w:val="22"/>
          <w:szCs w:val="22"/>
          <w:highlight w:val="none"/>
        </w:rPr>
        <w:t>做</w:t>
      </w:r>
      <w:r>
        <w:rPr>
          <w:rFonts w:hint="eastAsia" w:ascii="宋体" w:hAnsi="宋体" w:eastAsia="宋体" w:cs="宋体"/>
          <w:color w:val="auto"/>
          <w:sz w:val="22"/>
          <w:szCs w:val="22"/>
          <w:highlight w:val="none"/>
        </w:rPr>
        <w:t>出以下</w:t>
      </w:r>
      <w:r>
        <w:rPr>
          <w:rFonts w:hint="eastAsia" w:ascii="宋体" w:hAnsi="宋体" w:eastAsia="宋体" w:cs="宋体"/>
          <w:color w:val="auto"/>
          <w:spacing w:val="-2"/>
          <w:sz w:val="22"/>
          <w:szCs w:val="22"/>
          <w:highlight w:val="none"/>
        </w:rPr>
        <w:t>承诺：</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2453"/>
        <w:gridCol w:w="2955"/>
        <w:gridCol w:w="1770"/>
      </w:tblGrid>
      <w:tr w14:paraId="5A1E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vAlign w:val="center"/>
          </w:tcPr>
          <w:p w14:paraId="79578B90">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序号</w:t>
            </w:r>
          </w:p>
        </w:tc>
        <w:tc>
          <w:tcPr>
            <w:tcW w:w="2453" w:type="dxa"/>
            <w:vAlign w:val="center"/>
          </w:tcPr>
          <w:p w14:paraId="5BA91A16">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岗位</w:t>
            </w:r>
          </w:p>
        </w:tc>
        <w:tc>
          <w:tcPr>
            <w:tcW w:w="2955" w:type="dxa"/>
            <w:vAlign w:val="center"/>
          </w:tcPr>
          <w:p w14:paraId="381BF85E">
            <w:pPr>
              <w:spacing w:line="240" w:lineRule="auto"/>
              <w:jc w:val="center"/>
              <w:rPr>
                <w:rFonts w:hint="eastAsia" w:ascii="宋体" w:hAnsi="宋体" w:eastAsia="宋体" w:cs="宋体"/>
                <w:color w:val="auto"/>
                <w:spacing w:val="-2"/>
                <w:sz w:val="22"/>
                <w:szCs w:val="22"/>
                <w:highlight w:val="none"/>
                <w:vertAlign w:val="baseline"/>
                <w:lang w:eastAsia="zh-CN"/>
              </w:rPr>
            </w:pPr>
            <w:r>
              <w:rPr>
                <w:rFonts w:hint="eastAsia" w:ascii="宋体" w:hAnsi="宋体" w:eastAsia="宋体" w:cs="宋体"/>
                <w:color w:val="auto"/>
                <w:spacing w:val="-2"/>
                <w:sz w:val="22"/>
                <w:szCs w:val="22"/>
                <w:highlight w:val="none"/>
                <w:vertAlign w:val="baseline"/>
              </w:rPr>
              <w:t>最低月工资</w:t>
            </w:r>
            <w:r>
              <w:rPr>
                <w:rFonts w:hint="eastAsia" w:ascii="宋体" w:hAnsi="宋体" w:eastAsia="宋体" w:cs="宋体"/>
                <w:color w:val="auto"/>
                <w:spacing w:val="-2"/>
                <w:sz w:val="22"/>
                <w:szCs w:val="22"/>
                <w:highlight w:val="none"/>
                <w:vertAlign w:val="baseline"/>
                <w:lang w:eastAsia="zh-CN"/>
              </w:rPr>
              <w:t>（元/月·人）</w:t>
            </w:r>
          </w:p>
        </w:tc>
        <w:tc>
          <w:tcPr>
            <w:tcW w:w="1770" w:type="dxa"/>
            <w:vAlign w:val="center"/>
          </w:tcPr>
          <w:p w14:paraId="3782E9A4">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备注</w:t>
            </w:r>
          </w:p>
        </w:tc>
      </w:tr>
      <w:tr w14:paraId="5621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14:paraId="642B65AC">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1</w:t>
            </w:r>
          </w:p>
        </w:tc>
        <w:tc>
          <w:tcPr>
            <w:tcW w:w="2453" w:type="dxa"/>
            <w:vAlign w:val="center"/>
          </w:tcPr>
          <w:p w14:paraId="78927DEB">
            <w:pPr>
              <w:adjustRightInd w:val="0"/>
              <w:snapToGrid w:val="0"/>
              <w:spacing w:line="240" w:lineRule="auto"/>
              <w:ind w:left="359" w:leftChars="0" w:hanging="359" w:hangingChars="171"/>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kern w:val="2"/>
                <w:sz w:val="21"/>
                <w:szCs w:val="21"/>
                <w:highlight w:val="none"/>
                <w:lang w:val="en-US" w:eastAsia="zh-CN" w:bidi="ar"/>
              </w:rPr>
              <w:t>物业经理</w:t>
            </w:r>
          </w:p>
        </w:tc>
        <w:tc>
          <w:tcPr>
            <w:tcW w:w="2955" w:type="dxa"/>
          </w:tcPr>
          <w:p w14:paraId="0F2F9788">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7E58AF51">
            <w:pPr>
              <w:spacing w:line="240" w:lineRule="auto"/>
              <w:rPr>
                <w:rFonts w:hint="eastAsia" w:ascii="宋体" w:hAnsi="宋体" w:eastAsia="宋体" w:cs="宋体"/>
                <w:color w:val="auto"/>
                <w:spacing w:val="-2"/>
                <w:sz w:val="22"/>
                <w:szCs w:val="22"/>
                <w:highlight w:val="none"/>
                <w:vertAlign w:val="baseline"/>
              </w:rPr>
            </w:pPr>
          </w:p>
        </w:tc>
      </w:tr>
      <w:tr w14:paraId="0DDF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14:paraId="02C69378">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2</w:t>
            </w:r>
          </w:p>
        </w:tc>
        <w:tc>
          <w:tcPr>
            <w:tcW w:w="2453" w:type="dxa"/>
            <w:vAlign w:val="center"/>
          </w:tcPr>
          <w:p w14:paraId="6B71E501">
            <w:pPr>
              <w:adjustRightInd w:val="0"/>
              <w:snapToGrid w:val="0"/>
              <w:spacing w:line="240" w:lineRule="auto"/>
              <w:ind w:left="359" w:leftChars="0" w:hanging="359" w:hangingChars="171"/>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kern w:val="2"/>
                <w:sz w:val="21"/>
                <w:szCs w:val="21"/>
                <w:highlight w:val="none"/>
                <w:lang w:val="en-US" w:eastAsia="zh-CN" w:bidi="ar"/>
              </w:rPr>
              <w:t>保洁主管</w:t>
            </w:r>
          </w:p>
        </w:tc>
        <w:tc>
          <w:tcPr>
            <w:tcW w:w="2955" w:type="dxa"/>
          </w:tcPr>
          <w:p w14:paraId="7F1E1550">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381D6F20">
            <w:pPr>
              <w:spacing w:line="240" w:lineRule="auto"/>
              <w:rPr>
                <w:rFonts w:hint="eastAsia" w:ascii="宋体" w:hAnsi="宋体" w:eastAsia="宋体" w:cs="宋体"/>
                <w:color w:val="auto"/>
                <w:spacing w:val="-2"/>
                <w:sz w:val="22"/>
                <w:szCs w:val="22"/>
                <w:highlight w:val="none"/>
                <w:vertAlign w:val="baseline"/>
              </w:rPr>
            </w:pPr>
          </w:p>
        </w:tc>
      </w:tr>
      <w:tr w14:paraId="5E8F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14:paraId="7F85CD7D">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3</w:t>
            </w:r>
          </w:p>
        </w:tc>
        <w:tc>
          <w:tcPr>
            <w:tcW w:w="2453" w:type="dxa"/>
            <w:shd w:val="clear" w:color="auto" w:fill="auto"/>
            <w:vAlign w:val="center"/>
          </w:tcPr>
          <w:p w14:paraId="618522D4">
            <w:pPr>
              <w:adjustRightInd w:val="0"/>
              <w:snapToGrid w:val="0"/>
              <w:spacing w:line="240" w:lineRule="auto"/>
              <w:ind w:left="359" w:leftChars="0" w:hanging="359" w:hangingChars="171"/>
              <w:jc w:val="center"/>
              <w:rPr>
                <w:rFonts w:hint="default"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
              </w:rPr>
              <w:t>水电工</w:t>
            </w:r>
          </w:p>
        </w:tc>
        <w:tc>
          <w:tcPr>
            <w:tcW w:w="2955" w:type="dxa"/>
          </w:tcPr>
          <w:p w14:paraId="00D4D323">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5A887214">
            <w:pPr>
              <w:spacing w:line="240" w:lineRule="auto"/>
              <w:rPr>
                <w:rFonts w:hint="eastAsia" w:ascii="宋体" w:hAnsi="宋体" w:eastAsia="宋体" w:cs="宋体"/>
                <w:color w:val="auto"/>
                <w:spacing w:val="-2"/>
                <w:sz w:val="22"/>
                <w:szCs w:val="22"/>
                <w:highlight w:val="none"/>
                <w:vertAlign w:val="baseline"/>
              </w:rPr>
            </w:pPr>
          </w:p>
        </w:tc>
      </w:tr>
      <w:tr w14:paraId="1FDA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14:paraId="12088E20">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4</w:t>
            </w:r>
          </w:p>
        </w:tc>
        <w:tc>
          <w:tcPr>
            <w:tcW w:w="2453" w:type="dxa"/>
            <w:shd w:val="clear" w:color="auto" w:fill="auto"/>
            <w:vAlign w:val="center"/>
          </w:tcPr>
          <w:p w14:paraId="6A92E643">
            <w:pPr>
              <w:adjustRightInd w:val="0"/>
              <w:snapToGrid w:val="0"/>
              <w:spacing w:line="240" w:lineRule="auto"/>
              <w:ind w:left="359" w:leftChars="0" w:hanging="359" w:hangingChars="171"/>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
              </w:rPr>
              <w:t>咨询台人员</w:t>
            </w:r>
          </w:p>
        </w:tc>
        <w:tc>
          <w:tcPr>
            <w:tcW w:w="2955" w:type="dxa"/>
          </w:tcPr>
          <w:p w14:paraId="7E56670F">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1A36CA3A">
            <w:pPr>
              <w:spacing w:line="240" w:lineRule="auto"/>
              <w:rPr>
                <w:rFonts w:hint="eastAsia" w:ascii="宋体" w:hAnsi="宋体" w:eastAsia="宋体" w:cs="宋体"/>
                <w:color w:val="auto"/>
                <w:spacing w:val="-2"/>
                <w:sz w:val="22"/>
                <w:szCs w:val="22"/>
                <w:highlight w:val="none"/>
                <w:vertAlign w:val="baseline"/>
              </w:rPr>
            </w:pPr>
          </w:p>
        </w:tc>
      </w:tr>
      <w:tr w14:paraId="7B01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14:paraId="6091050E">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5</w:t>
            </w:r>
          </w:p>
        </w:tc>
        <w:tc>
          <w:tcPr>
            <w:tcW w:w="2453" w:type="dxa"/>
            <w:shd w:val="clear" w:color="auto" w:fill="auto"/>
            <w:vAlign w:val="center"/>
          </w:tcPr>
          <w:p w14:paraId="04772FD3">
            <w:pPr>
              <w:adjustRightInd w:val="0"/>
              <w:snapToGrid w:val="0"/>
              <w:spacing w:line="240" w:lineRule="auto"/>
              <w:ind w:left="359" w:leftChars="0" w:hanging="359" w:hangingChars="171"/>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
              </w:rPr>
              <w:t>保安队长</w:t>
            </w:r>
          </w:p>
        </w:tc>
        <w:tc>
          <w:tcPr>
            <w:tcW w:w="2955" w:type="dxa"/>
          </w:tcPr>
          <w:p w14:paraId="611F32BF">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758C51DC">
            <w:pPr>
              <w:spacing w:line="240" w:lineRule="auto"/>
              <w:rPr>
                <w:rFonts w:hint="eastAsia" w:ascii="宋体" w:hAnsi="宋体" w:eastAsia="宋体" w:cs="宋体"/>
                <w:color w:val="auto"/>
                <w:spacing w:val="-2"/>
                <w:sz w:val="22"/>
                <w:szCs w:val="22"/>
                <w:highlight w:val="none"/>
                <w:vertAlign w:val="baseline"/>
              </w:rPr>
            </w:pPr>
          </w:p>
        </w:tc>
      </w:tr>
      <w:tr w14:paraId="2B2B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14:paraId="2B59C303">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6</w:t>
            </w:r>
          </w:p>
        </w:tc>
        <w:tc>
          <w:tcPr>
            <w:tcW w:w="2453" w:type="dxa"/>
            <w:shd w:val="clear" w:color="auto" w:fill="auto"/>
            <w:vAlign w:val="center"/>
          </w:tcPr>
          <w:p w14:paraId="5ECB060A">
            <w:pPr>
              <w:adjustRightInd w:val="0"/>
              <w:snapToGrid w:val="0"/>
              <w:spacing w:line="240" w:lineRule="auto"/>
              <w:ind w:left="359" w:leftChars="0" w:hanging="359" w:hangingChars="171"/>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
              </w:rPr>
              <w:t>保安员</w:t>
            </w:r>
          </w:p>
        </w:tc>
        <w:tc>
          <w:tcPr>
            <w:tcW w:w="2955" w:type="dxa"/>
          </w:tcPr>
          <w:p w14:paraId="27CB4345">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1AD5E231">
            <w:pPr>
              <w:spacing w:line="240" w:lineRule="auto"/>
              <w:rPr>
                <w:rFonts w:hint="eastAsia" w:ascii="宋体" w:hAnsi="宋体" w:eastAsia="宋体" w:cs="宋体"/>
                <w:color w:val="auto"/>
                <w:spacing w:val="-2"/>
                <w:sz w:val="22"/>
                <w:szCs w:val="22"/>
                <w:highlight w:val="none"/>
                <w:vertAlign w:val="baseline"/>
              </w:rPr>
            </w:pPr>
          </w:p>
        </w:tc>
      </w:tr>
      <w:tr w14:paraId="0947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14:paraId="744B4E68">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7</w:t>
            </w:r>
          </w:p>
        </w:tc>
        <w:tc>
          <w:tcPr>
            <w:tcW w:w="2453" w:type="dxa"/>
            <w:shd w:val="clear" w:color="auto" w:fill="auto"/>
            <w:vAlign w:val="center"/>
          </w:tcPr>
          <w:p w14:paraId="283476BC">
            <w:pPr>
              <w:adjustRightInd w:val="0"/>
              <w:snapToGrid w:val="0"/>
              <w:spacing w:line="240" w:lineRule="auto"/>
              <w:ind w:left="359" w:leftChars="0" w:hanging="359" w:hangingChars="171"/>
              <w:jc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保洁员</w:t>
            </w:r>
          </w:p>
        </w:tc>
        <w:tc>
          <w:tcPr>
            <w:tcW w:w="2955" w:type="dxa"/>
          </w:tcPr>
          <w:p w14:paraId="0DAE255E">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78A7EEC1">
            <w:pPr>
              <w:spacing w:line="240" w:lineRule="auto"/>
              <w:rPr>
                <w:rFonts w:hint="eastAsia" w:ascii="宋体" w:hAnsi="宋体" w:eastAsia="宋体" w:cs="宋体"/>
                <w:color w:val="auto"/>
                <w:spacing w:val="-2"/>
                <w:sz w:val="22"/>
                <w:szCs w:val="22"/>
                <w:highlight w:val="none"/>
                <w:vertAlign w:val="baseline"/>
              </w:rPr>
            </w:pPr>
          </w:p>
        </w:tc>
      </w:tr>
      <w:tr w14:paraId="0F14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5" w:type="dxa"/>
          </w:tcPr>
          <w:p w14:paraId="66A5E5D2">
            <w:pPr>
              <w:spacing w:line="240" w:lineRule="auto"/>
              <w:jc w:val="center"/>
              <w:rPr>
                <w:rFonts w:hint="default"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8</w:t>
            </w:r>
          </w:p>
        </w:tc>
        <w:tc>
          <w:tcPr>
            <w:tcW w:w="2453" w:type="dxa"/>
            <w:shd w:val="clear" w:color="auto" w:fill="auto"/>
            <w:vAlign w:val="center"/>
          </w:tcPr>
          <w:p w14:paraId="7243B05C">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党群服务中心服务人员</w:t>
            </w:r>
          </w:p>
        </w:tc>
        <w:tc>
          <w:tcPr>
            <w:tcW w:w="2955" w:type="dxa"/>
          </w:tcPr>
          <w:p w14:paraId="4F9F87FF">
            <w:pPr>
              <w:spacing w:line="240" w:lineRule="auto"/>
              <w:rPr>
                <w:rFonts w:hint="eastAsia" w:ascii="宋体" w:hAnsi="宋体" w:eastAsia="宋体" w:cs="宋体"/>
                <w:color w:val="auto"/>
                <w:spacing w:val="-2"/>
                <w:sz w:val="22"/>
                <w:szCs w:val="22"/>
                <w:highlight w:val="none"/>
                <w:vertAlign w:val="baseline"/>
              </w:rPr>
            </w:pPr>
          </w:p>
        </w:tc>
        <w:tc>
          <w:tcPr>
            <w:tcW w:w="1770" w:type="dxa"/>
          </w:tcPr>
          <w:p w14:paraId="393123E5">
            <w:pPr>
              <w:spacing w:line="240" w:lineRule="auto"/>
              <w:rPr>
                <w:rFonts w:hint="eastAsia" w:ascii="宋体" w:hAnsi="宋体" w:eastAsia="宋体" w:cs="宋体"/>
                <w:color w:val="auto"/>
                <w:spacing w:val="-2"/>
                <w:sz w:val="22"/>
                <w:szCs w:val="22"/>
                <w:highlight w:val="none"/>
                <w:vertAlign w:val="baseline"/>
              </w:rPr>
            </w:pPr>
          </w:p>
        </w:tc>
      </w:tr>
    </w:tbl>
    <w:p w14:paraId="61DE1BF6">
      <w:pPr>
        <w:spacing w:line="360" w:lineRule="auto"/>
        <w:ind w:firstLine="432" w:firstLineChars="200"/>
        <w:rPr>
          <w:rFonts w:hint="eastAsia" w:ascii="宋体" w:hAnsi="宋体" w:eastAsia="宋体" w:cs="宋体"/>
          <w:color w:val="auto"/>
          <w:spacing w:val="-2"/>
          <w:sz w:val="22"/>
          <w:szCs w:val="22"/>
          <w:highlight w:val="none"/>
        </w:rPr>
      </w:pPr>
    </w:p>
    <w:p w14:paraId="051B9FC9">
      <w:pPr>
        <w:spacing w:line="360" w:lineRule="auto"/>
        <w:ind w:firstLine="432" w:firstLineChars="200"/>
        <w:rPr>
          <w:rFonts w:hint="eastAsia" w:ascii="宋体" w:hAnsi="宋体" w:eastAsia="宋体" w:cs="宋体"/>
          <w:color w:val="auto"/>
          <w:highlight w:val="none"/>
        </w:rPr>
      </w:pPr>
      <w:r>
        <w:rPr>
          <w:rFonts w:hint="eastAsia" w:ascii="宋体" w:hAnsi="宋体" w:eastAsia="宋体" w:cs="宋体"/>
          <w:color w:val="auto"/>
          <w:spacing w:val="-2"/>
          <w:sz w:val="22"/>
          <w:szCs w:val="22"/>
          <w:highlight w:val="none"/>
        </w:rPr>
        <w:t>如果我单位获得本项目中标，则我单位承诺</w:t>
      </w:r>
      <w:r>
        <w:rPr>
          <w:rFonts w:hint="eastAsia" w:ascii="宋体" w:hAnsi="宋体" w:eastAsia="宋体" w:cs="宋体"/>
          <w:color w:val="auto"/>
          <w:spacing w:val="-2"/>
          <w:sz w:val="22"/>
          <w:szCs w:val="22"/>
          <w:highlight w:val="none"/>
          <w:lang w:val="en-US" w:eastAsia="zh-CN"/>
        </w:rPr>
        <w:t>拟派的</w:t>
      </w:r>
      <w:r>
        <w:rPr>
          <w:rFonts w:hint="eastAsia" w:ascii="宋体" w:hAnsi="宋体" w:eastAsia="宋体" w:cs="宋体"/>
          <w:color w:val="auto"/>
          <w:spacing w:val="-2"/>
          <w:sz w:val="22"/>
          <w:szCs w:val="22"/>
          <w:highlight w:val="none"/>
        </w:rPr>
        <w:t>服务人员最低月工资</w:t>
      </w:r>
      <w:r>
        <w:rPr>
          <w:rFonts w:hint="eastAsia" w:ascii="宋体" w:hAnsi="宋体" w:eastAsia="宋体" w:cs="宋体"/>
          <w:color w:val="auto"/>
          <w:spacing w:val="-2"/>
          <w:sz w:val="22"/>
          <w:szCs w:val="22"/>
          <w:highlight w:val="none"/>
          <w:lang w:val="en-US" w:eastAsia="zh-CN"/>
        </w:rPr>
        <w:t>严格按照本承诺函</w:t>
      </w:r>
      <w:r>
        <w:rPr>
          <w:rFonts w:hint="eastAsia" w:ascii="宋体" w:hAnsi="宋体" w:eastAsia="宋体" w:cs="宋体"/>
          <w:color w:val="auto"/>
          <w:spacing w:val="-2"/>
          <w:sz w:val="22"/>
          <w:szCs w:val="22"/>
          <w:highlight w:val="none"/>
        </w:rPr>
        <w:t>规定执行</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highlight w:val="none"/>
        </w:rPr>
        <w:t>我方按照</w:t>
      </w:r>
      <w:r>
        <w:rPr>
          <w:rFonts w:hint="eastAsia" w:ascii="宋体" w:hAnsi="宋体" w:eastAsia="宋体" w:cs="宋体"/>
          <w:color w:val="auto"/>
          <w:highlight w:val="none"/>
          <w:lang w:val="en-US" w:eastAsia="zh-CN"/>
        </w:rPr>
        <w:t>本</w:t>
      </w:r>
      <w:r>
        <w:rPr>
          <w:rFonts w:hint="eastAsia" w:ascii="宋体" w:hAnsi="宋体" w:eastAsia="宋体" w:cs="宋体"/>
          <w:color w:val="auto"/>
          <w:highlight w:val="none"/>
          <w:lang w:eastAsia="zh-CN"/>
        </w:rPr>
        <w:t>承诺函</w:t>
      </w:r>
      <w:r>
        <w:rPr>
          <w:rFonts w:hint="eastAsia" w:ascii="宋体" w:hAnsi="宋体" w:eastAsia="宋体" w:cs="宋体"/>
          <w:color w:val="auto"/>
          <w:highlight w:val="none"/>
          <w:lang w:val="en-US" w:eastAsia="zh-CN"/>
        </w:rPr>
        <w:t>的规定</w:t>
      </w:r>
      <w:r>
        <w:rPr>
          <w:rFonts w:hint="eastAsia" w:ascii="宋体" w:hAnsi="宋体" w:eastAsia="宋体" w:cs="宋体"/>
          <w:color w:val="auto"/>
          <w:highlight w:val="none"/>
        </w:rPr>
        <w:t>执行后，我方没有任何附加条件，且所提交的投标文件依然有效。</w:t>
      </w:r>
    </w:p>
    <w:p w14:paraId="17ACAB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我方理解，如不作此承诺，评标委员会将对我方投标作无效标处理。</w:t>
      </w:r>
    </w:p>
    <w:p w14:paraId="6F011105">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14:paraId="56765764">
      <w:pPr>
        <w:spacing w:line="360" w:lineRule="auto"/>
        <w:rPr>
          <w:rFonts w:hint="eastAsia" w:ascii="宋体" w:hAnsi="宋体" w:eastAsia="宋体" w:cs="宋体"/>
          <w:color w:val="auto"/>
          <w:sz w:val="22"/>
          <w:szCs w:val="22"/>
          <w:highlight w:val="none"/>
        </w:rPr>
      </w:pPr>
    </w:p>
    <w:p w14:paraId="2038CB6A">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承诺人单位全称（盖公章）：</w:t>
      </w:r>
    </w:p>
    <w:p w14:paraId="320F2EBF">
      <w:pPr>
        <w:spacing w:line="360" w:lineRule="auto"/>
        <w:rPr>
          <w:rFonts w:hint="eastAsia" w:ascii="宋体" w:hAnsi="宋体" w:eastAsia="宋体" w:cs="宋体"/>
          <w:color w:val="auto"/>
          <w:spacing w:val="-2"/>
          <w:sz w:val="22"/>
          <w:szCs w:val="22"/>
          <w:highlight w:val="none"/>
        </w:rPr>
      </w:pPr>
    </w:p>
    <w:p w14:paraId="72C94BD6">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kern w:val="0"/>
          <w:highlight w:val="none"/>
        </w:rPr>
        <w:t>法定代表人或授权代表</w:t>
      </w:r>
      <w:r>
        <w:rPr>
          <w:rFonts w:hint="eastAsia" w:ascii="宋体" w:hAnsi="宋体" w:eastAsia="宋体" w:cs="宋体"/>
          <w:color w:val="auto"/>
          <w:spacing w:val="-2"/>
          <w:sz w:val="22"/>
          <w:szCs w:val="22"/>
          <w:highlight w:val="none"/>
        </w:rPr>
        <w:t>（签字或盖章）：</w:t>
      </w:r>
    </w:p>
    <w:p w14:paraId="3D6629A1">
      <w:pPr>
        <w:spacing w:line="360" w:lineRule="auto"/>
        <w:rPr>
          <w:rFonts w:hint="eastAsia" w:ascii="宋体" w:hAnsi="宋体" w:eastAsia="宋体" w:cs="宋体"/>
          <w:color w:val="auto"/>
          <w:spacing w:val="-2"/>
          <w:sz w:val="22"/>
          <w:szCs w:val="22"/>
          <w:highlight w:val="none"/>
        </w:rPr>
      </w:pPr>
    </w:p>
    <w:p w14:paraId="086F1BC1">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日期：  年   月  日</w:t>
      </w:r>
    </w:p>
    <w:p w14:paraId="07292B3E">
      <w:pPr>
        <w:pStyle w:val="11"/>
        <w:ind w:left="432" w:hanging="432"/>
        <w:rPr>
          <w:rFonts w:hint="eastAsia" w:ascii="宋体" w:hAnsi="宋体" w:eastAsia="宋体" w:cs="宋体"/>
          <w:color w:val="auto"/>
          <w:spacing w:val="-2"/>
          <w:sz w:val="22"/>
          <w:szCs w:val="22"/>
          <w:highlight w:val="none"/>
        </w:rPr>
      </w:pPr>
    </w:p>
    <w:p w14:paraId="2324398E">
      <w:pPr>
        <w:numPr>
          <w:ilvl w:val="0"/>
          <w:numId w:val="27"/>
        </w:numPr>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▲本“服务人员最低月工资承诺函”中的内容为实质性内容，投标人没有实质性响应该要求的, 作无效标处理。</w:t>
      </w:r>
    </w:p>
    <w:p w14:paraId="6BFB2B06">
      <w:pPr>
        <w:rPr>
          <w:rFonts w:hint="eastAsia" w:ascii="宋体" w:hAnsi="宋体" w:eastAsia="宋体" w:cs="宋体"/>
          <w:b/>
          <w:color w:val="auto"/>
          <w:kern w:val="0"/>
          <w:sz w:val="36"/>
          <w:szCs w:val="36"/>
          <w:highlight w:val="none"/>
        </w:rPr>
      </w:pPr>
      <w:r>
        <w:rPr>
          <w:rFonts w:hint="eastAsia" w:ascii="宋体" w:hAnsi="宋体" w:eastAsia="宋体" w:cs="宋体"/>
          <w:b/>
          <w:color w:val="auto"/>
          <w:szCs w:val="21"/>
          <w:highlight w:val="none"/>
          <w:u w:val="single"/>
          <w:lang w:val="en-US" w:eastAsia="zh-CN"/>
        </w:rPr>
        <w:t>2、</w:t>
      </w:r>
      <w:r>
        <w:rPr>
          <w:rFonts w:hint="eastAsia" w:ascii="宋体" w:hAnsi="宋体" w:eastAsia="宋体" w:cs="宋体"/>
          <w:b/>
          <w:color w:val="auto"/>
          <w:szCs w:val="21"/>
          <w:highlight w:val="none"/>
          <w:u w:val="single"/>
        </w:rPr>
        <w:t>▲不提供此表格将被视为没有实质性响应采购文件要求, 作无效标处理。</w:t>
      </w:r>
    </w:p>
    <w:p w14:paraId="40CED361">
      <w:pPr>
        <w:rPr>
          <w:rFonts w:hint="eastAsia" w:ascii="宋体" w:hAnsi="宋体" w:eastAsia="宋体" w:cs="宋体"/>
          <w:highlight w:val="none"/>
        </w:rPr>
      </w:pPr>
      <w:r>
        <w:rPr>
          <w:rFonts w:hint="eastAsia" w:ascii="宋体" w:hAnsi="宋体" w:eastAsia="宋体" w:cs="宋体"/>
          <w:highlight w:val="none"/>
        </w:rPr>
        <w:br w:type="page"/>
      </w:r>
    </w:p>
    <w:p w14:paraId="4B05CE29">
      <w:pPr>
        <w:spacing w:line="360" w:lineRule="auto"/>
        <w:jc w:val="left"/>
        <w:rPr>
          <w:rFonts w:hint="eastAsia" w:ascii="宋体" w:hAnsi="宋体" w:eastAsia="宋体" w:cs="宋体"/>
          <w:sz w:val="22"/>
          <w:highlight w:val="none"/>
        </w:rPr>
      </w:pPr>
      <w:r>
        <w:rPr>
          <w:rFonts w:hint="eastAsia" w:ascii="宋体" w:hAnsi="宋体" w:eastAsia="宋体" w:cs="宋体"/>
          <w:sz w:val="22"/>
          <w:highlight w:val="none"/>
        </w:rPr>
        <w:t>（商务（报价）标封面，供参考）</w:t>
      </w:r>
    </w:p>
    <w:p w14:paraId="41162732">
      <w:pPr>
        <w:rPr>
          <w:rFonts w:hint="eastAsia" w:ascii="宋体" w:hAnsi="宋体" w:eastAsia="宋体" w:cs="宋体"/>
          <w:szCs w:val="24"/>
          <w:highlight w:val="none"/>
        </w:rPr>
      </w:pPr>
    </w:p>
    <w:p w14:paraId="34D53E7C">
      <w:pPr>
        <w:rPr>
          <w:rFonts w:hint="eastAsia" w:ascii="宋体" w:hAnsi="宋体" w:eastAsia="宋体" w:cs="宋体"/>
          <w:szCs w:val="24"/>
          <w:highlight w:val="none"/>
        </w:rPr>
      </w:pPr>
    </w:p>
    <w:p w14:paraId="6BC5877D">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14:paraId="2DD85D76">
      <w:pPr>
        <w:ind w:left="562" w:hanging="562" w:hangingChars="200"/>
        <w:jc w:val="right"/>
        <w:rPr>
          <w:rFonts w:hint="eastAsia" w:ascii="宋体" w:hAnsi="宋体" w:eastAsia="宋体" w:cs="宋体"/>
          <w:b/>
          <w:bCs/>
          <w:sz w:val="28"/>
          <w:szCs w:val="28"/>
          <w:highlight w:val="none"/>
        </w:rPr>
      </w:pPr>
    </w:p>
    <w:p w14:paraId="7C289426">
      <w:pPr>
        <w:rPr>
          <w:rFonts w:hint="eastAsia" w:ascii="宋体" w:hAnsi="宋体" w:eastAsia="宋体" w:cs="宋体"/>
          <w:szCs w:val="24"/>
          <w:highlight w:val="none"/>
        </w:rPr>
      </w:pPr>
    </w:p>
    <w:p w14:paraId="1FA03129">
      <w:pPr>
        <w:ind w:left="480" w:hanging="480" w:hangingChars="200"/>
        <w:rPr>
          <w:rFonts w:hint="eastAsia" w:ascii="宋体" w:hAnsi="宋体" w:eastAsia="宋体" w:cs="宋体"/>
          <w:sz w:val="24"/>
          <w:szCs w:val="24"/>
          <w:highlight w:val="none"/>
        </w:rPr>
      </w:pPr>
    </w:p>
    <w:p w14:paraId="42F6E17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14:paraId="114CAB9E">
      <w:pPr>
        <w:rPr>
          <w:rFonts w:hint="eastAsia" w:ascii="宋体" w:hAnsi="宋体" w:eastAsia="宋体" w:cs="宋体"/>
          <w:sz w:val="28"/>
          <w:szCs w:val="28"/>
          <w:highlight w:val="none"/>
        </w:rPr>
      </w:pPr>
    </w:p>
    <w:p w14:paraId="643A7F75">
      <w:pPr>
        <w:rPr>
          <w:rFonts w:hint="eastAsia" w:ascii="宋体" w:hAnsi="宋体" w:eastAsia="宋体" w:cs="宋体"/>
          <w:sz w:val="28"/>
          <w:szCs w:val="28"/>
          <w:highlight w:val="none"/>
        </w:rPr>
      </w:pPr>
    </w:p>
    <w:p w14:paraId="20626170">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090ED297">
      <w:pPr>
        <w:autoSpaceDE w:val="0"/>
        <w:autoSpaceDN w:val="0"/>
        <w:adjustRightInd w:val="0"/>
        <w:spacing w:after="120"/>
        <w:ind w:firstLine="280" w:firstLineChars="100"/>
        <w:jc w:val="left"/>
        <w:rPr>
          <w:rFonts w:hint="eastAsia" w:ascii="宋体" w:hAnsi="宋体" w:eastAsia="宋体" w:cs="宋体"/>
          <w:sz w:val="28"/>
          <w:szCs w:val="28"/>
          <w:highlight w:val="none"/>
        </w:rPr>
      </w:pPr>
    </w:p>
    <w:p w14:paraId="7F885DDA">
      <w:pPr>
        <w:rPr>
          <w:rFonts w:hint="eastAsia" w:ascii="宋体" w:hAnsi="宋体" w:eastAsia="宋体" w:cs="宋体"/>
          <w:sz w:val="28"/>
          <w:szCs w:val="28"/>
          <w:highlight w:val="none"/>
        </w:rPr>
      </w:pPr>
    </w:p>
    <w:p w14:paraId="41E95DE8">
      <w:pPr>
        <w:rPr>
          <w:rFonts w:hint="eastAsia" w:ascii="宋体" w:hAnsi="宋体" w:eastAsia="宋体" w:cs="宋体"/>
          <w:sz w:val="28"/>
          <w:szCs w:val="28"/>
          <w:highlight w:val="none"/>
        </w:rPr>
      </w:pPr>
    </w:p>
    <w:p w14:paraId="0B276C13">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14:paraId="1B67EDA4">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14:paraId="58906175">
      <w:pPr>
        <w:spacing w:line="360" w:lineRule="auto"/>
        <w:rPr>
          <w:rFonts w:hint="eastAsia" w:ascii="宋体" w:hAnsi="宋体" w:eastAsia="宋体" w:cs="宋体"/>
          <w:szCs w:val="21"/>
          <w:highlight w:val="none"/>
        </w:rPr>
      </w:pPr>
    </w:p>
    <w:p w14:paraId="32B85323">
      <w:pPr>
        <w:spacing w:line="360" w:lineRule="auto"/>
        <w:rPr>
          <w:rFonts w:hint="eastAsia" w:ascii="宋体" w:hAnsi="宋体" w:eastAsia="宋体" w:cs="宋体"/>
          <w:szCs w:val="21"/>
          <w:highlight w:val="none"/>
        </w:rPr>
      </w:pPr>
    </w:p>
    <w:p w14:paraId="3DE7A381">
      <w:pPr>
        <w:spacing w:line="360" w:lineRule="auto"/>
        <w:rPr>
          <w:rFonts w:hint="eastAsia" w:ascii="宋体" w:hAnsi="宋体" w:eastAsia="宋体" w:cs="宋体"/>
          <w:szCs w:val="21"/>
          <w:highlight w:val="none"/>
        </w:rPr>
      </w:pPr>
    </w:p>
    <w:p w14:paraId="1574BE31">
      <w:pPr>
        <w:spacing w:line="360" w:lineRule="auto"/>
        <w:rPr>
          <w:rFonts w:hint="eastAsia" w:ascii="宋体" w:hAnsi="宋体" w:eastAsia="宋体" w:cs="宋体"/>
          <w:szCs w:val="21"/>
          <w:highlight w:val="none"/>
        </w:rPr>
      </w:pPr>
    </w:p>
    <w:p w14:paraId="35BA1B5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14:paraId="2DB113CD">
      <w:pPr>
        <w:rPr>
          <w:rFonts w:hint="eastAsia" w:ascii="宋体" w:hAnsi="宋体" w:eastAsia="宋体" w:cs="宋体"/>
          <w:sz w:val="28"/>
          <w:szCs w:val="28"/>
          <w:highlight w:val="none"/>
          <w:u w:val="single"/>
        </w:rPr>
      </w:pPr>
    </w:p>
    <w:p w14:paraId="735D1A8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14:paraId="750A9DA6">
      <w:pPr>
        <w:rPr>
          <w:rFonts w:hint="eastAsia" w:ascii="宋体" w:hAnsi="宋体" w:eastAsia="宋体" w:cs="宋体"/>
          <w:sz w:val="28"/>
          <w:szCs w:val="28"/>
          <w:highlight w:val="none"/>
        </w:rPr>
      </w:pPr>
    </w:p>
    <w:p w14:paraId="76A6BFF9">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52B1658F">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十一</w:t>
      </w:r>
      <w:r>
        <w:rPr>
          <w:rFonts w:hint="eastAsia" w:ascii="宋体" w:hAnsi="宋体" w:eastAsia="宋体" w:cs="宋体"/>
          <w:b/>
          <w:bCs/>
          <w:sz w:val="22"/>
          <w:highlight w:val="none"/>
        </w:rPr>
        <w:t xml:space="preserve"> </w:t>
      </w:r>
    </w:p>
    <w:p w14:paraId="3956AB04">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14:paraId="127132BB">
      <w:pPr>
        <w:spacing w:line="380" w:lineRule="exact"/>
        <w:jc w:val="center"/>
        <w:rPr>
          <w:rFonts w:hint="eastAsia" w:ascii="宋体" w:hAnsi="宋体" w:eastAsia="宋体" w:cs="宋体"/>
          <w:bCs/>
          <w:sz w:val="28"/>
          <w:szCs w:val="24"/>
          <w:highlight w:val="none"/>
        </w:rPr>
      </w:pPr>
    </w:p>
    <w:p w14:paraId="05A76F19">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highlight w:val="none"/>
        </w:rPr>
        <w:t>项目名称</w:t>
      </w:r>
      <w:r>
        <w:rPr>
          <w:rFonts w:hint="eastAsia" w:ascii="宋体" w:hAnsi="宋体" w:eastAsia="宋体" w:cs="宋体"/>
          <w:sz w:val="22"/>
          <w:highlight w:val="none"/>
          <w:lang w:eastAsia="zh-CN"/>
        </w:rPr>
        <w:t>：陶山服务区物业项目</w:t>
      </w:r>
      <w:r>
        <w:rPr>
          <w:rFonts w:hint="eastAsia" w:ascii="宋体" w:hAnsi="宋体" w:eastAsia="宋体" w:cs="宋体"/>
          <w:sz w:val="22"/>
          <w:highlight w:val="none"/>
          <w:lang w:val="en-US" w:eastAsia="zh-CN"/>
        </w:rPr>
        <w:t xml:space="preserve">          </w:t>
      </w:r>
      <w:r>
        <w:rPr>
          <w:rFonts w:hint="eastAsia" w:ascii="宋体" w:hAnsi="宋体" w:eastAsia="宋体" w:cs="宋体"/>
          <w:sz w:val="22"/>
          <w:szCs w:val="24"/>
          <w:highlight w:val="none"/>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704"/>
        <w:gridCol w:w="4476"/>
        <w:gridCol w:w="852"/>
        <w:gridCol w:w="1111"/>
      </w:tblGrid>
      <w:tr w14:paraId="4D08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1ED623A6">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序号</w:t>
            </w:r>
          </w:p>
        </w:tc>
        <w:tc>
          <w:tcPr>
            <w:tcW w:w="1704" w:type="dxa"/>
            <w:tcBorders>
              <w:top w:val="single" w:color="auto" w:sz="4" w:space="0"/>
              <w:left w:val="single" w:color="auto" w:sz="4" w:space="0"/>
              <w:bottom w:val="single" w:color="auto" w:sz="4" w:space="0"/>
              <w:right w:val="single" w:color="auto" w:sz="4" w:space="0"/>
            </w:tcBorders>
            <w:vAlign w:val="center"/>
          </w:tcPr>
          <w:p w14:paraId="2DD838E1">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分项名称</w:t>
            </w:r>
          </w:p>
        </w:tc>
        <w:tc>
          <w:tcPr>
            <w:tcW w:w="4476" w:type="dxa"/>
            <w:tcBorders>
              <w:top w:val="single" w:color="auto" w:sz="4" w:space="0"/>
              <w:left w:val="single" w:color="auto" w:sz="4" w:space="0"/>
              <w:bottom w:val="single" w:color="auto" w:sz="4" w:space="0"/>
              <w:right w:val="single" w:color="auto" w:sz="4" w:space="0"/>
            </w:tcBorders>
            <w:vAlign w:val="center"/>
          </w:tcPr>
          <w:p w14:paraId="172E82FF">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投标报价（元）</w:t>
            </w:r>
          </w:p>
        </w:tc>
        <w:tc>
          <w:tcPr>
            <w:tcW w:w="852" w:type="dxa"/>
            <w:tcBorders>
              <w:top w:val="single" w:color="auto" w:sz="4" w:space="0"/>
              <w:left w:val="single" w:color="auto" w:sz="4" w:space="0"/>
              <w:bottom w:val="single" w:color="auto" w:sz="4" w:space="0"/>
              <w:right w:val="single" w:color="auto" w:sz="4" w:space="0"/>
            </w:tcBorders>
            <w:vAlign w:val="center"/>
          </w:tcPr>
          <w:p w14:paraId="2B3BB23C">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服务期限</w:t>
            </w:r>
          </w:p>
        </w:tc>
        <w:tc>
          <w:tcPr>
            <w:tcW w:w="1111" w:type="dxa"/>
            <w:tcBorders>
              <w:top w:val="single" w:color="auto" w:sz="4" w:space="0"/>
              <w:left w:val="single" w:color="auto" w:sz="4" w:space="0"/>
              <w:bottom w:val="single" w:color="auto" w:sz="4" w:space="0"/>
              <w:right w:val="single" w:color="auto" w:sz="4" w:space="0"/>
            </w:tcBorders>
            <w:vAlign w:val="center"/>
          </w:tcPr>
          <w:p w14:paraId="528A4010">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r>
      <w:tr w14:paraId="328F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82" w:type="dxa"/>
            <w:tcBorders>
              <w:top w:val="single" w:color="auto" w:sz="4" w:space="0"/>
              <w:left w:val="single" w:color="auto" w:sz="4" w:space="0"/>
              <w:right w:val="single" w:color="auto" w:sz="4" w:space="0"/>
            </w:tcBorders>
            <w:vAlign w:val="center"/>
          </w:tcPr>
          <w:p w14:paraId="0F9A256E">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1</w:t>
            </w:r>
          </w:p>
        </w:tc>
        <w:tc>
          <w:tcPr>
            <w:tcW w:w="1704" w:type="dxa"/>
            <w:tcBorders>
              <w:top w:val="single" w:color="auto" w:sz="4" w:space="0"/>
              <w:left w:val="single" w:color="auto" w:sz="4" w:space="0"/>
              <w:bottom w:val="single" w:color="auto" w:sz="4" w:space="0"/>
              <w:right w:val="single" w:color="auto" w:sz="4" w:space="0"/>
            </w:tcBorders>
            <w:vAlign w:val="center"/>
          </w:tcPr>
          <w:p w14:paraId="2D9400E7">
            <w:pPr>
              <w:jc w:val="center"/>
              <w:rPr>
                <w:rFonts w:hint="eastAsia" w:ascii="宋体" w:hAnsi="宋体" w:eastAsia="宋体" w:cs="宋体"/>
                <w:sz w:val="22"/>
                <w:highlight w:val="none"/>
              </w:rPr>
            </w:pPr>
            <w:r>
              <w:rPr>
                <w:rFonts w:hint="eastAsia" w:ascii="宋体" w:hAnsi="宋体" w:eastAsia="宋体" w:cs="宋体"/>
                <w:sz w:val="22"/>
                <w:highlight w:val="none"/>
                <w:lang w:val="en-US" w:eastAsia="zh-CN"/>
              </w:rPr>
              <w:t>（1）</w:t>
            </w:r>
            <w:r>
              <w:rPr>
                <w:rFonts w:hint="eastAsia" w:ascii="宋体" w:hAnsi="宋体" w:eastAsia="宋体" w:cs="宋体"/>
                <w:sz w:val="22"/>
                <w:highlight w:val="none"/>
              </w:rPr>
              <w:t>陶山服务区物业服务</w:t>
            </w:r>
          </w:p>
        </w:tc>
        <w:tc>
          <w:tcPr>
            <w:tcW w:w="4476" w:type="dxa"/>
            <w:tcBorders>
              <w:top w:val="single" w:color="auto" w:sz="4" w:space="0"/>
              <w:left w:val="single" w:color="auto" w:sz="4" w:space="0"/>
              <w:bottom w:val="single" w:color="auto" w:sz="4" w:space="0"/>
              <w:right w:val="single" w:color="auto" w:sz="4" w:space="0"/>
            </w:tcBorders>
            <w:vAlign w:val="center"/>
          </w:tcPr>
          <w:p w14:paraId="358ED3A1">
            <w:pPr>
              <w:jc w:val="center"/>
              <w:rPr>
                <w:rFonts w:hint="eastAsia" w:ascii="宋体" w:hAnsi="宋体" w:eastAsia="宋体" w:cs="宋体"/>
                <w:sz w:val="22"/>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14:paraId="50413A49">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111" w:type="dxa"/>
            <w:tcBorders>
              <w:top w:val="single" w:color="auto" w:sz="4" w:space="0"/>
              <w:left w:val="single" w:color="auto" w:sz="4" w:space="0"/>
              <w:bottom w:val="single" w:color="auto" w:sz="4" w:space="0"/>
              <w:right w:val="single" w:color="auto" w:sz="4" w:space="0"/>
            </w:tcBorders>
            <w:vAlign w:val="center"/>
          </w:tcPr>
          <w:p w14:paraId="5576A806">
            <w:pPr>
              <w:jc w:val="center"/>
              <w:rPr>
                <w:rFonts w:hint="eastAsia" w:ascii="宋体" w:hAnsi="宋体" w:eastAsia="宋体" w:cs="宋体"/>
                <w:sz w:val="22"/>
                <w:highlight w:val="none"/>
              </w:rPr>
            </w:pPr>
          </w:p>
        </w:tc>
      </w:tr>
      <w:tr w14:paraId="693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82" w:type="dxa"/>
            <w:tcBorders>
              <w:left w:val="single" w:color="auto" w:sz="4" w:space="0"/>
              <w:right w:val="single" w:color="auto" w:sz="4" w:space="0"/>
            </w:tcBorders>
            <w:vAlign w:val="center"/>
          </w:tcPr>
          <w:p w14:paraId="6E71D763">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2</w:t>
            </w:r>
          </w:p>
        </w:tc>
        <w:tc>
          <w:tcPr>
            <w:tcW w:w="1704" w:type="dxa"/>
            <w:tcBorders>
              <w:top w:val="single" w:color="auto" w:sz="4" w:space="0"/>
              <w:left w:val="single" w:color="auto" w:sz="4" w:space="0"/>
              <w:bottom w:val="single" w:color="auto" w:sz="4" w:space="0"/>
              <w:right w:val="single" w:color="auto" w:sz="4" w:space="0"/>
            </w:tcBorders>
            <w:vAlign w:val="center"/>
          </w:tcPr>
          <w:p w14:paraId="03EC0F6C">
            <w:pPr>
              <w:jc w:val="center"/>
              <w:rPr>
                <w:rFonts w:hint="eastAsia" w:ascii="宋体" w:hAnsi="宋体" w:eastAsia="宋体" w:cs="宋体"/>
                <w:sz w:val="22"/>
                <w:highlight w:val="none"/>
              </w:rPr>
            </w:pPr>
            <w:r>
              <w:rPr>
                <w:rFonts w:hint="eastAsia" w:ascii="宋体" w:hAnsi="宋体" w:eastAsia="宋体" w:cs="宋体"/>
                <w:sz w:val="22"/>
                <w:highlight w:val="none"/>
                <w:lang w:val="en-US" w:eastAsia="zh-CN"/>
              </w:rPr>
              <w:t>（2）</w:t>
            </w:r>
            <w:r>
              <w:rPr>
                <w:rFonts w:hint="eastAsia" w:ascii="宋体" w:hAnsi="宋体" w:eastAsia="宋体" w:cs="宋体"/>
                <w:sz w:val="22"/>
                <w:highlight w:val="none"/>
              </w:rPr>
              <w:t>“瓯江红·畅美高速”党群服务中心物业服务</w:t>
            </w:r>
          </w:p>
        </w:tc>
        <w:tc>
          <w:tcPr>
            <w:tcW w:w="4476" w:type="dxa"/>
            <w:tcBorders>
              <w:top w:val="single" w:color="auto" w:sz="4" w:space="0"/>
              <w:left w:val="single" w:color="auto" w:sz="4" w:space="0"/>
              <w:bottom w:val="single" w:color="auto" w:sz="4" w:space="0"/>
              <w:right w:val="single" w:color="auto" w:sz="4" w:space="0"/>
            </w:tcBorders>
            <w:vAlign w:val="center"/>
          </w:tcPr>
          <w:p w14:paraId="2423EEFC">
            <w:pPr>
              <w:jc w:val="center"/>
              <w:rPr>
                <w:rFonts w:hint="eastAsia" w:ascii="宋体" w:hAnsi="宋体" w:eastAsia="宋体" w:cs="宋体"/>
                <w:sz w:val="22"/>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14:paraId="7CA40890">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111" w:type="dxa"/>
            <w:tcBorders>
              <w:top w:val="single" w:color="auto" w:sz="4" w:space="0"/>
              <w:left w:val="single" w:color="auto" w:sz="4" w:space="0"/>
              <w:bottom w:val="single" w:color="auto" w:sz="4" w:space="0"/>
              <w:right w:val="single" w:color="auto" w:sz="4" w:space="0"/>
            </w:tcBorders>
            <w:vAlign w:val="center"/>
          </w:tcPr>
          <w:p w14:paraId="460662E6">
            <w:pPr>
              <w:jc w:val="center"/>
              <w:rPr>
                <w:rFonts w:hint="eastAsia" w:ascii="宋体" w:hAnsi="宋体" w:eastAsia="宋体" w:cs="宋体"/>
                <w:sz w:val="22"/>
                <w:highlight w:val="none"/>
              </w:rPr>
            </w:pPr>
          </w:p>
        </w:tc>
      </w:tr>
      <w:tr w14:paraId="5613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2486" w:type="dxa"/>
            <w:gridSpan w:val="2"/>
            <w:tcBorders>
              <w:left w:val="single" w:color="auto" w:sz="4" w:space="0"/>
              <w:bottom w:val="single" w:color="auto" w:sz="4" w:space="0"/>
              <w:right w:val="single" w:color="auto" w:sz="4" w:space="0"/>
            </w:tcBorders>
            <w:vAlign w:val="center"/>
          </w:tcPr>
          <w:p w14:paraId="65B2AE79">
            <w:pPr>
              <w:jc w:val="center"/>
              <w:rPr>
                <w:rFonts w:hint="default" w:ascii="宋体" w:hAnsi="宋体" w:eastAsia="宋体" w:cs="宋体"/>
                <w:sz w:val="22"/>
                <w:highlight w:val="none"/>
                <w:lang w:val="en-US" w:eastAsia="zh-CN"/>
              </w:rPr>
            </w:pPr>
            <w:r>
              <w:rPr>
                <w:rFonts w:hint="eastAsia" w:ascii="宋体" w:hAnsi="宋体" w:eastAsia="宋体" w:cs="宋体"/>
                <w:sz w:val="22"/>
                <w:highlight w:val="none"/>
              </w:rPr>
              <w:t>投标总报价</w:t>
            </w:r>
            <w:r>
              <w:rPr>
                <w:rFonts w:hint="eastAsia" w:ascii="宋体" w:hAnsi="宋体" w:eastAsia="宋体" w:cs="宋体"/>
                <w:sz w:val="22"/>
                <w:highlight w:val="none"/>
                <w:lang w:val="en-US" w:eastAsia="zh-CN"/>
              </w:rPr>
              <w:t xml:space="preserve"> = 项1 + 项2</w:t>
            </w:r>
          </w:p>
        </w:tc>
        <w:tc>
          <w:tcPr>
            <w:tcW w:w="4476" w:type="dxa"/>
            <w:tcBorders>
              <w:top w:val="single" w:color="auto" w:sz="4" w:space="0"/>
              <w:left w:val="single" w:color="auto" w:sz="4" w:space="0"/>
              <w:bottom w:val="single" w:color="auto" w:sz="4" w:space="0"/>
              <w:right w:val="single" w:color="auto" w:sz="4" w:space="0"/>
            </w:tcBorders>
            <w:vAlign w:val="center"/>
          </w:tcPr>
          <w:p w14:paraId="75C55944">
            <w:pPr>
              <w:spacing w:line="360" w:lineRule="auto"/>
              <w:rPr>
                <w:rFonts w:hint="eastAsia" w:ascii="宋体" w:hAnsi="宋体" w:eastAsia="宋体" w:cs="宋体"/>
                <w:sz w:val="22"/>
                <w:highlight w:val="none"/>
              </w:rPr>
            </w:pPr>
            <w:r>
              <w:rPr>
                <w:rFonts w:hint="eastAsia" w:ascii="宋体" w:hAnsi="宋体" w:eastAsia="宋体" w:cs="宋体"/>
                <w:sz w:val="22"/>
                <w:highlight w:val="none"/>
              </w:rPr>
              <w:t>大写：</w:t>
            </w:r>
          </w:p>
          <w:p w14:paraId="1BB6820C">
            <w:pPr>
              <w:spacing w:line="360" w:lineRule="auto"/>
              <w:rPr>
                <w:rFonts w:hint="eastAsia" w:ascii="宋体" w:hAnsi="宋体" w:eastAsia="宋体" w:cs="宋体"/>
                <w:sz w:val="22"/>
                <w:highlight w:val="none"/>
              </w:rPr>
            </w:pPr>
            <w:r>
              <w:rPr>
                <w:rFonts w:hint="eastAsia" w:ascii="宋体" w:hAnsi="宋体" w:eastAsia="宋体" w:cs="宋体"/>
                <w:sz w:val="22"/>
                <w:highlight w:val="none"/>
              </w:rPr>
              <w:t>小写：</w:t>
            </w:r>
          </w:p>
        </w:tc>
        <w:tc>
          <w:tcPr>
            <w:tcW w:w="852" w:type="dxa"/>
            <w:tcBorders>
              <w:top w:val="single" w:color="auto" w:sz="4" w:space="0"/>
              <w:left w:val="single" w:color="auto" w:sz="4" w:space="0"/>
              <w:right w:val="single" w:color="auto" w:sz="4" w:space="0"/>
            </w:tcBorders>
            <w:vAlign w:val="center"/>
          </w:tcPr>
          <w:p w14:paraId="0CB222A4">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111" w:type="dxa"/>
            <w:tcBorders>
              <w:top w:val="single" w:color="auto" w:sz="4" w:space="0"/>
              <w:left w:val="single" w:color="auto" w:sz="4" w:space="0"/>
              <w:right w:val="single" w:color="auto" w:sz="4" w:space="0"/>
            </w:tcBorders>
            <w:vAlign w:val="center"/>
          </w:tcPr>
          <w:p w14:paraId="440F214C">
            <w:pPr>
              <w:jc w:val="center"/>
              <w:rPr>
                <w:rFonts w:hint="eastAsia" w:ascii="宋体" w:hAnsi="宋体" w:eastAsia="宋体" w:cs="宋体"/>
                <w:sz w:val="22"/>
                <w:highlight w:val="none"/>
              </w:rPr>
            </w:pPr>
          </w:p>
        </w:tc>
      </w:tr>
    </w:tbl>
    <w:p w14:paraId="5D582CA8">
      <w:pPr>
        <w:ind w:left="524" w:hanging="523" w:hangingChars="238"/>
        <w:rPr>
          <w:rFonts w:hint="eastAsia" w:ascii="宋体" w:hAnsi="宋体" w:eastAsia="宋体" w:cs="宋体"/>
          <w:sz w:val="22"/>
          <w:szCs w:val="24"/>
          <w:highlight w:val="none"/>
        </w:rPr>
      </w:pPr>
    </w:p>
    <w:p w14:paraId="22AD4561">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14:paraId="2331C992">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1、投标报价包含的内容详见投标人须知第12条规定。</w:t>
      </w:r>
    </w:p>
    <w:p w14:paraId="640B446D">
      <w:pPr>
        <w:ind w:left="524" w:hanging="523" w:hangingChars="238"/>
        <w:rPr>
          <w:rFonts w:hint="eastAsia" w:ascii="宋体" w:hAnsi="宋体" w:eastAsia="宋体" w:cs="宋体"/>
          <w:sz w:val="22"/>
          <w:szCs w:val="24"/>
          <w:highlight w:val="none"/>
          <w:u w:val="single"/>
        </w:rPr>
      </w:pPr>
      <w:r>
        <w:rPr>
          <w:rFonts w:hint="eastAsia" w:ascii="宋体" w:hAnsi="宋体" w:eastAsia="宋体" w:cs="宋体"/>
          <w:sz w:val="22"/>
          <w:szCs w:val="24"/>
          <w:highlight w:val="none"/>
          <w:u w:val="single"/>
          <w:lang w:val="en-US" w:eastAsia="zh-CN"/>
        </w:rPr>
        <w:t>2</w:t>
      </w:r>
      <w:r>
        <w:rPr>
          <w:rFonts w:hint="eastAsia" w:ascii="宋体" w:hAnsi="宋体" w:eastAsia="宋体" w:cs="宋体"/>
          <w:sz w:val="22"/>
          <w:szCs w:val="24"/>
          <w:highlight w:val="none"/>
          <w:u w:val="single"/>
        </w:rPr>
        <w:t>、▲本项目采购总预算为人民币384万元（其中</w:t>
      </w:r>
      <w:r>
        <w:rPr>
          <w:rFonts w:hint="eastAsia" w:ascii="宋体" w:hAnsi="宋体" w:eastAsia="宋体" w:cs="宋体"/>
          <w:sz w:val="22"/>
          <w:szCs w:val="24"/>
          <w:highlight w:val="none"/>
          <w:u w:val="single"/>
          <w:lang w:eastAsia="zh-CN"/>
        </w:rPr>
        <w:t>（</w:t>
      </w:r>
      <w:r>
        <w:rPr>
          <w:rFonts w:hint="eastAsia" w:ascii="宋体" w:hAnsi="宋体" w:eastAsia="宋体" w:cs="宋体"/>
          <w:sz w:val="22"/>
          <w:szCs w:val="24"/>
          <w:highlight w:val="none"/>
          <w:u w:val="single"/>
          <w:lang w:val="en-US" w:eastAsia="zh-CN"/>
        </w:rPr>
        <w:t>1</w:t>
      </w:r>
      <w:r>
        <w:rPr>
          <w:rFonts w:hint="eastAsia" w:ascii="宋体" w:hAnsi="宋体" w:eastAsia="宋体" w:cs="宋体"/>
          <w:sz w:val="22"/>
          <w:szCs w:val="24"/>
          <w:highlight w:val="none"/>
          <w:u w:val="single"/>
          <w:lang w:eastAsia="zh-CN"/>
        </w:rPr>
        <w:t>）</w:t>
      </w:r>
      <w:r>
        <w:rPr>
          <w:rFonts w:hint="eastAsia" w:ascii="宋体" w:hAnsi="宋体" w:eastAsia="宋体" w:cs="宋体"/>
          <w:sz w:val="22"/>
          <w:szCs w:val="24"/>
          <w:highlight w:val="none"/>
          <w:u w:val="single"/>
        </w:rPr>
        <w:t>陶山服务区物业服务预算金额363万元，</w:t>
      </w:r>
      <w:r>
        <w:rPr>
          <w:rFonts w:hint="eastAsia" w:ascii="宋体" w:hAnsi="宋体" w:eastAsia="宋体" w:cs="宋体"/>
          <w:sz w:val="22"/>
          <w:szCs w:val="24"/>
          <w:highlight w:val="none"/>
          <w:u w:val="single"/>
          <w:lang w:eastAsia="zh-CN"/>
        </w:rPr>
        <w:t>（</w:t>
      </w:r>
      <w:r>
        <w:rPr>
          <w:rFonts w:hint="eastAsia" w:ascii="宋体" w:hAnsi="宋体" w:eastAsia="宋体" w:cs="宋体"/>
          <w:sz w:val="22"/>
          <w:szCs w:val="24"/>
          <w:highlight w:val="none"/>
          <w:u w:val="single"/>
          <w:lang w:val="en-US" w:eastAsia="zh-CN"/>
        </w:rPr>
        <w:t>2</w:t>
      </w:r>
      <w:r>
        <w:rPr>
          <w:rFonts w:hint="eastAsia" w:ascii="宋体" w:hAnsi="宋体" w:eastAsia="宋体" w:cs="宋体"/>
          <w:sz w:val="22"/>
          <w:szCs w:val="24"/>
          <w:highlight w:val="none"/>
          <w:u w:val="single"/>
          <w:lang w:eastAsia="zh-CN"/>
        </w:rPr>
        <w:t>）</w:t>
      </w:r>
      <w:r>
        <w:rPr>
          <w:rFonts w:hint="eastAsia" w:ascii="宋体" w:hAnsi="宋体" w:eastAsia="宋体" w:cs="宋体"/>
          <w:sz w:val="22"/>
          <w:szCs w:val="24"/>
          <w:highlight w:val="none"/>
          <w:u w:val="single"/>
        </w:rPr>
        <w:t>“瓯江红·畅美高速”党群服务中心物业服务预算金额21万元），投标供应商关于</w:t>
      </w:r>
      <w:r>
        <w:rPr>
          <w:rFonts w:hint="eastAsia" w:ascii="宋体" w:hAnsi="宋体" w:eastAsia="宋体" w:cs="宋体"/>
          <w:sz w:val="22"/>
          <w:szCs w:val="24"/>
          <w:highlight w:val="none"/>
          <w:u w:val="single"/>
          <w:lang w:eastAsia="zh-CN"/>
        </w:rPr>
        <w:t>（</w:t>
      </w:r>
      <w:r>
        <w:rPr>
          <w:rFonts w:hint="eastAsia" w:ascii="宋体" w:hAnsi="宋体" w:eastAsia="宋体" w:cs="宋体"/>
          <w:sz w:val="22"/>
          <w:szCs w:val="24"/>
          <w:highlight w:val="none"/>
          <w:u w:val="single"/>
          <w:lang w:val="en-US" w:eastAsia="zh-CN"/>
        </w:rPr>
        <w:t>1</w:t>
      </w:r>
      <w:r>
        <w:rPr>
          <w:rFonts w:hint="eastAsia" w:ascii="宋体" w:hAnsi="宋体" w:eastAsia="宋体" w:cs="宋体"/>
          <w:sz w:val="22"/>
          <w:szCs w:val="24"/>
          <w:highlight w:val="none"/>
          <w:u w:val="single"/>
          <w:lang w:eastAsia="zh-CN"/>
        </w:rPr>
        <w:t>）</w:t>
      </w:r>
      <w:r>
        <w:rPr>
          <w:rFonts w:hint="eastAsia" w:ascii="宋体" w:hAnsi="宋体" w:eastAsia="宋体" w:cs="宋体"/>
          <w:sz w:val="22"/>
          <w:szCs w:val="24"/>
          <w:highlight w:val="none"/>
          <w:u w:val="single"/>
        </w:rPr>
        <w:t>陶山服务区物业服务投标报价超过363万元，或者关于</w:t>
      </w:r>
      <w:r>
        <w:rPr>
          <w:rFonts w:hint="eastAsia" w:ascii="宋体" w:hAnsi="宋体" w:eastAsia="宋体" w:cs="宋体"/>
          <w:sz w:val="22"/>
          <w:szCs w:val="24"/>
          <w:highlight w:val="none"/>
          <w:u w:val="single"/>
          <w:lang w:eastAsia="zh-CN"/>
        </w:rPr>
        <w:t>（</w:t>
      </w:r>
      <w:r>
        <w:rPr>
          <w:rFonts w:hint="eastAsia" w:ascii="宋体" w:hAnsi="宋体" w:eastAsia="宋体" w:cs="宋体"/>
          <w:sz w:val="22"/>
          <w:szCs w:val="24"/>
          <w:highlight w:val="none"/>
          <w:u w:val="single"/>
          <w:lang w:val="en-US" w:eastAsia="zh-CN"/>
        </w:rPr>
        <w:t>2</w:t>
      </w:r>
      <w:r>
        <w:rPr>
          <w:rFonts w:hint="eastAsia" w:ascii="宋体" w:hAnsi="宋体" w:eastAsia="宋体" w:cs="宋体"/>
          <w:sz w:val="22"/>
          <w:szCs w:val="24"/>
          <w:highlight w:val="none"/>
          <w:u w:val="single"/>
          <w:lang w:eastAsia="zh-CN"/>
        </w:rPr>
        <w:t>）</w:t>
      </w:r>
      <w:r>
        <w:rPr>
          <w:rFonts w:hint="eastAsia" w:ascii="宋体" w:hAnsi="宋体" w:eastAsia="宋体" w:cs="宋体"/>
          <w:sz w:val="22"/>
          <w:szCs w:val="24"/>
          <w:highlight w:val="none"/>
          <w:u w:val="single"/>
        </w:rPr>
        <w:t>“瓯江的作无效标处理，红·畅美高速”党群服务中心物业服务的投标报价超过21万元的作无效标处理。</w:t>
      </w:r>
    </w:p>
    <w:p w14:paraId="20180DBD">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lang w:val="en-US" w:eastAsia="zh-CN"/>
        </w:rPr>
        <w:t>3、</w:t>
      </w:r>
      <w:r>
        <w:rPr>
          <w:rFonts w:hint="eastAsia" w:ascii="宋体" w:hAnsi="宋体" w:eastAsia="宋体" w:cs="宋体"/>
          <w:sz w:val="22"/>
          <w:szCs w:val="24"/>
          <w:highlight w:val="none"/>
          <w:u w:val="single"/>
        </w:rPr>
        <w:t>▲不提供此表格将被视为没有满足采购文件的实质性要求</w:t>
      </w:r>
      <w:r>
        <w:rPr>
          <w:rFonts w:hint="eastAsia" w:ascii="宋体" w:hAnsi="宋体" w:eastAsia="宋体" w:cs="宋体"/>
          <w:sz w:val="22"/>
          <w:szCs w:val="24"/>
          <w:highlight w:val="none"/>
        </w:rPr>
        <w:t>。</w:t>
      </w:r>
    </w:p>
    <w:p w14:paraId="6EC1FA1B">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lang w:val="en-US" w:eastAsia="zh-CN"/>
        </w:rPr>
        <w:t>4</w:t>
      </w:r>
      <w:r>
        <w:rPr>
          <w:rFonts w:hint="eastAsia" w:ascii="宋体" w:hAnsi="宋体" w:eastAsia="宋体" w:cs="宋体"/>
          <w:sz w:val="22"/>
          <w:szCs w:val="24"/>
          <w:highlight w:val="none"/>
          <w:u w:val="single"/>
        </w:rPr>
        <w:t>、▲以上报价不得出现在技术标中</w:t>
      </w:r>
      <w:r>
        <w:rPr>
          <w:rFonts w:hint="eastAsia" w:ascii="宋体" w:hAnsi="宋体" w:eastAsia="宋体" w:cs="宋体"/>
          <w:sz w:val="22"/>
          <w:szCs w:val="24"/>
          <w:highlight w:val="none"/>
        </w:rPr>
        <w:t>。</w:t>
      </w:r>
    </w:p>
    <w:p w14:paraId="27EA3B33">
      <w:pPr>
        <w:spacing w:line="380" w:lineRule="exact"/>
        <w:rPr>
          <w:rFonts w:hint="eastAsia" w:ascii="宋体" w:hAnsi="宋体" w:eastAsia="宋体" w:cs="宋体"/>
          <w:b/>
          <w:bCs/>
          <w:sz w:val="22"/>
          <w:highlight w:val="none"/>
          <w:u w:val="single"/>
        </w:rPr>
      </w:pPr>
    </w:p>
    <w:p w14:paraId="7261332F">
      <w:pPr>
        <w:spacing w:line="380" w:lineRule="exact"/>
        <w:rPr>
          <w:rFonts w:hint="eastAsia" w:ascii="宋体" w:hAnsi="宋体" w:eastAsia="宋体" w:cs="宋体"/>
          <w:sz w:val="22"/>
          <w:szCs w:val="24"/>
          <w:highlight w:val="none"/>
        </w:rPr>
      </w:pPr>
    </w:p>
    <w:p w14:paraId="15130CF2">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393E1C7C">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38371D1F">
      <w:pPr>
        <w:rPr>
          <w:rFonts w:hint="eastAsia" w:ascii="宋体" w:hAnsi="宋体" w:eastAsia="宋体" w:cs="宋体"/>
          <w:sz w:val="22"/>
          <w:highlight w:val="none"/>
        </w:rPr>
      </w:pPr>
      <w:r>
        <w:rPr>
          <w:rFonts w:hint="eastAsia" w:ascii="宋体" w:hAnsi="宋体" w:eastAsia="宋体" w:cs="宋体"/>
          <w:sz w:val="22"/>
          <w:highlight w:val="none"/>
        </w:rPr>
        <w:t>日  期：</w:t>
      </w:r>
    </w:p>
    <w:p w14:paraId="52130822">
      <w:pPr>
        <w:spacing w:line="380" w:lineRule="exact"/>
        <w:rPr>
          <w:rFonts w:hint="eastAsia" w:ascii="宋体" w:hAnsi="宋体" w:eastAsia="宋体" w:cs="宋体"/>
          <w:b/>
          <w:bCs/>
          <w:sz w:val="22"/>
          <w:highlight w:val="none"/>
          <w:lang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十二</w:t>
      </w:r>
    </w:p>
    <w:p w14:paraId="6E4FB0DE">
      <w:pPr>
        <w:spacing w:line="46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投标分项报价表</w:t>
      </w:r>
      <w:r>
        <w:rPr>
          <w:rFonts w:hint="eastAsia" w:ascii="宋体" w:hAnsi="宋体" w:eastAsia="宋体" w:cs="宋体"/>
          <w:b/>
          <w:bCs/>
          <w:sz w:val="28"/>
          <w:szCs w:val="28"/>
          <w:highlight w:val="none"/>
          <w:lang w:val="en-US" w:eastAsia="zh-CN"/>
        </w:rPr>
        <w:t>1</w:t>
      </w:r>
    </w:p>
    <w:p w14:paraId="6F4C2877">
      <w:pPr>
        <w:pStyle w:val="24"/>
        <w:ind w:left="0" w:firstLine="0" w:firstLineChars="0"/>
        <w:jc w:val="center"/>
        <w:rPr>
          <w:rFonts w:hint="eastAsia"/>
          <w:sz w:val="21"/>
          <w:szCs w:val="21"/>
          <w:lang w:val="en-US" w:eastAsia="zh-CN"/>
        </w:rPr>
      </w:pPr>
      <w:r>
        <w:rPr>
          <w:rFonts w:hint="eastAsia" w:ascii="宋体" w:hAnsi="宋体" w:eastAsia="宋体" w:cs="宋体"/>
          <w:b/>
          <w:bCs/>
          <w:sz w:val="21"/>
          <w:szCs w:val="21"/>
          <w:highlight w:val="none"/>
          <w:lang w:val="en-US" w:eastAsia="zh-CN"/>
        </w:rPr>
        <w:t>（1）陶山服务区物业服务</w:t>
      </w:r>
    </w:p>
    <w:p w14:paraId="0BFF56EC">
      <w:pPr>
        <w:spacing w:line="380" w:lineRule="exact"/>
        <w:ind w:firstLine="331" w:firstLineChars="150"/>
        <w:rPr>
          <w:rFonts w:hint="eastAsia" w:ascii="宋体" w:hAnsi="宋体" w:eastAsia="宋体" w:cs="宋体"/>
          <w:b/>
          <w:bCs/>
          <w:sz w:val="22"/>
          <w:highlight w:val="none"/>
        </w:rPr>
      </w:pPr>
      <w:bookmarkStart w:id="194" w:name="_Toc448846626"/>
      <w:bookmarkStart w:id="195" w:name="_Toc249758721"/>
      <w:bookmarkStart w:id="196" w:name="_Toc249758871"/>
      <w:bookmarkStart w:id="197" w:name="_Toc262049425"/>
      <w:bookmarkStart w:id="198" w:name="_Toc262105510"/>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p w14:paraId="26E8E65B">
      <w:pPr>
        <w:rPr>
          <w:rFonts w:hint="eastAsia" w:ascii="宋体" w:hAnsi="宋体" w:eastAsia="宋体" w:cs="宋体"/>
          <w:b/>
          <w:szCs w:val="21"/>
          <w:highlight w:val="none"/>
        </w:rPr>
      </w:pPr>
    </w:p>
    <w:tbl>
      <w:tblPr>
        <w:tblStyle w:val="2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600"/>
        <w:gridCol w:w="615"/>
        <w:gridCol w:w="1323"/>
        <w:gridCol w:w="762"/>
        <w:gridCol w:w="1224"/>
        <w:gridCol w:w="1332"/>
        <w:gridCol w:w="2418"/>
      </w:tblGrid>
      <w:tr w14:paraId="51CA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14:paraId="1014EB31">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600" w:type="dxa"/>
            <w:noWrap w:val="0"/>
            <w:vAlign w:val="center"/>
          </w:tcPr>
          <w:p w14:paraId="58271E3C">
            <w:pPr>
              <w:tabs>
                <w:tab w:val="left" w:pos="1620"/>
              </w:tabs>
              <w:spacing w:line="240" w:lineRule="auto"/>
              <w:jc w:val="center"/>
              <w:rPr>
                <w:rFonts w:hint="eastAsia" w:ascii="宋体" w:hAnsi="宋体" w:eastAsia="宋体" w:cs="宋体"/>
                <w:b/>
                <w:color w:val="auto"/>
                <w:sz w:val="18"/>
                <w:szCs w:val="18"/>
                <w:highlight w:val="none"/>
              </w:rPr>
            </w:pPr>
          </w:p>
        </w:tc>
        <w:tc>
          <w:tcPr>
            <w:tcW w:w="1938" w:type="dxa"/>
            <w:gridSpan w:val="2"/>
            <w:noWrap w:val="0"/>
            <w:vAlign w:val="center"/>
          </w:tcPr>
          <w:p w14:paraId="192A9280">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    容</w:t>
            </w:r>
          </w:p>
        </w:tc>
        <w:tc>
          <w:tcPr>
            <w:tcW w:w="762" w:type="dxa"/>
            <w:noWrap w:val="0"/>
            <w:vAlign w:val="center"/>
          </w:tcPr>
          <w:p w14:paraId="18F4650A">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数量/单位</w:t>
            </w:r>
          </w:p>
        </w:tc>
        <w:tc>
          <w:tcPr>
            <w:tcW w:w="1224" w:type="dxa"/>
            <w:noWrap w:val="0"/>
            <w:vAlign w:val="center"/>
          </w:tcPr>
          <w:p w14:paraId="2462BCC7">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单价</w:t>
            </w:r>
          </w:p>
          <w:p w14:paraId="0BD06964">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（元/人/年）</w:t>
            </w:r>
          </w:p>
        </w:tc>
        <w:tc>
          <w:tcPr>
            <w:tcW w:w="1332" w:type="dxa"/>
            <w:noWrap w:val="0"/>
            <w:vAlign w:val="center"/>
          </w:tcPr>
          <w:p w14:paraId="1D360A1D">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合价（元/年）</w:t>
            </w:r>
          </w:p>
        </w:tc>
        <w:tc>
          <w:tcPr>
            <w:tcW w:w="2418" w:type="dxa"/>
            <w:noWrap w:val="0"/>
            <w:vAlign w:val="center"/>
          </w:tcPr>
          <w:p w14:paraId="32214CC9">
            <w:pPr>
              <w:tabs>
                <w:tab w:val="left" w:pos="1620"/>
              </w:tabs>
              <w:spacing w:line="24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  注</w:t>
            </w:r>
          </w:p>
        </w:tc>
      </w:tr>
      <w:tr w14:paraId="5718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restart"/>
            <w:noWrap w:val="0"/>
            <w:vAlign w:val="center"/>
          </w:tcPr>
          <w:p w14:paraId="4C13371D">
            <w:pPr>
              <w:tabs>
                <w:tab w:val="left" w:pos="1620"/>
              </w:tabs>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00" w:type="dxa"/>
            <w:vMerge w:val="restart"/>
            <w:noWrap w:val="0"/>
            <w:vAlign w:val="center"/>
          </w:tcPr>
          <w:p w14:paraId="0033B4CB">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人员费用</w:t>
            </w:r>
          </w:p>
        </w:tc>
        <w:tc>
          <w:tcPr>
            <w:tcW w:w="615" w:type="dxa"/>
            <w:vMerge w:val="restart"/>
            <w:noWrap w:val="0"/>
            <w:vAlign w:val="center"/>
          </w:tcPr>
          <w:p w14:paraId="35C2306E">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日常人员工资</w:t>
            </w:r>
          </w:p>
        </w:tc>
        <w:tc>
          <w:tcPr>
            <w:tcW w:w="1323" w:type="dxa"/>
            <w:noWrap w:val="0"/>
            <w:vAlign w:val="center"/>
          </w:tcPr>
          <w:p w14:paraId="33EB7D60">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物业</w:t>
            </w:r>
            <w:r>
              <w:rPr>
                <w:rFonts w:hint="eastAsia" w:ascii="宋体" w:hAnsi="宋体" w:eastAsia="宋体" w:cs="宋体"/>
                <w:color w:val="auto"/>
                <w:sz w:val="18"/>
                <w:szCs w:val="18"/>
                <w:highlight w:val="none"/>
              </w:rPr>
              <w:t>经理</w:t>
            </w:r>
          </w:p>
        </w:tc>
        <w:tc>
          <w:tcPr>
            <w:tcW w:w="762" w:type="dxa"/>
            <w:noWrap w:val="0"/>
            <w:vAlign w:val="center"/>
          </w:tcPr>
          <w:p w14:paraId="197755FD">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224" w:type="dxa"/>
            <w:noWrap w:val="0"/>
            <w:vAlign w:val="center"/>
          </w:tcPr>
          <w:p w14:paraId="4CAA3B08">
            <w:pPr>
              <w:tabs>
                <w:tab w:val="left" w:pos="1620"/>
              </w:tabs>
              <w:spacing w:line="240" w:lineRule="auto"/>
              <w:jc w:val="center"/>
              <w:rPr>
                <w:rFonts w:hint="eastAsia" w:ascii="宋体" w:hAnsi="宋体" w:eastAsia="宋体" w:cs="宋体"/>
                <w:color w:val="auto"/>
                <w:sz w:val="18"/>
                <w:szCs w:val="18"/>
                <w:highlight w:val="none"/>
              </w:rPr>
            </w:pPr>
          </w:p>
        </w:tc>
        <w:tc>
          <w:tcPr>
            <w:tcW w:w="1332" w:type="dxa"/>
            <w:noWrap w:val="0"/>
            <w:vAlign w:val="center"/>
          </w:tcPr>
          <w:p w14:paraId="4BF5AF80">
            <w:pPr>
              <w:tabs>
                <w:tab w:val="left" w:pos="1620"/>
              </w:tabs>
              <w:spacing w:line="240" w:lineRule="auto"/>
              <w:jc w:val="center"/>
              <w:rPr>
                <w:rFonts w:hint="eastAsia" w:ascii="宋体" w:hAnsi="宋体" w:eastAsia="宋体" w:cs="宋体"/>
                <w:color w:val="auto"/>
                <w:sz w:val="18"/>
                <w:szCs w:val="18"/>
                <w:highlight w:val="none"/>
              </w:rPr>
            </w:pPr>
          </w:p>
        </w:tc>
        <w:tc>
          <w:tcPr>
            <w:tcW w:w="2418" w:type="dxa"/>
            <w:vMerge w:val="restart"/>
            <w:noWrap w:val="0"/>
            <w:vAlign w:val="center"/>
          </w:tcPr>
          <w:p w14:paraId="5EA279ED">
            <w:pPr>
              <w:tabs>
                <w:tab w:val="left" w:pos="1620"/>
              </w:tabs>
              <w:spacing w:line="240" w:lineRule="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人员费用包含人员工资、社保、高温费用、餐费及其他（包括加班费、制服等）</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餐费按500元/人·月计</w:t>
            </w:r>
          </w:p>
        </w:tc>
      </w:tr>
      <w:tr w14:paraId="0D55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14:paraId="3207FB26">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14:paraId="2F9525A8">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14:paraId="1C2A6427">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14:paraId="082E6EA2">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水电工</w:t>
            </w:r>
          </w:p>
        </w:tc>
        <w:tc>
          <w:tcPr>
            <w:tcW w:w="762" w:type="dxa"/>
            <w:noWrap w:val="0"/>
            <w:vAlign w:val="center"/>
          </w:tcPr>
          <w:p w14:paraId="22F7C863">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224" w:type="dxa"/>
            <w:noWrap w:val="0"/>
            <w:vAlign w:val="center"/>
          </w:tcPr>
          <w:p w14:paraId="4B5BD7DC">
            <w:pPr>
              <w:tabs>
                <w:tab w:val="left" w:pos="1620"/>
              </w:tabs>
              <w:spacing w:line="240" w:lineRule="auto"/>
              <w:jc w:val="center"/>
              <w:rPr>
                <w:rFonts w:hint="eastAsia" w:ascii="宋体" w:hAnsi="宋体" w:eastAsia="宋体" w:cs="宋体"/>
                <w:color w:val="auto"/>
                <w:sz w:val="18"/>
                <w:szCs w:val="18"/>
                <w:highlight w:val="none"/>
              </w:rPr>
            </w:pPr>
          </w:p>
        </w:tc>
        <w:tc>
          <w:tcPr>
            <w:tcW w:w="1332" w:type="dxa"/>
            <w:noWrap w:val="0"/>
            <w:vAlign w:val="center"/>
          </w:tcPr>
          <w:p w14:paraId="332F3480">
            <w:pPr>
              <w:tabs>
                <w:tab w:val="left" w:pos="1620"/>
              </w:tabs>
              <w:spacing w:line="240" w:lineRule="auto"/>
              <w:jc w:val="center"/>
              <w:rPr>
                <w:rFonts w:hint="eastAsia" w:ascii="宋体" w:hAnsi="宋体" w:eastAsia="宋体" w:cs="宋体"/>
                <w:color w:val="auto"/>
                <w:sz w:val="18"/>
                <w:szCs w:val="18"/>
                <w:highlight w:val="none"/>
              </w:rPr>
            </w:pPr>
          </w:p>
        </w:tc>
        <w:tc>
          <w:tcPr>
            <w:tcW w:w="2418" w:type="dxa"/>
            <w:vMerge w:val="continue"/>
            <w:noWrap w:val="0"/>
            <w:vAlign w:val="center"/>
          </w:tcPr>
          <w:p w14:paraId="1671C602">
            <w:pPr>
              <w:tabs>
                <w:tab w:val="left" w:pos="1620"/>
              </w:tabs>
              <w:spacing w:line="240" w:lineRule="auto"/>
              <w:rPr>
                <w:rFonts w:hint="eastAsia" w:ascii="宋体" w:hAnsi="宋体" w:eastAsia="宋体" w:cs="宋体"/>
                <w:color w:val="auto"/>
                <w:sz w:val="18"/>
                <w:szCs w:val="18"/>
                <w:highlight w:val="none"/>
              </w:rPr>
            </w:pPr>
          </w:p>
        </w:tc>
      </w:tr>
      <w:tr w14:paraId="437B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81" w:type="dxa"/>
            <w:vMerge w:val="continue"/>
            <w:noWrap w:val="0"/>
            <w:vAlign w:val="center"/>
          </w:tcPr>
          <w:p w14:paraId="730A0578">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14:paraId="5AF2D936">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14:paraId="5C9FF076">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14:paraId="7003908E">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咨询台人员</w:t>
            </w:r>
          </w:p>
        </w:tc>
        <w:tc>
          <w:tcPr>
            <w:tcW w:w="762" w:type="dxa"/>
            <w:noWrap w:val="0"/>
            <w:vAlign w:val="center"/>
          </w:tcPr>
          <w:p w14:paraId="58ADA5CF">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1224" w:type="dxa"/>
            <w:noWrap w:val="0"/>
            <w:vAlign w:val="center"/>
          </w:tcPr>
          <w:p w14:paraId="3C903EAC">
            <w:pPr>
              <w:tabs>
                <w:tab w:val="left" w:pos="1620"/>
              </w:tabs>
              <w:spacing w:line="240" w:lineRule="auto"/>
              <w:jc w:val="center"/>
              <w:rPr>
                <w:rFonts w:hint="eastAsia" w:ascii="宋体" w:hAnsi="宋体" w:eastAsia="宋体" w:cs="宋体"/>
                <w:color w:val="auto"/>
                <w:sz w:val="18"/>
                <w:szCs w:val="18"/>
                <w:highlight w:val="none"/>
              </w:rPr>
            </w:pPr>
          </w:p>
        </w:tc>
        <w:tc>
          <w:tcPr>
            <w:tcW w:w="1332" w:type="dxa"/>
            <w:noWrap w:val="0"/>
            <w:vAlign w:val="center"/>
          </w:tcPr>
          <w:p w14:paraId="7F55E157">
            <w:pPr>
              <w:tabs>
                <w:tab w:val="left" w:pos="1620"/>
              </w:tabs>
              <w:spacing w:line="240" w:lineRule="auto"/>
              <w:jc w:val="center"/>
              <w:rPr>
                <w:rFonts w:hint="eastAsia" w:ascii="宋体" w:hAnsi="宋体" w:eastAsia="宋体" w:cs="宋体"/>
                <w:color w:val="auto"/>
                <w:sz w:val="18"/>
                <w:szCs w:val="18"/>
                <w:highlight w:val="none"/>
              </w:rPr>
            </w:pPr>
          </w:p>
        </w:tc>
        <w:tc>
          <w:tcPr>
            <w:tcW w:w="2418" w:type="dxa"/>
            <w:vMerge w:val="continue"/>
            <w:noWrap w:val="0"/>
            <w:vAlign w:val="center"/>
          </w:tcPr>
          <w:p w14:paraId="12D49777">
            <w:pPr>
              <w:tabs>
                <w:tab w:val="left" w:pos="1620"/>
              </w:tabs>
              <w:spacing w:line="240" w:lineRule="auto"/>
              <w:rPr>
                <w:rFonts w:hint="eastAsia" w:ascii="宋体" w:hAnsi="宋体" w:eastAsia="宋体" w:cs="宋体"/>
                <w:color w:val="auto"/>
                <w:sz w:val="18"/>
                <w:szCs w:val="18"/>
                <w:highlight w:val="none"/>
              </w:rPr>
            </w:pPr>
          </w:p>
        </w:tc>
      </w:tr>
      <w:tr w14:paraId="0EF0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14:paraId="679AB6CF">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14:paraId="2D616ED1">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14:paraId="547233E3">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14:paraId="54F3AABC">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保安队长</w:t>
            </w:r>
          </w:p>
        </w:tc>
        <w:tc>
          <w:tcPr>
            <w:tcW w:w="762" w:type="dxa"/>
            <w:noWrap w:val="0"/>
            <w:vAlign w:val="center"/>
          </w:tcPr>
          <w:p w14:paraId="01C7C623">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1224" w:type="dxa"/>
            <w:noWrap w:val="0"/>
            <w:vAlign w:val="center"/>
          </w:tcPr>
          <w:p w14:paraId="3613D57F">
            <w:pPr>
              <w:tabs>
                <w:tab w:val="left" w:pos="1620"/>
              </w:tabs>
              <w:spacing w:line="240" w:lineRule="auto"/>
              <w:jc w:val="center"/>
              <w:rPr>
                <w:rFonts w:hint="eastAsia" w:ascii="宋体" w:hAnsi="宋体" w:eastAsia="宋体" w:cs="宋体"/>
                <w:color w:val="auto"/>
                <w:sz w:val="18"/>
                <w:szCs w:val="18"/>
                <w:highlight w:val="none"/>
              </w:rPr>
            </w:pPr>
          </w:p>
        </w:tc>
        <w:tc>
          <w:tcPr>
            <w:tcW w:w="1332" w:type="dxa"/>
            <w:noWrap w:val="0"/>
            <w:vAlign w:val="center"/>
          </w:tcPr>
          <w:p w14:paraId="58164D95">
            <w:pPr>
              <w:tabs>
                <w:tab w:val="left" w:pos="1620"/>
              </w:tabs>
              <w:spacing w:line="240" w:lineRule="auto"/>
              <w:jc w:val="center"/>
              <w:rPr>
                <w:rFonts w:hint="eastAsia" w:ascii="宋体" w:hAnsi="宋体" w:eastAsia="宋体" w:cs="宋体"/>
                <w:color w:val="auto"/>
                <w:sz w:val="18"/>
                <w:szCs w:val="18"/>
                <w:highlight w:val="none"/>
              </w:rPr>
            </w:pPr>
          </w:p>
        </w:tc>
        <w:tc>
          <w:tcPr>
            <w:tcW w:w="2418" w:type="dxa"/>
            <w:vMerge w:val="continue"/>
            <w:noWrap w:val="0"/>
            <w:vAlign w:val="center"/>
          </w:tcPr>
          <w:p w14:paraId="5F064D60">
            <w:pPr>
              <w:tabs>
                <w:tab w:val="left" w:pos="1620"/>
              </w:tabs>
              <w:spacing w:line="240" w:lineRule="auto"/>
              <w:rPr>
                <w:rFonts w:hint="eastAsia" w:ascii="宋体" w:hAnsi="宋体" w:eastAsia="宋体" w:cs="宋体"/>
                <w:color w:val="auto"/>
                <w:sz w:val="18"/>
                <w:szCs w:val="18"/>
                <w:highlight w:val="none"/>
              </w:rPr>
            </w:pPr>
          </w:p>
        </w:tc>
      </w:tr>
      <w:tr w14:paraId="2C4C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14:paraId="353B951F">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14:paraId="6FF0DBD2">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14:paraId="7BB5A7BA">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noWrap w:val="0"/>
            <w:vAlign w:val="center"/>
          </w:tcPr>
          <w:p w14:paraId="35344C77">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保安员</w:t>
            </w:r>
          </w:p>
        </w:tc>
        <w:tc>
          <w:tcPr>
            <w:tcW w:w="762" w:type="dxa"/>
            <w:noWrap w:val="0"/>
            <w:vAlign w:val="center"/>
          </w:tcPr>
          <w:p w14:paraId="63203343">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18</w:t>
            </w:r>
          </w:p>
        </w:tc>
        <w:tc>
          <w:tcPr>
            <w:tcW w:w="1224" w:type="dxa"/>
            <w:noWrap w:val="0"/>
            <w:vAlign w:val="center"/>
          </w:tcPr>
          <w:p w14:paraId="2E2DAE7F">
            <w:pPr>
              <w:tabs>
                <w:tab w:val="left" w:pos="1620"/>
              </w:tabs>
              <w:spacing w:line="240" w:lineRule="auto"/>
              <w:jc w:val="center"/>
              <w:rPr>
                <w:rFonts w:hint="eastAsia" w:ascii="宋体" w:hAnsi="宋体" w:eastAsia="宋体" w:cs="宋体"/>
                <w:color w:val="auto"/>
                <w:sz w:val="18"/>
                <w:szCs w:val="18"/>
                <w:highlight w:val="none"/>
              </w:rPr>
            </w:pPr>
          </w:p>
        </w:tc>
        <w:tc>
          <w:tcPr>
            <w:tcW w:w="1332" w:type="dxa"/>
            <w:noWrap w:val="0"/>
            <w:vAlign w:val="center"/>
          </w:tcPr>
          <w:p w14:paraId="46694DC8">
            <w:pPr>
              <w:tabs>
                <w:tab w:val="left" w:pos="1620"/>
              </w:tabs>
              <w:spacing w:line="240" w:lineRule="auto"/>
              <w:jc w:val="center"/>
              <w:rPr>
                <w:rFonts w:hint="eastAsia" w:ascii="宋体" w:hAnsi="宋体" w:eastAsia="宋体" w:cs="宋体"/>
                <w:color w:val="auto"/>
                <w:sz w:val="18"/>
                <w:szCs w:val="18"/>
                <w:highlight w:val="none"/>
              </w:rPr>
            </w:pPr>
          </w:p>
        </w:tc>
        <w:tc>
          <w:tcPr>
            <w:tcW w:w="2418" w:type="dxa"/>
            <w:vMerge w:val="continue"/>
            <w:noWrap w:val="0"/>
            <w:vAlign w:val="center"/>
          </w:tcPr>
          <w:p w14:paraId="3F5CCB39">
            <w:pPr>
              <w:tabs>
                <w:tab w:val="left" w:pos="1620"/>
              </w:tabs>
              <w:spacing w:line="240" w:lineRule="auto"/>
              <w:rPr>
                <w:rFonts w:hint="eastAsia" w:ascii="宋体" w:hAnsi="宋体" w:eastAsia="宋体" w:cs="宋体"/>
                <w:color w:val="auto"/>
                <w:sz w:val="18"/>
                <w:szCs w:val="18"/>
                <w:highlight w:val="none"/>
              </w:rPr>
            </w:pPr>
          </w:p>
        </w:tc>
      </w:tr>
      <w:tr w14:paraId="6142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14:paraId="66A0775F">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14:paraId="3453ED87">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14:paraId="3BD4E4A5">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shd w:val="clear" w:color="auto" w:fill="auto"/>
            <w:noWrap w:val="0"/>
            <w:vAlign w:val="center"/>
          </w:tcPr>
          <w:p w14:paraId="5F1E0E9B">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保洁主管</w:t>
            </w:r>
          </w:p>
        </w:tc>
        <w:tc>
          <w:tcPr>
            <w:tcW w:w="762" w:type="dxa"/>
            <w:shd w:val="clear" w:color="auto" w:fill="auto"/>
            <w:noWrap w:val="0"/>
            <w:vAlign w:val="center"/>
          </w:tcPr>
          <w:p w14:paraId="5551B94D">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224" w:type="dxa"/>
            <w:noWrap w:val="0"/>
            <w:vAlign w:val="center"/>
          </w:tcPr>
          <w:p w14:paraId="17DA2BE5">
            <w:pPr>
              <w:tabs>
                <w:tab w:val="left" w:pos="1620"/>
              </w:tabs>
              <w:spacing w:line="240" w:lineRule="auto"/>
              <w:jc w:val="center"/>
              <w:rPr>
                <w:rFonts w:hint="eastAsia" w:ascii="宋体" w:hAnsi="宋体" w:eastAsia="宋体" w:cs="宋体"/>
                <w:color w:val="auto"/>
                <w:sz w:val="18"/>
                <w:szCs w:val="18"/>
                <w:highlight w:val="none"/>
              </w:rPr>
            </w:pPr>
          </w:p>
        </w:tc>
        <w:tc>
          <w:tcPr>
            <w:tcW w:w="1332" w:type="dxa"/>
            <w:noWrap w:val="0"/>
            <w:vAlign w:val="center"/>
          </w:tcPr>
          <w:p w14:paraId="30D8AB7A">
            <w:pPr>
              <w:tabs>
                <w:tab w:val="left" w:pos="1620"/>
              </w:tabs>
              <w:spacing w:line="240" w:lineRule="auto"/>
              <w:jc w:val="center"/>
              <w:rPr>
                <w:rFonts w:hint="eastAsia" w:ascii="宋体" w:hAnsi="宋体" w:eastAsia="宋体" w:cs="宋体"/>
                <w:color w:val="auto"/>
                <w:sz w:val="18"/>
                <w:szCs w:val="18"/>
                <w:highlight w:val="none"/>
              </w:rPr>
            </w:pPr>
          </w:p>
        </w:tc>
        <w:tc>
          <w:tcPr>
            <w:tcW w:w="2418" w:type="dxa"/>
            <w:vMerge w:val="continue"/>
            <w:noWrap w:val="0"/>
            <w:vAlign w:val="center"/>
          </w:tcPr>
          <w:p w14:paraId="1E343A53">
            <w:pPr>
              <w:tabs>
                <w:tab w:val="left" w:pos="1620"/>
              </w:tabs>
              <w:spacing w:line="240" w:lineRule="auto"/>
              <w:rPr>
                <w:rFonts w:hint="eastAsia" w:ascii="宋体" w:hAnsi="宋体" w:eastAsia="宋体" w:cs="宋体"/>
                <w:color w:val="auto"/>
                <w:sz w:val="18"/>
                <w:szCs w:val="18"/>
                <w:highlight w:val="none"/>
              </w:rPr>
            </w:pPr>
          </w:p>
        </w:tc>
      </w:tr>
      <w:tr w14:paraId="6161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14:paraId="33F93EF1">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14:paraId="719BA36B">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14:paraId="436C59ED">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shd w:val="clear" w:color="auto" w:fill="auto"/>
            <w:noWrap w:val="0"/>
            <w:vAlign w:val="center"/>
          </w:tcPr>
          <w:p w14:paraId="38733EF5">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保洁员</w:t>
            </w:r>
          </w:p>
        </w:tc>
        <w:tc>
          <w:tcPr>
            <w:tcW w:w="762" w:type="dxa"/>
            <w:shd w:val="clear" w:color="auto" w:fill="auto"/>
            <w:noWrap w:val="0"/>
            <w:vAlign w:val="center"/>
          </w:tcPr>
          <w:p w14:paraId="4C62CE2C">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22</w:t>
            </w:r>
          </w:p>
        </w:tc>
        <w:tc>
          <w:tcPr>
            <w:tcW w:w="1224" w:type="dxa"/>
            <w:noWrap w:val="0"/>
            <w:vAlign w:val="center"/>
          </w:tcPr>
          <w:p w14:paraId="59BD5CF6">
            <w:pPr>
              <w:tabs>
                <w:tab w:val="left" w:pos="1620"/>
              </w:tabs>
              <w:spacing w:line="240" w:lineRule="auto"/>
              <w:jc w:val="center"/>
              <w:rPr>
                <w:rFonts w:hint="eastAsia" w:ascii="宋体" w:hAnsi="宋体" w:eastAsia="宋体" w:cs="宋体"/>
                <w:color w:val="auto"/>
                <w:sz w:val="18"/>
                <w:szCs w:val="18"/>
                <w:highlight w:val="none"/>
              </w:rPr>
            </w:pPr>
          </w:p>
        </w:tc>
        <w:tc>
          <w:tcPr>
            <w:tcW w:w="1332" w:type="dxa"/>
            <w:noWrap w:val="0"/>
            <w:vAlign w:val="center"/>
          </w:tcPr>
          <w:p w14:paraId="4CCD59CE">
            <w:pPr>
              <w:tabs>
                <w:tab w:val="left" w:pos="1620"/>
              </w:tabs>
              <w:spacing w:line="240" w:lineRule="auto"/>
              <w:jc w:val="center"/>
              <w:rPr>
                <w:rFonts w:hint="eastAsia" w:ascii="宋体" w:hAnsi="宋体" w:eastAsia="宋体" w:cs="宋体"/>
                <w:color w:val="auto"/>
                <w:sz w:val="18"/>
                <w:szCs w:val="18"/>
                <w:highlight w:val="none"/>
              </w:rPr>
            </w:pPr>
          </w:p>
        </w:tc>
        <w:tc>
          <w:tcPr>
            <w:tcW w:w="2418" w:type="dxa"/>
            <w:vMerge w:val="continue"/>
            <w:noWrap w:val="0"/>
            <w:vAlign w:val="center"/>
          </w:tcPr>
          <w:p w14:paraId="4518D1E6">
            <w:pPr>
              <w:tabs>
                <w:tab w:val="left" w:pos="1620"/>
              </w:tabs>
              <w:spacing w:line="240" w:lineRule="auto"/>
              <w:rPr>
                <w:rFonts w:hint="eastAsia" w:ascii="宋体" w:hAnsi="宋体" w:eastAsia="宋体" w:cs="宋体"/>
                <w:color w:val="auto"/>
                <w:sz w:val="18"/>
                <w:szCs w:val="18"/>
                <w:highlight w:val="none"/>
              </w:rPr>
            </w:pPr>
          </w:p>
        </w:tc>
      </w:tr>
      <w:tr w14:paraId="23C7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vMerge w:val="continue"/>
            <w:noWrap w:val="0"/>
            <w:vAlign w:val="center"/>
          </w:tcPr>
          <w:p w14:paraId="7F49F9F6">
            <w:pPr>
              <w:tabs>
                <w:tab w:val="left" w:pos="1620"/>
              </w:tabs>
              <w:spacing w:line="240" w:lineRule="auto"/>
              <w:jc w:val="center"/>
              <w:rPr>
                <w:rFonts w:hint="eastAsia" w:ascii="宋体" w:hAnsi="宋体" w:eastAsia="宋体" w:cs="宋体"/>
                <w:color w:val="auto"/>
                <w:sz w:val="18"/>
                <w:szCs w:val="18"/>
                <w:highlight w:val="none"/>
              </w:rPr>
            </w:pPr>
          </w:p>
        </w:tc>
        <w:tc>
          <w:tcPr>
            <w:tcW w:w="600" w:type="dxa"/>
            <w:vMerge w:val="continue"/>
            <w:noWrap w:val="0"/>
            <w:vAlign w:val="center"/>
          </w:tcPr>
          <w:p w14:paraId="5D67D192">
            <w:pPr>
              <w:tabs>
                <w:tab w:val="left" w:pos="1050"/>
                <w:tab w:val="left" w:pos="1260"/>
                <w:tab w:val="left" w:pos="1620"/>
              </w:tabs>
              <w:spacing w:line="240" w:lineRule="auto"/>
              <w:ind w:right="-107" w:rightChars="-51"/>
              <w:jc w:val="center"/>
              <w:rPr>
                <w:rFonts w:hint="eastAsia" w:ascii="宋体" w:hAnsi="宋体" w:eastAsia="宋体" w:cs="宋体"/>
                <w:color w:val="auto"/>
                <w:sz w:val="18"/>
                <w:szCs w:val="18"/>
                <w:highlight w:val="none"/>
              </w:rPr>
            </w:pPr>
          </w:p>
        </w:tc>
        <w:tc>
          <w:tcPr>
            <w:tcW w:w="615" w:type="dxa"/>
            <w:vMerge w:val="continue"/>
            <w:noWrap w:val="0"/>
            <w:vAlign w:val="center"/>
          </w:tcPr>
          <w:p w14:paraId="06FAEB14">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sz w:val="18"/>
                <w:szCs w:val="18"/>
                <w:highlight w:val="none"/>
              </w:rPr>
            </w:pPr>
          </w:p>
        </w:tc>
        <w:tc>
          <w:tcPr>
            <w:tcW w:w="1323" w:type="dxa"/>
            <w:shd w:val="clear" w:color="auto" w:fill="auto"/>
            <w:noWrap w:val="0"/>
            <w:vAlign w:val="center"/>
          </w:tcPr>
          <w:p w14:paraId="2B7F07D1">
            <w:pPr>
              <w:tabs>
                <w:tab w:val="left" w:pos="1050"/>
                <w:tab w:val="left" w:pos="1260"/>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监控消控员</w:t>
            </w:r>
          </w:p>
        </w:tc>
        <w:tc>
          <w:tcPr>
            <w:tcW w:w="762" w:type="dxa"/>
            <w:shd w:val="clear" w:color="auto" w:fill="auto"/>
            <w:noWrap w:val="0"/>
            <w:vAlign w:val="center"/>
          </w:tcPr>
          <w:p w14:paraId="2F47BEF8">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p>
        </w:tc>
        <w:tc>
          <w:tcPr>
            <w:tcW w:w="1224" w:type="dxa"/>
            <w:noWrap w:val="0"/>
            <w:vAlign w:val="center"/>
          </w:tcPr>
          <w:p w14:paraId="757CBF6D">
            <w:pPr>
              <w:tabs>
                <w:tab w:val="left" w:pos="1620"/>
              </w:tabs>
              <w:spacing w:line="240" w:lineRule="auto"/>
              <w:jc w:val="center"/>
              <w:rPr>
                <w:rFonts w:hint="eastAsia" w:ascii="宋体" w:hAnsi="宋体" w:eastAsia="宋体" w:cs="宋体"/>
                <w:color w:val="auto"/>
                <w:sz w:val="18"/>
                <w:szCs w:val="18"/>
                <w:highlight w:val="none"/>
              </w:rPr>
            </w:pPr>
          </w:p>
        </w:tc>
        <w:tc>
          <w:tcPr>
            <w:tcW w:w="1332" w:type="dxa"/>
            <w:noWrap w:val="0"/>
            <w:vAlign w:val="center"/>
          </w:tcPr>
          <w:p w14:paraId="60BB90FB">
            <w:pPr>
              <w:tabs>
                <w:tab w:val="left" w:pos="1620"/>
              </w:tabs>
              <w:spacing w:line="240" w:lineRule="auto"/>
              <w:jc w:val="center"/>
              <w:rPr>
                <w:rFonts w:hint="eastAsia" w:ascii="宋体" w:hAnsi="宋体" w:eastAsia="宋体" w:cs="宋体"/>
                <w:color w:val="auto"/>
                <w:sz w:val="18"/>
                <w:szCs w:val="18"/>
                <w:highlight w:val="none"/>
              </w:rPr>
            </w:pPr>
          </w:p>
        </w:tc>
        <w:tc>
          <w:tcPr>
            <w:tcW w:w="2418" w:type="dxa"/>
            <w:vMerge w:val="continue"/>
            <w:noWrap w:val="0"/>
            <w:vAlign w:val="center"/>
          </w:tcPr>
          <w:p w14:paraId="6C1068EC">
            <w:pPr>
              <w:tabs>
                <w:tab w:val="left" w:pos="1620"/>
              </w:tabs>
              <w:spacing w:line="240" w:lineRule="auto"/>
              <w:rPr>
                <w:rFonts w:hint="eastAsia" w:ascii="宋体" w:hAnsi="宋体" w:eastAsia="宋体" w:cs="宋体"/>
                <w:color w:val="auto"/>
                <w:sz w:val="18"/>
                <w:szCs w:val="18"/>
                <w:highlight w:val="none"/>
              </w:rPr>
            </w:pPr>
          </w:p>
        </w:tc>
      </w:tr>
      <w:tr w14:paraId="6481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14:paraId="4D01AC97">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538" w:type="dxa"/>
            <w:gridSpan w:val="3"/>
            <w:noWrap w:val="0"/>
            <w:vAlign w:val="center"/>
          </w:tcPr>
          <w:p w14:paraId="3553CC63">
            <w:pPr>
              <w:tabs>
                <w:tab w:val="left" w:pos="1620"/>
              </w:tabs>
              <w:spacing w:line="240" w:lineRule="auto"/>
              <w:ind w:left="-107" w:leftChars="-51" w:right="-107" w:rightChars="-5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临时人员增加费用</w:t>
            </w:r>
          </w:p>
        </w:tc>
        <w:tc>
          <w:tcPr>
            <w:tcW w:w="3318" w:type="dxa"/>
            <w:gridSpan w:val="3"/>
            <w:noWrap w:val="0"/>
            <w:vAlign w:val="center"/>
          </w:tcPr>
          <w:p w14:paraId="6915E8E0">
            <w:pPr>
              <w:tabs>
                <w:tab w:val="left" w:pos="1620"/>
              </w:tabs>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u w:val="single"/>
                <w:lang w:val="en-US" w:eastAsia="zh-CN"/>
              </w:rPr>
              <w:t>80000元/年</w:t>
            </w:r>
          </w:p>
        </w:tc>
        <w:tc>
          <w:tcPr>
            <w:tcW w:w="2418" w:type="dxa"/>
            <w:vMerge w:val="restart"/>
            <w:shd w:val="clear" w:color="auto" w:fill="auto"/>
            <w:noWrap w:val="0"/>
            <w:vAlign w:val="center"/>
          </w:tcPr>
          <w:p w14:paraId="1341475F">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color w:val="auto"/>
                <w:sz w:val="18"/>
                <w:szCs w:val="18"/>
                <w:highlight w:val="none"/>
                <w:u w:val="single"/>
              </w:rPr>
              <w:t>不可竞争费用</w:t>
            </w:r>
          </w:p>
        </w:tc>
      </w:tr>
      <w:tr w14:paraId="018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shd w:val="clear" w:color="auto" w:fill="auto"/>
            <w:noWrap w:val="0"/>
            <w:vAlign w:val="center"/>
          </w:tcPr>
          <w:p w14:paraId="56244CF3">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w:t>
            </w:r>
          </w:p>
        </w:tc>
        <w:tc>
          <w:tcPr>
            <w:tcW w:w="2538" w:type="dxa"/>
            <w:gridSpan w:val="3"/>
            <w:shd w:val="clear" w:color="auto" w:fill="auto"/>
            <w:noWrap w:val="0"/>
            <w:vAlign w:val="center"/>
          </w:tcPr>
          <w:p w14:paraId="3430615C">
            <w:pPr>
              <w:tabs>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员工激励金</w:t>
            </w:r>
          </w:p>
        </w:tc>
        <w:tc>
          <w:tcPr>
            <w:tcW w:w="3318" w:type="dxa"/>
            <w:gridSpan w:val="3"/>
            <w:shd w:val="clear" w:color="auto" w:fill="auto"/>
            <w:noWrap w:val="0"/>
            <w:vAlign w:val="center"/>
          </w:tcPr>
          <w:p w14:paraId="4891F032">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pacing w:val="-20"/>
                <w:sz w:val="18"/>
                <w:szCs w:val="18"/>
                <w:highlight w:val="none"/>
                <w:u w:val="single"/>
                <w:lang w:val="en-US" w:eastAsia="zh-CN"/>
              </w:rPr>
              <w:t>60000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2418" w:type="dxa"/>
            <w:vMerge w:val="continue"/>
            <w:shd w:val="clear" w:color="auto" w:fill="auto"/>
            <w:noWrap w:val="0"/>
            <w:vAlign w:val="center"/>
          </w:tcPr>
          <w:p w14:paraId="41C71047">
            <w:pPr>
              <w:tabs>
                <w:tab w:val="left" w:pos="1620"/>
              </w:tabs>
              <w:spacing w:line="240" w:lineRule="auto"/>
              <w:jc w:val="center"/>
              <w:rPr>
                <w:rFonts w:hint="eastAsia" w:ascii="宋体" w:hAnsi="宋体" w:eastAsia="宋体" w:cs="宋体"/>
                <w:color w:val="auto"/>
                <w:kern w:val="2"/>
                <w:sz w:val="18"/>
                <w:szCs w:val="18"/>
                <w:highlight w:val="none"/>
                <w:u w:val="single"/>
                <w:lang w:val="en-US" w:eastAsia="zh-CN" w:bidi="ar-SA"/>
              </w:rPr>
            </w:pPr>
          </w:p>
        </w:tc>
      </w:tr>
      <w:tr w14:paraId="3819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14:paraId="6B7A9418">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538" w:type="dxa"/>
            <w:gridSpan w:val="3"/>
            <w:shd w:val="clear" w:color="auto" w:fill="auto"/>
            <w:noWrap w:val="0"/>
            <w:vAlign w:val="center"/>
          </w:tcPr>
          <w:p w14:paraId="5BCB8BDB">
            <w:pPr>
              <w:tabs>
                <w:tab w:val="left" w:pos="1620"/>
              </w:tabs>
              <w:spacing w:line="240" w:lineRule="auto"/>
              <w:ind w:left="-107" w:leftChars="-51" w:right="-107" w:rightChars="-51"/>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维修单价金额在50元以下维修费用</w:t>
            </w:r>
          </w:p>
        </w:tc>
        <w:tc>
          <w:tcPr>
            <w:tcW w:w="3318" w:type="dxa"/>
            <w:gridSpan w:val="3"/>
            <w:shd w:val="clear" w:color="auto" w:fill="auto"/>
            <w:noWrap w:val="0"/>
            <w:vAlign w:val="center"/>
          </w:tcPr>
          <w:p w14:paraId="1846F903">
            <w:pPr>
              <w:tabs>
                <w:tab w:val="left" w:pos="1620"/>
              </w:tabs>
              <w:spacing w:line="240" w:lineRule="auto"/>
              <w:jc w:val="center"/>
              <w:rPr>
                <w:rFonts w:hint="eastAsia" w:ascii="宋体" w:hAnsi="宋体" w:eastAsia="宋体" w:cs="宋体"/>
                <w:b/>
                <w:color w:val="auto"/>
                <w:spacing w:val="-20"/>
                <w:kern w:val="2"/>
                <w:sz w:val="18"/>
                <w:szCs w:val="18"/>
                <w:highlight w:val="none"/>
                <w:u w:val="single"/>
                <w:lang w:val="en-US" w:eastAsia="zh-CN" w:bidi="ar-SA"/>
              </w:rPr>
            </w:pPr>
            <w:r>
              <w:rPr>
                <w:rFonts w:hint="eastAsia" w:ascii="宋体" w:hAnsi="宋体" w:eastAsia="宋体" w:cs="宋体"/>
                <w:b/>
                <w:color w:val="auto"/>
                <w:spacing w:val="-20"/>
                <w:sz w:val="18"/>
                <w:szCs w:val="18"/>
                <w:highlight w:val="none"/>
                <w:u w:val="single"/>
                <w:lang w:val="en-US" w:eastAsia="zh-CN"/>
              </w:rPr>
              <w:t>40000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2418" w:type="dxa"/>
            <w:vMerge w:val="continue"/>
            <w:shd w:val="clear" w:color="auto" w:fill="auto"/>
            <w:noWrap w:val="0"/>
            <w:vAlign w:val="center"/>
          </w:tcPr>
          <w:p w14:paraId="4F6770E9">
            <w:pPr>
              <w:tabs>
                <w:tab w:val="left" w:pos="1620"/>
              </w:tabs>
              <w:spacing w:line="240" w:lineRule="auto"/>
              <w:jc w:val="center"/>
              <w:rPr>
                <w:rFonts w:hint="eastAsia" w:ascii="宋体" w:hAnsi="宋体" w:eastAsia="宋体" w:cs="宋体"/>
                <w:color w:val="auto"/>
                <w:kern w:val="2"/>
                <w:sz w:val="18"/>
                <w:szCs w:val="18"/>
                <w:highlight w:val="none"/>
                <w:u w:val="single"/>
                <w:lang w:val="en-US" w:eastAsia="zh-CN" w:bidi="ar-SA"/>
              </w:rPr>
            </w:pPr>
          </w:p>
        </w:tc>
      </w:tr>
      <w:tr w14:paraId="2AB2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81" w:type="dxa"/>
            <w:noWrap w:val="0"/>
            <w:vAlign w:val="center"/>
          </w:tcPr>
          <w:p w14:paraId="182CA392">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538" w:type="dxa"/>
            <w:gridSpan w:val="3"/>
            <w:shd w:val="clear" w:color="auto" w:fill="auto"/>
            <w:noWrap w:val="0"/>
            <w:vAlign w:val="center"/>
          </w:tcPr>
          <w:p w14:paraId="077F5ADE">
            <w:pPr>
              <w:tabs>
                <w:tab w:val="left" w:pos="1620"/>
              </w:tabs>
              <w:spacing w:line="240" w:lineRule="auto"/>
              <w:ind w:left="-107" w:leftChars="-51" w:right="-107" w:rightChars="-51"/>
              <w:jc w:val="center"/>
              <w:rPr>
                <w:rFonts w:hint="eastAsia" w:ascii="宋体" w:hAnsi="宋体" w:eastAsia="宋体" w:cs="宋体"/>
                <w:strike w:val="0"/>
                <w:color w:val="auto"/>
                <w:kern w:val="2"/>
                <w:sz w:val="18"/>
                <w:szCs w:val="18"/>
                <w:highlight w:val="none"/>
                <w:lang w:val="en-US" w:eastAsia="zh-CN" w:bidi="ar-SA"/>
              </w:rPr>
            </w:pPr>
            <w:r>
              <w:rPr>
                <w:rFonts w:hint="eastAsia" w:ascii="宋体" w:hAnsi="宋体" w:eastAsia="宋体" w:cs="宋体"/>
                <w:strike w:val="0"/>
                <w:color w:val="auto"/>
                <w:sz w:val="18"/>
                <w:szCs w:val="18"/>
                <w:highlight w:val="none"/>
              </w:rPr>
              <w:t>消防远程监控费</w:t>
            </w:r>
          </w:p>
        </w:tc>
        <w:tc>
          <w:tcPr>
            <w:tcW w:w="3318" w:type="dxa"/>
            <w:gridSpan w:val="3"/>
            <w:shd w:val="clear" w:color="auto" w:fill="auto"/>
            <w:noWrap w:val="0"/>
            <w:vAlign w:val="center"/>
          </w:tcPr>
          <w:p w14:paraId="6C480354">
            <w:pPr>
              <w:tabs>
                <w:tab w:val="left" w:pos="1620"/>
              </w:tabs>
              <w:spacing w:line="320" w:lineRule="exact"/>
              <w:jc w:val="center"/>
              <w:rPr>
                <w:rFonts w:hint="eastAsia" w:ascii="宋体" w:hAnsi="宋体" w:eastAsia="宋体" w:cs="宋体"/>
                <w:strike w:val="0"/>
                <w:color w:val="auto"/>
                <w:kern w:val="2"/>
                <w:sz w:val="18"/>
                <w:szCs w:val="18"/>
                <w:highlight w:val="none"/>
                <w:lang w:val="en-US" w:eastAsia="zh-CN" w:bidi="ar-SA"/>
              </w:rPr>
            </w:pPr>
            <w:r>
              <w:rPr>
                <w:rFonts w:hint="eastAsia" w:ascii="宋体" w:hAnsi="宋体" w:eastAsia="宋体" w:cs="宋体"/>
                <w:strike w:val="0"/>
                <w:color w:val="auto"/>
                <w:sz w:val="18"/>
                <w:szCs w:val="18"/>
                <w:highlight w:val="none"/>
                <w:u w:val="none"/>
                <w:lang w:val="en-US" w:eastAsia="zh-CN"/>
              </w:rPr>
              <w:t>4000</w:t>
            </w:r>
            <w:r>
              <w:rPr>
                <w:rFonts w:hint="eastAsia" w:ascii="宋体" w:hAnsi="宋体" w:eastAsia="宋体" w:cs="宋体"/>
                <w:strike w:val="0"/>
                <w:color w:val="auto"/>
                <w:sz w:val="18"/>
                <w:szCs w:val="18"/>
                <w:highlight w:val="none"/>
              </w:rPr>
              <w:t>元/年</w:t>
            </w:r>
          </w:p>
        </w:tc>
        <w:tc>
          <w:tcPr>
            <w:tcW w:w="2418" w:type="dxa"/>
            <w:vMerge w:val="continue"/>
            <w:shd w:val="clear" w:color="auto" w:fill="auto"/>
            <w:noWrap w:val="0"/>
            <w:vAlign w:val="center"/>
          </w:tcPr>
          <w:p w14:paraId="75FB3509">
            <w:pPr>
              <w:tabs>
                <w:tab w:val="left" w:pos="1620"/>
              </w:tabs>
              <w:spacing w:line="240" w:lineRule="auto"/>
              <w:jc w:val="center"/>
              <w:rPr>
                <w:rFonts w:hint="eastAsia" w:ascii="宋体" w:hAnsi="宋体" w:eastAsia="宋体" w:cs="宋体"/>
                <w:color w:val="auto"/>
                <w:kern w:val="2"/>
                <w:sz w:val="18"/>
                <w:szCs w:val="18"/>
                <w:highlight w:val="none"/>
                <w:u w:val="single"/>
                <w:lang w:val="en-US" w:eastAsia="zh-CN" w:bidi="ar-SA"/>
              </w:rPr>
            </w:pPr>
          </w:p>
        </w:tc>
      </w:tr>
      <w:tr w14:paraId="53E5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14:paraId="2574E0EB">
            <w:pPr>
              <w:tabs>
                <w:tab w:val="left" w:pos="1620"/>
              </w:tabs>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538" w:type="dxa"/>
            <w:gridSpan w:val="3"/>
            <w:noWrap w:val="0"/>
            <w:vAlign w:val="center"/>
          </w:tcPr>
          <w:p w14:paraId="3C640150">
            <w:pPr>
              <w:tabs>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化粪池清运费用</w:t>
            </w:r>
          </w:p>
        </w:tc>
        <w:tc>
          <w:tcPr>
            <w:tcW w:w="3318" w:type="dxa"/>
            <w:gridSpan w:val="3"/>
            <w:shd w:val="clear" w:color="auto" w:fill="auto"/>
            <w:noWrap w:val="0"/>
            <w:vAlign w:val="center"/>
          </w:tcPr>
          <w:p w14:paraId="526F55F1">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color w:val="auto"/>
                <w:spacing w:val="0"/>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20000元/年</w:t>
            </w:r>
          </w:p>
        </w:tc>
        <w:tc>
          <w:tcPr>
            <w:tcW w:w="2418" w:type="dxa"/>
            <w:vMerge w:val="continue"/>
            <w:shd w:val="clear" w:color="auto" w:fill="auto"/>
            <w:noWrap w:val="0"/>
            <w:vAlign w:val="center"/>
          </w:tcPr>
          <w:p w14:paraId="6B014F16">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p>
        </w:tc>
      </w:tr>
      <w:tr w14:paraId="4088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shd w:val="clear" w:color="auto" w:fill="auto"/>
            <w:noWrap w:val="0"/>
            <w:vAlign w:val="center"/>
          </w:tcPr>
          <w:p w14:paraId="2DACEDD9">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7</w:t>
            </w:r>
          </w:p>
        </w:tc>
        <w:tc>
          <w:tcPr>
            <w:tcW w:w="2538" w:type="dxa"/>
            <w:gridSpan w:val="3"/>
            <w:noWrap w:val="0"/>
            <w:vAlign w:val="center"/>
          </w:tcPr>
          <w:p w14:paraId="586B069D">
            <w:pPr>
              <w:tabs>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生活垃圾清运费用</w:t>
            </w:r>
          </w:p>
        </w:tc>
        <w:tc>
          <w:tcPr>
            <w:tcW w:w="3318" w:type="dxa"/>
            <w:gridSpan w:val="3"/>
            <w:shd w:val="clear" w:color="auto" w:fill="auto"/>
            <w:noWrap w:val="0"/>
            <w:vAlign w:val="center"/>
          </w:tcPr>
          <w:p w14:paraId="008344C7">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color w:val="auto"/>
                <w:spacing w:val="0"/>
                <w:kern w:val="2"/>
                <w:sz w:val="18"/>
                <w:szCs w:val="18"/>
                <w:highlight w:val="none"/>
                <w:u w:val="none"/>
                <w:lang w:val="en-US" w:eastAsia="zh-CN" w:bidi="ar-SA"/>
              </w:rPr>
            </w:pPr>
            <w:r>
              <w:rPr>
                <w:rFonts w:hint="eastAsia" w:ascii="宋体" w:hAnsi="宋体" w:eastAsia="宋体" w:cs="宋体"/>
                <w:b w:val="0"/>
                <w:color w:val="auto"/>
                <w:spacing w:val="0"/>
                <w:kern w:val="2"/>
                <w:sz w:val="18"/>
                <w:szCs w:val="18"/>
                <w:highlight w:val="none"/>
                <w:u w:val="none"/>
                <w:lang w:val="en-US" w:eastAsia="zh-CN" w:bidi="ar-SA"/>
              </w:rPr>
              <w:t>45000元/年</w:t>
            </w:r>
          </w:p>
        </w:tc>
        <w:tc>
          <w:tcPr>
            <w:tcW w:w="2418" w:type="dxa"/>
            <w:vMerge w:val="continue"/>
            <w:shd w:val="clear" w:color="auto" w:fill="auto"/>
            <w:noWrap w:val="0"/>
            <w:vAlign w:val="center"/>
          </w:tcPr>
          <w:p w14:paraId="40309692">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p>
        </w:tc>
      </w:tr>
      <w:tr w14:paraId="6D98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14:paraId="42681E4C">
            <w:pPr>
              <w:tabs>
                <w:tab w:val="left" w:pos="1620"/>
              </w:tabs>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2538" w:type="dxa"/>
            <w:gridSpan w:val="3"/>
            <w:noWrap w:val="0"/>
            <w:vAlign w:val="center"/>
          </w:tcPr>
          <w:p w14:paraId="6BDBD0D5">
            <w:pPr>
              <w:tabs>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服务区消杀费用</w:t>
            </w:r>
          </w:p>
        </w:tc>
        <w:tc>
          <w:tcPr>
            <w:tcW w:w="3318" w:type="dxa"/>
            <w:gridSpan w:val="3"/>
            <w:shd w:val="clear" w:color="auto" w:fill="auto"/>
            <w:noWrap w:val="0"/>
            <w:vAlign w:val="center"/>
          </w:tcPr>
          <w:p w14:paraId="4A9B2E40">
            <w:pPr>
              <w:keepNext w:val="0"/>
              <w:keepLines w:val="0"/>
              <w:pageBreakBefore w:val="0"/>
              <w:widowControl/>
              <w:tabs>
                <w:tab w:val="left" w:pos="1620"/>
              </w:tabs>
              <w:kinsoku/>
              <w:wordWrap/>
              <w:overflowPunct/>
              <w:topLinePunct w:val="0"/>
              <w:autoSpaceDE/>
              <w:autoSpaceDN/>
              <w:bidi w:val="0"/>
              <w:adjustRightInd/>
              <w:snapToGrid/>
              <w:spacing w:line="240" w:lineRule="auto"/>
              <w:ind w:left="-107" w:leftChars="-51" w:right="-107" w:rightChars="-51"/>
              <w:jc w:val="center"/>
              <w:textAlignment w:val="auto"/>
              <w:rPr>
                <w:rFonts w:hint="eastAsia" w:ascii="宋体" w:hAnsi="宋体" w:eastAsia="宋体" w:cs="宋体"/>
                <w:b w:val="0"/>
                <w:color w:val="auto"/>
                <w:spacing w:val="0"/>
                <w:kern w:val="2"/>
                <w:sz w:val="18"/>
                <w:szCs w:val="18"/>
                <w:highlight w:val="none"/>
                <w:u w:val="none"/>
                <w:lang w:val="en-US" w:eastAsia="zh-CN" w:bidi="ar-SA"/>
              </w:rPr>
            </w:pPr>
            <w:r>
              <w:rPr>
                <w:rFonts w:hint="eastAsia" w:ascii="宋体" w:hAnsi="宋体" w:eastAsia="宋体" w:cs="宋体"/>
                <w:b w:val="0"/>
                <w:color w:val="auto"/>
                <w:spacing w:val="0"/>
                <w:kern w:val="2"/>
                <w:sz w:val="18"/>
                <w:szCs w:val="18"/>
                <w:highlight w:val="none"/>
                <w:u w:val="none"/>
                <w:lang w:val="en-US" w:eastAsia="zh-CN" w:bidi="ar-SA"/>
              </w:rPr>
              <w:t>25000元/年</w:t>
            </w:r>
          </w:p>
        </w:tc>
        <w:tc>
          <w:tcPr>
            <w:tcW w:w="2418" w:type="dxa"/>
            <w:vMerge w:val="continue"/>
            <w:shd w:val="clear" w:color="auto" w:fill="auto"/>
            <w:noWrap w:val="0"/>
            <w:vAlign w:val="center"/>
          </w:tcPr>
          <w:p w14:paraId="3199CC89">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p>
        </w:tc>
      </w:tr>
      <w:tr w14:paraId="196B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14:paraId="405BA472">
            <w:pPr>
              <w:tabs>
                <w:tab w:val="left" w:pos="1620"/>
              </w:tabs>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2538" w:type="dxa"/>
            <w:gridSpan w:val="3"/>
            <w:noWrap w:val="0"/>
            <w:vAlign w:val="center"/>
          </w:tcPr>
          <w:p w14:paraId="0CF7EBB1">
            <w:pPr>
              <w:tabs>
                <w:tab w:val="left" w:pos="1620"/>
              </w:tabs>
              <w:spacing w:line="240" w:lineRule="auto"/>
              <w:ind w:left="-107" w:leftChars="-51" w:right="-107" w:rightChars="-5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车辆（扫地车、高压清洗车、巡逻车、高压冲洗车等设备）保养维修费用</w:t>
            </w:r>
          </w:p>
        </w:tc>
        <w:tc>
          <w:tcPr>
            <w:tcW w:w="3318" w:type="dxa"/>
            <w:gridSpan w:val="3"/>
            <w:shd w:val="clear" w:color="auto" w:fill="auto"/>
            <w:noWrap w:val="0"/>
            <w:vAlign w:val="center"/>
          </w:tcPr>
          <w:p w14:paraId="0EDAAA57">
            <w:pPr>
              <w:keepNext w:val="0"/>
              <w:keepLines w:val="0"/>
              <w:pageBreakBefore w:val="0"/>
              <w:widowControl/>
              <w:tabs>
                <w:tab w:val="left" w:pos="1620"/>
              </w:tabs>
              <w:kinsoku/>
              <w:wordWrap/>
              <w:overflowPunct/>
              <w:topLinePunct w:val="0"/>
              <w:autoSpaceDE/>
              <w:autoSpaceDN/>
              <w:bidi w:val="0"/>
              <w:adjustRightInd/>
              <w:snapToGrid/>
              <w:spacing w:line="240" w:lineRule="auto"/>
              <w:ind w:left="-107" w:leftChars="-51" w:right="-107" w:rightChars="-51"/>
              <w:jc w:val="center"/>
              <w:textAlignment w:val="auto"/>
              <w:rPr>
                <w:rFonts w:hint="eastAsia" w:ascii="宋体" w:hAnsi="宋体" w:eastAsia="宋体" w:cs="宋体"/>
                <w:b w:val="0"/>
                <w:color w:val="auto"/>
                <w:spacing w:val="0"/>
                <w:kern w:val="2"/>
                <w:sz w:val="18"/>
                <w:szCs w:val="18"/>
                <w:highlight w:val="none"/>
                <w:u w:val="none"/>
                <w:lang w:val="en-US" w:eastAsia="zh-CN" w:bidi="ar-SA"/>
              </w:rPr>
            </w:pPr>
            <w:r>
              <w:rPr>
                <w:rFonts w:hint="eastAsia" w:ascii="宋体" w:hAnsi="宋体" w:eastAsia="宋体" w:cs="宋体"/>
                <w:color w:val="auto"/>
                <w:sz w:val="18"/>
                <w:szCs w:val="18"/>
                <w:highlight w:val="none"/>
                <w:lang w:val="en-US" w:eastAsia="zh-CN"/>
              </w:rPr>
              <w:t>20000元/年</w:t>
            </w:r>
          </w:p>
        </w:tc>
        <w:tc>
          <w:tcPr>
            <w:tcW w:w="2418" w:type="dxa"/>
            <w:vMerge w:val="continue"/>
            <w:shd w:val="clear" w:color="auto" w:fill="auto"/>
            <w:noWrap w:val="0"/>
            <w:vAlign w:val="center"/>
          </w:tcPr>
          <w:p w14:paraId="4C1273B0">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p>
        </w:tc>
      </w:tr>
      <w:tr w14:paraId="2974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14:paraId="21E0B98F">
            <w:pPr>
              <w:tabs>
                <w:tab w:val="left" w:pos="1620"/>
              </w:tabs>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2538" w:type="dxa"/>
            <w:gridSpan w:val="3"/>
            <w:noWrap w:val="0"/>
            <w:vAlign w:val="center"/>
          </w:tcPr>
          <w:p w14:paraId="7A2A204C">
            <w:pPr>
              <w:tabs>
                <w:tab w:val="left" w:pos="1620"/>
              </w:tabs>
              <w:spacing w:line="240" w:lineRule="auto"/>
              <w:ind w:left="-107" w:leftChars="-51" w:right="-107" w:rightChars="-51"/>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空调维修与滤网清洗费用</w:t>
            </w:r>
          </w:p>
        </w:tc>
        <w:tc>
          <w:tcPr>
            <w:tcW w:w="3318" w:type="dxa"/>
            <w:gridSpan w:val="3"/>
            <w:shd w:val="clear" w:color="auto" w:fill="auto"/>
            <w:noWrap w:val="0"/>
            <w:vAlign w:val="center"/>
          </w:tcPr>
          <w:p w14:paraId="704CC3CF">
            <w:pPr>
              <w:keepNext w:val="0"/>
              <w:keepLines w:val="0"/>
              <w:pageBreakBefore w:val="0"/>
              <w:widowControl/>
              <w:tabs>
                <w:tab w:val="left" w:pos="1620"/>
              </w:tabs>
              <w:kinsoku/>
              <w:wordWrap/>
              <w:overflowPunct/>
              <w:topLinePunct w:val="0"/>
              <w:autoSpaceDE/>
              <w:autoSpaceDN/>
              <w:bidi w:val="0"/>
              <w:adjustRightInd/>
              <w:snapToGrid/>
              <w:spacing w:line="240" w:lineRule="auto"/>
              <w:ind w:left="-107" w:leftChars="-51" w:right="-107" w:rightChars="-51"/>
              <w:jc w:val="center"/>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15000元/年</w:t>
            </w:r>
          </w:p>
        </w:tc>
        <w:tc>
          <w:tcPr>
            <w:tcW w:w="2418" w:type="dxa"/>
            <w:vMerge w:val="continue"/>
            <w:shd w:val="clear" w:color="auto" w:fill="auto"/>
            <w:noWrap w:val="0"/>
            <w:vAlign w:val="center"/>
          </w:tcPr>
          <w:p w14:paraId="61688B57">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p>
        </w:tc>
      </w:tr>
      <w:tr w14:paraId="6B79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14:paraId="5D873748">
            <w:pPr>
              <w:tabs>
                <w:tab w:val="left" w:pos="1620"/>
              </w:tabs>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2538" w:type="dxa"/>
            <w:gridSpan w:val="3"/>
            <w:shd w:val="clear" w:color="auto" w:fill="auto"/>
            <w:noWrap w:val="0"/>
            <w:vAlign w:val="center"/>
          </w:tcPr>
          <w:p w14:paraId="01753510">
            <w:pPr>
              <w:tabs>
                <w:tab w:val="left" w:pos="1620"/>
              </w:tabs>
              <w:spacing w:line="240" w:lineRule="auto"/>
              <w:ind w:left="-107" w:leftChars="-51" w:right="-107" w:rightChars="-51"/>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生活水箱清洗费用</w:t>
            </w:r>
          </w:p>
        </w:tc>
        <w:tc>
          <w:tcPr>
            <w:tcW w:w="3318" w:type="dxa"/>
            <w:gridSpan w:val="3"/>
            <w:shd w:val="clear" w:color="auto" w:fill="auto"/>
            <w:noWrap w:val="0"/>
            <w:vAlign w:val="center"/>
          </w:tcPr>
          <w:p w14:paraId="27F0C0F7">
            <w:pPr>
              <w:keepNext w:val="0"/>
              <w:keepLines w:val="0"/>
              <w:pageBreakBefore w:val="0"/>
              <w:widowControl/>
              <w:tabs>
                <w:tab w:val="left" w:pos="1620"/>
              </w:tabs>
              <w:kinsoku/>
              <w:wordWrap/>
              <w:overflowPunct/>
              <w:topLinePunct w:val="0"/>
              <w:autoSpaceDE/>
              <w:autoSpaceDN/>
              <w:bidi w:val="0"/>
              <w:adjustRightInd/>
              <w:snapToGrid/>
              <w:spacing w:line="240" w:lineRule="auto"/>
              <w:ind w:left="-107" w:leftChars="-51" w:right="-107" w:rightChars="-51"/>
              <w:jc w:val="center"/>
              <w:textAlignment w:val="auto"/>
              <w:rPr>
                <w:rFonts w:hint="eastAsia" w:ascii="宋体" w:hAnsi="宋体" w:eastAsia="宋体" w:cs="宋体"/>
                <w:b w:val="0"/>
                <w:color w:val="auto"/>
                <w:spacing w:val="0"/>
                <w:kern w:val="2"/>
                <w:sz w:val="18"/>
                <w:szCs w:val="18"/>
                <w:highlight w:val="none"/>
                <w:u w:val="none"/>
                <w:lang w:val="en-US" w:eastAsia="zh-CN" w:bidi="ar-SA"/>
              </w:rPr>
            </w:pPr>
            <w:r>
              <w:rPr>
                <w:rFonts w:hint="eastAsia" w:ascii="宋体" w:hAnsi="宋体" w:eastAsia="宋体" w:cs="宋体"/>
                <w:b w:val="0"/>
                <w:color w:val="auto"/>
                <w:spacing w:val="0"/>
                <w:kern w:val="2"/>
                <w:sz w:val="18"/>
                <w:szCs w:val="18"/>
                <w:highlight w:val="none"/>
                <w:u w:val="none"/>
                <w:lang w:val="en-US" w:eastAsia="zh-CN" w:bidi="ar-SA"/>
              </w:rPr>
              <w:t>2000元/年</w:t>
            </w:r>
          </w:p>
        </w:tc>
        <w:tc>
          <w:tcPr>
            <w:tcW w:w="2418" w:type="dxa"/>
            <w:vMerge w:val="continue"/>
            <w:shd w:val="clear" w:color="auto" w:fill="auto"/>
            <w:noWrap w:val="0"/>
            <w:vAlign w:val="center"/>
          </w:tcPr>
          <w:p w14:paraId="1791BAA3">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p>
        </w:tc>
      </w:tr>
      <w:tr w14:paraId="3262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1" w:type="dxa"/>
            <w:noWrap w:val="0"/>
            <w:vAlign w:val="center"/>
          </w:tcPr>
          <w:p w14:paraId="3275433F">
            <w:pPr>
              <w:tabs>
                <w:tab w:val="left" w:pos="1620"/>
              </w:tabs>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2538" w:type="dxa"/>
            <w:gridSpan w:val="3"/>
            <w:noWrap w:val="0"/>
            <w:vAlign w:val="center"/>
          </w:tcPr>
          <w:p w14:paraId="7A8820E6">
            <w:pPr>
              <w:tabs>
                <w:tab w:val="left" w:pos="1620"/>
              </w:tabs>
              <w:spacing w:line="240" w:lineRule="auto"/>
              <w:ind w:left="-107" w:leftChars="-51" w:right="-107" w:rightChars="-51"/>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税金</w:t>
            </w:r>
          </w:p>
        </w:tc>
        <w:tc>
          <w:tcPr>
            <w:tcW w:w="3318" w:type="dxa"/>
            <w:gridSpan w:val="3"/>
            <w:noWrap w:val="0"/>
            <w:vAlign w:val="center"/>
          </w:tcPr>
          <w:p w14:paraId="43C3790A">
            <w:pPr>
              <w:widowControl/>
              <w:tabs>
                <w:tab w:val="left" w:pos="1620"/>
              </w:tabs>
              <w:spacing w:line="240" w:lineRule="auto"/>
              <w:ind w:left="-107" w:leftChars="-51" w:right="-107" w:rightChars="-51"/>
              <w:jc w:val="center"/>
              <w:rPr>
                <w:rFonts w:hint="eastAsia" w:ascii="宋体" w:hAnsi="宋体" w:eastAsia="宋体" w:cs="宋体"/>
                <w:b/>
                <w:color w:val="auto"/>
                <w:spacing w:val="-20"/>
                <w:sz w:val="18"/>
                <w:szCs w:val="18"/>
                <w:highlight w:val="none"/>
                <w:u w:val="single"/>
                <w:lang w:val="en-US" w:eastAsia="zh-CN"/>
              </w:rPr>
            </w:pPr>
          </w:p>
        </w:tc>
        <w:tc>
          <w:tcPr>
            <w:tcW w:w="2418" w:type="dxa"/>
            <w:noWrap w:val="0"/>
            <w:vAlign w:val="center"/>
          </w:tcPr>
          <w:p w14:paraId="0183D013">
            <w:pPr>
              <w:tabs>
                <w:tab w:val="left" w:pos="1620"/>
              </w:tabs>
              <w:spacing w:line="240" w:lineRule="auto"/>
              <w:jc w:val="center"/>
              <w:rPr>
                <w:rFonts w:hint="eastAsia" w:ascii="宋体" w:hAnsi="宋体" w:eastAsia="宋体" w:cs="宋体"/>
                <w:color w:val="auto"/>
                <w:kern w:val="2"/>
                <w:sz w:val="18"/>
                <w:szCs w:val="18"/>
                <w:highlight w:val="none"/>
                <w:lang w:val="en-US" w:eastAsia="zh-CN" w:bidi="ar-SA"/>
              </w:rPr>
            </w:pPr>
          </w:p>
        </w:tc>
      </w:tr>
      <w:tr w14:paraId="4D4B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9" w:type="dxa"/>
            <w:gridSpan w:val="4"/>
            <w:noWrap w:val="0"/>
            <w:vAlign w:val="center"/>
          </w:tcPr>
          <w:p w14:paraId="31898952">
            <w:pPr>
              <w:tabs>
                <w:tab w:val="left" w:pos="1620"/>
              </w:tabs>
              <w:spacing w:line="240" w:lineRule="auto"/>
              <w:ind w:left="-107" w:leftChars="-51" w:right="-107" w:rightChars="-51"/>
              <w:jc w:val="center"/>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总计价</w:t>
            </w:r>
            <w:r>
              <w:rPr>
                <w:rFonts w:hint="eastAsia" w:ascii="宋体" w:hAnsi="宋体" w:eastAsia="宋体" w:cs="宋体"/>
                <w:b/>
                <w:color w:val="auto"/>
                <w:sz w:val="18"/>
                <w:szCs w:val="18"/>
                <w:highlight w:val="none"/>
                <w:lang w:val="en-US" w:eastAsia="zh-CN"/>
              </w:rPr>
              <w:t>1</w:t>
            </w:r>
            <w:r>
              <w:rPr>
                <w:rFonts w:hint="eastAsia" w:ascii="宋体" w:hAnsi="宋体" w:eastAsia="宋体" w:cs="宋体"/>
                <w:b/>
                <w:color w:val="auto"/>
                <w:sz w:val="18"/>
                <w:szCs w:val="18"/>
                <w:highlight w:val="none"/>
              </w:rPr>
              <w:t>（1+2+3+4+5</w:t>
            </w:r>
            <w:r>
              <w:rPr>
                <w:rFonts w:hint="eastAsia" w:ascii="宋体" w:hAnsi="宋体" w:eastAsia="宋体" w:cs="宋体"/>
                <w:b/>
                <w:color w:val="auto"/>
                <w:sz w:val="18"/>
                <w:szCs w:val="18"/>
                <w:highlight w:val="none"/>
                <w:lang w:val="en-US" w:eastAsia="zh-CN"/>
              </w:rPr>
              <w:t>+6+7+8+9+10+11+12+...</w:t>
            </w:r>
            <w:r>
              <w:rPr>
                <w:rFonts w:hint="eastAsia" w:ascii="宋体" w:hAnsi="宋体" w:eastAsia="宋体" w:cs="宋体"/>
                <w:b/>
                <w:color w:val="auto"/>
                <w:sz w:val="18"/>
                <w:szCs w:val="18"/>
                <w:highlight w:val="none"/>
              </w:rPr>
              <w:t>）</w:t>
            </w:r>
          </w:p>
        </w:tc>
        <w:tc>
          <w:tcPr>
            <w:tcW w:w="5736" w:type="dxa"/>
            <w:gridSpan w:val="4"/>
            <w:noWrap w:val="0"/>
            <w:vAlign w:val="center"/>
          </w:tcPr>
          <w:p w14:paraId="0AC0B639">
            <w:pPr>
              <w:tabs>
                <w:tab w:val="left" w:pos="1620"/>
              </w:tabs>
              <w:spacing w:line="240" w:lineRule="auto"/>
              <w:jc w:val="center"/>
              <w:rPr>
                <w:rFonts w:hint="eastAsia" w:ascii="宋体" w:hAnsi="宋体" w:eastAsia="宋体" w:cs="宋体"/>
                <w:color w:val="auto"/>
                <w:sz w:val="18"/>
                <w:szCs w:val="18"/>
                <w:highlight w:val="none"/>
              </w:rPr>
            </w:pPr>
          </w:p>
        </w:tc>
      </w:tr>
    </w:tbl>
    <w:p w14:paraId="334BB77E">
      <w:pPr>
        <w:rPr>
          <w:rFonts w:hint="eastAsia" w:ascii="宋体" w:hAnsi="宋体" w:eastAsia="宋体" w:cs="宋体"/>
          <w:b/>
          <w:szCs w:val="21"/>
          <w:highlight w:val="none"/>
        </w:rPr>
      </w:pPr>
    </w:p>
    <w:p w14:paraId="0CF66EC6">
      <w:pPr>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说明：</w:t>
      </w:r>
      <w:r>
        <w:rPr>
          <w:rFonts w:hint="eastAsia" w:ascii="宋体" w:hAnsi="宋体" w:eastAsia="宋体" w:cs="宋体"/>
          <w:b/>
          <w:szCs w:val="21"/>
          <w:highlight w:val="none"/>
          <w:lang w:val="en-US" w:eastAsia="zh-CN"/>
        </w:rPr>
        <w:t xml:space="preserve"> </w:t>
      </w:r>
    </w:p>
    <w:p w14:paraId="741DD248">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注：1、以上核算需符合相关法律、法规及采购文件规定。</w:t>
      </w:r>
    </w:p>
    <w:p w14:paraId="1F2F1551">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2、</w:t>
      </w:r>
      <w:r>
        <w:rPr>
          <w:rFonts w:hint="eastAsia" w:ascii="宋体" w:hAnsi="宋体" w:eastAsia="宋体" w:cs="宋体"/>
          <w:b/>
          <w:szCs w:val="21"/>
          <w:highlight w:val="none"/>
          <w:lang w:val="en-US" w:eastAsia="zh-CN"/>
        </w:rPr>
        <w:t>此表</w:t>
      </w:r>
      <w:r>
        <w:rPr>
          <w:rFonts w:hint="eastAsia" w:ascii="宋体" w:hAnsi="宋体" w:eastAsia="宋体" w:cs="宋体"/>
          <w:b/>
          <w:szCs w:val="21"/>
          <w:highlight w:val="none"/>
        </w:rPr>
        <w:t>总计价</w:t>
      </w: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rPr>
        <w:t>应与附件</w:t>
      </w:r>
      <w:r>
        <w:rPr>
          <w:rFonts w:hint="eastAsia" w:ascii="宋体" w:hAnsi="宋体" w:eastAsia="宋体" w:cs="宋体"/>
          <w:b/>
          <w:szCs w:val="21"/>
          <w:highlight w:val="none"/>
          <w:lang w:val="en-US" w:eastAsia="zh-CN"/>
        </w:rPr>
        <w:t>十一</w:t>
      </w:r>
      <w:r>
        <w:rPr>
          <w:rFonts w:hint="eastAsia" w:ascii="宋体" w:hAnsi="宋体" w:eastAsia="宋体" w:cs="宋体"/>
          <w:b/>
          <w:szCs w:val="21"/>
          <w:highlight w:val="none"/>
        </w:rPr>
        <w:t>“开标一览表”中</w:t>
      </w:r>
      <w:r>
        <w:rPr>
          <w:rFonts w:hint="eastAsia" w:ascii="宋体" w:hAnsi="宋体" w:eastAsia="宋体" w:cs="宋体"/>
          <w:b/>
          <w:szCs w:val="21"/>
          <w:highlight w:val="none"/>
          <w:lang w:val="en-US" w:eastAsia="zh-CN"/>
        </w:rPr>
        <w:t>序号1“（1）陶山服务区物业服务”</w:t>
      </w:r>
      <w:r>
        <w:rPr>
          <w:rFonts w:hint="eastAsia" w:ascii="宋体" w:hAnsi="宋体" w:eastAsia="宋体" w:cs="宋体"/>
          <w:b/>
          <w:szCs w:val="21"/>
          <w:highlight w:val="none"/>
        </w:rPr>
        <w:t>投标</w:t>
      </w:r>
      <w:r>
        <w:rPr>
          <w:rFonts w:hint="eastAsia" w:ascii="宋体" w:hAnsi="宋体" w:eastAsia="宋体" w:cs="宋体"/>
          <w:b/>
          <w:szCs w:val="21"/>
          <w:highlight w:val="none"/>
          <w:lang w:val="en-US" w:eastAsia="zh-CN"/>
        </w:rPr>
        <w:t>报</w:t>
      </w:r>
      <w:r>
        <w:rPr>
          <w:rFonts w:hint="eastAsia" w:ascii="宋体" w:hAnsi="宋体" w:eastAsia="宋体" w:cs="宋体"/>
          <w:b/>
          <w:szCs w:val="21"/>
          <w:highlight w:val="none"/>
        </w:rPr>
        <w:t>价相一致。</w:t>
      </w:r>
    </w:p>
    <w:p w14:paraId="7812BE57">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3、</w:t>
      </w:r>
      <w:r>
        <w:rPr>
          <w:rFonts w:hint="eastAsia" w:ascii="宋体" w:hAnsi="宋体" w:eastAsia="宋体" w:cs="宋体"/>
          <w:b/>
          <w:szCs w:val="21"/>
          <w:highlight w:val="none"/>
          <w:u w:val="single"/>
        </w:rPr>
        <w:t>▲本表所列人员日常最低实付工资不得低于2800元/月。员工服装费、企业管理费及其他未列费用均为综合考虑。</w:t>
      </w:r>
    </w:p>
    <w:p w14:paraId="39233966">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4、</w:t>
      </w:r>
      <w:r>
        <w:rPr>
          <w:rFonts w:hint="eastAsia" w:ascii="宋体" w:hAnsi="宋体" w:eastAsia="宋体" w:cs="宋体"/>
          <w:b/>
          <w:szCs w:val="21"/>
          <w:highlight w:val="none"/>
          <w:u w:val="single"/>
        </w:rPr>
        <w:t>▲不提供详细分项报价将视为没有实质性响应采购文件</w:t>
      </w:r>
      <w:r>
        <w:rPr>
          <w:rFonts w:hint="eastAsia" w:ascii="宋体" w:hAnsi="宋体" w:eastAsia="宋体" w:cs="宋体"/>
          <w:b/>
          <w:szCs w:val="21"/>
          <w:highlight w:val="none"/>
        </w:rPr>
        <w:t>。</w:t>
      </w:r>
    </w:p>
    <w:p w14:paraId="77AFD114">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5、</w:t>
      </w:r>
      <w:r>
        <w:rPr>
          <w:rFonts w:hint="eastAsia" w:ascii="宋体" w:hAnsi="宋体" w:eastAsia="宋体" w:cs="宋体"/>
          <w:b/>
          <w:szCs w:val="21"/>
          <w:highlight w:val="none"/>
          <w:u w:val="single"/>
        </w:rPr>
        <w:t>▲</w:t>
      </w:r>
      <w:r>
        <w:rPr>
          <w:rFonts w:hint="eastAsia" w:ascii="宋体" w:hAnsi="宋体" w:eastAsia="宋体" w:cs="宋体"/>
          <w:b/>
          <w:szCs w:val="21"/>
          <w:highlight w:val="none"/>
          <w:u w:val="single"/>
          <w:lang w:val="en-US" w:eastAsia="zh-CN"/>
        </w:rPr>
        <w:t>不可竞争费用</w:t>
      </w:r>
      <w:r>
        <w:rPr>
          <w:rFonts w:hint="eastAsia" w:ascii="宋体" w:hAnsi="宋体" w:eastAsia="宋体" w:cs="宋体"/>
          <w:b/>
          <w:szCs w:val="21"/>
          <w:highlight w:val="none"/>
          <w:u w:val="single"/>
        </w:rPr>
        <w:t>报价低于本表规定的，做无效投标处理</w:t>
      </w:r>
      <w:r>
        <w:rPr>
          <w:rFonts w:hint="eastAsia" w:ascii="宋体" w:hAnsi="宋体" w:eastAsia="宋体" w:cs="宋体"/>
          <w:b/>
          <w:szCs w:val="21"/>
          <w:highlight w:val="none"/>
        </w:rPr>
        <w:t>。</w:t>
      </w:r>
    </w:p>
    <w:p w14:paraId="1C06BEE4">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 xml:space="preserve">6、本表可在不改变格式的情况下根据具体需要自行增减。 </w:t>
      </w:r>
    </w:p>
    <w:p w14:paraId="27F128AF">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7、本表各岗位人员“日常岗位工资”报价低于附件十一“服务人员最低月工资承诺函”中所承诺金额的，商务报价评分将按0分处理，低于2800元/月·人的作无效标处理。</w:t>
      </w:r>
    </w:p>
    <w:p w14:paraId="4F932D42">
      <w:pPr>
        <w:pStyle w:val="12"/>
        <w:rPr>
          <w:rFonts w:hint="eastAsia" w:ascii="宋体" w:hAnsi="宋体" w:eastAsia="宋体" w:cs="宋体"/>
          <w:highlight w:val="none"/>
        </w:rPr>
      </w:pPr>
    </w:p>
    <w:p w14:paraId="598D14FA">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6C4D3B45">
      <w:pPr>
        <w:spacing w:line="440" w:lineRule="exact"/>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036B130F">
      <w:pPr>
        <w:spacing w:line="440" w:lineRule="exact"/>
        <w:rPr>
          <w:rFonts w:hint="eastAsia" w:ascii="宋体" w:hAnsi="宋体" w:eastAsia="宋体" w:cs="宋体"/>
          <w:sz w:val="36"/>
          <w:szCs w:val="36"/>
          <w:highlight w:val="none"/>
        </w:rPr>
      </w:pPr>
      <w:r>
        <w:rPr>
          <w:rFonts w:hint="eastAsia" w:ascii="宋体" w:hAnsi="宋体" w:eastAsia="宋体" w:cs="宋体"/>
          <w:sz w:val="22"/>
          <w:highlight w:val="none"/>
        </w:rPr>
        <w:t>日 期：</w:t>
      </w:r>
    </w:p>
    <w:p w14:paraId="58A0AC47">
      <w:pPr>
        <w:keepLines w:val="0"/>
        <w:spacing w:before="0" w:after="0"/>
        <w:jc w:val="left"/>
        <w:outlineLvl w:val="9"/>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p>
    <w:p w14:paraId="49E81927">
      <w:pPr>
        <w:spacing w:line="460" w:lineRule="exact"/>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投标分项报价表</w:t>
      </w:r>
      <w:r>
        <w:rPr>
          <w:rFonts w:hint="eastAsia" w:ascii="宋体" w:hAnsi="宋体" w:eastAsia="宋体" w:cs="宋体"/>
          <w:b/>
          <w:bCs/>
          <w:sz w:val="28"/>
          <w:szCs w:val="28"/>
          <w:highlight w:val="none"/>
          <w:lang w:val="en-US" w:eastAsia="zh-CN"/>
        </w:rPr>
        <w:t>2</w:t>
      </w:r>
    </w:p>
    <w:p w14:paraId="57B0EA01">
      <w:pPr>
        <w:pStyle w:val="2"/>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w:t>
      </w:r>
      <w:r>
        <w:rPr>
          <w:rFonts w:hint="eastAsia" w:ascii="宋体" w:hAnsi="宋体" w:eastAsia="宋体" w:cs="宋体"/>
          <w:b/>
          <w:bCs/>
          <w:sz w:val="21"/>
          <w:szCs w:val="21"/>
          <w:highlight w:val="none"/>
          <w:lang w:val="en-US" w:eastAsia="zh-CN"/>
        </w:rPr>
        <w:t>2）</w:t>
      </w:r>
      <w:r>
        <w:rPr>
          <w:rFonts w:hint="eastAsia" w:ascii="宋体" w:hAnsi="宋体" w:eastAsia="宋体" w:cs="宋体"/>
          <w:b/>
          <w:bCs/>
          <w:sz w:val="21"/>
          <w:szCs w:val="21"/>
          <w:highlight w:val="none"/>
        </w:rPr>
        <w:t>“瓯江红·畅美高速”党群服务中心物业服务</w:t>
      </w:r>
    </w:p>
    <w:p w14:paraId="60CAE487">
      <w:pPr>
        <w:spacing w:line="380" w:lineRule="exact"/>
        <w:ind w:firstLine="331" w:firstLineChars="150"/>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661"/>
        <w:gridCol w:w="801"/>
        <w:gridCol w:w="1923"/>
        <w:gridCol w:w="2094"/>
        <w:gridCol w:w="1702"/>
      </w:tblGrid>
      <w:tr w14:paraId="1DF9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78" w:type="dxa"/>
            <w:tcBorders>
              <w:top w:val="single" w:color="auto" w:sz="12" w:space="0"/>
              <w:left w:val="single" w:color="auto" w:sz="12" w:space="0"/>
              <w:bottom w:val="single" w:color="auto" w:sz="12" w:space="0"/>
            </w:tcBorders>
            <w:noWrap w:val="0"/>
            <w:vAlign w:val="center"/>
          </w:tcPr>
          <w:p w14:paraId="2AEC3FC9">
            <w:pPr>
              <w:jc w:val="center"/>
              <w:rPr>
                <w:rFonts w:hint="eastAsia" w:ascii="宋体" w:hAnsi="宋体" w:eastAsia="宋体" w:cs="宋体"/>
                <w:bCs/>
                <w:szCs w:val="21"/>
              </w:rPr>
            </w:pPr>
            <w:r>
              <w:rPr>
                <w:rFonts w:hint="eastAsia" w:ascii="宋体" w:hAnsi="宋体" w:eastAsia="宋体" w:cs="宋体"/>
                <w:bCs/>
                <w:szCs w:val="21"/>
              </w:rPr>
              <w:t>序号</w:t>
            </w:r>
          </w:p>
        </w:tc>
        <w:tc>
          <w:tcPr>
            <w:tcW w:w="1661" w:type="dxa"/>
            <w:tcBorders>
              <w:top w:val="single" w:color="auto" w:sz="12" w:space="0"/>
              <w:bottom w:val="single" w:color="auto" w:sz="12" w:space="0"/>
            </w:tcBorders>
            <w:noWrap w:val="0"/>
            <w:vAlign w:val="center"/>
          </w:tcPr>
          <w:p w14:paraId="67ECE75D">
            <w:pPr>
              <w:jc w:val="center"/>
              <w:rPr>
                <w:rFonts w:hint="eastAsia" w:ascii="宋体" w:hAnsi="宋体" w:eastAsia="宋体" w:cs="宋体"/>
                <w:bCs/>
                <w:szCs w:val="21"/>
              </w:rPr>
            </w:pPr>
            <w:r>
              <w:rPr>
                <w:rFonts w:hint="eastAsia" w:ascii="宋体" w:hAnsi="宋体" w:eastAsia="宋体" w:cs="宋体"/>
                <w:bCs/>
                <w:szCs w:val="21"/>
              </w:rPr>
              <w:t>费用名称</w:t>
            </w:r>
          </w:p>
        </w:tc>
        <w:tc>
          <w:tcPr>
            <w:tcW w:w="801" w:type="dxa"/>
            <w:tcBorders>
              <w:top w:val="single" w:color="auto" w:sz="12" w:space="0"/>
              <w:bottom w:val="single" w:color="auto" w:sz="12" w:space="0"/>
            </w:tcBorders>
            <w:noWrap w:val="0"/>
            <w:vAlign w:val="center"/>
          </w:tcPr>
          <w:p w14:paraId="0746BE90">
            <w:pPr>
              <w:jc w:val="center"/>
              <w:rPr>
                <w:rFonts w:hint="eastAsia" w:ascii="宋体" w:hAnsi="宋体" w:eastAsia="宋体" w:cs="宋体"/>
                <w:bCs/>
                <w:szCs w:val="21"/>
              </w:rPr>
            </w:pPr>
            <w:r>
              <w:rPr>
                <w:rFonts w:hint="eastAsia" w:ascii="宋体" w:hAnsi="宋体" w:eastAsia="宋体" w:cs="宋体"/>
                <w:bCs/>
                <w:szCs w:val="21"/>
              </w:rPr>
              <w:t>数量</w:t>
            </w:r>
          </w:p>
        </w:tc>
        <w:tc>
          <w:tcPr>
            <w:tcW w:w="1923" w:type="dxa"/>
            <w:tcBorders>
              <w:top w:val="single" w:color="auto" w:sz="12" w:space="0"/>
              <w:bottom w:val="single" w:color="auto" w:sz="12" w:space="0"/>
            </w:tcBorders>
            <w:noWrap w:val="0"/>
            <w:vAlign w:val="center"/>
          </w:tcPr>
          <w:p w14:paraId="6FA7F5A3">
            <w:pPr>
              <w:ind w:right="0"/>
              <w:jc w:val="center"/>
              <w:rPr>
                <w:rFonts w:hint="eastAsia" w:ascii="宋体" w:hAnsi="宋体" w:eastAsia="宋体" w:cs="宋体"/>
                <w:szCs w:val="21"/>
              </w:rPr>
            </w:pPr>
            <w:r>
              <w:rPr>
                <w:rFonts w:hint="eastAsia" w:ascii="宋体" w:hAnsi="宋体" w:eastAsia="宋体" w:cs="宋体"/>
                <w:bCs/>
                <w:szCs w:val="21"/>
              </w:rPr>
              <w:t>单价</w:t>
            </w:r>
            <w:r>
              <w:rPr>
                <w:rFonts w:hint="eastAsia" w:ascii="宋体" w:hAnsi="宋体" w:eastAsia="宋体" w:cs="宋体"/>
                <w:bCs/>
                <w:szCs w:val="21"/>
                <w:lang w:eastAsia="zh-CN"/>
              </w:rPr>
              <w:t>（</w:t>
            </w:r>
            <w:r>
              <w:rPr>
                <w:rFonts w:hint="eastAsia" w:ascii="宋体" w:hAnsi="宋体" w:eastAsia="宋体" w:cs="宋体"/>
                <w:bCs/>
                <w:szCs w:val="21"/>
                <w:lang w:val="en-US" w:eastAsia="zh-CN"/>
              </w:rPr>
              <w:t>元/年</w:t>
            </w:r>
            <w:r>
              <w:rPr>
                <w:rFonts w:hint="eastAsia" w:ascii="宋体" w:hAnsi="宋体" w:eastAsia="宋体" w:cs="宋体"/>
                <w:szCs w:val="21"/>
                <w:lang w:eastAsia="zh-CN"/>
              </w:rPr>
              <w:t>，</w:t>
            </w:r>
            <w:r>
              <w:rPr>
                <w:rFonts w:hint="eastAsia" w:ascii="宋体" w:hAnsi="宋体" w:eastAsia="宋体" w:cs="宋体"/>
                <w:szCs w:val="21"/>
              </w:rPr>
              <w:t>含税）</w:t>
            </w:r>
          </w:p>
        </w:tc>
        <w:tc>
          <w:tcPr>
            <w:tcW w:w="2094" w:type="dxa"/>
            <w:tcBorders>
              <w:top w:val="single" w:color="auto" w:sz="12" w:space="0"/>
              <w:bottom w:val="single" w:color="auto" w:sz="12" w:space="0"/>
            </w:tcBorders>
            <w:noWrap w:val="0"/>
            <w:vAlign w:val="center"/>
          </w:tcPr>
          <w:p w14:paraId="3927DE65">
            <w:pPr>
              <w:jc w:val="center"/>
              <w:rPr>
                <w:rFonts w:hint="eastAsia" w:ascii="宋体" w:hAnsi="宋体" w:eastAsia="宋体" w:cs="宋体"/>
                <w:szCs w:val="21"/>
              </w:rPr>
            </w:pPr>
            <w:r>
              <w:rPr>
                <w:rFonts w:hint="eastAsia" w:ascii="宋体" w:hAnsi="宋体" w:eastAsia="宋体" w:cs="宋体"/>
                <w:bCs/>
                <w:szCs w:val="21"/>
              </w:rPr>
              <w:t>合价</w:t>
            </w:r>
            <w:r>
              <w:rPr>
                <w:rFonts w:hint="eastAsia" w:ascii="宋体" w:hAnsi="宋体" w:eastAsia="宋体" w:cs="宋体"/>
                <w:bCs/>
                <w:szCs w:val="21"/>
                <w:lang w:eastAsia="zh-CN"/>
              </w:rPr>
              <w:t>（</w:t>
            </w:r>
            <w:r>
              <w:rPr>
                <w:rFonts w:hint="eastAsia" w:ascii="宋体" w:hAnsi="宋体" w:eastAsia="宋体" w:cs="宋体"/>
                <w:bCs/>
                <w:szCs w:val="21"/>
                <w:lang w:val="en-US" w:eastAsia="zh-CN"/>
              </w:rPr>
              <w:t>元/年</w:t>
            </w:r>
            <w:r>
              <w:rPr>
                <w:rFonts w:hint="eastAsia" w:ascii="宋体" w:hAnsi="宋体" w:eastAsia="宋体" w:cs="宋体"/>
                <w:szCs w:val="21"/>
                <w:lang w:eastAsia="zh-CN"/>
              </w:rPr>
              <w:t>，</w:t>
            </w:r>
            <w:r>
              <w:rPr>
                <w:rFonts w:hint="eastAsia" w:ascii="宋体" w:hAnsi="宋体" w:eastAsia="宋体" w:cs="宋体"/>
                <w:szCs w:val="21"/>
              </w:rPr>
              <w:t>含税）</w:t>
            </w:r>
          </w:p>
        </w:tc>
        <w:tc>
          <w:tcPr>
            <w:tcW w:w="1702" w:type="dxa"/>
            <w:tcBorders>
              <w:top w:val="single" w:color="auto" w:sz="12" w:space="0"/>
              <w:bottom w:val="single" w:color="auto" w:sz="12" w:space="0"/>
              <w:right w:val="single" w:color="auto" w:sz="12" w:space="0"/>
            </w:tcBorders>
            <w:noWrap w:val="0"/>
            <w:vAlign w:val="center"/>
          </w:tcPr>
          <w:p w14:paraId="60C03C56">
            <w:pPr>
              <w:jc w:val="center"/>
              <w:rPr>
                <w:rFonts w:hint="eastAsia" w:ascii="宋体" w:hAnsi="宋体" w:eastAsia="宋体" w:cs="宋体"/>
                <w:bCs/>
                <w:szCs w:val="21"/>
              </w:rPr>
            </w:pPr>
            <w:r>
              <w:rPr>
                <w:rFonts w:hint="eastAsia" w:ascii="宋体" w:hAnsi="宋体" w:eastAsia="宋体" w:cs="宋体"/>
                <w:bCs/>
                <w:szCs w:val="21"/>
              </w:rPr>
              <w:t>备注</w:t>
            </w:r>
          </w:p>
        </w:tc>
      </w:tr>
      <w:tr w14:paraId="2629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14:paraId="6641C291">
            <w:pPr>
              <w:numPr>
                <w:ilvl w:val="0"/>
                <w:numId w:val="28"/>
              </w:numPr>
              <w:ind w:right="-11"/>
              <w:jc w:val="center"/>
              <w:rPr>
                <w:rFonts w:hint="eastAsia" w:ascii="宋体" w:hAnsi="宋体" w:eastAsia="宋体" w:cs="宋体"/>
                <w:szCs w:val="21"/>
              </w:rPr>
            </w:pPr>
          </w:p>
        </w:tc>
        <w:tc>
          <w:tcPr>
            <w:tcW w:w="1661" w:type="dxa"/>
            <w:noWrap w:val="0"/>
            <w:vAlign w:val="center"/>
          </w:tcPr>
          <w:p w14:paraId="54218F86">
            <w:pPr>
              <w:rPr>
                <w:rFonts w:hint="default" w:ascii="宋体" w:hAnsi="宋体" w:eastAsia="宋体" w:cs="宋体"/>
                <w:szCs w:val="21"/>
                <w:lang w:val="en-US" w:eastAsia="zh-CN"/>
              </w:rPr>
            </w:pPr>
            <w:r>
              <w:rPr>
                <w:rFonts w:hint="eastAsia" w:ascii="宋体" w:hAnsi="宋体" w:eastAsia="宋体" w:cs="宋体"/>
                <w:szCs w:val="21"/>
                <w:lang w:val="en-US" w:eastAsia="zh-CN"/>
              </w:rPr>
              <w:t>日常岗位工资</w:t>
            </w:r>
          </w:p>
        </w:tc>
        <w:tc>
          <w:tcPr>
            <w:tcW w:w="801" w:type="dxa"/>
            <w:noWrap w:val="0"/>
            <w:vAlign w:val="center"/>
          </w:tcPr>
          <w:p w14:paraId="5BD0AA35">
            <w:pPr>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923" w:type="dxa"/>
            <w:noWrap w:val="0"/>
            <w:vAlign w:val="center"/>
          </w:tcPr>
          <w:p w14:paraId="7E8A9AD7">
            <w:pPr>
              <w:ind w:right="-11"/>
              <w:jc w:val="center"/>
              <w:rPr>
                <w:rFonts w:hint="eastAsia" w:ascii="宋体" w:hAnsi="宋体" w:eastAsia="宋体" w:cs="宋体"/>
                <w:szCs w:val="21"/>
              </w:rPr>
            </w:pPr>
          </w:p>
        </w:tc>
        <w:tc>
          <w:tcPr>
            <w:tcW w:w="2094" w:type="dxa"/>
            <w:noWrap w:val="0"/>
            <w:vAlign w:val="center"/>
          </w:tcPr>
          <w:p w14:paraId="18E58D8B">
            <w:pPr>
              <w:ind w:right="-11"/>
              <w:jc w:val="center"/>
              <w:rPr>
                <w:rFonts w:hint="eastAsia" w:ascii="宋体" w:hAnsi="宋体" w:eastAsia="宋体" w:cs="宋体"/>
                <w:szCs w:val="21"/>
              </w:rPr>
            </w:pPr>
          </w:p>
        </w:tc>
        <w:tc>
          <w:tcPr>
            <w:tcW w:w="1702" w:type="dxa"/>
            <w:tcBorders>
              <w:right w:val="single" w:color="auto" w:sz="12" w:space="0"/>
            </w:tcBorders>
            <w:noWrap w:val="0"/>
            <w:vAlign w:val="center"/>
          </w:tcPr>
          <w:p w14:paraId="59524F38">
            <w:pPr>
              <w:ind w:right="-11"/>
              <w:jc w:val="center"/>
              <w:rPr>
                <w:rFonts w:hint="eastAsia" w:ascii="宋体" w:hAnsi="宋体" w:eastAsia="宋体" w:cs="宋体"/>
                <w:szCs w:val="21"/>
              </w:rPr>
            </w:pPr>
          </w:p>
        </w:tc>
      </w:tr>
      <w:tr w14:paraId="2F05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14:paraId="04A3674F">
            <w:pPr>
              <w:numPr>
                <w:ilvl w:val="0"/>
                <w:numId w:val="28"/>
              </w:numPr>
              <w:ind w:right="-11"/>
              <w:jc w:val="center"/>
              <w:rPr>
                <w:rFonts w:hint="eastAsia" w:ascii="宋体" w:hAnsi="宋体" w:eastAsia="宋体" w:cs="宋体"/>
                <w:szCs w:val="21"/>
              </w:rPr>
            </w:pPr>
          </w:p>
        </w:tc>
        <w:tc>
          <w:tcPr>
            <w:tcW w:w="1661" w:type="dxa"/>
            <w:noWrap w:val="0"/>
            <w:vAlign w:val="center"/>
          </w:tcPr>
          <w:p w14:paraId="112B2B0F">
            <w:pPr>
              <w:rPr>
                <w:rFonts w:hint="eastAsia" w:ascii="宋体" w:hAnsi="宋体" w:eastAsia="宋体" w:cs="宋体"/>
                <w:szCs w:val="21"/>
                <w:lang w:val="en-US" w:eastAsia="zh-CN"/>
              </w:rPr>
            </w:pPr>
            <w:r>
              <w:rPr>
                <w:rFonts w:hint="eastAsia" w:ascii="宋体" w:hAnsi="宋体" w:eastAsia="宋体" w:cs="宋体"/>
                <w:szCs w:val="21"/>
                <w:lang w:val="en-US" w:eastAsia="zh-CN"/>
              </w:rPr>
              <w:t>员工社会保险</w:t>
            </w:r>
          </w:p>
        </w:tc>
        <w:tc>
          <w:tcPr>
            <w:tcW w:w="801" w:type="dxa"/>
            <w:noWrap w:val="0"/>
            <w:vAlign w:val="center"/>
          </w:tcPr>
          <w:p w14:paraId="0E47EF7D">
            <w:pPr>
              <w:ind w:right="-11"/>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1923" w:type="dxa"/>
            <w:noWrap w:val="0"/>
            <w:vAlign w:val="center"/>
          </w:tcPr>
          <w:p w14:paraId="674B624E">
            <w:pPr>
              <w:ind w:right="-11"/>
              <w:jc w:val="center"/>
              <w:rPr>
                <w:rFonts w:hint="eastAsia" w:ascii="宋体" w:hAnsi="宋体" w:eastAsia="宋体" w:cs="宋体"/>
                <w:szCs w:val="21"/>
              </w:rPr>
            </w:pPr>
          </w:p>
        </w:tc>
        <w:tc>
          <w:tcPr>
            <w:tcW w:w="2094" w:type="dxa"/>
            <w:noWrap w:val="0"/>
            <w:vAlign w:val="center"/>
          </w:tcPr>
          <w:p w14:paraId="55022530">
            <w:pPr>
              <w:ind w:right="-11"/>
              <w:jc w:val="center"/>
              <w:rPr>
                <w:rFonts w:hint="eastAsia" w:ascii="宋体" w:hAnsi="宋体" w:eastAsia="宋体" w:cs="宋体"/>
                <w:szCs w:val="21"/>
              </w:rPr>
            </w:pPr>
          </w:p>
        </w:tc>
        <w:tc>
          <w:tcPr>
            <w:tcW w:w="1702" w:type="dxa"/>
            <w:tcBorders>
              <w:right w:val="single" w:color="auto" w:sz="12" w:space="0"/>
            </w:tcBorders>
            <w:noWrap w:val="0"/>
            <w:vAlign w:val="center"/>
          </w:tcPr>
          <w:p w14:paraId="2B798741">
            <w:pPr>
              <w:ind w:right="-11"/>
              <w:jc w:val="center"/>
              <w:rPr>
                <w:rFonts w:hint="eastAsia" w:ascii="宋体" w:hAnsi="宋体" w:eastAsia="宋体" w:cs="宋体"/>
                <w:szCs w:val="21"/>
              </w:rPr>
            </w:pPr>
          </w:p>
        </w:tc>
      </w:tr>
      <w:tr w14:paraId="6A62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14:paraId="2626AABE">
            <w:pPr>
              <w:numPr>
                <w:ilvl w:val="0"/>
                <w:numId w:val="28"/>
              </w:numPr>
              <w:ind w:right="-11"/>
              <w:jc w:val="center"/>
              <w:rPr>
                <w:rFonts w:hint="eastAsia" w:ascii="宋体" w:hAnsi="宋体" w:eastAsia="宋体" w:cs="宋体"/>
                <w:szCs w:val="21"/>
              </w:rPr>
            </w:pPr>
          </w:p>
        </w:tc>
        <w:tc>
          <w:tcPr>
            <w:tcW w:w="1661" w:type="dxa"/>
            <w:noWrap w:val="0"/>
            <w:vAlign w:val="center"/>
          </w:tcPr>
          <w:p w14:paraId="0FF13901">
            <w:pPr>
              <w:rPr>
                <w:rFonts w:hint="default" w:ascii="宋体" w:hAnsi="宋体" w:eastAsia="宋体" w:cs="宋体"/>
                <w:szCs w:val="21"/>
                <w:lang w:val="en-US" w:eastAsia="zh-CN"/>
              </w:rPr>
            </w:pPr>
            <w:r>
              <w:rPr>
                <w:rFonts w:hint="eastAsia" w:ascii="宋体" w:hAnsi="宋体" w:eastAsia="宋体" w:cs="宋体"/>
                <w:szCs w:val="21"/>
                <w:lang w:val="en-US" w:eastAsia="zh-CN"/>
              </w:rPr>
              <w:t>节假日补贴</w:t>
            </w:r>
          </w:p>
        </w:tc>
        <w:tc>
          <w:tcPr>
            <w:tcW w:w="801" w:type="dxa"/>
            <w:noWrap w:val="0"/>
            <w:vAlign w:val="center"/>
          </w:tcPr>
          <w:p w14:paraId="32DD7E74">
            <w:pPr>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923" w:type="dxa"/>
            <w:noWrap w:val="0"/>
            <w:vAlign w:val="center"/>
          </w:tcPr>
          <w:p w14:paraId="2A2F0BE0">
            <w:pPr>
              <w:ind w:right="-11"/>
              <w:jc w:val="center"/>
              <w:rPr>
                <w:rFonts w:hint="eastAsia" w:ascii="宋体" w:hAnsi="宋体" w:eastAsia="宋体" w:cs="宋体"/>
                <w:szCs w:val="21"/>
              </w:rPr>
            </w:pPr>
          </w:p>
        </w:tc>
        <w:tc>
          <w:tcPr>
            <w:tcW w:w="2094" w:type="dxa"/>
            <w:noWrap w:val="0"/>
            <w:vAlign w:val="center"/>
          </w:tcPr>
          <w:p w14:paraId="263EDDD7">
            <w:pPr>
              <w:ind w:right="-11"/>
              <w:jc w:val="center"/>
              <w:rPr>
                <w:rFonts w:hint="eastAsia" w:ascii="宋体" w:hAnsi="宋体" w:eastAsia="宋体" w:cs="宋体"/>
                <w:szCs w:val="21"/>
              </w:rPr>
            </w:pPr>
          </w:p>
        </w:tc>
        <w:tc>
          <w:tcPr>
            <w:tcW w:w="1702" w:type="dxa"/>
            <w:tcBorders>
              <w:right w:val="single" w:color="auto" w:sz="12" w:space="0"/>
            </w:tcBorders>
            <w:noWrap w:val="0"/>
            <w:vAlign w:val="center"/>
          </w:tcPr>
          <w:p w14:paraId="20748896">
            <w:pPr>
              <w:ind w:right="-11"/>
              <w:jc w:val="center"/>
              <w:rPr>
                <w:rFonts w:hint="eastAsia" w:ascii="宋体" w:hAnsi="宋体" w:eastAsia="宋体" w:cs="宋体"/>
                <w:szCs w:val="21"/>
              </w:rPr>
            </w:pPr>
          </w:p>
        </w:tc>
      </w:tr>
      <w:tr w14:paraId="6FF2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14:paraId="5505351D">
            <w:pPr>
              <w:numPr>
                <w:ilvl w:val="0"/>
                <w:numId w:val="28"/>
              </w:numPr>
              <w:spacing w:line="360" w:lineRule="auto"/>
              <w:ind w:right="-11"/>
              <w:jc w:val="center"/>
              <w:rPr>
                <w:rFonts w:hint="eastAsia" w:ascii="宋体" w:hAnsi="宋体" w:eastAsia="宋体" w:cs="宋体"/>
                <w:szCs w:val="21"/>
              </w:rPr>
            </w:pPr>
          </w:p>
        </w:tc>
        <w:tc>
          <w:tcPr>
            <w:tcW w:w="1661" w:type="dxa"/>
            <w:noWrap w:val="0"/>
            <w:vAlign w:val="center"/>
          </w:tcPr>
          <w:p w14:paraId="61A756F3">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餐费</w:t>
            </w:r>
          </w:p>
        </w:tc>
        <w:tc>
          <w:tcPr>
            <w:tcW w:w="801" w:type="dxa"/>
            <w:noWrap w:val="0"/>
            <w:vAlign w:val="top"/>
          </w:tcPr>
          <w:p w14:paraId="37A707A0">
            <w:pPr>
              <w:spacing w:line="360" w:lineRule="auto"/>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923" w:type="dxa"/>
            <w:noWrap w:val="0"/>
            <w:vAlign w:val="top"/>
          </w:tcPr>
          <w:p w14:paraId="2C4C89DB">
            <w:pPr>
              <w:spacing w:line="360" w:lineRule="auto"/>
              <w:ind w:right="-11"/>
              <w:jc w:val="center"/>
              <w:rPr>
                <w:rFonts w:hint="eastAsia" w:ascii="宋体" w:hAnsi="宋体" w:eastAsia="宋体" w:cs="宋体"/>
                <w:szCs w:val="21"/>
              </w:rPr>
            </w:pPr>
          </w:p>
        </w:tc>
        <w:tc>
          <w:tcPr>
            <w:tcW w:w="2094" w:type="dxa"/>
            <w:noWrap w:val="0"/>
            <w:vAlign w:val="center"/>
          </w:tcPr>
          <w:p w14:paraId="78C5E687">
            <w:pPr>
              <w:spacing w:line="360" w:lineRule="auto"/>
              <w:ind w:right="-11"/>
              <w:jc w:val="center"/>
              <w:rPr>
                <w:rFonts w:hint="eastAsia" w:ascii="宋体" w:hAnsi="宋体" w:eastAsia="宋体" w:cs="宋体"/>
                <w:szCs w:val="21"/>
              </w:rPr>
            </w:pPr>
          </w:p>
        </w:tc>
        <w:tc>
          <w:tcPr>
            <w:tcW w:w="1702" w:type="dxa"/>
            <w:tcBorders>
              <w:right w:val="single" w:color="auto" w:sz="12" w:space="0"/>
            </w:tcBorders>
            <w:noWrap w:val="0"/>
            <w:vAlign w:val="center"/>
          </w:tcPr>
          <w:p w14:paraId="7E9B5232">
            <w:pPr>
              <w:spacing w:line="360" w:lineRule="auto"/>
              <w:ind w:right="-11"/>
              <w:jc w:val="center"/>
              <w:rPr>
                <w:rFonts w:hint="eastAsia" w:ascii="宋体" w:hAnsi="宋体" w:eastAsia="宋体" w:cs="宋体"/>
                <w:szCs w:val="21"/>
              </w:rPr>
            </w:pPr>
            <w:r>
              <w:rPr>
                <w:rFonts w:hint="eastAsia" w:ascii="宋体" w:hAnsi="宋体" w:eastAsia="宋体" w:cs="宋体"/>
                <w:szCs w:val="21"/>
              </w:rPr>
              <w:t>餐费按500元/人·月计</w:t>
            </w:r>
          </w:p>
        </w:tc>
      </w:tr>
      <w:tr w14:paraId="008D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14:paraId="19787C74">
            <w:pPr>
              <w:numPr>
                <w:ilvl w:val="0"/>
                <w:numId w:val="28"/>
              </w:numPr>
              <w:spacing w:line="360" w:lineRule="auto"/>
              <w:ind w:right="-11"/>
              <w:jc w:val="center"/>
              <w:rPr>
                <w:rFonts w:hint="eastAsia" w:ascii="宋体" w:hAnsi="宋体" w:eastAsia="宋体" w:cs="宋体"/>
                <w:szCs w:val="21"/>
              </w:rPr>
            </w:pPr>
          </w:p>
        </w:tc>
        <w:tc>
          <w:tcPr>
            <w:tcW w:w="1661" w:type="dxa"/>
            <w:noWrap w:val="0"/>
            <w:vAlign w:val="center"/>
          </w:tcPr>
          <w:p w14:paraId="2AE7399F">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高温补贴</w:t>
            </w:r>
          </w:p>
        </w:tc>
        <w:tc>
          <w:tcPr>
            <w:tcW w:w="801" w:type="dxa"/>
            <w:noWrap w:val="0"/>
            <w:vAlign w:val="top"/>
          </w:tcPr>
          <w:p w14:paraId="3374D9BA">
            <w:pPr>
              <w:spacing w:line="360" w:lineRule="auto"/>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923" w:type="dxa"/>
            <w:noWrap w:val="0"/>
            <w:vAlign w:val="top"/>
          </w:tcPr>
          <w:p w14:paraId="279F34F0">
            <w:pPr>
              <w:spacing w:line="360" w:lineRule="auto"/>
              <w:ind w:right="-11"/>
              <w:jc w:val="center"/>
              <w:rPr>
                <w:rFonts w:hint="eastAsia" w:ascii="宋体" w:hAnsi="宋体" w:eastAsia="宋体" w:cs="宋体"/>
                <w:szCs w:val="21"/>
              </w:rPr>
            </w:pPr>
          </w:p>
        </w:tc>
        <w:tc>
          <w:tcPr>
            <w:tcW w:w="2094" w:type="dxa"/>
            <w:noWrap w:val="0"/>
            <w:vAlign w:val="center"/>
          </w:tcPr>
          <w:p w14:paraId="0F797BB3">
            <w:pPr>
              <w:spacing w:line="360" w:lineRule="auto"/>
              <w:ind w:right="-11"/>
              <w:jc w:val="center"/>
              <w:rPr>
                <w:rFonts w:hint="eastAsia" w:ascii="宋体" w:hAnsi="宋体" w:eastAsia="宋体" w:cs="宋体"/>
                <w:szCs w:val="21"/>
              </w:rPr>
            </w:pPr>
          </w:p>
        </w:tc>
        <w:tc>
          <w:tcPr>
            <w:tcW w:w="1702" w:type="dxa"/>
            <w:tcBorders>
              <w:right w:val="single" w:color="auto" w:sz="12" w:space="0"/>
            </w:tcBorders>
            <w:noWrap w:val="0"/>
            <w:vAlign w:val="center"/>
          </w:tcPr>
          <w:p w14:paraId="01ED94FE">
            <w:pPr>
              <w:spacing w:line="360" w:lineRule="auto"/>
              <w:ind w:right="-11"/>
              <w:jc w:val="center"/>
              <w:rPr>
                <w:rFonts w:hint="eastAsia" w:ascii="宋体" w:hAnsi="宋体" w:eastAsia="宋体" w:cs="宋体"/>
                <w:szCs w:val="21"/>
              </w:rPr>
            </w:pPr>
          </w:p>
        </w:tc>
      </w:tr>
      <w:tr w14:paraId="65A8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14:paraId="3A1AC380">
            <w:pPr>
              <w:numPr>
                <w:ilvl w:val="0"/>
                <w:numId w:val="28"/>
              </w:numPr>
              <w:spacing w:line="360" w:lineRule="auto"/>
              <w:ind w:right="-11"/>
              <w:jc w:val="center"/>
              <w:rPr>
                <w:rFonts w:hint="eastAsia" w:ascii="宋体" w:hAnsi="宋体" w:eastAsia="宋体" w:cs="宋体"/>
                <w:szCs w:val="21"/>
              </w:rPr>
            </w:pPr>
          </w:p>
        </w:tc>
        <w:tc>
          <w:tcPr>
            <w:tcW w:w="1661" w:type="dxa"/>
            <w:noWrap w:val="0"/>
            <w:vAlign w:val="center"/>
          </w:tcPr>
          <w:p w14:paraId="656F0049">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其他津贴</w:t>
            </w:r>
          </w:p>
        </w:tc>
        <w:tc>
          <w:tcPr>
            <w:tcW w:w="801" w:type="dxa"/>
            <w:noWrap w:val="0"/>
            <w:vAlign w:val="top"/>
          </w:tcPr>
          <w:p w14:paraId="5C55E4F1">
            <w:pPr>
              <w:spacing w:line="360" w:lineRule="auto"/>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923" w:type="dxa"/>
            <w:noWrap w:val="0"/>
            <w:vAlign w:val="top"/>
          </w:tcPr>
          <w:p w14:paraId="7D8EFB47">
            <w:pPr>
              <w:spacing w:line="360" w:lineRule="auto"/>
              <w:ind w:right="-11"/>
              <w:jc w:val="center"/>
              <w:rPr>
                <w:rFonts w:hint="eastAsia" w:ascii="宋体" w:hAnsi="宋体" w:eastAsia="宋体" w:cs="宋体"/>
                <w:szCs w:val="21"/>
              </w:rPr>
            </w:pPr>
          </w:p>
        </w:tc>
        <w:tc>
          <w:tcPr>
            <w:tcW w:w="2094" w:type="dxa"/>
            <w:noWrap w:val="0"/>
            <w:vAlign w:val="center"/>
          </w:tcPr>
          <w:p w14:paraId="421371E1">
            <w:pPr>
              <w:spacing w:line="360" w:lineRule="auto"/>
              <w:ind w:right="-11"/>
              <w:jc w:val="center"/>
              <w:rPr>
                <w:rFonts w:hint="eastAsia" w:ascii="宋体" w:hAnsi="宋体" w:eastAsia="宋体" w:cs="宋体"/>
                <w:szCs w:val="21"/>
              </w:rPr>
            </w:pPr>
          </w:p>
        </w:tc>
        <w:tc>
          <w:tcPr>
            <w:tcW w:w="1702" w:type="dxa"/>
            <w:tcBorders>
              <w:right w:val="single" w:color="auto" w:sz="12" w:space="0"/>
            </w:tcBorders>
            <w:noWrap w:val="0"/>
            <w:vAlign w:val="center"/>
          </w:tcPr>
          <w:p w14:paraId="1B2A0C38">
            <w:pPr>
              <w:spacing w:line="360" w:lineRule="auto"/>
              <w:ind w:right="-11"/>
              <w:jc w:val="center"/>
              <w:rPr>
                <w:rFonts w:hint="eastAsia" w:ascii="宋体" w:hAnsi="宋体" w:eastAsia="宋体" w:cs="宋体"/>
                <w:szCs w:val="21"/>
              </w:rPr>
            </w:pPr>
          </w:p>
        </w:tc>
      </w:tr>
      <w:tr w14:paraId="66FE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14:paraId="5FAB7CAC">
            <w:pPr>
              <w:numPr>
                <w:ilvl w:val="0"/>
                <w:numId w:val="28"/>
              </w:numPr>
              <w:spacing w:line="360" w:lineRule="auto"/>
              <w:ind w:right="-11"/>
              <w:jc w:val="center"/>
              <w:rPr>
                <w:rFonts w:hint="eastAsia" w:ascii="宋体" w:hAnsi="宋体" w:eastAsia="宋体" w:cs="宋体"/>
                <w:szCs w:val="21"/>
              </w:rPr>
            </w:pPr>
          </w:p>
        </w:tc>
        <w:tc>
          <w:tcPr>
            <w:tcW w:w="1661" w:type="dxa"/>
            <w:noWrap w:val="0"/>
            <w:vAlign w:val="center"/>
          </w:tcPr>
          <w:p w14:paraId="79BAAE1E">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服装摊销</w:t>
            </w:r>
          </w:p>
        </w:tc>
        <w:tc>
          <w:tcPr>
            <w:tcW w:w="801" w:type="dxa"/>
            <w:noWrap w:val="0"/>
            <w:vAlign w:val="top"/>
          </w:tcPr>
          <w:p w14:paraId="2F0AFBD4">
            <w:pPr>
              <w:spacing w:line="360" w:lineRule="auto"/>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923" w:type="dxa"/>
            <w:noWrap w:val="0"/>
            <w:vAlign w:val="top"/>
          </w:tcPr>
          <w:p w14:paraId="414391BD">
            <w:pPr>
              <w:spacing w:line="360" w:lineRule="auto"/>
              <w:ind w:right="-11"/>
              <w:jc w:val="center"/>
              <w:rPr>
                <w:rFonts w:hint="eastAsia" w:ascii="宋体" w:hAnsi="宋体" w:eastAsia="宋体" w:cs="宋体"/>
                <w:szCs w:val="21"/>
              </w:rPr>
            </w:pPr>
          </w:p>
        </w:tc>
        <w:tc>
          <w:tcPr>
            <w:tcW w:w="2094" w:type="dxa"/>
            <w:noWrap w:val="0"/>
            <w:vAlign w:val="center"/>
          </w:tcPr>
          <w:p w14:paraId="398D22AE">
            <w:pPr>
              <w:spacing w:line="360" w:lineRule="auto"/>
              <w:ind w:right="-11"/>
              <w:jc w:val="center"/>
              <w:rPr>
                <w:rFonts w:hint="eastAsia" w:ascii="宋体" w:hAnsi="宋体" w:eastAsia="宋体" w:cs="宋体"/>
                <w:szCs w:val="21"/>
              </w:rPr>
            </w:pPr>
          </w:p>
        </w:tc>
        <w:tc>
          <w:tcPr>
            <w:tcW w:w="1702" w:type="dxa"/>
            <w:tcBorders>
              <w:right w:val="single" w:color="auto" w:sz="12" w:space="0"/>
            </w:tcBorders>
            <w:noWrap w:val="0"/>
            <w:vAlign w:val="center"/>
          </w:tcPr>
          <w:p w14:paraId="163DA069">
            <w:pPr>
              <w:spacing w:line="360" w:lineRule="auto"/>
              <w:ind w:right="-11"/>
              <w:jc w:val="center"/>
              <w:rPr>
                <w:rFonts w:hint="eastAsia" w:ascii="宋体" w:hAnsi="宋体" w:eastAsia="宋体" w:cs="宋体"/>
                <w:szCs w:val="21"/>
              </w:rPr>
            </w:pPr>
          </w:p>
        </w:tc>
      </w:tr>
      <w:tr w14:paraId="42B4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14:paraId="377BA81C">
            <w:pPr>
              <w:numPr>
                <w:ilvl w:val="0"/>
                <w:numId w:val="28"/>
              </w:numPr>
              <w:spacing w:line="360" w:lineRule="auto"/>
              <w:ind w:right="-11"/>
              <w:jc w:val="center"/>
              <w:rPr>
                <w:rFonts w:hint="eastAsia" w:ascii="宋体" w:hAnsi="宋体" w:eastAsia="宋体" w:cs="宋体"/>
                <w:szCs w:val="21"/>
              </w:rPr>
            </w:pPr>
          </w:p>
        </w:tc>
        <w:tc>
          <w:tcPr>
            <w:tcW w:w="1661" w:type="dxa"/>
            <w:noWrap w:val="0"/>
            <w:vAlign w:val="center"/>
          </w:tcPr>
          <w:p w14:paraId="59EF61A8">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教育培训费</w:t>
            </w:r>
          </w:p>
        </w:tc>
        <w:tc>
          <w:tcPr>
            <w:tcW w:w="801" w:type="dxa"/>
            <w:noWrap w:val="0"/>
            <w:vAlign w:val="top"/>
          </w:tcPr>
          <w:p w14:paraId="1A9D151E">
            <w:pPr>
              <w:spacing w:line="360" w:lineRule="auto"/>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923" w:type="dxa"/>
            <w:noWrap w:val="0"/>
            <w:vAlign w:val="top"/>
          </w:tcPr>
          <w:p w14:paraId="062C0D20">
            <w:pPr>
              <w:spacing w:line="360" w:lineRule="auto"/>
              <w:ind w:right="-11"/>
              <w:jc w:val="center"/>
              <w:rPr>
                <w:rFonts w:hint="eastAsia" w:ascii="宋体" w:hAnsi="宋体" w:eastAsia="宋体" w:cs="宋体"/>
                <w:szCs w:val="21"/>
              </w:rPr>
            </w:pPr>
          </w:p>
        </w:tc>
        <w:tc>
          <w:tcPr>
            <w:tcW w:w="2094" w:type="dxa"/>
            <w:noWrap w:val="0"/>
            <w:vAlign w:val="center"/>
          </w:tcPr>
          <w:p w14:paraId="1AAEE273">
            <w:pPr>
              <w:spacing w:line="360" w:lineRule="auto"/>
              <w:ind w:right="-11"/>
              <w:jc w:val="center"/>
              <w:rPr>
                <w:rFonts w:hint="default" w:ascii="宋体" w:hAnsi="宋体" w:eastAsia="宋体" w:cs="宋体"/>
                <w:szCs w:val="21"/>
                <w:lang w:val="en-US" w:eastAsia="zh-CN"/>
              </w:rPr>
            </w:pPr>
          </w:p>
        </w:tc>
        <w:tc>
          <w:tcPr>
            <w:tcW w:w="1702" w:type="dxa"/>
            <w:tcBorders>
              <w:right w:val="single" w:color="auto" w:sz="12" w:space="0"/>
            </w:tcBorders>
            <w:noWrap w:val="0"/>
            <w:vAlign w:val="center"/>
          </w:tcPr>
          <w:p w14:paraId="77085978">
            <w:pPr>
              <w:spacing w:line="240" w:lineRule="auto"/>
              <w:ind w:right="-11"/>
              <w:jc w:val="center"/>
              <w:rPr>
                <w:rFonts w:hint="default" w:ascii="宋体" w:hAnsi="宋体" w:eastAsia="宋体" w:cs="宋体"/>
                <w:szCs w:val="21"/>
                <w:lang w:val="en-US" w:eastAsia="zh-CN"/>
              </w:rPr>
            </w:pPr>
          </w:p>
        </w:tc>
      </w:tr>
      <w:tr w14:paraId="6A8C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14:paraId="41960FD3">
            <w:pPr>
              <w:numPr>
                <w:ilvl w:val="0"/>
                <w:numId w:val="28"/>
              </w:numPr>
              <w:spacing w:line="360" w:lineRule="auto"/>
              <w:ind w:right="-11"/>
              <w:jc w:val="center"/>
              <w:rPr>
                <w:rFonts w:hint="eastAsia" w:ascii="宋体" w:hAnsi="宋体" w:eastAsia="宋体" w:cs="宋体"/>
                <w:szCs w:val="21"/>
              </w:rPr>
            </w:pPr>
          </w:p>
        </w:tc>
        <w:tc>
          <w:tcPr>
            <w:tcW w:w="1661" w:type="dxa"/>
            <w:noWrap w:val="0"/>
            <w:vAlign w:val="center"/>
          </w:tcPr>
          <w:p w14:paraId="331189A5">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考核奖励金</w:t>
            </w:r>
          </w:p>
        </w:tc>
        <w:tc>
          <w:tcPr>
            <w:tcW w:w="801" w:type="dxa"/>
            <w:noWrap w:val="0"/>
            <w:vAlign w:val="top"/>
          </w:tcPr>
          <w:p w14:paraId="76ACFD81">
            <w:pPr>
              <w:spacing w:line="360" w:lineRule="auto"/>
              <w:ind w:right="-11"/>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923" w:type="dxa"/>
            <w:noWrap w:val="0"/>
            <w:vAlign w:val="top"/>
          </w:tcPr>
          <w:p w14:paraId="3DA33E7C">
            <w:pPr>
              <w:spacing w:line="360" w:lineRule="auto"/>
              <w:ind w:right="-11"/>
              <w:jc w:val="center"/>
              <w:rPr>
                <w:rFonts w:hint="default" w:ascii="宋体" w:hAnsi="宋体" w:eastAsia="宋体" w:cs="宋体"/>
                <w:szCs w:val="21"/>
                <w:lang w:val="en-US" w:eastAsia="zh-CN"/>
              </w:rPr>
            </w:pPr>
            <w:r>
              <w:rPr>
                <w:rFonts w:hint="eastAsia" w:ascii="宋体" w:hAnsi="宋体" w:eastAsia="宋体" w:cs="宋体"/>
                <w:szCs w:val="21"/>
                <w:lang w:val="en-US" w:eastAsia="zh-CN"/>
              </w:rPr>
              <w:t>4800</w:t>
            </w:r>
          </w:p>
        </w:tc>
        <w:tc>
          <w:tcPr>
            <w:tcW w:w="2094" w:type="dxa"/>
            <w:shd w:val="clear" w:color="auto" w:fill="auto"/>
            <w:noWrap w:val="0"/>
            <w:vAlign w:val="center"/>
          </w:tcPr>
          <w:p w14:paraId="00D72ACE">
            <w:pPr>
              <w:spacing w:line="36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9600</w:t>
            </w:r>
          </w:p>
        </w:tc>
        <w:tc>
          <w:tcPr>
            <w:tcW w:w="1702" w:type="dxa"/>
            <w:tcBorders>
              <w:right w:val="single" w:color="auto" w:sz="12" w:space="0"/>
            </w:tcBorders>
            <w:shd w:val="clear" w:color="auto" w:fill="auto"/>
            <w:noWrap w:val="0"/>
            <w:vAlign w:val="center"/>
          </w:tcPr>
          <w:p w14:paraId="342903E1">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u w:val="single"/>
                <w:lang w:val="en-US" w:eastAsia="zh-CN"/>
              </w:rPr>
              <w:t>▲不可竞争费用</w:t>
            </w:r>
          </w:p>
        </w:tc>
      </w:tr>
      <w:tr w14:paraId="4841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63" w:type="dxa"/>
            <w:gridSpan w:val="4"/>
            <w:tcBorders>
              <w:left w:val="single" w:color="auto" w:sz="12" w:space="0"/>
              <w:bottom w:val="single" w:color="auto" w:sz="12" w:space="0"/>
            </w:tcBorders>
            <w:noWrap w:val="0"/>
            <w:vAlign w:val="center"/>
          </w:tcPr>
          <w:p w14:paraId="1A9A0DC2">
            <w:pPr>
              <w:spacing w:line="360" w:lineRule="auto"/>
              <w:ind w:right="-11"/>
              <w:jc w:val="center"/>
              <w:rPr>
                <w:rFonts w:hint="default" w:ascii="宋体" w:hAnsi="宋体" w:eastAsia="宋体" w:cs="宋体"/>
                <w:szCs w:val="21"/>
                <w:lang w:val="en-US" w:eastAsia="zh-CN"/>
              </w:rPr>
            </w:pPr>
            <w:r>
              <w:rPr>
                <w:rFonts w:hint="eastAsia" w:ascii="宋体" w:hAnsi="宋体" w:eastAsia="宋体" w:cs="宋体"/>
                <w:szCs w:val="21"/>
                <w:lang w:val="en-US" w:eastAsia="zh-CN"/>
              </w:rPr>
              <w:t>总</w:t>
            </w:r>
            <w:r>
              <w:rPr>
                <w:rFonts w:hint="eastAsia" w:ascii="宋体" w:hAnsi="宋体" w:eastAsia="宋体" w:cs="宋体"/>
                <w:szCs w:val="21"/>
              </w:rPr>
              <w:t>计</w:t>
            </w:r>
            <w:r>
              <w:rPr>
                <w:rFonts w:hint="eastAsia" w:ascii="宋体" w:hAnsi="宋体" w:eastAsia="宋体" w:cs="宋体"/>
                <w:szCs w:val="21"/>
                <w:lang w:val="en-US" w:eastAsia="zh-CN"/>
              </w:rPr>
              <w:t>价2</w:t>
            </w:r>
          </w:p>
        </w:tc>
        <w:tc>
          <w:tcPr>
            <w:tcW w:w="3796" w:type="dxa"/>
            <w:gridSpan w:val="2"/>
            <w:tcBorders>
              <w:bottom w:val="single" w:color="auto" w:sz="12" w:space="0"/>
              <w:right w:val="single" w:color="auto" w:sz="12" w:space="0"/>
            </w:tcBorders>
            <w:noWrap w:val="0"/>
            <w:vAlign w:val="center"/>
          </w:tcPr>
          <w:p w14:paraId="72F3C9B8">
            <w:pPr>
              <w:spacing w:line="360" w:lineRule="auto"/>
              <w:ind w:right="-11"/>
              <w:jc w:val="center"/>
              <w:rPr>
                <w:rFonts w:hint="eastAsia" w:ascii="宋体" w:hAnsi="宋体" w:eastAsia="宋体" w:cs="宋体"/>
                <w:szCs w:val="21"/>
              </w:rPr>
            </w:pPr>
          </w:p>
        </w:tc>
      </w:tr>
    </w:tbl>
    <w:p w14:paraId="1D76C4C4">
      <w:pPr>
        <w:rPr>
          <w:rFonts w:hint="eastAsia" w:ascii="宋体" w:hAnsi="宋体" w:eastAsia="宋体" w:cs="宋体"/>
          <w:b/>
          <w:szCs w:val="21"/>
          <w:highlight w:val="none"/>
        </w:rPr>
      </w:pPr>
    </w:p>
    <w:p w14:paraId="3338564F">
      <w:pPr>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说明：</w:t>
      </w:r>
      <w:r>
        <w:rPr>
          <w:rFonts w:hint="eastAsia" w:ascii="宋体" w:hAnsi="宋体" w:eastAsia="宋体" w:cs="宋体"/>
          <w:b/>
          <w:szCs w:val="21"/>
          <w:highlight w:val="none"/>
          <w:lang w:val="en-US" w:eastAsia="zh-CN"/>
        </w:rPr>
        <w:t xml:space="preserve"> </w:t>
      </w:r>
    </w:p>
    <w:p w14:paraId="3309B6CB">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rPr>
        <w:t>、此表总计价</w:t>
      </w:r>
      <w:r>
        <w:rPr>
          <w:rFonts w:hint="eastAsia" w:ascii="宋体" w:hAnsi="宋体" w:eastAsia="宋体" w:cs="宋体"/>
          <w:b/>
          <w:szCs w:val="21"/>
          <w:highlight w:val="none"/>
          <w:lang w:val="en-US" w:eastAsia="zh-CN"/>
        </w:rPr>
        <w:t>2</w:t>
      </w:r>
      <w:r>
        <w:rPr>
          <w:rFonts w:hint="eastAsia" w:ascii="宋体" w:hAnsi="宋体" w:eastAsia="宋体" w:cs="宋体"/>
          <w:b/>
          <w:szCs w:val="21"/>
          <w:highlight w:val="none"/>
        </w:rPr>
        <w:t>应与附件十一“开标一览表”中序号</w:t>
      </w:r>
      <w:r>
        <w:rPr>
          <w:rFonts w:hint="eastAsia" w:ascii="宋体" w:hAnsi="宋体" w:eastAsia="宋体" w:cs="宋体"/>
          <w:b/>
          <w:szCs w:val="21"/>
          <w:highlight w:val="none"/>
          <w:lang w:val="en-US" w:eastAsia="zh-CN"/>
        </w:rPr>
        <w:t>2</w:t>
      </w:r>
      <w:r>
        <w:rPr>
          <w:rFonts w:hint="eastAsia" w:ascii="宋体" w:hAnsi="宋体" w:eastAsia="宋体" w:cs="宋体"/>
          <w:b/>
          <w:szCs w:val="21"/>
          <w:highlight w:val="none"/>
        </w:rPr>
        <w:t>“</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2</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“瓯江红·畅美高速”党群服务中心物业服务”投标报价相一致。</w:t>
      </w:r>
    </w:p>
    <w:p w14:paraId="7751CC74">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2</w:t>
      </w:r>
      <w:r>
        <w:rPr>
          <w:rFonts w:hint="eastAsia" w:ascii="宋体" w:hAnsi="宋体" w:eastAsia="宋体" w:cs="宋体"/>
          <w:b/>
          <w:szCs w:val="21"/>
          <w:highlight w:val="none"/>
        </w:rPr>
        <w:t>、填写报价表格时，各项费用应如实填写，如已含在</w:t>
      </w:r>
      <w:r>
        <w:rPr>
          <w:rFonts w:hint="eastAsia" w:ascii="宋体" w:hAnsi="宋体" w:eastAsia="宋体" w:cs="宋体"/>
          <w:b/>
          <w:szCs w:val="21"/>
          <w:highlight w:val="none"/>
          <w:lang w:val="en-US" w:eastAsia="zh-CN"/>
        </w:rPr>
        <w:t>项目</w:t>
      </w:r>
      <w:r>
        <w:rPr>
          <w:rFonts w:hint="eastAsia" w:ascii="宋体" w:hAnsi="宋体" w:eastAsia="宋体" w:cs="宋体"/>
          <w:b/>
          <w:szCs w:val="21"/>
          <w:highlight w:val="none"/>
        </w:rPr>
        <w:t>价格中，则填“含”，如免费则填“免”，如无此项内容则填“无”，不允许空白；所有报价只能唯一一个价格。</w:t>
      </w:r>
    </w:p>
    <w:p w14:paraId="46CAFCEE">
      <w:pPr>
        <w:spacing w:line="240" w:lineRule="auto"/>
        <w:rPr>
          <w:rFonts w:hint="eastAsia" w:ascii="宋体" w:hAnsi="宋体" w:eastAsia="宋体" w:cs="宋体"/>
          <w:b/>
          <w:szCs w:val="21"/>
          <w:highlight w:val="none"/>
          <w:lang w:eastAsia="zh-CN"/>
        </w:rPr>
      </w:pPr>
      <w:r>
        <w:rPr>
          <w:rFonts w:hint="eastAsia" w:ascii="宋体" w:hAnsi="宋体" w:eastAsia="宋体" w:cs="宋体"/>
          <w:b/>
          <w:szCs w:val="21"/>
          <w:highlight w:val="none"/>
          <w:lang w:val="en-US" w:eastAsia="zh-CN"/>
        </w:rPr>
        <w:t>3、</w:t>
      </w:r>
      <w:r>
        <w:rPr>
          <w:rFonts w:hint="eastAsia" w:ascii="宋体" w:hAnsi="宋体" w:eastAsia="宋体" w:cs="宋体"/>
          <w:b/>
          <w:szCs w:val="21"/>
          <w:highlight w:val="none"/>
          <w:u w:val="single"/>
          <w:lang w:val="en-US" w:eastAsia="zh-CN"/>
        </w:rPr>
        <w:t>▲报价</w:t>
      </w:r>
      <w:r>
        <w:rPr>
          <w:rFonts w:hint="eastAsia" w:ascii="宋体" w:hAnsi="宋体" w:eastAsia="宋体" w:cs="宋体"/>
          <w:b/>
          <w:szCs w:val="21"/>
          <w:highlight w:val="none"/>
          <w:u w:val="single"/>
        </w:rPr>
        <w:t>含人员考核奖励金9600元</w:t>
      </w:r>
      <w:r>
        <w:rPr>
          <w:rFonts w:hint="eastAsia" w:ascii="宋体" w:hAnsi="宋体" w:eastAsia="宋体" w:cs="宋体"/>
          <w:b/>
          <w:szCs w:val="21"/>
          <w:highlight w:val="none"/>
          <w:u w:val="single"/>
          <w:lang w:val="en-US" w:eastAsia="zh-CN"/>
        </w:rPr>
        <w:t>/年</w:t>
      </w:r>
      <w:r>
        <w:rPr>
          <w:rFonts w:hint="eastAsia" w:ascii="宋体" w:hAnsi="宋体" w:eastAsia="宋体" w:cs="宋体"/>
          <w:b/>
          <w:szCs w:val="21"/>
          <w:highlight w:val="none"/>
          <w:u w:val="single"/>
        </w:rPr>
        <w:t>，奖励金不得竞争性报价</w:t>
      </w:r>
      <w:r>
        <w:rPr>
          <w:rFonts w:hint="eastAsia" w:ascii="宋体" w:hAnsi="宋体" w:eastAsia="宋体" w:cs="宋体"/>
          <w:b/>
          <w:szCs w:val="21"/>
          <w:highlight w:val="none"/>
        </w:rPr>
        <w:t>。</w:t>
      </w:r>
      <w:r>
        <w:rPr>
          <w:rFonts w:hint="eastAsia" w:ascii="宋体" w:hAnsi="宋体" w:eastAsia="宋体" w:cs="宋体"/>
          <w:b/>
          <w:szCs w:val="21"/>
          <w:highlight w:val="none"/>
          <w:u w:val="single"/>
          <w:lang w:val="en-US" w:eastAsia="zh-CN"/>
        </w:rPr>
        <w:t>不可竞争费用</w:t>
      </w:r>
      <w:r>
        <w:rPr>
          <w:rFonts w:hint="eastAsia" w:ascii="宋体" w:hAnsi="宋体" w:eastAsia="宋体" w:cs="宋体"/>
          <w:b/>
          <w:szCs w:val="21"/>
          <w:highlight w:val="none"/>
          <w:u w:val="single"/>
        </w:rPr>
        <w:t>报价低于本表规定的，做无效投标处理</w:t>
      </w:r>
      <w:r>
        <w:rPr>
          <w:rFonts w:hint="eastAsia" w:ascii="宋体" w:hAnsi="宋体" w:eastAsia="宋体" w:cs="宋体"/>
          <w:b/>
          <w:szCs w:val="21"/>
          <w:highlight w:val="none"/>
          <w:u w:val="single"/>
          <w:lang w:eastAsia="zh-CN"/>
        </w:rPr>
        <w:t>。</w:t>
      </w:r>
    </w:p>
    <w:p w14:paraId="031FC268">
      <w:pPr>
        <w:spacing w:line="240" w:lineRule="auto"/>
        <w:rPr>
          <w:rFonts w:hint="eastAsia" w:ascii="宋体" w:hAnsi="宋体" w:eastAsia="宋体" w:cs="宋体"/>
          <w:b/>
          <w:szCs w:val="21"/>
          <w:highlight w:val="none"/>
        </w:rPr>
      </w:pPr>
    </w:p>
    <w:p w14:paraId="15DFB8A7">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注：报价需含人员月度考核金。</w:t>
      </w:r>
    </w:p>
    <w:p w14:paraId="20DD8E23">
      <w:pPr>
        <w:pStyle w:val="12"/>
        <w:rPr>
          <w:rFonts w:hint="eastAsia" w:ascii="宋体" w:hAnsi="宋体" w:eastAsia="宋体" w:cs="宋体"/>
          <w:highlight w:val="none"/>
        </w:rPr>
      </w:pPr>
    </w:p>
    <w:p w14:paraId="1DD518FE">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投标人全称（盖公章）：</w:t>
      </w:r>
    </w:p>
    <w:p w14:paraId="401496A1">
      <w:pPr>
        <w:spacing w:line="440" w:lineRule="exact"/>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14:paraId="0C293D30">
      <w:pPr>
        <w:spacing w:line="440" w:lineRule="exact"/>
        <w:rPr>
          <w:rFonts w:hint="eastAsia" w:ascii="宋体" w:hAnsi="宋体" w:eastAsia="宋体" w:cs="宋体"/>
          <w:sz w:val="36"/>
          <w:szCs w:val="36"/>
          <w:highlight w:val="none"/>
        </w:rPr>
      </w:pPr>
      <w:r>
        <w:rPr>
          <w:rFonts w:hint="eastAsia" w:ascii="宋体" w:hAnsi="宋体" w:eastAsia="宋体" w:cs="宋体"/>
          <w:sz w:val="22"/>
          <w:highlight w:val="none"/>
        </w:rPr>
        <w:t>日 期：</w:t>
      </w:r>
    </w:p>
    <w:p w14:paraId="1D329225">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199" w:name="_Hlk69240860"/>
      <w:r>
        <w:rPr>
          <w:rFonts w:hint="eastAsia" w:ascii="宋体" w:hAnsi="宋体" w:eastAsia="宋体" w:cs="宋体"/>
          <w:sz w:val="36"/>
          <w:szCs w:val="36"/>
          <w:highlight w:val="none"/>
        </w:rPr>
        <w:t>第四部分   采购内容及要求</w:t>
      </w:r>
      <w:bookmarkEnd w:id="194"/>
      <w:bookmarkEnd w:id="195"/>
      <w:bookmarkEnd w:id="196"/>
      <w:bookmarkEnd w:id="197"/>
      <w:bookmarkEnd w:id="198"/>
    </w:p>
    <w:p w14:paraId="050A58DF">
      <w:pPr>
        <w:widowControl/>
        <w:jc w:val="center"/>
        <w:outlineLvl w:val="1"/>
        <w:rPr>
          <w:rFonts w:hint="eastAsia" w:ascii="宋体" w:hAnsi="宋体" w:eastAsia="宋体" w:cs="宋体"/>
          <w:b/>
          <w:bCs/>
          <w:kern w:val="0"/>
          <w:sz w:val="30"/>
          <w:szCs w:val="30"/>
          <w:highlight w:val="none"/>
        </w:rPr>
      </w:pPr>
      <w:bookmarkStart w:id="200" w:name="_Toc448846627"/>
      <w:bookmarkStart w:id="201" w:name="_Toc221374633"/>
      <w:bookmarkStart w:id="202" w:name="_Toc221356960"/>
      <w:bookmarkStart w:id="203" w:name="_Toc221356897"/>
      <w:r>
        <w:rPr>
          <w:rFonts w:hint="eastAsia" w:ascii="宋体" w:hAnsi="宋体" w:eastAsia="宋体" w:cs="宋体"/>
          <w:b/>
          <w:bCs/>
          <w:sz w:val="30"/>
          <w:szCs w:val="30"/>
          <w:highlight w:val="none"/>
          <w:lang w:val="en-US" w:eastAsia="zh-CN"/>
        </w:rPr>
        <w:t>陶山服务区物业服务</w:t>
      </w:r>
      <w:r>
        <w:rPr>
          <w:rFonts w:hint="eastAsia" w:ascii="宋体" w:hAnsi="宋体" w:eastAsia="宋体" w:cs="宋体"/>
          <w:b/>
          <w:bCs/>
          <w:sz w:val="30"/>
          <w:szCs w:val="30"/>
          <w:highlight w:val="none"/>
        </w:rPr>
        <w:t>采购内容及要求</w:t>
      </w:r>
    </w:p>
    <w:bookmarkEnd w:id="199"/>
    <w:bookmarkEnd w:id="200"/>
    <w:p w14:paraId="2DDA8731">
      <w:pPr>
        <w:spacing w:before="120" w:beforeLines="50" w:after="50" w:line="240" w:lineRule="auto"/>
        <w:jc w:val="center"/>
        <w:rPr>
          <w:rFonts w:hint="eastAsia" w:ascii="宋体" w:hAnsi="宋体" w:eastAsia="宋体" w:cs="宋体"/>
          <w:b/>
          <w:bCs/>
          <w:color w:val="auto"/>
          <w:sz w:val="21"/>
          <w:szCs w:val="21"/>
          <w:highlight w:val="none"/>
        </w:rPr>
      </w:pPr>
      <w:bookmarkStart w:id="204" w:name="_Toc26699"/>
      <w:bookmarkStart w:id="205" w:name="_Toc479601381"/>
      <w:bookmarkStart w:id="206" w:name="_Toc223716005"/>
      <w:bookmarkStart w:id="207" w:name="_Toc249758722"/>
      <w:bookmarkStart w:id="208" w:name="_Toc245191321"/>
      <w:bookmarkStart w:id="209" w:name="_Toc222114886"/>
      <w:bookmarkStart w:id="210" w:name="_Toc246261272"/>
      <w:bookmarkStart w:id="211" w:name="_Toc221423626"/>
      <w:bookmarkStart w:id="212" w:name="_Toc249758872"/>
      <w:bookmarkStart w:id="213" w:name="_Toc262105511"/>
      <w:bookmarkStart w:id="214" w:name="_Toc245722288"/>
      <w:bookmarkStart w:id="215" w:name="_Toc262049426"/>
      <w:bookmarkStart w:id="216" w:name="_Toc241404209"/>
      <w:bookmarkStart w:id="217" w:name="_Toc239145361"/>
      <w:bookmarkStart w:id="218" w:name="_Toc448846693"/>
      <w:r>
        <w:rPr>
          <w:rFonts w:hint="eastAsia" w:ascii="宋体" w:hAnsi="宋体" w:eastAsia="宋体" w:cs="宋体"/>
          <w:b/>
          <w:bCs/>
          <w:color w:val="auto"/>
          <w:sz w:val="21"/>
          <w:szCs w:val="21"/>
          <w:highlight w:val="none"/>
        </w:rPr>
        <w:t>一、概述</w:t>
      </w:r>
    </w:p>
    <w:p w14:paraId="61DAB515">
      <w:pPr>
        <w:numPr>
          <w:ilvl w:val="0"/>
          <w:numId w:val="29"/>
        </w:numPr>
        <w:tabs>
          <w:tab w:val="left" w:pos="360"/>
          <w:tab w:val="clear" w:pos="680"/>
        </w:tabs>
        <w:spacing w:line="240"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本次项目为</w:t>
      </w:r>
      <w:r>
        <w:rPr>
          <w:rFonts w:hint="eastAsia" w:ascii="宋体" w:hAnsi="宋体" w:eastAsia="宋体" w:cs="宋体"/>
          <w:color w:val="auto"/>
          <w:sz w:val="21"/>
          <w:szCs w:val="21"/>
          <w:highlight w:val="none"/>
          <w:lang w:val="en-US" w:eastAsia="zh-CN"/>
        </w:rPr>
        <w:t>陶山服务区物业项目</w:t>
      </w:r>
      <w:r>
        <w:rPr>
          <w:rFonts w:hint="eastAsia" w:ascii="宋体" w:hAnsi="宋体" w:eastAsia="宋体" w:cs="宋体"/>
          <w:color w:val="auto"/>
          <w:sz w:val="21"/>
          <w:szCs w:val="21"/>
          <w:highlight w:val="none"/>
        </w:rPr>
        <w:t>，投标人应根据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提供服务方案，在对</w:t>
      </w:r>
      <w:r>
        <w:rPr>
          <w:rFonts w:hint="eastAsia" w:ascii="宋体" w:hAnsi="宋体" w:eastAsia="宋体" w:cs="宋体"/>
          <w:color w:val="auto"/>
          <w:sz w:val="21"/>
          <w:szCs w:val="21"/>
          <w:highlight w:val="none"/>
          <w:lang w:val="en-US" w:eastAsia="zh-CN"/>
        </w:rPr>
        <w:t>值守</w:t>
      </w:r>
      <w:r>
        <w:rPr>
          <w:rFonts w:hint="eastAsia" w:ascii="宋体" w:hAnsi="宋体" w:eastAsia="宋体" w:cs="宋体"/>
          <w:color w:val="auto"/>
          <w:sz w:val="21"/>
          <w:szCs w:val="21"/>
          <w:highlight w:val="none"/>
        </w:rPr>
        <w:t>区域分布现场、周边环境全面了解的情况下编制科学合理、切实可行的组织实施计划以及具体的保障措施、工作等程序。</w:t>
      </w:r>
    </w:p>
    <w:p w14:paraId="4590961E">
      <w:pPr>
        <w:numPr>
          <w:ilvl w:val="0"/>
          <w:numId w:val="29"/>
        </w:numPr>
        <w:tabs>
          <w:tab w:val="left" w:pos="360"/>
          <w:tab w:val="clear" w:pos="680"/>
        </w:tabs>
        <w:spacing w:line="240"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投标人须依照现代企业制度，以合理的服务流程和服务人数、优良的服务质量、科学的管理、稳定的服务队伍、优惠的价格来制订详细的服务方案，充分体现自身的实力，发挥自身优势，为使</w:t>
      </w:r>
      <w:r>
        <w:rPr>
          <w:rFonts w:hint="eastAsia" w:ascii="宋体" w:hAnsi="宋体" w:eastAsia="宋体" w:cs="宋体"/>
          <w:color w:val="auto"/>
          <w:sz w:val="21"/>
          <w:szCs w:val="21"/>
          <w:highlight w:val="none"/>
          <w:lang w:val="en-US" w:eastAsia="zh-CN"/>
        </w:rPr>
        <w:t>物业管理</w:t>
      </w:r>
      <w:r>
        <w:rPr>
          <w:rFonts w:hint="eastAsia" w:ascii="宋体" w:hAnsi="宋体" w:eastAsia="宋体" w:cs="宋体"/>
          <w:color w:val="auto"/>
          <w:sz w:val="21"/>
          <w:szCs w:val="21"/>
          <w:highlight w:val="none"/>
        </w:rPr>
        <w:t>服务工作顺利完成，并保证</w:t>
      </w:r>
      <w:r>
        <w:rPr>
          <w:rFonts w:hint="eastAsia" w:ascii="宋体" w:hAnsi="宋体" w:eastAsia="宋体" w:cs="宋体"/>
          <w:color w:val="auto"/>
          <w:sz w:val="21"/>
          <w:szCs w:val="21"/>
          <w:highlight w:val="none"/>
          <w:lang w:val="en-US" w:eastAsia="zh-CN"/>
        </w:rPr>
        <w:t>高速</w:t>
      </w:r>
      <w:r>
        <w:rPr>
          <w:rFonts w:hint="eastAsia" w:ascii="宋体" w:hAnsi="宋体" w:eastAsia="宋体" w:cs="宋体"/>
          <w:color w:val="auto"/>
          <w:sz w:val="21"/>
          <w:szCs w:val="21"/>
          <w:highlight w:val="none"/>
        </w:rPr>
        <w:t>服务质量和形象上升一个新台阶。</w:t>
      </w:r>
    </w:p>
    <w:p w14:paraId="77515ED8">
      <w:pPr>
        <w:numPr>
          <w:ilvl w:val="0"/>
          <w:numId w:val="30"/>
        </w:numPr>
        <w:spacing w:before="120" w:beforeLines="50" w:after="50" w:line="240" w:lineRule="auto"/>
        <w:jc w:val="center"/>
        <w:rPr>
          <w:rFonts w:hint="eastAsia" w:ascii="宋体" w:hAnsi="宋体" w:eastAsia="宋体" w:cs="宋体"/>
          <w:b/>
          <w:bCs/>
          <w:color w:val="auto"/>
          <w:sz w:val="21"/>
          <w:szCs w:val="21"/>
          <w:highlight w:val="none"/>
        </w:rPr>
      </w:pPr>
      <w:bookmarkStart w:id="219" w:name="_Toc187051758"/>
      <w:bookmarkStart w:id="220" w:name="_Toc184281683"/>
      <w:r>
        <w:rPr>
          <w:rFonts w:hint="eastAsia" w:ascii="宋体" w:hAnsi="宋体" w:eastAsia="宋体" w:cs="宋体"/>
          <w:b/>
          <w:bCs/>
          <w:color w:val="auto"/>
          <w:sz w:val="21"/>
          <w:szCs w:val="21"/>
          <w:highlight w:val="none"/>
        </w:rPr>
        <w:t>服务要求及规范</w:t>
      </w:r>
      <w:bookmarkEnd w:id="219"/>
      <w:bookmarkEnd w:id="220"/>
    </w:p>
    <w:p w14:paraId="010713EB">
      <w:pPr>
        <w:widowControl w:val="0"/>
        <w:numPr>
          <w:ilvl w:val="0"/>
          <w:numId w:val="0"/>
        </w:numPr>
        <w:tabs>
          <w:tab w:val="left" w:pos="360"/>
          <w:tab w:val="left" w:pos="1080"/>
        </w:tabs>
        <w:spacing w:line="240" w:lineRule="auto"/>
        <w:jc w:val="both"/>
        <w:rPr>
          <w:rFonts w:hint="eastAsia" w:ascii="宋体" w:hAnsi="宋体" w:eastAsia="宋体" w:cs="宋体"/>
          <w:b/>
          <w:color w:val="auto"/>
          <w:sz w:val="21"/>
          <w:szCs w:val="21"/>
          <w:highlight w:val="none"/>
        </w:rPr>
      </w:pPr>
    </w:p>
    <w:p w14:paraId="24C5F1BD">
      <w:pPr>
        <w:numPr>
          <w:ilvl w:val="0"/>
          <w:numId w:val="31"/>
        </w:numPr>
        <w:tabs>
          <w:tab w:val="left" w:pos="640"/>
          <w:tab w:val="clear" w:pos="680"/>
        </w:tabs>
        <w:spacing w:line="240" w:lineRule="auto"/>
        <w:ind w:left="640" w:hanging="64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物业管理总说明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为保障服务区环境卫生、停车秩序和服务质量等工作。</w:t>
      </w:r>
      <w:r>
        <w:rPr>
          <w:rFonts w:hint="eastAsia" w:ascii="宋体" w:hAnsi="宋体" w:eastAsia="宋体" w:cs="宋体"/>
          <w:color w:val="auto"/>
          <w:sz w:val="21"/>
          <w:szCs w:val="21"/>
          <w:highlight w:val="none"/>
        </w:rPr>
        <w:t>根据关于印发《</w:t>
      </w:r>
      <w:r>
        <w:rPr>
          <w:rFonts w:hint="eastAsia" w:ascii="宋体" w:hAnsi="宋体" w:eastAsia="宋体" w:cs="宋体"/>
          <w:color w:val="auto"/>
          <w:sz w:val="21"/>
          <w:szCs w:val="21"/>
          <w:highlight w:val="none"/>
          <w:lang w:val="en-US" w:eastAsia="zh-CN"/>
        </w:rPr>
        <w:t>关于进一步加强高速公路服务区保安、保洁工作的通知</w:t>
      </w:r>
      <w:r>
        <w:rPr>
          <w:rFonts w:hint="eastAsia" w:ascii="宋体" w:hAnsi="宋体" w:eastAsia="宋体" w:cs="宋体"/>
          <w:color w:val="auto"/>
          <w:sz w:val="21"/>
          <w:szCs w:val="21"/>
          <w:highlight w:val="none"/>
        </w:rPr>
        <w:t>》（浙</w:t>
      </w:r>
      <w:r>
        <w:rPr>
          <w:rFonts w:hint="eastAsia" w:ascii="宋体" w:hAnsi="宋体" w:eastAsia="宋体" w:cs="宋体"/>
          <w:color w:val="auto"/>
          <w:sz w:val="21"/>
          <w:szCs w:val="21"/>
          <w:highlight w:val="none"/>
          <w:lang w:val="en-US" w:eastAsia="zh-CN"/>
        </w:rPr>
        <w:t>公运</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号文件）</w:t>
      </w:r>
      <w:r>
        <w:rPr>
          <w:rFonts w:hint="eastAsia" w:ascii="宋体" w:hAnsi="宋体" w:eastAsia="宋体" w:cs="宋体"/>
          <w:color w:val="auto"/>
          <w:sz w:val="21"/>
          <w:szCs w:val="21"/>
          <w:highlight w:val="none"/>
          <w:lang w:val="en-US" w:eastAsia="zh-CN"/>
        </w:rPr>
        <w:t>文件精神</w:t>
      </w:r>
      <w:r>
        <w:rPr>
          <w:rFonts w:hint="eastAsia" w:ascii="宋体" w:hAnsi="宋体" w:eastAsia="宋体" w:cs="宋体"/>
          <w:color w:val="auto"/>
          <w:sz w:val="21"/>
          <w:szCs w:val="21"/>
          <w:highlight w:val="none"/>
        </w:rPr>
        <w:t>，优化功能布局，完善服务设施，强化服务功能，创新管理机制，全面提升本</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服务能力，为人民群众美好出行需求提供更高品质服务。</w:t>
      </w:r>
    </w:p>
    <w:p w14:paraId="790C08A2">
      <w:pPr>
        <w:widowControl/>
        <w:numPr>
          <w:ilvl w:val="1"/>
          <w:numId w:val="31"/>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安全管理为主要服务管理内容，制定安全管理服务细则。卫生保洁的服务标准质量要求按现代化标准订立服务规程，在充分了解掌握环境的情况下编制科学合理、切实可行的组织实施计划以及具体的保障措施、工作程序。本着对企业品牌的延伸，以社会化效益为重的原则，按现代企业制度运行，以热心、爱心、专心、贴心的服务，为后勤社会化提供全方位、一体化的专业服务保障。确保各</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域处于正常、有序、高效的状态， 运转正常，各项活动顺利完成。</w:t>
      </w:r>
    </w:p>
    <w:p w14:paraId="62D31F48">
      <w:pPr>
        <w:widowControl/>
        <w:numPr>
          <w:ilvl w:val="1"/>
          <w:numId w:val="31"/>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建立并完善各种管理制度和工作流程，明确分工职责和工作质量标准，强化工作的计划性、可操作性和实效性，确保安全有序，确保设备维运的及时性和准确性，确保设备安全和维保质量， 确保环境舒适、有序，让服务对象舒心，为各</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域提供优良的后勤保障。做好卫生保洁及生活服务的工作质量。</w:t>
      </w:r>
    </w:p>
    <w:p w14:paraId="49E81362">
      <w:pPr>
        <w:widowControl/>
        <w:numPr>
          <w:ilvl w:val="1"/>
          <w:numId w:val="31"/>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人员结构合理，分工明确。一般员工有相关专业所需的上岗证。所有人员要求政治上可靠，身体素质好，懂礼貌，善服务，无不良行为记录，重要岗位人员必须经采购人考核、政治审查通过方可录用。</w:t>
      </w:r>
    </w:p>
    <w:p w14:paraId="381C0DDA">
      <w:pPr>
        <w:widowControl/>
        <w:numPr>
          <w:ilvl w:val="1"/>
          <w:numId w:val="31"/>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组织人员做好管理区域内的日常管养、门卫、保安、公共安全、治安纠纷、路产及设施赔偿、停车秩序工作；</w:t>
      </w:r>
    </w:p>
    <w:p w14:paraId="321E1CBB">
      <w:pPr>
        <w:widowControl/>
        <w:numPr>
          <w:ilvl w:val="1"/>
          <w:numId w:val="31"/>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制订管理区域内管理服务的详细计划和方案，保障</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行车的方便、安全，保持外场设施完好、环境优美、公共秩序良好；</w:t>
      </w:r>
    </w:p>
    <w:p w14:paraId="17BA59D7">
      <w:pPr>
        <w:widowControl/>
        <w:numPr>
          <w:ilvl w:val="1"/>
          <w:numId w:val="31"/>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负责做好本班组员工文明值勤、现场动态管理、公共安全管理、日常巡查和检查；</w:t>
      </w:r>
    </w:p>
    <w:p w14:paraId="68FAC7DC">
      <w:pPr>
        <w:widowControl/>
        <w:numPr>
          <w:ilvl w:val="1"/>
          <w:numId w:val="31"/>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制定管理区域内部管理制度，规范所属人员的行为，做好所属人员的上岗、技能培训和考核工作，及时处理下属人员的违规行为；</w:t>
      </w:r>
    </w:p>
    <w:p w14:paraId="1F79EC23">
      <w:pPr>
        <w:widowControl/>
        <w:numPr>
          <w:ilvl w:val="1"/>
          <w:numId w:val="31"/>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定期听取</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的意见和建议，改进和完善管理服务；</w:t>
      </w:r>
    </w:p>
    <w:p w14:paraId="28AFE8EB">
      <w:pPr>
        <w:widowControl/>
        <w:numPr>
          <w:ilvl w:val="1"/>
          <w:numId w:val="31"/>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对管理区域内的违法行为或违反</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相关规定的行为，应立即依法劝阻、制止，并向</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有关部门报告；</w:t>
      </w:r>
    </w:p>
    <w:p w14:paraId="52A888AF">
      <w:pPr>
        <w:widowControl/>
        <w:numPr>
          <w:ilvl w:val="1"/>
          <w:numId w:val="31"/>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做好各项迎检工作，完成</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领导交办的其他工作。建立各类应急预案（如临时性紧急会议、上级重要领导来考察调研、抗台等）， 并培训相关人员达到相关要求。</w:t>
      </w:r>
    </w:p>
    <w:p w14:paraId="269BB195">
      <w:pPr>
        <w:numPr>
          <w:ilvl w:val="0"/>
          <w:numId w:val="31"/>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物业概况</w:t>
      </w:r>
    </w:p>
    <w:p w14:paraId="7F42B2FE">
      <w:pPr>
        <w:keepNext w:val="0"/>
        <w:keepLines w:val="0"/>
        <w:widowControl/>
        <w:numPr>
          <w:ilvl w:val="1"/>
          <w:numId w:val="31"/>
        </w:numPr>
        <w:suppressLineNumbers w:val="0"/>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 xml:space="preserve">陶山服务区位于温州绕城高速公路瑞安市陶山镇境内，占地面积102亩，其中建筑面积约10000平方米，绿化面积约16600平方米，大小停车位257个；并配置商业商铺、加油站、公共卫生间、第三卫生间、开水间、母婴室、司乘休息室等公共服务设施，为司乘人员提供24小时公共服务。 </w:t>
      </w:r>
    </w:p>
    <w:p w14:paraId="34E70F48">
      <w:pPr>
        <w:keepNext w:val="0"/>
        <w:keepLines w:val="0"/>
        <w:widowControl/>
        <w:numPr>
          <w:ilvl w:val="1"/>
          <w:numId w:val="31"/>
        </w:numPr>
        <w:suppressLineNumbers w:val="0"/>
        <w:tabs>
          <w:tab w:val="left" w:pos="640"/>
          <w:tab w:val="clear" w:pos="680"/>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 xml:space="preserve">服务内容：秩序维护、安保管理、卫生管理、设备维护等； </w:t>
      </w:r>
    </w:p>
    <w:p w14:paraId="26B311B8">
      <w:pPr>
        <w:pStyle w:val="12"/>
        <w:ind w:left="210" w:leftChars="100" w:firstLine="420" w:firstLineChars="20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公共区域环境卫生、设施设施日常管理与维护、交通与车辆停放秩序管理、前台咨询服务、安全消防管理、会务接待等。</w:t>
      </w:r>
    </w:p>
    <w:p w14:paraId="41F1E054">
      <w:pPr>
        <w:widowControl/>
        <w:numPr>
          <w:ilvl w:val="1"/>
          <w:numId w:val="31"/>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
        </w:rPr>
        <w:t>岗位配置：需配置</w:t>
      </w:r>
      <w:r>
        <w:rPr>
          <w:rFonts w:hint="eastAsia" w:ascii="宋体" w:hAnsi="宋体" w:eastAsia="宋体" w:cs="宋体"/>
          <w:color w:val="auto"/>
          <w:kern w:val="2"/>
          <w:sz w:val="21"/>
          <w:szCs w:val="21"/>
          <w:highlight w:val="none"/>
          <w:u w:val="single"/>
          <w:lang w:val="en-US" w:eastAsia="zh-CN" w:bidi="ar"/>
        </w:rPr>
        <w:t>50</w:t>
      </w:r>
      <w:r>
        <w:rPr>
          <w:rFonts w:hint="eastAsia" w:ascii="宋体" w:hAnsi="宋体" w:eastAsia="宋体" w:cs="宋体"/>
          <w:color w:val="auto"/>
          <w:kern w:val="2"/>
          <w:sz w:val="21"/>
          <w:szCs w:val="21"/>
          <w:highlight w:val="none"/>
          <w:lang w:val="en-US" w:eastAsia="zh-CN" w:bidi="ar"/>
        </w:rPr>
        <w:t>人，</w:t>
      </w:r>
      <w:r>
        <w:rPr>
          <w:rFonts w:hint="eastAsia" w:ascii="宋体" w:hAnsi="宋体" w:eastAsia="宋体" w:cs="宋体"/>
          <w:color w:val="auto"/>
          <w:sz w:val="21"/>
          <w:szCs w:val="21"/>
          <w:highlight w:val="none"/>
          <w:lang w:val="en-US" w:eastAsia="zh-CN"/>
        </w:rPr>
        <w:t>各</w:t>
      </w:r>
      <w:r>
        <w:rPr>
          <w:rFonts w:hint="eastAsia" w:ascii="宋体" w:hAnsi="宋体" w:eastAsia="宋体" w:cs="宋体"/>
          <w:color w:val="auto"/>
          <w:kern w:val="2"/>
          <w:sz w:val="21"/>
          <w:szCs w:val="21"/>
          <w:highlight w:val="none"/>
          <w:lang w:val="en-US" w:eastAsia="zh-CN" w:bidi="ar"/>
        </w:rPr>
        <w:t>岗位排班满足现场要求</w:t>
      </w:r>
      <w:r>
        <w:rPr>
          <w:rFonts w:hint="eastAsia" w:ascii="宋体" w:hAnsi="宋体" w:eastAsia="宋体" w:cs="宋体"/>
          <w:color w:val="auto"/>
          <w:sz w:val="21"/>
          <w:szCs w:val="21"/>
          <w:highlight w:val="none"/>
        </w:rPr>
        <w:t>。</w:t>
      </w:r>
    </w:p>
    <w:p w14:paraId="75DB70A6">
      <w:pPr>
        <w:widowControl/>
        <w:numPr>
          <w:ilvl w:val="2"/>
          <w:numId w:val="31"/>
        </w:numPr>
        <w:tabs>
          <w:tab w:val="left" w:pos="640"/>
          <w:tab w:val="clear" w:pos="1156"/>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
        </w:rPr>
        <w:t>各岗位如下表所示：</w:t>
      </w:r>
    </w:p>
    <w:tbl>
      <w:tblPr>
        <w:tblStyle w:val="25"/>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166"/>
        <w:gridCol w:w="1623"/>
        <w:gridCol w:w="2037"/>
        <w:gridCol w:w="1911"/>
      </w:tblGrid>
      <w:tr w14:paraId="76C7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14:paraId="4CE721AA">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序号</w:t>
            </w: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14:paraId="79791DFB">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工种</w:t>
            </w:r>
          </w:p>
        </w:tc>
        <w:tc>
          <w:tcPr>
            <w:tcW w:w="1623" w:type="dxa"/>
            <w:vMerge w:val="restart"/>
            <w:tcBorders>
              <w:top w:val="single" w:color="auto" w:sz="4" w:space="0"/>
              <w:left w:val="single" w:color="auto" w:sz="4" w:space="0"/>
              <w:bottom w:val="single" w:color="auto" w:sz="4" w:space="0"/>
              <w:right w:val="single" w:color="auto" w:sz="4" w:space="0"/>
            </w:tcBorders>
            <w:noWrap w:val="0"/>
            <w:vAlign w:val="center"/>
          </w:tcPr>
          <w:p w14:paraId="16530DA0">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配置人数</w:t>
            </w:r>
          </w:p>
        </w:tc>
        <w:tc>
          <w:tcPr>
            <w:tcW w:w="3948" w:type="dxa"/>
            <w:gridSpan w:val="2"/>
            <w:tcBorders>
              <w:top w:val="single" w:color="auto" w:sz="4" w:space="0"/>
              <w:left w:val="single" w:color="auto" w:sz="4" w:space="0"/>
              <w:bottom w:val="single" w:color="auto" w:sz="4" w:space="0"/>
              <w:right w:val="single" w:color="auto" w:sz="4" w:space="0"/>
            </w:tcBorders>
            <w:noWrap w:val="0"/>
            <w:vAlign w:val="center"/>
          </w:tcPr>
          <w:p w14:paraId="09366FE5">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具体人员分配</w:t>
            </w:r>
          </w:p>
        </w:tc>
      </w:tr>
      <w:tr w14:paraId="09F1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14:paraId="02041187">
            <w:pPr>
              <w:widowControl w:val="0"/>
              <w:jc w:val="center"/>
              <w:rPr>
                <w:rFonts w:hint="eastAsia" w:ascii="宋体" w:hAnsi="宋体" w:eastAsia="宋体" w:cs="宋体"/>
                <w:color w:val="auto"/>
                <w:kern w:val="2"/>
                <w:sz w:val="22"/>
                <w:szCs w:val="22"/>
                <w:highlight w:val="none"/>
                <w:vertAlign w:val="baseline"/>
                <w:lang w:val="en-US" w:eastAsia="zh-CN" w:bidi="ar-SA"/>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14:paraId="2FCB1DE1">
            <w:pPr>
              <w:widowControl w:val="0"/>
              <w:jc w:val="center"/>
              <w:rPr>
                <w:rFonts w:hint="eastAsia" w:ascii="宋体" w:hAnsi="宋体" w:eastAsia="宋体" w:cs="宋体"/>
                <w:color w:val="auto"/>
                <w:kern w:val="2"/>
                <w:sz w:val="22"/>
                <w:szCs w:val="22"/>
                <w:highlight w:val="none"/>
                <w:vertAlign w:val="baseline"/>
                <w:lang w:val="en-US" w:eastAsia="zh-CN" w:bidi="ar-SA"/>
              </w:rPr>
            </w:pPr>
          </w:p>
        </w:tc>
        <w:tc>
          <w:tcPr>
            <w:tcW w:w="1623" w:type="dxa"/>
            <w:vMerge w:val="continue"/>
            <w:tcBorders>
              <w:top w:val="single" w:color="auto" w:sz="4" w:space="0"/>
              <w:left w:val="single" w:color="auto" w:sz="4" w:space="0"/>
              <w:bottom w:val="single" w:color="auto" w:sz="4" w:space="0"/>
              <w:right w:val="single" w:color="auto" w:sz="4" w:space="0"/>
            </w:tcBorders>
            <w:noWrap w:val="0"/>
            <w:vAlign w:val="center"/>
          </w:tcPr>
          <w:p w14:paraId="12A52AE7">
            <w:pPr>
              <w:widowControl w:val="0"/>
              <w:jc w:val="center"/>
              <w:rPr>
                <w:rFonts w:hint="eastAsia" w:ascii="宋体" w:hAnsi="宋体" w:eastAsia="宋体" w:cs="宋体"/>
                <w:color w:val="auto"/>
                <w:kern w:val="2"/>
                <w:sz w:val="22"/>
                <w:szCs w:val="22"/>
                <w:highlight w:val="none"/>
                <w:vertAlign w:val="baseline"/>
                <w:lang w:val="en-US" w:eastAsia="zh-CN" w:bidi="ar-SA"/>
              </w:rPr>
            </w:pPr>
          </w:p>
        </w:tc>
        <w:tc>
          <w:tcPr>
            <w:tcW w:w="2037" w:type="dxa"/>
            <w:tcBorders>
              <w:top w:val="single" w:color="auto" w:sz="4" w:space="0"/>
              <w:left w:val="single" w:color="auto" w:sz="4" w:space="0"/>
              <w:bottom w:val="single" w:color="auto" w:sz="4" w:space="0"/>
              <w:right w:val="single" w:color="auto" w:sz="4" w:space="0"/>
            </w:tcBorders>
            <w:noWrap w:val="0"/>
            <w:vAlign w:val="center"/>
          </w:tcPr>
          <w:p w14:paraId="4061EB21">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岗位</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47BFB70D">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人数</w:t>
            </w:r>
          </w:p>
        </w:tc>
      </w:tr>
      <w:tr w14:paraId="7B16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14:paraId="5FE6C000">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37EB2F5C">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物业经理</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61C6335B">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0CAE390D">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11FD390C">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r>
      <w:tr w14:paraId="4DAA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14:paraId="74E5E680">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1274AED7">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水电工</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0E9D769C">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7D6B2D7D">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5443FBBE">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r>
      <w:tr w14:paraId="74FC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14:paraId="573CFC8E">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3</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54F4BC22">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咨询台人员</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41CE7D74">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1D8100A8">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1F2227F4">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w:t>
            </w:r>
          </w:p>
        </w:tc>
      </w:tr>
      <w:tr w14:paraId="61D3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75C0F1C">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4</w:t>
            </w: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14:paraId="413BE8C3">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保  安</w:t>
            </w:r>
          </w:p>
        </w:tc>
        <w:tc>
          <w:tcPr>
            <w:tcW w:w="1623" w:type="dxa"/>
            <w:vMerge w:val="restart"/>
            <w:tcBorders>
              <w:top w:val="single" w:color="auto" w:sz="4" w:space="0"/>
              <w:left w:val="single" w:color="auto" w:sz="4" w:space="0"/>
              <w:bottom w:val="single" w:color="auto" w:sz="4" w:space="0"/>
              <w:right w:val="single" w:color="auto" w:sz="4" w:space="0"/>
            </w:tcBorders>
            <w:noWrap w:val="0"/>
            <w:vAlign w:val="center"/>
          </w:tcPr>
          <w:p w14:paraId="2BFCC266">
            <w:pPr>
              <w:widowControl w:val="0"/>
              <w:jc w:val="center"/>
              <w:rPr>
                <w:rFonts w:hint="default"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20</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7D8DC5E4">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保安队长</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3BF34615">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w:t>
            </w:r>
          </w:p>
        </w:tc>
      </w:tr>
      <w:tr w14:paraId="73AF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1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BB84C20">
            <w:pPr>
              <w:widowControl w:val="0"/>
              <w:jc w:val="center"/>
              <w:rPr>
                <w:rFonts w:hint="eastAsia" w:ascii="宋体" w:hAnsi="宋体" w:eastAsia="宋体" w:cs="宋体"/>
                <w:color w:val="auto"/>
                <w:kern w:val="0"/>
                <w:sz w:val="22"/>
                <w:szCs w:val="22"/>
                <w:highlight w:val="none"/>
                <w:vertAlign w:val="baseline"/>
                <w:lang w:val="en-US" w:eastAsia="zh-CN" w:bidi="ar-SA"/>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14:paraId="6E3B07BB">
            <w:pPr>
              <w:widowControl w:val="0"/>
              <w:jc w:val="center"/>
              <w:rPr>
                <w:rFonts w:hint="eastAsia" w:ascii="宋体" w:hAnsi="宋体" w:eastAsia="宋体" w:cs="宋体"/>
                <w:color w:val="auto"/>
                <w:kern w:val="0"/>
                <w:sz w:val="22"/>
                <w:szCs w:val="22"/>
                <w:highlight w:val="none"/>
                <w:vertAlign w:val="baseline"/>
                <w:lang w:val="en-US" w:eastAsia="zh-CN"/>
              </w:rPr>
            </w:pPr>
          </w:p>
        </w:tc>
        <w:tc>
          <w:tcPr>
            <w:tcW w:w="1623" w:type="dxa"/>
            <w:vMerge w:val="continue"/>
            <w:tcBorders>
              <w:top w:val="single" w:color="auto" w:sz="4" w:space="0"/>
              <w:left w:val="single" w:color="auto" w:sz="4" w:space="0"/>
              <w:bottom w:val="single" w:color="auto" w:sz="4" w:space="0"/>
              <w:right w:val="single" w:color="auto" w:sz="4" w:space="0"/>
            </w:tcBorders>
            <w:noWrap w:val="0"/>
            <w:vAlign w:val="center"/>
          </w:tcPr>
          <w:p w14:paraId="651637FE">
            <w:pPr>
              <w:widowControl w:val="0"/>
              <w:jc w:val="center"/>
              <w:rPr>
                <w:rFonts w:hint="eastAsia" w:ascii="宋体" w:hAnsi="宋体" w:eastAsia="宋体" w:cs="宋体"/>
                <w:color w:val="auto"/>
                <w:kern w:val="0"/>
                <w:sz w:val="22"/>
                <w:szCs w:val="22"/>
                <w:highlight w:val="none"/>
                <w:vertAlign w:val="baseline"/>
                <w:lang w:val="en-US" w:eastAsia="zh-CN"/>
              </w:rPr>
            </w:pPr>
          </w:p>
        </w:tc>
        <w:tc>
          <w:tcPr>
            <w:tcW w:w="2037" w:type="dxa"/>
            <w:tcBorders>
              <w:top w:val="single" w:color="auto" w:sz="4" w:space="0"/>
              <w:left w:val="single" w:color="auto" w:sz="4" w:space="0"/>
              <w:right w:val="single" w:color="auto" w:sz="4" w:space="0"/>
            </w:tcBorders>
            <w:noWrap w:val="0"/>
            <w:vAlign w:val="center"/>
          </w:tcPr>
          <w:p w14:paraId="30BB1A82">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保安人员</w:t>
            </w:r>
          </w:p>
        </w:tc>
        <w:tc>
          <w:tcPr>
            <w:tcW w:w="1911" w:type="dxa"/>
            <w:tcBorders>
              <w:top w:val="single" w:color="auto" w:sz="4" w:space="0"/>
              <w:left w:val="single" w:color="auto" w:sz="4" w:space="0"/>
              <w:right w:val="single" w:color="auto" w:sz="4" w:space="0"/>
            </w:tcBorders>
            <w:noWrap w:val="0"/>
            <w:vAlign w:val="center"/>
          </w:tcPr>
          <w:p w14:paraId="2DA6C920">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18</w:t>
            </w:r>
          </w:p>
        </w:tc>
      </w:tr>
      <w:tr w14:paraId="3324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1437DDE">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5</w:t>
            </w:r>
          </w:p>
        </w:tc>
        <w:tc>
          <w:tcPr>
            <w:tcW w:w="2166" w:type="dxa"/>
            <w:vMerge w:val="restart"/>
            <w:tcBorders>
              <w:top w:val="single" w:color="auto" w:sz="4" w:space="0"/>
              <w:left w:val="single" w:color="auto" w:sz="4" w:space="0"/>
              <w:bottom w:val="single" w:color="auto" w:sz="4" w:space="0"/>
              <w:right w:val="single" w:color="auto" w:sz="4" w:space="0"/>
            </w:tcBorders>
            <w:noWrap w:val="0"/>
            <w:vAlign w:val="center"/>
          </w:tcPr>
          <w:p w14:paraId="51FB1D4C">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保洁</w:t>
            </w:r>
          </w:p>
        </w:tc>
        <w:tc>
          <w:tcPr>
            <w:tcW w:w="1623" w:type="dxa"/>
            <w:vMerge w:val="restart"/>
            <w:tcBorders>
              <w:top w:val="single" w:color="auto" w:sz="4" w:space="0"/>
              <w:left w:val="single" w:color="auto" w:sz="4" w:space="0"/>
              <w:bottom w:val="single" w:color="auto" w:sz="4" w:space="0"/>
              <w:right w:val="single" w:color="auto" w:sz="4" w:space="0"/>
            </w:tcBorders>
            <w:noWrap w:val="0"/>
            <w:vAlign w:val="center"/>
          </w:tcPr>
          <w:p w14:paraId="73AC0F45">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23</w:t>
            </w:r>
          </w:p>
        </w:tc>
        <w:tc>
          <w:tcPr>
            <w:tcW w:w="2037" w:type="dxa"/>
            <w:tcBorders>
              <w:top w:val="single" w:color="auto" w:sz="4" w:space="0"/>
              <w:left w:val="single" w:color="auto" w:sz="4" w:space="0"/>
              <w:bottom w:val="single" w:color="auto" w:sz="4" w:space="0"/>
              <w:right w:val="single" w:color="auto" w:sz="4" w:space="0"/>
            </w:tcBorders>
            <w:noWrap w:val="0"/>
            <w:vAlign w:val="center"/>
          </w:tcPr>
          <w:p w14:paraId="4A6A41B6">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保洁组长</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6906A98F">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1</w:t>
            </w:r>
          </w:p>
        </w:tc>
      </w:tr>
      <w:tr w14:paraId="50B8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1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1451967">
            <w:pPr>
              <w:widowControl w:val="0"/>
              <w:jc w:val="center"/>
              <w:rPr>
                <w:rFonts w:hint="eastAsia" w:ascii="宋体" w:hAnsi="宋体" w:eastAsia="宋体" w:cs="宋体"/>
                <w:color w:val="auto"/>
                <w:kern w:val="0"/>
                <w:sz w:val="22"/>
                <w:szCs w:val="22"/>
                <w:highlight w:val="none"/>
                <w:vertAlign w:val="baseline"/>
                <w:lang w:val="en-US" w:eastAsia="zh-CN" w:bidi="ar-SA"/>
              </w:rPr>
            </w:pPr>
          </w:p>
        </w:tc>
        <w:tc>
          <w:tcPr>
            <w:tcW w:w="2166" w:type="dxa"/>
            <w:vMerge w:val="continue"/>
            <w:tcBorders>
              <w:top w:val="single" w:color="auto" w:sz="4" w:space="0"/>
              <w:left w:val="single" w:color="auto" w:sz="4" w:space="0"/>
              <w:bottom w:val="single" w:color="auto" w:sz="4" w:space="0"/>
              <w:right w:val="single" w:color="auto" w:sz="4" w:space="0"/>
            </w:tcBorders>
            <w:noWrap w:val="0"/>
            <w:vAlign w:val="center"/>
          </w:tcPr>
          <w:p w14:paraId="0AFC0707">
            <w:pPr>
              <w:widowControl w:val="0"/>
              <w:jc w:val="center"/>
              <w:rPr>
                <w:rFonts w:hint="eastAsia" w:ascii="宋体" w:hAnsi="宋体" w:eastAsia="宋体" w:cs="宋体"/>
                <w:color w:val="auto"/>
                <w:kern w:val="0"/>
                <w:sz w:val="22"/>
                <w:szCs w:val="22"/>
                <w:highlight w:val="none"/>
                <w:vertAlign w:val="baseline"/>
                <w:lang w:val="en-US" w:eastAsia="zh-CN"/>
              </w:rPr>
            </w:pPr>
          </w:p>
        </w:tc>
        <w:tc>
          <w:tcPr>
            <w:tcW w:w="1623" w:type="dxa"/>
            <w:vMerge w:val="continue"/>
            <w:tcBorders>
              <w:top w:val="single" w:color="auto" w:sz="4" w:space="0"/>
              <w:left w:val="single" w:color="auto" w:sz="4" w:space="0"/>
              <w:bottom w:val="single" w:color="auto" w:sz="4" w:space="0"/>
              <w:right w:val="single" w:color="auto" w:sz="4" w:space="0"/>
            </w:tcBorders>
            <w:noWrap w:val="0"/>
            <w:vAlign w:val="center"/>
          </w:tcPr>
          <w:p w14:paraId="331057A8">
            <w:pPr>
              <w:widowControl w:val="0"/>
              <w:jc w:val="center"/>
              <w:rPr>
                <w:rFonts w:hint="eastAsia" w:ascii="宋体" w:hAnsi="宋体" w:eastAsia="宋体" w:cs="宋体"/>
                <w:color w:val="auto"/>
                <w:kern w:val="0"/>
                <w:sz w:val="22"/>
                <w:szCs w:val="22"/>
                <w:highlight w:val="none"/>
                <w:vertAlign w:val="baseline"/>
                <w:lang w:val="en-US" w:eastAsia="zh-CN"/>
              </w:rPr>
            </w:pPr>
          </w:p>
        </w:tc>
        <w:tc>
          <w:tcPr>
            <w:tcW w:w="2037" w:type="dxa"/>
            <w:tcBorders>
              <w:top w:val="single" w:color="auto" w:sz="4" w:space="0"/>
              <w:left w:val="single" w:color="auto" w:sz="4" w:space="0"/>
              <w:right w:val="single" w:color="auto" w:sz="4" w:space="0"/>
            </w:tcBorders>
            <w:noWrap w:val="0"/>
            <w:vAlign w:val="center"/>
          </w:tcPr>
          <w:p w14:paraId="7E1CBEFF">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2"/>
                <w:sz w:val="22"/>
                <w:szCs w:val="22"/>
                <w:highlight w:val="none"/>
                <w:vertAlign w:val="baseline"/>
                <w:lang w:val="en-US" w:eastAsia="zh-CN" w:bidi="ar-SA"/>
              </w:rPr>
              <w:t>保洁员</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0CE327AA">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22</w:t>
            </w:r>
          </w:p>
        </w:tc>
      </w:tr>
      <w:tr w14:paraId="5916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63F6E5">
            <w:pPr>
              <w:widowControl w:val="0"/>
              <w:jc w:val="center"/>
              <w:rPr>
                <w:rFonts w:hint="eastAsia" w:ascii="宋体" w:hAnsi="宋体" w:eastAsia="宋体" w:cs="宋体"/>
                <w:color w:val="auto"/>
                <w:kern w:val="0"/>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6</w:t>
            </w:r>
          </w:p>
        </w:tc>
        <w:tc>
          <w:tcPr>
            <w:tcW w:w="21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2D8BCA">
            <w:pPr>
              <w:widowControl w:val="0"/>
              <w:jc w:val="center"/>
              <w:rPr>
                <w:rFonts w:hint="eastAsia" w:ascii="宋体" w:hAnsi="宋体" w:eastAsia="宋体" w:cs="宋体"/>
                <w:color w:val="auto"/>
                <w:kern w:val="0"/>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监控/消控</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3310E1">
            <w:pPr>
              <w:widowControl w:val="0"/>
              <w:jc w:val="center"/>
              <w:rPr>
                <w:rFonts w:hint="eastAsia" w:ascii="宋体" w:hAnsi="宋体" w:eastAsia="宋体" w:cs="宋体"/>
                <w:color w:val="auto"/>
                <w:kern w:val="0"/>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3</w:t>
            </w:r>
          </w:p>
        </w:tc>
        <w:tc>
          <w:tcPr>
            <w:tcW w:w="2037" w:type="dxa"/>
            <w:tcBorders>
              <w:top w:val="single" w:color="auto" w:sz="4" w:space="0"/>
              <w:left w:val="single" w:color="auto" w:sz="4" w:space="0"/>
              <w:right w:val="single" w:color="auto" w:sz="4" w:space="0"/>
            </w:tcBorders>
            <w:shd w:val="clear" w:color="auto" w:fill="auto"/>
            <w:noWrap w:val="0"/>
            <w:vAlign w:val="center"/>
          </w:tcPr>
          <w:p w14:paraId="7F5BD499">
            <w:pPr>
              <w:widowControl w:val="0"/>
              <w:jc w:val="center"/>
              <w:rPr>
                <w:rFonts w:hint="eastAsia" w:ascii="宋体" w:hAnsi="宋体" w:eastAsia="宋体" w:cs="宋体"/>
                <w:color w:val="auto"/>
                <w:kern w:val="2"/>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监控/消控</w:t>
            </w:r>
          </w:p>
        </w:tc>
        <w:tc>
          <w:tcPr>
            <w:tcW w:w="19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01652E">
            <w:pPr>
              <w:widowControl w:val="0"/>
              <w:jc w:val="center"/>
              <w:rPr>
                <w:rFonts w:hint="eastAsia" w:ascii="宋体" w:hAnsi="宋体" w:eastAsia="宋体" w:cs="宋体"/>
                <w:color w:val="auto"/>
                <w:kern w:val="0"/>
                <w:sz w:val="22"/>
                <w:szCs w:val="22"/>
                <w:highlight w:val="none"/>
                <w:vertAlign w:val="baseline"/>
                <w:lang w:val="en-US" w:eastAsia="zh-CN" w:bidi="ar-SA"/>
              </w:rPr>
            </w:pPr>
            <w:r>
              <w:rPr>
                <w:rFonts w:hint="eastAsia" w:ascii="宋体" w:hAnsi="宋体" w:eastAsia="宋体" w:cs="宋体"/>
                <w:color w:val="auto"/>
                <w:kern w:val="0"/>
                <w:sz w:val="22"/>
                <w:szCs w:val="22"/>
                <w:highlight w:val="none"/>
                <w:vertAlign w:val="baseline"/>
                <w:lang w:val="en-US" w:eastAsia="zh-CN"/>
              </w:rPr>
              <w:t>3</w:t>
            </w:r>
          </w:p>
        </w:tc>
      </w:tr>
      <w:tr w14:paraId="3CC4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14:paraId="1E0D5C3F">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7</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667CBB5B">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合计</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06FEEAF1">
            <w:pPr>
              <w:widowControl w:val="0"/>
              <w:jc w:val="center"/>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kern w:val="0"/>
                <w:sz w:val="22"/>
                <w:szCs w:val="22"/>
                <w:highlight w:val="none"/>
                <w:vertAlign w:val="baseline"/>
                <w:lang w:val="en-US" w:eastAsia="zh-CN"/>
              </w:rPr>
              <w:t>50</w:t>
            </w:r>
          </w:p>
        </w:tc>
        <w:tc>
          <w:tcPr>
            <w:tcW w:w="3948" w:type="dxa"/>
            <w:gridSpan w:val="2"/>
            <w:tcBorders>
              <w:top w:val="single" w:color="auto" w:sz="4" w:space="0"/>
              <w:left w:val="single" w:color="auto" w:sz="4" w:space="0"/>
              <w:bottom w:val="single" w:color="auto" w:sz="4" w:space="0"/>
              <w:right w:val="single" w:color="auto" w:sz="4" w:space="0"/>
            </w:tcBorders>
            <w:noWrap w:val="0"/>
            <w:vAlign w:val="center"/>
          </w:tcPr>
          <w:p w14:paraId="0909335E">
            <w:pPr>
              <w:widowControl w:val="0"/>
              <w:jc w:val="center"/>
              <w:rPr>
                <w:rFonts w:hint="eastAsia" w:ascii="宋体" w:hAnsi="宋体" w:eastAsia="宋体" w:cs="宋体"/>
                <w:color w:val="auto"/>
                <w:kern w:val="0"/>
                <w:sz w:val="22"/>
                <w:szCs w:val="22"/>
                <w:highlight w:val="none"/>
                <w:vertAlign w:val="baseline"/>
                <w:lang w:val="en-US" w:eastAsia="zh-CN"/>
              </w:rPr>
            </w:pPr>
          </w:p>
        </w:tc>
      </w:tr>
      <w:tr w14:paraId="4352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551" w:type="dxa"/>
            <w:gridSpan w:val="5"/>
            <w:tcBorders>
              <w:top w:val="single" w:color="auto" w:sz="4" w:space="0"/>
              <w:left w:val="single" w:color="auto" w:sz="4" w:space="0"/>
              <w:bottom w:val="single" w:color="auto" w:sz="4" w:space="0"/>
              <w:right w:val="single" w:color="auto" w:sz="4" w:space="0"/>
            </w:tcBorders>
            <w:noWrap w:val="0"/>
            <w:vAlign w:val="center"/>
          </w:tcPr>
          <w:p w14:paraId="774B2034">
            <w:pPr>
              <w:widowControl w:val="0"/>
              <w:jc w:val="left"/>
              <w:rPr>
                <w:rFonts w:hint="eastAsia" w:ascii="宋体" w:hAnsi="宋体" w:eastAsia="宋体" w:cs="宋体"/>
                <w:color w:val="auto"/>
                <w:kern w:val="0"/>
                <w:sz w:val="22"/>
                <w:szCs w:val="22"/>
                <w:highlight w:val="none"/>
                <w:vertAlign w:val="baseline"/>
                <w:lang w:val="en-US" w:eastAsia="zh-CN"/>
              </w:rPr>
            </w:pPr>
            <w:r>
              <w:rPr>
                <w:rFonts w:hint="eastAsia" w:ascii="宋体" w:hAnsi="宋体" w:eastAsia="宋体" w:cs="宋体"/>
                <w:color w:val="auto"/>
                <w:sz w:val="22"/>
                <w:highlight w:val="none"/>
                <w:lang w:val="en-US" w:eastAsia="zh-CN"/>
              </w:rPr>
              <w:t>备注：所有人员均需经体检合格后方可上岗</w:t>
            </w:r>
          </w:p>
        </w:tc>
      </w:tr>
    </w:tbl>
    <w:p w14:paraId="382B8AE9">
      <w:pPr>
        <w:snapToGrid w:val="0"/>
        <w:spacing w:line="240" w:lineRule="auto"/>
        <w:ind w:left="378" w:hanging="361" w:hangingChars="17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679B5BA0">
      <w:pPr>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u w:val="singl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以上</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为本项目投标要求的</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w:t>
      </w:r>
      <w:r>
        <w:rPr>
          <w:rFonts w:hint="eastAsia" w:ascii="宋体" w:hAnsi="宋体" w:eastAsia="宋体" w:cs="宋体"/>
          <w:b/>
          <w:color w:val="auto"/>
          <w:sz w:val="21"/>
          <w:szCs w:val="21"/>
          <w:highlight w:val="none"/>
          <w:u w:val="single"/>
          <w:lang w:val="en-US" w:eastAsia="zh-CN"/>
        </w:rPr>
        <w:t>投标时须严格按照该数量进行报价。</w:t>
      </w:r>
      <w:r>
        <w:rPr>
          <w:rFonts w:hint="eastAsia" w:ascii="宋体" w:hAnsi="宋体" w:eastAsia="宋体" w:cs="宋体"/>
          <w:b/>
          <w:color w:val="auto"/>
          <w:sz w:val="21"/>
          <w:szCs w:val="21"/>
          <w:highlight w:val="none"/>
          <w:u w:val="single"/>
        </w:rPr>
        <w:t>在项目实施过程中，采购人有权根据实际情况对</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数量和岗位配置进行调整（</w:t>
      </w:r>
      <w:r>
        <w:rPr>
          <w:rFonts w:hint="eastAsia" w:ascii="宋体" w:hAnsi="宋体" w:eastAsia="宋体" w:cs="宋体"/>
          <w:b/>
          <w:color w:val="auto"/>
          <w:sz w:val="21"/>
          <w:szCs w:val="21"/>
          <w:highlight w:val="none"/>
          <w:u w:val="single"/>
          <w:lang w:val="en-US" w:eastAsia="zh-CN"/>
        </w:rPr>
        <w:t>如调整，则</w:t>
      </w:r>
      <w:r>
        <w:rPr>
          <w:rFonts w:hint="eastAsia" w:ascii="宋体" w:hAnsi="宋体" w:eastAsia="宋体" w:cs="宋体"/>
          <w:b/>
          <w:color w:val="auto"/>
          <w:sz w:val="21"/>
          <w:szCs w:val="21"/>
          <w:highlight w:val="none"/>
          <w:u w:val="single"/>
        </w:rPr>
        <w:t>实际结算根据实际</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数量及</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rPr>
        <w:t>最终成交分项报价表中各岗位月工资按实结算物业费，临时增加人员费用每季按实结算支付），各供应商须充分</w:t>
      </w:r>
      <w:r>
        <w:rPr>
          <w:rFonts w:hint="eastAsia" w:ascii="宋体" w:hAnsi="宋体" w:eastAsia="宋体" w:cs="宋体"/>
          <w:b/>
          <w:color w:val="auto"/>
          <w:sz w:val="21"/>
          <w:szCs w:val="21"/>
          <w:highlight w:val="none"/>
          <w:u w:val="single"/>
          <w:lang w:val="en-US" w:eastAsia="zh-CN"/>
        </w:rPr>
        <w:t>考虑项目实施工程中的人员轮岗调休等事项，自行</w:t>
      </w:r>
      <w:r>
        <w:rPr>
          <w:rFonts w:hint="eastAsia" w:ascii="宋体" w:hAnsi="宋体" w:eastAsia="宋体" w:cs="宋体"/>
          <w:b/>
          <w:color w:val="auto"/>
          <w:sz w:val="21"/>
          <w:szCs w:val="21"/>
          <w:highlight w:val="none"/>
          <w:u w:val="single"/>
        </w:rPr>
        <w:t>考虑报价风险。</w:t>
      </w:r>
    </w:p>
    <w:p w14:paraId="4CC9E9CA">
      <w:pPr>
        <w:pStyle w:val="12"/>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2）物业经理需按规定参加服务区的日常排班值守，相关费用在报价过程中自行考虑，综合报价。</w:t>
      </w:r>
    </w:p>
    <w:p w14:paraId="51B1A663">
      <w:pPr>
        <w:pStyle w:val="12"/>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3）物业经理、水电工除规定日常工作时间外，需24小时保持联络畅通，随时待命。在接到通知后需能及时赶赴现场处理相关事宜，保障服务区的正常运转。</w:t>
      </w:r>
    </w:p>
    <w:p w14:paraId="2CC98205">
      <w:pPr>
        <w:pStyle w:val="12"/>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4）所有人员均需经体检合格后方可上岗。</w:t>
      </w:r>
    </w:p>
    <w:p w14:paraId="1A746F6A">
      <w:pPr>
        <w:pStyle w:val="12"/>
        <w:numPr>
          <w:ilvl w:val="0"/>
          <w:numId w:val="0"/>
        </w:numPr>
        <w:spacing w:line="24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消控人员、水电工必须持证上岗（国家职业资格证书），严格按作业证许可范围分别从事各自岗位工作。</w:t>
      </w:r>
    </w:p>
    <w:p w14:paraId="393269BC">
      <w:pPr>
        <w:widowControl/>
        <w:numPr>
          <w:ilvl w:val="2"/>
          <w:numId w:val="31"/>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物业经理岗位：高中以上文化程度，年龄在30～</w:t>
      </w:r>
      <w:r>
        <w:rPr>
          <w:rFonts w:hint="eastAsia" w:ascii="宋体" w:hAnsi="宋体" w:eastAsia="宋体" w:cs="宋体"/>
          <w:color w:val="auto"/>
          <w:sz w:val="21"/>
          <w:szCs w:val="21"/>
          <w:highlight w:val="none"/>
          <w:lang w:val="en-US" w:eastAsia="zh-CN" w:bidi="ar"/>
        </w:rPr>
        <w:t>55</w:t>
      </w:r>
      <w:r>
        <w:rPr>
          <w:rFonts w:hint="eastAsia" w:ascii="宋体" w:hAnsi="宋体" w:eastAsia="宋体" w:cs="宋体"/>
          <w:color w:val="auto"/>
          <w:sz w:val="21"/>
          <w:szCs w:val="21"/>
          <w:highlight w:val="none"/>
          <w:lang w:eastAsia="zh-CN" w:bidi="ar"/>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14:paraId="473F73A9">
      <w:pPr>
        <w:widowControl/>
        <w:numPr>
          <w:ilvl w:val="2"/>
          <w:numId w:val="31"/>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咨询台人员岗位：高中以上文化程度，22-40岁</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特别优秀的经甲方同意可适当放宽</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，形象良好，具备良好的沟通能力、基础电脑操作能力和良好的服务意识、注重服务细节。</w:t>
      </w:r>
    </w:p>
    <w:p w14:paraId="0824E807">
      <w:pPr>
        <w:widowControl/>
        <w:numPr>
          <w:ilvl w:val="2"/>
          <w:numId w:val="31"/>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监控（消控）员岗位：高中以上文化程度，20</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55岁以下，无近视，具有较强的消防和安保知识，责任心强，应变能力强，能吃苦耐劳，消控员须持证上岗。</w:t>
      </w:r>
    </w:p>
    <w:p w14:paraId="2524F455">
      <w:pPr>
        <w:widowControl/>
        <w:numPr>
          <w:ilvl w:val="2"/>
          <w:numId w:val="31"/>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水电工岗位：</w:t>
      </w:r>
      <w:r>
        <w:rPr>
          <w:rFonts w:hint="eastAsia" w:ascii="宋体" w:hAnsi="宋体" w:eastAsia="宋体" w:cs="宋体"/>
          <w:color w:val="auto"/>
          <w:sz w:val="21"/>
          <w:szCs w:val="21"/>
          <w:highlight w:val="none"/>
          <w:lang w:val="en-US" w:eastAsia="zh-CN" w:bidi="ar"/>
        </w:rPr>
        <w:t>高</w:t>
      </w:r>
      <w:r>
        <w:rPr>
          <w:rFonts w:hint="eastAsia" w:ascii="宋体" w:hAnsi="宋体" w:eastAsia="宋体" w:cs="宋体"/>
          <w:color w:val="auto"/>
          <w:sz w:val="21"/>
          <w:szCs w:val="21"/>
          <w:highlight w:val="none"/>
          <w:lang w:eastAsia="zh-CN" w:bidi="ar"/>
        </w:rPr>
        <w:t>中以上文化程度，男性，22～55岁，持有相关专业上岗证件（国家职业资格证书），</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年以上相关工作经验，具备业务实施能力和良好的服务意识、注重服务细节。</w:t>
      </w:r>
    </w:p>
    <w:p w14:paraId="4C3A0454">
      <w:pPr>
        <w:widowControl/>
        <w:numPr>
          <w:ilvl w:val="2"/>
          <w:numId w:val="31"/>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保安</w:t>
      </w:r>
      <w:r>
        <w:rPr>
          <w:rFonts w:hint="eastAsia" w:ascii="宋体" w:hAnsi="宋体" w:eastAsia="宋体" w:cs="宋体"/>
          <w:color w:val="auto"/>
          <w:sz w:val="21"/>
          <w:szCs w:val="21"/>
          <w:highlight w:val="none"/>
          <w:lang w:val="en-US" w:eastAsia="zh-CN" w:bidi="ar"/>
        </w:rPr>
        <w:t>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含保安队长</w:t>
      </w:r>
      <w:r>
        <w:rPr>
          <w:rFonts w:hint="eastAsia" w:ascii="宋体" w:hAnsi="宋体" w:eastAsia="宋体" w:cs="宋体"/>
          <w:color w:val="auto"/>
          <w:sz w:val="21"/>
          <w:szCs w:val="21"/>
          <w:highlight w:val="none"/>
          <w:lang w:eastAsia="zh-CN" w:bidi="ar"/>
        </w:rPr>
        <w:t>）：初中以上文化程度，男性，20～</w:t>
      </w:r>
      <w:r>
        <w:rPr>
          <w:rFonts w:hint="eastAsia" w:ascii="宋体" w:hAnsi="宋体" w:eastAsia="宋体" w:cs="宋体"/>
          <w:color w:val="auto"/>
          <w:sz w:val="21"/>
          <w:szCs w:val="21"/>
          <w:highlight w:val="none"/>
          <w:lang w:val="en-US" w:eastAsia="zh-CN" w:bidi="ar"/>
        </w:rPr>
        <w:t>55</w:t>
      </w:r>
      <w:r>
        <w:rPr>
          <w:rFonts w:hint="eastAsia" w:ascii="宋体" w:hAnsi="宋体" w:eastAsia="宋体" w:cs="宋体"/>
          <w:color w:val="auto"/>
          <w:sz w:val="21"/>
          <w:szCs w:val="21"/>
          <w:highlight w:val="none"/>
          <w:lang w:eastAsia="zh-CN" w:bidi="ar"/>
        </w:rPr>
        <w:t>岁（</w:t>
      </w:r>
      <w:r>
        <w:rPr>
          <w:rFonts w:hint="eastAsia" w:ascii="宋体" w:hAnsi="宋体" w:eastAsia="宋体" w:cs="宋体"/>
          <w:color w:val="auto"/>
          <w:sz w:val="21"/>
          <w:szCs w:val="21"/>
          <w:highlight w:val="none"/>
          <w:lang w:val="en-US" w:eastAsia="zh-CN" w:bidi="ar"/>
        </w:rPr>
        <w:t>特别优秀的经甲方同意可适当放宽</w:t>
      </w:r>
      <w:r>
        <w:rPr>
          <w:rFonts w:hint="eastAsia" w:ascii="宋体" w:hAnsi="宋体" w:eastAsia="宋体" w:cs="宋体"/>
          <w:color w:val="auto"/>
          <w:sz w:val="21"/>
          <w:szCs w:val="21"/>
          <w:highlight w:val="none"/>
          <w:lang w:eastAsia="zh-CN" w:bidi="ar"/>
        </w:rPr>
        <w:t>），身高1.6</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米以上，无近视，具有较强的安保和消防知识，</w:t>
      </w:r>
      <w:r>
        <w:rPr>
          <w:rFonts w:hint="eastAsia" w:ascii="宋体" w:hAnsi="宋体" w:eastAsia="宋体" w:cs="宋体"/>
          <w:color w:val="auto"/>
          <w:sz w:val="21"/>
          <w:szCs w:val="21"/>
          <w:highlight w:val="none"/>
          <w:lang w:val="en-US" w:eastAsia="zh-CN" w:bidi="ar"/>
        </w:rPr>
        <w:t>退伍军人优先考虑，具有保安员资格证，</w:t>
      </w:r>
      <w:r>
        <w:rPr>
          <w:rFonts w:hint="eastAsia" w:ascii="宋体" w:hAnsi="宋体" w:eastAsia="宋体" w:cs="宋体"/>
          <w:color w:val="auto"/>
          <w:sz w:val="21"/>
          <w:szCs w:val="21"/>
          <w:highlight w:val="none"/>
          <w:lang w:eastAsia="zh-CN" w:bidi="ar"/>
        </w:rPr>
        <w:t>一年以上安保工作经验，应变能力强、能吃苦耐劳。</w:t>
      </w:r>
    </w:p>
    <w:p w14:paraId="49CC5293">
      <w:pPr>
        <w:widowControl/>
        <w:numPr>
          <w:ilvl w:val="2"/>
          <w:numId w:val="31"/>
        </w:numPr>
        <w:tabs>
          <w:tab w:val="left" w:pos="640"/>
          <w:tab w:val="clear" w:pos="1156"/>
        </w:tabs>
        <w:snapToGrid/>
        <w:spacing w:line="240" w:lineRule="auto"/>
        <w:ind w:left="640" w:hanging="64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w:t>
      </w:r>
      <w:r>
        <w:rPr>
          <w:rFonts w:hint="eastAsia" w:ascii="宋体" w:hAnsi="宋体" w:eastAsia="宋体" w:cs="宋体"/>
          <w:color w:val="auto"/>
          <w:kern w:val="2"/>
          <w:sz w:val="21"/>
          <w:szCs w:val="21"/>
          <w:highlight w:val="none"/>
          <w:lang w:val="en-US" w:eastAsia="zh-CN" w:bidi="ar"/>
        </w:rPr>
        <w:t>保洁主管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rPr>
        <w:t>50岁，特别优秀的经甲方同意可适当放宽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14:paraId="51D0EAB3">
      <w:pPr>
        <w:numPr>
          <w:ilvl w:val="0"/>
          <w:numId w:val="31"/>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服务标准及要求</w:t>
      </w:r>
    </w:p>
    <w:p w14:paraId="3E22A5FF">
      <w:pPr>
        <w:numPr>
          <w:ilvl w:val="1"/>
          <w:numId w:val="31"/>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保洁服务要求</w:t>
      </w:r>
    </w:p>
    <w:p w14:paraId="4C1F0B83">
      <w:pPr>
        <w:widowControl/>
        <w:numPr>
          <w:ilvl w:val="2"/>
          <w:numId w:val="31"/>
        </w:numPr>
        <w:tabs>
          <w:tab w:val="left" w:pos="640"/>
          <w:tab w:val="clear" w:pos="1156"/>
        </w:tabs>
        <w:adjustRightInd/>
        <w:snapToGrid/>
        <w:spacing w:line="240" w:lineRule="auto"/>
        <w:ind w:left="1060" w:hanging="106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公共区域（</w:t>
      </w:r>
      <w:r>
        <w:rPr>
          <w:rFonts w:hint="eastAsia" w:ascii="宋体" w:hAnsi="宋体" w:eastAsia="宋体" w:cs="宋体"/>
          <w:b w:val="0"/>
          <w:color w:val="auto"/>
          <w:sz w:val="21"/>
          <w:szCs w:val="21"/>
          <w:highlight w:val="none"/>
          <w:lang w:bidi="ar"/>
        </w:rPr>
        <w:t>包括办公室、会议室等</w:t>
      </w:r>
      <w:r>
        <w:rPr>
          <w:rFonts w:hint="eastAsia" w:ascii="宋体" w:hAnsi="宋体" w:eastAsia="宋体" w:cs="宋体"/>
          <w:bCs w:val="0"/>
          <w:color w:val="auto"/>
          <w:sz w:val="21"/>
          <w:szCs w:val="21"/>
          <w:highlight w:val="none"/>
          <w:lang w:bidi="ar"/>
        </w:rPr>
        <w:t>）</w:t>
      </w:r>
    </w:p>
    <w:p w14:paraId="4EFBC7B2">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规范着装，正确穿戴防护用品，做好地面防滑工作，外场作业人员务必穿反光背心。</w:t>
      </w:r>
    </w:p>
    <w:p w14:paraId="4947F914">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广场的环境卫生工作，确保地面无明显垃圾、杂物、油污，无明显积水；垃圾全部装袋，一律投入垃圾箱，垃圾箱无寄生虫害，无蚊蝇繁衍；警示牌、指示牌、广告牌、草坪灯箱等无积灰、污垢，不锈钢栏、垃圾箱等清洁明亮，无水锈、无污渍、无损坏；垃圾桶量达到三分之二及时倾倒垃圾。</w:t>
      </w:r>
    </w:p>
    <w:p w14:paraId="16CED516">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负责做好公共区域公厕及草坪等绿化地带的清洁</w:t>
      </w:r>
      <w:r>
        <w:rPr>
          <w:rFonts w:hint="eastAsia" w:ascii="宋体" w:hAnsi="宋体" w:eastAsia="宋体" w:cs="宋体"/>
          <w:bCs w:val="0"/>
          <w:color w:val="auto"/>
          <w:sz w:val="21"/>
          <w:szCs w:val="21"/>
          <w:highlight w:val="none"/>
          <w:lang w:eastAsia="zh-CN" w:bidi="ar"/>
        </w:rPr>
        <w:t>、</w:t>
      </w:r>
      <w:r>
        <w:rPr>
          <w:rFonts w:hint="eastAsia" w:ascii="宋体" w:hAnsi="宋体" w:eastAsia="宋体" w:cs="宋体"/>
          <w:color w:val="auto"/>
          <w:sz w:val="21"/>
          <w:szCs w:val="21"/>
          <w:highlight w:val="none"/>
          <w:lang w:bidi="ar"/>
        </w:rPr>
        <w:t>苗木浇水</w:t>
      </w:r>
      <w:r>
        <w:rPr>
          <w:rFonts w:hint="eastAsia" w:ascii="宋体" w:hAnsi="宋体" w:eastAsia="宋体" w:cs="宋体"/>
          <w:bCs w:val="0"/>
          <w:color w:val="auto"/>
          <w:sz w:val="21"/>
          <w:szCs w:val="21"/>
          <w:highlight w:val="none"/>
          <w:lang w:bidi="ar"/>
        </w:rPr>
        <w:t>；负责定期对墙面、顶棚、门、窗、镜面进行清洁，做到无污渍、无蛛网，发现堵塞、设施损坏或其他突发事故必须要及时上报处理。</w:t>
      </w:r>
    </w:p>
    <w:p w14:paraId="621287F8">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定期做好灭蚊、灭蝇工作，撒放消毒药水，保障垃圾房及垃圾箱无寄生虫害，无蚊蝇繁衍。</w:t>
      </w:r>
    </w:p>
    <w:p w14:paraId="5B52A607">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遵守</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各项规章制度，不违反劳动纪律，不违章作业，对本岗位的安全生产负直接责任。</w:t>
      </w:r>
    </w:p>
    <w:p w14:paraId="0754F712">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熟悉区域内消防器材的放置位置，保持安全通道畅通，不得随意挪动、使用消防器材；学会正确使用灭火器，懂得报火警和简单的火灾扑救知识。</w:t>
      </w:r>
    </w:p>
    <w:p w14:paraId="77E24570">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积极参加各种活动、岗位技术练兵和应急预案演练。</w:t>
      </w:r>
    </w:p>
    <w:p w14:paraId="5A32BAB2">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每日班后检查本部门区域的水、设备设施等安全事项落实情况。</w:t>
      </w:r>
    </w:p>
    <w:p w14:paraId="7AA91D85">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发现安全隐患及时上报并整改，发生安全事故应及时上报并保护现场。</w:t>
      </w:r>
    </w:p>
    <w:p w14:paraId="4BD1B24E">
      <w:pPr>
        <w:widowControl/>
        <w:numPr>
          <w:ilvl w:val="2"/>
          <w:numId w:val="31"/>
        </w:numPr>
        <w:tabs>
          <w:tab w:val="left" w:pos="640"/>
          <w:tab w:val="clear" w:pos="1156"/>
        </w:tabs>
        <w:adjustRightInd/>
        <w:snapToGrid/>
        <w:spacing w:line="240" w:lineRule="auto"/>
        <w:ind w:left="1060" w:hanging="1060" w:firstLineChars="0"/>
        <w:jc w:val="left"/>
        <w:rPr>
          <w:rFonts w:hint="eastAsia" w:ascii="宋体" w:hAnsi="宋体" w:eastAsia="宋体" w:cs="宋体"/>
          <w:bCs/>
          <w:color w:val="auto"/>
          <w:sz w:val="21"/>
          <w:szCs w:val="21"/>
          <w:highlight w:val="none"/>
        </w:rPr>
      </w:pPr>
      <w:r>
        <w:rPr>
          <w:rFonts w:hint="eastAsia" w:ascii="宋体" w:hAnsi="宋体" w:eastAsia="宋体" w:cs="宋体"/>
          <w:bCs w:val="0"/>
          <w:color w:val="auto"/>
          <w:sz w:val="21"/>
          <w:szCs w:val="21"/>
          <w:highlight w:val="none"/>
          <w:lang w:bidi="ar"/>
        </w:rPr>
        <w:t>公共卫生间</w:t>
      </w:r>
    </w:p>
    <w:p w14:paraId="6F187CD6">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遵守</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各项安全生产规章制度，不违反劳动纪律，不违章作业，对本岗位的安全生产负直接责任。</w:t>
      </w:r>
    </w:p>
    <w:p w14:paraId="78C09BB4">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熟悉区域内的消防器材的放置位置，不得随意挪动、使用消防器材；学会正确使用灭火器，懂得报火警和简单的火灾扑救知识。</w:t>
      </w:r>
    </w:p>
    <w:p w14:paraId="0649885B">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洗手间的环境卫生工作，及时清除大、小便器的污垢、水锈，疏通堵塞；做到地面无杂物、灰尘、污迹，墙面、顶棚、门、窗、镜面无污渍、蛛网；定期做好灭蚊、灭蝇工作，撒放消毒药水；及时倾倒垃圾，做到垃圾不超过容器深度的三分之二。</w:t>
      </w:r>
    </w:p>
    <w:p w14:paraId="153E7D44">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每日班后检查本部门区域的水、电、设备设施等安全事项落实情况。</w:t>
      </w:r>
    </w:p>
    <w:p w14:paraId="75A1DD1F">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规范着装，正确穿戴防护用品，做好地面防滑工作，做到文明服务。</w:t>
      </w:r>
    </w:p>
    <w:p w14:paraId="0EC570FE">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 xml:space="preserve">积极参加各种安全活动、岗位技术练兵和事故预知训练。 </w:t>
      </w:r>
    </w:p>
    <w:p w14:paraId="75616B87">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及时放置、添加卫生纸、洗手液等。</w:t>
      </w:r>
    </w:p>
    <w:p w14:paraId="410E3C52">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发现安全隐患及时上报并整改，发生安全事故应及时上报并保护现场。</w:t>
      </w:r>
    </w:p>
    <w:p w14:paraId="221A0680">
      <w:pPr>
        <w:widowControl/>
        <w:numPr>
          <w:ilvl w:val="3"/>
          <w:numId w:val="31"/>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完成上级领导临时交办的其他安全工作任务。</w:t>
      </w:r>
    </w:p>
    <w:p w14:paraId="7584CF05">
      <w:pPr>
        <w:widowControl/>
        <w:numPr>
          <w:ilvl w:val="1"/>
          <w:numId w:val="31"/>
        </w:numPr>
        <w:tabs>
          <w:tab w:val="left" w:pos="640"/>
          <w:tab w:val="clear" w:pos="680"/>
        </w:tabs>
        <w:spacing w:line="240" w:lineRule="auto"/>
        <w:ind w:left="640" w:hanging="64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保安服务要求</w:t>
      </w:r>
    </w:p>
    <w:p w14:paraId="782E575D">
      <w:pPr>
        <w:widowControl/>
        <w:numPr>
          <w:ilvl w:val="2"/>
          <w:numId w:val="31"/>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开展</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各项安保工作。</w:t>
      </w:r>
    </w:p>
    <w:p w14:paraId="5BA63D92">
      <w:pPr>
        <w:widowControl/>
        <w:numPr>
          <w:ilvl w:val="2"/>
          <w:numId w:val="31"/>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负责责任区内治安管理，疏导出入口车辆和人员，确保出入口畅通有序。</w:t>
      </w:r>
    </w:p>
    <w:p w14:paraId="58D53524">
      <w:pPr>
        <w:widowControl/>
        <w:numPr>
          <w:ilvl w:val="2"/>
          <w:numId w:val="31"/>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对岗位上发生突发性事件，妥善处理紧急事件，及时报告，并定期开展训练、应急演练等培训活动。</w:t>
      </w:r>
    </w:p>
    <w:p w14:paraId="1CB77256">
      <w:pPr>
        <w:widowControl/>
        <w:numPr>
          <w:ilvl w:val="2"/>
          <w:numId w:val="31"/>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负责做好边门进出人员、车辆的物资查验，确保</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财产安全及现场秩序有序，对</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边门进出情况做好详细记录。</w:t>
      </w:r>
    </w:p>
    <w:p w14:paraId="3F03DC5A">
      <w:pPr>
        <w:widowControl/>
        <w:numPr>
          <w:ilvl w:val="2"/>
          <w:numId w:val="31"/>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加强现场巡逻，负责做好各种车辆在</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广场停放的现场指挥，做好危险品车辆的登记和指定停放工作，要求做到文明引导。</w:t>
      </w:r>
    </w:p>
    <w:p w14:paraId="074945B5">
      <w:pPr>
        <w:widowControl/>
        <w:numPr>
          <w:ilvl w:val="2"/>
          <w:numId w:val="31"/>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认真做好</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消防管理工作，在巡逻过程，关注广场设备设施，如消防栓等是否存在漏水等问题，如有发现，及时上报。负责做好消防器材和其它公共设施日常检查工作，发现损坏及时上报。</w:t>
      </w:r>
    </w:p>
    <w:p w14:paraId="7B07223A">
      <w:pPr>
        <w:widowControl/>
        <w:numPr>
          <w:ilvl w:val="2"/>
          <w:numId w:val="31"/>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负责保安亭内的卫生清理工作。</w:t>
      </w:r>
    </w:p>
    <w:p w14:paraId="66B7B175">
      <w:pPr>
        <w:widowControl/>
        <w:numPr>
          <w:ilvl w:val="2"/>
          <w:numId w:val="31"/>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严格交接班手续，认真填写《保安值班记录》。</w:t>
      </w:r>
    </w:p>
    <w:p w14:paraId="7BE0882C">
      <w:pPr>
        <w:widowControl/>
        <w:numPr>
          <w:ilvl w:val="2"/>
          <w:numId w:val="31"/>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提醒保洁员做好停车场等场所的卫生，及时制止司乘人员</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内的不文明行为。</w:t>
      </w:r>
    </w:p>
    <w:p w14:paraId="4F9C286F">
      <w:pPr>
        <w:widowControl/>
        <w:numPr>
          <w:ilvl w:val="2"/>
          <w:numId w:val="31"/>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服从领导调配，认真完成上级交办的其他工作任务。</w:t>
      </w:r>
    </w:p>
    <w:p w14:paraId="4F4ACC07">
      <w:pPr>
        <w:widowControl/>
        <w:numPr>
          <w:ilvl w:val="1"/>
          <w:numId w:val="31"/>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监控值守及消控值守</w:t>
      </w:r>
    </w:p>
    <w:p w14:paraId="7402AD54">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消控人员分班次24小时值守，具体班次及时间安排需报请采购人同意后予以实施。</w:t>
      </w:r>
    </w:p>
    <w:p w14:paraId="2D0497A2">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消防监控员岗位职责及岗位要求</w:t>
      </w:r>
    </w:p>
    <w:p w14:paraId="2F9BC0F6">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当班人员向主管经理负责，执行其工作指令。</w:t>
      </w:r>
    </w:p>
    <w:p w14:paraId="13B6EAB1">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接班前检查中心的各项设备，包括上一班的工作记录。</w:t>
      </w:r>
    </w:p>
    <w:p w14:paraId="6E254E47">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密切注意监控屏幕，如有异常立即通知当班领班，赶赴现场处理，并继续保持监控。</w:t>
      </w:r>
    </w:p>
    <w:p w14:paraId="5695BC86">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熟悉单位地形环境、消防设备的分布、灭火器的摆放位置，报警系统的位置，闭路电视监控头的位置。配合各岗位工作，认真做好值班记录。</w:t>
      </w:r>
    </w:p>
    <w:p w14:paraId="29A4CD7D">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认真学习各种灭火器材，熟练掌握控制中心、监控系统的操作程序，</w:t>
      </w:r>
    </w:p>
    <w:p w14:paraId="59673D0E">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接到报警后迅速呼叫领班前往报警地点查明原因，同时对现场作定位录像并做好记录。</w:t>
      </w:r>
    </w:p>
    <w:p w14:paraId="73FCC5D4">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爱护岗位上的各种设备器材，保证设施完好、灵敏有效。</w:t>
      </w:r>
    </w:p>
    <w:p w14:paraId="7BBE9B82">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沉着、冷静、迅速、果断地处理当值时发生的问题，遇到难以处理的问题及时上报。工作认真负责、严格执行消防法，遵守消防中心的各项规章制度。</w:t>
      </w:r>
    </w:p>
    <w:p w14:paraId="2267BEAC">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专职人员每日要对单位的消防设施进行检查，发现有损坏应及时上报处理。并组织相关保安人员及工程部员工进行每月的消防测试及检修。</w:t>
      </w:r>
    </w:p>
    <w:p w14:paraId="486158AC">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做好对相关人员的定期消防培训，组织部门每周的消防培训，确保各项消防管理制度的落实，消除一切消防隐患，</w:t>
      </w:r>
    </w:p>
    <w:p w14:paraId="339DBAA5">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严格遵守保密制度，未经批准，不得向无关人员泄漏、传播保安电视监控中获知的任何信息。</w:t>
      </w:r>
    </w:p>
    <w:p w14:paraId="258CAACA">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认真做好值勤记录，记录要准确详细。</w:t>
      </w:r>
    </w:p>
    <w:p w14:paraId="0F931876">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职位说明</w:t>
      </w:r>
    </w:p>
    <w:p w14:paraId="202BE483">
      <w:pPr>
        <w:pStyle w:val="71"/>
        <w:numPr>
          <w:ilvl w:val="0"/>
          <w:numId w:val="32"/>
        </w:numPr>
        <w:tabs>
          <w:tab w:val="left" w:pos="1080"/>
          <w:tab w:val="clear" w:pos="510"/>
        </w:tabs>
        <w:spacing w:before="0" w:beforeAutospacing="0" w:after="0" w:afterAutospacing="0" w:line="240" w:lineRule="auto"/>
        <w:ind w:left="1080" w:hanging="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教育背景：</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 xml:space="preserve">中及以上毕业，受过公安消防专业培训，具有上岗证。  </w:t>
      </w:r>
    </w:p>
    <w:p w14:paraId="6BB644A6">
      <w:pPr>
        <w:pStyle w:val="71"/>
        <w:numPr>
          <w:ilvl w:val="0"/>
          <w:numId w:val="32"/>
        </w:numPr>
        <w:tabs>
          <w:tab w:val="left" w:pos="1080"/>
          <w:tab w:val="clear" w:pos="510"/>
        </w:tabs>
        <w:spacing w:before="0" w:beforeAutospacing="0" w:after="0" w:afterAutospacing="0" w:line="240" w:lineRule="auto"/>
        <w:ind w:left="1080" w:hanging="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技能：消防设备控制使用，计算机操作、电视监控、事故分析处理能力和突发事件处理能力。</w:t>
      </w:r>
    </w:p>
    <w:p w14:paraId="4B0F7A67">
      <w:pPr>
        <w:widowControl/>
        <w:numPr>
          <w:ilvl w:val="1"/>
          <w:numId w:val="31"/>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水电维修</w:t>
      </w:r>
    </w:p>
    <w:p w14:paraId="0105EF39">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设备维修过程中所需相关配件由中标人提出采购清单及要求，经采购人审核后由采购人提供。</w:t>
      </w:r>
    </w:p>
    <w:p w14:paraId="4466448A">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设施设备维运、保养：依据现代企业管理要求，采用国家规定的设备设施运行维护管理标准，提供</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供配电(含高配)及照明系统、暖通系统、直饮水系统、给排水系统、消防系统、建筑智能化系统（灯光音响系统、电源系统、网络接入、安防系统、办公系统、电话系统）、建筑幕墙和建筑装饰以及室外配套工程等的正常运行，并配合外包单位的维运、日常维修和保养。提供对其他外来维保单位或改造更新服务单位、人员进行监督、管理、配合的服务。</w:t>
      </w:r>
    </w:p>
    <w:p w14:paraId="62A53983">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电工应持证上岗，并符合地方行政管理部门的规范要求。</w:t>
      </w:r>
    </w:p>
    <w:p w14:paraId="0EDA069E">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房屋建筑的日常维护、维修和管理，包括：</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域范围内的建筑物的内外墙面、楼梯间、办公区、会议室、休息区域、卫生间等。</w:t>
      </w:r>
    </w:p>
    <w:p w14:paraId="6CA7A9E8">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市政公用设施、附属建筑物、构筑物的维护、维修、保养和管理，包括：道路、广场、门警岗亭、</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域内的水系景观管理与服务。</w:t>
      </w:r>
    </w:p>
    <w:p w14:paraId="47A5F951">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房屋日常养护维修是为保持房屋原有完好程度和正常使用，而进行的日常养护和及时修复小损小坏等房屋维护管理工作。现有的建筑结构不变的基础上，均由中标人维修完成，</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人负责采购材料(政府立项项目除外)，具体标准如下：</w:t>
      </w:r>
    </w:p>
    <w:p w14:paraId="238C4A9F">
      <w:pPr>
        <w:widowControl/>
        <w:numPr>
          <w:ilvl w:val="3"/>
          <w:numId w:val="31"/>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按有关法规政策规定和</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人约定对房屋及配套设施进行管理服务；</w:t>
      </w:r>
    </w:p>
    <w:p w14:paraId="68FF8D0C">
      <w:pPr>
        <w:widowControl/>
        <w:numPr>
          <w:ilvl w:val="3"/>
          <w:numId w:val="31"/>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房屋外观（包括屋面、天台）完好、整洁，外墙、公区楼梯间的面砖、玻璃等地面无污迹、无破损，外墙及公共空间无乱张贴、乱涂、乱画、乱悬挂现象，室外招牌、霓虹灯按规定设置，整齐有序；</w:t>
      </w:r>
    </w:p>
    <w:p w14:paraId="4A613AB4">
      <w:pPr>
        <w:widowControl/>
        <w:numPr>
          <w:ilvl w:val="3"/>
          <w:numId w:val="31"/>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及时完成</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人交办的各项零星维修任务，零修合格率100%，随叫随到。</w:t>
      </w:r>
    </w:p>
    <w:p w14:paraId="4D60094D">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维修过程中的相关维修工具及材料</w:t>
      </w:r>
      <w:r>
        <w:rPr>
          <w:rFonts w:hint="eastAsia" w:ascii="宋体" w:hAnsi="宋体" w:eastAsia="宋体" w:cs="宋体"/>
          <w:color w:val="auto"/>
          <w:sz w:val="21"/>
          <w:szCs w:val="21"/>
          <w:highlight w:val="none"/>
          <w:lang w:bidi="ar"/>
        </w:rPr>
        <w:t>由采购人提供，中标人按需领用，不得随意挪作他用。</w:t>
      </w:r>
    </w:p>
    <w:p w14:paraId="166A2F1F">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人委派的其他相关工作。</w:t>
      </w:r>
    </w:p>
    <w:p w14:paraId="1BE449CC">
      <w:pPr>
        <w:widowControl/>
        <w:numPr>
          <w:ilvl w:val="1"/>
          <w:numId w:val="31"/>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其他岗位人员</w:t>
      </w:r>
    </w:p>
    <w:p w14:paraId="3DC3EAA5">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根据岗位要求完成相关工作。</w:t>
      </w:r>
    </w:p>
    <w:p w14:paraId="24E2144A">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服务过程中需热情服务，不得无故迟到、早退、旷工，不得向服务对象及其他人员索要好处及回扣等。</w:t>
      </w:r>
    </w:p>
    <w:p w14:paraId="587C546B">
      <w:pPr>
        <w:widowControl/>
        <w:numPr>
          <w:ilvl w:val="2"/>
          <w:numId w:val="31"/>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服务过程中发现问题及时向主管人员及采购人汇报。</w:t>
      </w:r>
    </w:p>
    <w:p w14:paraId="433D97E8">
      <w:pPr>
        <w:widowControl/>
        <w:numPr>
          <w:ilvl w:val="2"/>
          <w:numId w:val="31"/>
        </w:numPr>
        <w:tabs>
          <w:tab w:val="left" w:pos="640"/>
          <w:tab w:val="clear" w:pos="1156"/>
        </w:tabs>
        <w:snapToGrid/>
        <w:spacing w:line="240" w:lineRule="auto"/>
        <w:ind w:left="640" w:hanging="640"/>
        <w:jc w:val="left"/>
        <w:rPr>
          <w:rFonts w:hint="eastAsia" w:ascii="宋体" w:hAnsi="宋体" w:eastAsia="宋体" w:cs="宋体"/>
          <w:b w:val="0"/>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采购人委派的其他相关工作。</w:t>
      </w:r>
    </w:p>
    <w:p w14:paraId="31857F0C">
      <w:pPr>
        <w:widowControl/>
        <w:numPr>
          <w:ilvl w:val="1"/>
          <w:numId w:val="31"/>
        </w:numPr>
        <w:tabs>
          <w:tab w:val="left" w:pos="640"/>
          <w:tab w:val="clear" w:pos="680"/>
        </w:tabs>
        <w:snapToGrid/>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各岗位其他相关要求详见合同条款各岗位考核标准。</w:t>
      </w:r>
    </w:p>
    <w:p w14:paraId="2E9FA414">
      <w:pPr>
        <w:widowControl/>
        <w:numPr>
          <w:ilvl w:val="0"/>
          <w:numId w:val="31"/>
        </w:numPr>
        <w:tabs>
          <w:tab w:val="left" w:pos="640"/>
          <w:tab w:val="clear" w:pos="680"/>
        </w:tabs>
        <w:snapToGrid/>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报价及其它要求</w:t>
      </w:r>
    </w:p>
    <w:p w14:paraId="2219490B">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rPr>
        <w:t>▲本项目投标报价为期限壹年的承包费用报价。投标报价是指供应商在正确地完全履行合同义务后采购人应支付给供应商所有的价款，包括但不限于所有服务所需的人工费（包括工人工资、奖金、房补、劳保福利、社保、工伤费、教育培训费、暂住费及处理一切伤亡事故等费用）、消防远程监控维保费用、服装摊销、除四害费用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价。</w:t>
      </w:r>
    </w:p>
    <w:p w14:paraId="12E6AE3F">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物业服务人员实行8小时工作制</w:t>
      </w:r>
      <w:r>
        <w:rPr>
          <w:rFonts w:hint="eastAsia" w:ascii="宋体" w:hAnsi="宋体" w:eastAsia="宋体" w:cs="宋体"/>
          <w:color w:val="auto"/>
          <w:sz w:val="21"/>
          <w:szCs w:val="21"/>
          <w:highlight w:val="none"/>
        </w:rPr>
        <w:t>，相关加班产生的费用由投标供应商在报价中自行考虑，综合报价。</w:t>
      </w:r>
    </w:p>
    <w:p w14:paraId="1471F072">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物业经理需按规定参加服务区的日常排班值守，相关费用在报价过程中自行考虑，综合报价。</w:t>
      </w:r>
    </w:p>
    <w:p w14:paraId="1558A4B9">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▲服务区临时增加人员加班费，</w:t>
      </w:r>
      <w:r>
        <w:rPr>
          <w:rFonts w:hint="eastAsia" w:ascii="宋体" w:hAnsi="宋体" w:eastAsia="宋体" w:cs="宋体"/>
          <w:bCs/>
          <w:color w:val="auto"/>
          <w:sz w:val="21"/>
          <w:szCs w:val="21"/>
          <w:highlight w:val="none"/>
          <w:u w:val="single"/>
        </w:rPr>
        <w:t>加班费标准</w:t>
      </w:r>
      <w:r>
        <w:rPr>
          <w:rFonts w:hint="eastAsia" w:ascii="宋体" w:hAnsi="宋体" w:eastAsia="宋体" w:cs="宋体"/>
          <w:bCs/>
          <w:color w:val="auto"/>
          <w:sz w:val="21"/>
          <w:szCs w:val="21"/>
          <w:highlight w:val="none"/>
          <w:u w:val="single"/>
          <w:lang w:val="en-US" w:eastAsia="zh-CN"/>
        </w:rPr>
        <w:t>每人按</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u w:val="single"/>
        </w:rPr>
        <w:t>0元/班</w:t>
      </w:r>
      <w:r>
        <w:rPr>
          <w:rFonts w:hint="eastAsia" w:ascii="宋体" w:hAnsi="宋体" w:eastAsia="宋体" w:cs="宋体"/>
          <w:bCs/>
          <w:color w:val="auto"/>
          <w:sz w:val="21"/>
          <w:szCs w:val="21"/>
          <w:highlight w:val="none"/>
          <w:u w:val="single"/>
          <w:lang w:val="en-US" w:eastAsia="zh-CN"/>
        </w:rPr>
        <w:t>计付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服务区临时增加人员加班费</w:t>
      </w:r>
      <w:r>
        <w:rPr>
          <w:rFonts w:hint="eastAsia" w:ascii="宋体" w:hAnsi="宋体" w:eastAsia="宋体" w:cs="宋体"/>
          <w:color w:val="auto"/>
          <w:sz w:val="21"/>
          <w:szCs w:val="21"/>
          <w:highlight w:val="none"/>
          <w:u w:val="single"/>
          <w:lang w:val="en-US" w:eastAsia="zh-CN"/>
        </w:rPr>
        <w:t>总额限额为8</w:t>
      </w:r>
      <w:r>
        <w:rPr>
          <w:rFonts w:hint="eastAsia" w:ascii="宋体" w:hAnsi="宋体" w:eastAsia="宋体" w:cs="宋体"/>
          <w:color w:val="auto"/>
          <w:sz w:val="21"/>
          <w:szCs w:val="21"/>
          <w:highlight w:val="none"/>
          <w:u w:val="single"/>
        </w:rPr>
        <w:t>万元整，包含在报价总价中，本费用最终按实际增加人员按实结算。</w:t>
      </w:r>
    </w:p>
    <w:p w14:paraId="7261D36C">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维修单价金额</w:t>
      </w:r>
      <w:r>
        <w:rPr>
          <w:rFonts w:hint="eastAsia" w:ascii="宋体" w:hAnsi="宋体" w:eastAsia="宋体" w:cs="宋体"/>
          <w:color w:val="auto"/>
          <w:sz w:val="21"/>
          <w:szCs w:val="21"/>
          <w:highlight w:val="none"/>
          <w:u w:val="single"/>
        </w:rPr>
        <w:t>在50元以下维修费用总额控制在4万元/年内，在承包总价中列支。维修申请单需在事发时或当月由乙方提出申请，甲方负责人确认，超出时间期限的申请，一律不予确认计量。</w:t>
      </w:r>
    </w:p>
    <w:p w14:paraId="7BFF4194">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▲员工奖励金暂定每年</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万元整，包含在投标总价中，该费用用于服务区内优秀员工的奖励，奖励金额及奖励方式由采购人根据相关员工的日常表现确定，但供应商不得因此奖励金的发放而扣减原本供应商自身应发放给员工的相关奖励。该费用供应商需按月先行垫付，足额发放至对应员工，每季度根据实际发放情况与采购人按实结算。</w:t>
      </w:r>
    </w:p>
    <w:p w14:paraId="72153244">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▲中标人在服务期间的在岗员工人数不得少于采购文件规定的人数，并依法参加社保，社保缴纳基数按温州市区标准执行。</w:t>
      </w:r>
    </w:p>
    <w:p w14:paraId="15DF6EEA">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结合本项目具体情况，为保证项目人员服务水平，要求本次投标供应商员工基本工资最低不得低于2800元/月，每月（最低工资不包括下列四项收入：延长工作时间的工资；中班、夜班、高温、低温、有毒有害等特殊工作环境、条件下的津贴；贴补伙食、住房等支付给劳动者的非货币性收入；法律、法规和国家规定的劳动者福利待遇等）。</w:t>
      </w:r>
    </w:p>
    <w:p w14:paraId="06B59E16">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高温补贴：中标人需按国家规定发放相关岗位高温补贴。</w:t>
      </w:r>
    </w:p>
    <w:p w14:paraId="47C8459B">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节假日补贴：本项目为高速公路服务区，为全年无休状态，中标单位需按规定发放节假日补贴。</w:t>
      </w:r>
    </w:p>
    <w:p w14:paraId="65D392CF">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▲工作期间，相关服务人员需在指定餐厅搭伙就餐，伙食费按每人每月500元（只提供工作餐），包含在报价总价中。</w:t>
      </w:r>
    </w:p>
    <w:p w14:paraId="721D3EB2">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众责任险：中标人须投保公众责任险，承包期内相关人员在工作期间出现各种人身意外或财产损失的均由承包方负责解决处理及赔偿，采购人不再另行承担相关责任风险及赔偿责任。服务区公众责任险费用，由投标人根据各服务区面积及保险公司综合报价，自行投保，投保额度由投标人自行综合考虑，该笔费用包含在项目采购预算内，各投标供应商报价，投标总价内必须包含该笔费用。如出现因投保额度不足造成的理赔赔偿金不足的情况，由中标人自行承担。</w:t>
      </w:r>
    </w:p>
    <w:p w14:paraId="2AEDA3C0">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采购人提供的各种设备、设施、工具，中标人应安全、规范使用。除正常使用折旧外，中标人应保证各设备、设施、工具的完好性，如有非正常损坏或遗失，中标人应照价赔偿。</w:t>
      </w:r>
    </w:p>
    <w:p w14:paraId="3C05F567">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人员的服装费用由供应商自行负责配备，分类统一着装，但服装样式需经采购人核准。中标人配置在服务区内的工作人员需统一着装，着装按春秋两季（含上衣、裤子、帽子、鞋子）、夏季（含上衣、裤子、帽子、鞋子）、冬季（含上衣、裤子、帽子、鞋子、冬大衣），外务人员另配一件反光背心（样式需经采购人同意），分别按实际采购人所需人员数量，统一配齐。如发生衣物破损、丢失、中标单位应及时补齐。</w:t>
      </w:r>
    </w:p>
    <w:p w14:paraId="6FFDA898">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中标人根据本项目投入全职工作人员的实际情况，依法参加社保。因中标人未按相关法律、法规缴纳社保而引起的纠纷投诉，由中标人自行承担相关后果，采购人概不负责。</w:t>
      </w:r>
    </w:p>
    <w:p w14:paraId="33DC1DAE">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中标人拟派参与本项目的人数多于采购文件要求的人数时，须按拟派人员数量进行报价。</w:t>
      </w:r>
    </w:p>
    <w:p w14:paraId="4648D390">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投标人的报价应包括为完成本项目服务可能发生的全部费用及供应商的利润和应交纳的税金等,并对合同内容的费用、质量、安全、文明服务等实行全面承包。</w:t>
      </w:r>
    </w:p>
    <w:p w14:paraId="0A3A9F1B">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本次采购，在服务期内如因政策性因素调整导致相关人员的工资、社保、节假日、高温补贴出现变化的，该部分费用由中标人自行承担，采购人不予以调整该部分费用，各投标人在报价时须综合考虑风险。</w:t>
      </w:r>
    </w:p>
    <w:p w14:paraId="52DAA04B">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lang w:val="en-US" w:eastAsia="zh-CN"/>
        </w:rPr>
        <w:t>因承包方管理不善造成采购人损失的，由承包方承担相关损失（包括直接损失、间接损失、律师费、差旅费及其他一切合理支出等），并负责赔偿。</w:t>
      </w:r>
    </w:p>
    <w:p w14:paraId="1E630445">
      <w:pPr>
        <w:widowControl/>
        <w:numPr>
          <w:ilvl w:val="1"/>
          <w:numId w:val="31"/>
        </w:numPr>
        <w:tabs>
          <w:tab w:val="left" w:pos="640"/>
          <w:tab w:val="clear" w:pos="680"/>
        </w:tabs>
        <w:spacing w:line="240" w:lineRule="auto"/>
        <w:ind w:left="640" w:hanging="64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特殊情况如需代班顶岗的，须经采购人确认后方可实施，否则不予以认可，顶岗人员费用只计取日常岗位工资和餐补，其他费用不予支付。</w:t>
      </w:r>
    </w:p>
    <w:p w14:paraId="5D7C9B4F">
      <w:pPr>
        <w:widowControl/>
        <w:numPr>
          <w:ilvl w:val="0"/>
          <w:numId w:val="31"/>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本项目服务期限： </w:t>
      </w:r>
    </w:p>
    <w:p w14:paraId="0E1586C4">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合同签订后1年，具体服务时间在合同签订时双方协商确定</w:t>
      </w:r>
      <w:r>
        <w:rPr>
          <w:rFonts w:hint="eastAsia" w:ascii="宋体" w:hAnsi="宋体" w:eastAsia="宋体" w:cs="宋体"/>
          <w:b/>
          <w:bCs/>
          <w:color w:val="auto"/>
          <w:sz w:val="21"/>
          <w:szCs w:val="21"/>
          <w:highlight w:val="none"/>
        </w:rPr>
        <w:t>。</w:t>
      </w:r>
    </w:p>
    <w:p w14:paraId="5C07C2DB">
      <w:pPr>
        <w:widowControl/>
        <w:numPr>
          <w:ilvl w:val="1"/>
          <w:numId w:val="31"/>
        </w:numPr>
        <w:tabs>
          <w:tab w:val="left" w:pos="640"/>
          <w:tab w:val="clear" w:pos="680"/>
        </w:tabs>
        <w:spacing w:line="240" w:lineRule="auto"/>
        <w:ind w:left="640" w:hanging="64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采用1+1模式，合同一年一签，每月进行考核，连续2月考核不通过或半年内有2次考核不合格将终止合同；年终进行综合考核，考核不合格将终止合同。</w:t>
      </w:r>
    </w:p>
    <w:p w14:paraId="73289D32">
      <w:pPr>
        <w:widowControl/>
        <w:numPr>
          <w:ilvl w:val="1"/>
          <w:numId w:val="31"/>
        </w:numPr>
        <w:tabs>
          <w:tab w:val="left" w:pos="640"/>
          <w:tab w:val="clear" w:pos="680"/>
        </w:tabs>
        <w:snapToGrid/>
        <w:spacing w:line="240" w:lineRule="auto"/>
        <w:ind w:left="640" w:hanging="640" w:firstLineChars="0"/>
        <w:jc w:val="left"/>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合同执行约束见文件附件：</w:t>
      </w:r>
      <w:r>
        <w:rPr>
          <w:rFonts w:hint="eastAsia" w:ascii="宋体" w:hAnsi="宋体" w:eastAsia="宋体" w:cs="宋体"/>
          <w:b/>
          <w:bCs/>
          <w:color w:val="auto"/>
          <w:sz w:val="21"/>
          <w:szCs w:val="21"/>
          <w:highlight w:val="none"/>
          <w:u w:val="none"/>
          <w:lang w:eastAsia="zh-CN"/>
        </w:rPr>
        <w:t>服务区</w:t>
      </w:r>
      <w:r>
        <w:rPr>
          <w:rFonts w:hint="eastAsia" w:ascii="宋体" w:hAnsi="宋体" w:eastAsia="宋体" w:cs="宋体"/>
          <w:b/>
          <w:bCs/>
          <w:color w:val="auto"/>
          <w:sz w:val="21"/>
          <w:szCs w:val="21"/>
          <w:highlight w:val="none"/>
          <w:u w:val="none"/>
        </w:rPr>
        <w:t>物业管理考核办法，见考核评分细则，评分细则采购人有权根据实际服务内容、情况进行调整。</w:t>
      </w:r>
    </w:p>
    <w:p w14:paraId="1738EDBA">
      <w:pPr>
        <w:widowControl/>
        <w:numPr>
          <w:ilvl w:val="0"/>
          <w:numId w:val="31"/>
        </w:numPr>
        <w:tabs>
          <w:tab w:val="left" w:pos="640"/>
          <w:tab w:val="clear" w:pos="680"/>
        </w:tabs>
        <w:spacing w:line="240" w:lineRule="auto"/>
        <w:ind w:left="640" w:hanging="640"/>
        <w:jc w:val="left"/>
        <w:rPr>
          <w:rFonts w:hint="eastAsia" w:ascii="宋体" w:hAnsi="宋体" w:eastAsia="宋体" w:cs="宋体"/>
          <w:b/>
          <w:bCs/>
          <w:snapToGrid/>
          <w:color w:val="auto"/>
          <w:kern w:val="2"/>
          <w:sz w:val="21"/>
          <w:szCs w:val="21"/>
          <w:highlight w:val="none"/>
          <w:u w:val="none"/>
        </w:rPr>
      </w:pPr>
      <w:r>
        <w:rPr>
          <w:rFonts w:hint="eastAsia" w:ascii="宋体" w:hAnsi="宋体" w:eastAsia="宋体" w:cs="宋体"/>
          <w:b/>
          <w:bCs/>
          <w:color w:val="auto"/>
          <w:sz w:val="21"/>
          <w:szCs w:val="21"/>
          <w:highlight w:val="none"/>
          <w:u w:val="none"/>
        </w:rPr>
        <w:t>支付方式</w:t>
      </w:r>
    </w:p>
    <w:p w14:paraId="1D2F1428">
      <w:pPr>
        <w:widowControl/>
        <w:numPr>
          <w:ilvl w:val="1"/>
          <w:numId w:val="31"/>
        </w:numPr>
        <w:tabs>
          <w:tab w:val="left" w:pos="640"/>
          <w:tab w:val="clear" w:pos="680"/>
        </w:tabs>
        <w:snapToGrid/>
        <w:spacing w:line="240" w:lineRule="auto"/>
        <w:ind w:left="640" w:hanging="640" w:firstLineChars="0"/>
        <w:jc w:val="left"/>
        <w:rPr>
          <w:rFonts w:hint="eastAsia" w:ascii="宋体" w:hAnsi="宋体" w:eastAsia="宋体" w:cs="宋体"/>
          <w:b/>
          <w:bCs/>
          <w:color w:val="auto"/>
          <w:sz w:val="21"/>
          <w:szCs w:val="21"/>
          <w:highlight w:val="none"/>
          <w:u w:val="single"/>
        </w:rPr>
      </w:pPr>
      <w:bookmarkStart w:id="221" w:name="OLE_LINK32"/>
      <w:bookmarkStart w:id="222" w:name="OLE_LINK31"/>
      <w:r>
        <w:rPr>
          <w:rFonts w:hint="eastAsia" w:ascii="宋体" w:hAnsi="宋体" w:eastAsia="宋体" w:cs="宋体"/>
          <w:b/>
          <w:bCs/>
          <w:color w:val="auto"/>
          <w:sz w:val="21"/>
          <w:szCs w:val="21"/>
          <w:highlight w:val="none"/>
          <w:u w:val="single"/>
        </w:rPr>
        <w:t>▲中标人在收到中标通知书后，签订合同前须向采购人提交</w:t>
      </w:r>
      <w:r>
        <w:rPr>
          <w:rFonts w:hint="eastAsia" w:ascii="宋体" w:hAnsi="宋体" w:eastAsia="宋体" w:cs="宋体"/>
          <w:b/>
          <w:bCs/>
          <w:color w:val="auto"/>
          <w:kern w:val="0"/>
          <w:sz w:val="21"/>
          <w:szCs w:val="21"/>
          <w:highlight w:val="none"/>
          <w:u w:val="single"/>
        </w:rPr>
        <w:t>合同价的5%作为</w:t>
      </w:r>
      <w:r>
        <w:rPr>
          <w:rFonts w:hint="eastAsia" w:ascii="宋体" w:hAnsi="宋体" w:eastAsia="宋体" w:cs="宋体"/>
          <w:b/>
          <w:bCs/>
          <w:color w:val="auto"/>
          <w:sz w:val="21"/>
          <w:szCs w:val="21"/>
          <w:highlight w:val="none"/>
          <w:u w:val="single"/>
        </w:rPr>
        <w:t>履约保证金（须汇入采购人指定银行账户。户名：温州市高速公路资产经营有限公司；开户行：中国建设银行温州大自然支行；账号：33050162876800000039）。</w:t>
      </w:r>
    </w:p>
    <w:p w14:paraId="1421DD70">
      <w:pPr>
        <w:widowControl/>
        <w:numPr>
          <w:ilvl w:val="1"/>
          <w:numId w:val="31"/>
        </w:numPr>
        <w:tabs>
          <w:tab w:val="left" w:pos="640"/>
          <w:tab w:val="clear" w:pos="680"/>
        </w:tabs>
        <w:snapToGrid/>
        <w:spacing w:line="240" w:lineRule="auto"/>
        <w:ind w:left="640" w:hanging="640" w:firstLineChars="0"/>
        <w:jc w:val="lef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▲服务期结束，且所有合同义务都已履行完毕后7天内，无息退还履约保证金。</w:t>
      </w:r>
    </w:p>
    <w:p w14:paraId="7B12ACF8">
      <w:pPr>
        <w:widowControl/>
        <w:numPr>
          <w:ilvl w:val="0"/>
          <w:numId w:val="31"/>
        </w:numPr>
        <w:tabs>
          <w:tab w:val="left" w:pos="640"/>
          <w:tab w:val="clear" w:pos="680"/>
        </w:tabs>
        <w:spacing w:line="240" w:lineRule="auto"/>
        <w:ind w:left="640" w:hanging="640"/>
        <w:jc w:val="left"/>
        <w:rPr>
          <w:rFonts w:hint="eastAsia" w:ascii="宋体" w:hAnsi="宋体" w:eastAsia="宋体" w:cs="宋体"/>
          <w:b/>
          <w:bCs/>
          <w:highlight w:val="none"/>
        </w:rPr>
      </w:pPr>
      <w:r>
        <w:rPr>
          <w:rFonts w:hint="eastAsia" w:ascii="宋体" w:hAnsi="宋体" w:eastAsia="宋体" w:cs="宋体"/>
          <w:b/>
          <w:bCs/>
          <w:highlight w:val="none"/>
          <w:lang w:val="en-US" w:eastAsia="zh-CN"/>
        </w:rPr>
        <w:t>其他：详见合同条款</w:t>
      </w:r>
    </w:p>
    <w:bookmarkEnd w:id="204"/>
    <w:bookmarkEnd w:id="205"/>
    <w:bookmarkEnd w:id="221"/>
    <w:bookmarkEnd w:id="222"/>
    <w:p w14:paraId="3E32AB91">
      <w:pPr>
        <w:keepLines w:val="0"/>
        <w:spacing w:before="0" w:after="0"/>
        <w:jc w:val="center"/>
        <w:outlineLvl w:val="9"/>
        <w:rPr>
          <w:rFonts w:hint="eastAsia" w:ascii="宋体" w:hAnsi="宋体" w:eastAsia="宋体" w:cs="宋体"/>
          <w:b/>
          <w:bCs/>
          <w:sz w:val="30"/>
          <w:szCs w:val="30"/>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sz w:val="30"/>
          <w:szCs w:val="30"/>
          <w:highlight w:val="none"/>
        </w:rPr>
        <w:t>“瓯江红·畅美高速”党群服务中心物业服务</w:t>
      </w:r>
    </w:p>
    <w:p w14:paraId="71C6001D">
      <w:pPr>
        <w:keepLines w:val="0"/>
        <w:spacing w:before="0" w:after="0"/>
        <w:jc w:val="center"/>
        <w:outlineLvl w:val="9"/>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采购内容及要求</w:t>
      </w:r>
    </w:p>
    <w:p w14:paraId="3BE5F633">
      <w:pPr>
        <w:rPr>
          <w:rFonts w:hint="eastAsia"/>
        </w:rPr>
      </w:pPr>
    </w:p>
    <w:p w14:paraId="0AAA8301">
      <w:pPr>
        <w:numPr>
          <w:ilvl w:val="3"/>
          <w:numId w:val="33"/>
        </w:numPr>
        <w:snapToGrid w:val="0"/>
        <w:spacing w:line="240" w:lineRule="auto"/>
        <w:ind w:left="122" w:hanging="122" w:hangingChars="58"/>
        <w:rPr>
          <w:rFonts w:hint="eastAsia" w:ascii="宋体" w:hAnsi="宋体" w:eastAsia="宋体" w:cs="宋体"/>
          <w:b/>
          <w:bCs/>
          <w:szCs w:val="21"/>
        </w:rPr>
      </w:pPr>
      <w:r>
        <w:rPr>
          <w:rFonts w:hint="eastAsia" w:ascii="宋体" w:hAnsi="宋体" w:eastAsia="宋体" w:cs="宋体"/>
          <w:b/>
          <w:bCs/>
          <w:szCs w:val="21"/>
        </w:rPr>
        <w:t>概述：</w:t>
      </w:r>
    </w:p>
    <w:p w14:paraId="52378517">
      <w:pPr>
        <w:numPr>
          <w:ilvl w:val="0"/>
          <w:numId w:val="34"/>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bCs/>
          <w:szCs w:val="21"/>
        </w:rPr>
        <w:t>采购内容及要求是采购文件的一部分，包括所有条款的具体说明及技术</w:t>
      </w:r>
      <w:r>
        <w:rPr>
          <w:rFonts w:hint="eastAsia" w:ascii="宋体" w:hAnsi="宋体" w:eastAsia="宋体" w:cs="宋体"/>
          <w:bCs/>
          <w:szCs w:val="21"/>
          <w:lang w:val="en-US" w:eastAsia="zh-CN"/>
        </w:rPr>
        <w:t>服务</w:t>
      </w:r>
      <w:r>
        <w:rPr>
          <w:rFonts w:hint="eastAsia" w:ascii="宋体" w:hAnsi="宋体" w:eastAsia="宋体" w:cs="宋体"/>
          <w:bCs/>
          <w:szCs w:val="21"/>
        </w:rPr>
        <w:t>要求，</w:t>
      </w:r>
      <w:r>
        <w:rPr>
          <w:rFonts w:hint="eastAsia" w:ascii="宋体" w:hAnsi="宋体" w:eastAsia="宋体" w:cs="宋体"/>
          <w:bCs/>
          <w:szCs w:val="21"/>
          <w:lang w:val="en-US" w:eastAsia="zh-CN"/>
        </w:rPr>
        <w:t>投标</w:t>
      </w:r>
      <w:r>
        <w:rPr>
          <w:rFonts w:hint="eastAsia" w:ascii="宋体" w:hAnsi="宋体" w:eastAsia="宋体" w:cs="宋体"/>
          <w:szCs w:val="21"/>
        </w:rPr>
        <w:t>供应商</w:t>
      </w:r>
      <w:r>
        <w:rPr>
          <w:rFonts w:hint="eastAsia" w:ascii="宋体" w:hAnsi="宋体" w:eastAsia="宋体" w:cs="宋体"/>
          <w:bCs/>
          <w:szCs w:val="21"/>
        </w:rPr>
        <w:t>需在各自技术和商务占优势的基础上对本次采购的所有内容进行</w:t>
      </w:r>
      <w:r>
        <w:rPr>
          <w:rFonts w:hint="eastAsia" w:ascii="宋体" w:hAnsi="宋体" w:eastAsia="宋体" w:cs="宋体"/>
          <w:bCs/>
          <w:szCs w:val="21"/>
          <w:lang w:val="en-US" w:eastAsia="zh-CN"/>
        </w:rPr>
        <w:t>投标</w:t>
      </w:r>
      <w:r>
        <w:rPr>
          <w:rFonts w:hint="eastAsia" w:ascii="宋体" w:hAnsi="宋体" w:eastAsia="宋体" w:cs="宋体"/>
          <w:bCs/>
          <w:szCs w:val="21"/>
        </w:rPr>
        <w:t>。</w:t>
      </w:r>
    </w:p>
    <w:p w14:paraId="71F9F3BA">
      <w:pPr>
        <w:numPr>
          <w:ilvl w:val="0"/>
          <w:numId w:val="34"/>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bCs/>
          <w:szCs w:val="21"/>
        </w:rPr>
        <w:t>每个</w:t>
      </w:r>
      <w:r>
        <w:rPr>
          <w:rFonts w:hint="eastAsia" w:ascii="宋体" w:hAnsi="宋体" w:eastAsia="宋体" w:cs="宋体"/>
          <w:bCs/>
          <w:szCs w:val="21"/>
          <w:lang w:val="en-US" w:eastAsia="zh-CN"/>
        </w:rPr>
        <w:t>投标</w:t>
      </w:r>
      <w:r>
        <w:rPr>
          <w:rFonts w:hint="eastAsia" w:ascii="宋体" w:hAnsi="宋体" w:eastAsia="宋体" w:cs="宋体"/>
          <w:szCs w:val="21"/>
        </w:rPr>
        <w:t>供应商</w:t>
      </w:r>
      <w:r>
        <w:rPr>
          <w:rFonts w:hint="eastAsia" w:ascii="宋体" w:hAnsi="宋体" w:eastAsia="宋体" w:cs="宋体"/>
          <w:bCs/>
          <w:szCs w:val="21"/>
        </w:rPr>
        <w:t>必须完成采购内容和合同（基本要求、服务流程和服务）规定义务，不允许只对部分内容进行</w:t>
      </w:r>
      <w:r>
        <w:rPr>
          <w:rFonts w:hint="eastAsia" w:ascii="宋体" w:hAnsi="宋体" w:eastAsia="宋体" w:cs="宋体"/>
          <w:bCs/>
          <w:szCs w:val="21"/>
          <w:lang w:eastAsia="zh-CN"/>
        </w:rPr>
        <w:t>投标</w:t>
      </w:r>
      <w:r>
        <w:rPr>
          <w:rFonts w:hint="eastAsia" w:ascii="宋体" w:hAnsi="宋体" w:eastAsia="宋体" w:cs="宋体"/>
          <w:bCs/>
          <w:szCs w:val="21"/>
        </w:rPr>
        <w:t>。</w:t>
      </w:r>
    </w:p>
    <w:p w14:paraId="065DE9CB">
      <w:pPr>
        <w:numPr>
          <w:ilvl w:val="0"/>
          <w:numId w:val="34"/>
        </w:numPr>
        <w:snapToGrid w:val="0"/>
        <w:spacing w:line="240" w:lineRule="auto"/>
        <w:ind w:left="420" w:leftChars="200"/>
        <w:jc w:val="both"/>
        <w:rPr>
          <w:rFonts w:hint="eastAsia" w:ascii="宋体" w:hAnsi="宋体" w:eastAsia="宋体" w:cs="宋体"/>
          <w:b/>
          <w:bCs/>
          <w:szCs w:val="21"/>
          <w:u w:val="single"/>
        </w:rPr>
      </w:pPr>
      <w:r>
        <w:rPr>
          <w:rFonts w:hint="eastAsia" w:ascii="宋体" w:hAnsi="宋体" w:eastAsia="宋体" w:cs="宋体"/>
          <w:b/>
          <w:bCs/>
          <w:szCs w:val="21"/>
        </w:rPr>
        <w:t>本次采购设一个标段，</w:t>
      </w:r>
      <w:r>
        <w:rPr>
          <w:rFonts w:hint="eastAsia" w:ascii="宋体" w:hAnsi="宋体" w:eastAsia="宋体" w:cs="宋体"/>
          <w:b/>
          <w:szCs w:val="21"/>
          <w:lang w:eastAsia="zh-CN"/>
        </w:rPr>
        <w:t>投标供应商</w:t>
      </w:r>
      <w:r>
        <w:rPr>
          <w:rFonts w:hint="eastAsia" w:ascii="宋体" w:hAnsi="宋体" w:eastAsia="宋体" w:cs="宋体"/>
          <w:b/>
          <w:bCs/>
          <w:szCs w:val="21"/>
        </w:rPr>
        <w:t>必须对采购的全部内容进行</w:t>
      </w:r>
      <w:r>
        <w:rPr>
          <w:rFonts w:hint="eastAsia" w:ascii="宋体" w:hAnsi="宋体" w:eastAsia="宋体" w:cs="宋体"/>
          <w:b/>
          <w:bCs/>
          <w:szCs w:val="21"/>
          <w:lang w:eastAsia="zh-CN"/>
        </w:rPr>
        <w:t>投标</w:t>
      </w:r>
      <w:r>
        <w:rPr>
          <w:rFonts w:hint="eastAsia" w:ascii="宋体" w:hAnsi="宋体" w:eastAsia="宋体" w:cs="宋体"/>
          <w:b/>
          <w:bCs/>
          <w:szCs w:val="21"/>
        </w:rPr>
        <w:t>，不允许对标段内的部分内容</w:t>
      </w:r>
      <w:r>
        <w:rPr>
          <w:rFonts w:hint="eastAsia" w:ascii="宋体" w:hAnsi="宋体" w:eastAsia="宋体" w:cs="宋体"/>
          <w:b/>
          <w:bCs/>
          <w:szCs w:val="21"/>
          <w:lang w:eastAsia="zh-CN"/>
        </w:rPr>
        <w:t>投标</w:t>
      </w:r>
      <w:r>
        <w:rPr>
          <w:rFonts w:hint="eastAsia" w:ascii="宋体" w:hAnsi="宋体" w:eastAsia="宋体" w:cs="宋体"/>
          <w:b/>
          <w:bCs/>
          <w:szCs w:val="21"/>
        </w:rPr>
        <w:t>，否则按无效</w:t>
      </w:r>
      <w:r>
        <w:rPr>
          <w:rFonts w:hint="eastAsia" w:ascii="宋体" w:hAnsi="宋体" w:eastAsia="宋体" w:cs="宋体"/>
          <w:b/>
          <w:bCs/>
          <w:szCs w:val="21"/>
          <w:lang w:eastAsia="zh-CN"/>
        </w:rPr>
        <w:t>投标</w:t>
      </w:r>
      <w:r>
        <w:rPr>
          <w:rFonts w:hint="eastAsia" w:ascii="宋体" w:hAnsi="宋体" w:eastAsia="宋体" w:cs="宋体"/>
          <w:b/>
          <w:bCs/>
          <w:szCs w:val="21"/>
        </w:rPr>
        <w:t>处理。</w:t>
      </w:r>
    </w:p>
    <w:p w14:paraId="7F7F1A97">
      <w:pPr>
        <w:numPr>
          <w:ilvl w:val="0"/>
          <w:numId w:val="34"/>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bCs/>
          <w:szCs w:val="21"/>
        </w:rPr>
        <w:t>本次采购的产品（服务）所涉及的产品标准、规范、验收标准、规范，应符合国家有关条例及规范。如有新的标准应采纳新标准。</w:t>
      </w:r>
    </w:p>
    <w:p w14:paraId="68988913">
      <w:pPr>
        <w:numPr>
          <w:ilvl w:val="0"/>
          <w:numId w:val="34"/>
        </w:numPr>
        <w:snapToGrid w:val="0"/>
        <w:spacing w:line="240" w:lineRule="auto"/>
        <w:ind w:left="420" w:leftChars="200"/>
        <w:jc w:val="both"/>
        <w:rPr>
          <w:rFonts w:hint="eastAsia" w:ascii="宋体" w:hAnsi="宋体" w:eastAsia="宋体" w:cs="宋体"/>
          <w:b/>
          <w:bCs/>
          <w:szCs w:val="21"/>
          <w:u w:val="single"/>
        </w:rPr>
      </w:pPr>
      <w:r>
        <w:rPr>
          <w:rFonts w:hint="eastAsia" w:ascii="宋体" w:hAnsi="宋体" w:eastAsia="宋体" w:cs="宋体"/>
          <w:b/>
          <w:bCs/>
          <w:szCs w:val="21"/>
          <w:u w:val="single"/>
        </w:rPr>
        <w:t>本次采购设有最高限价，如果供应商的报价超出采购最高限价，作废标处理，如所</w:t>
      </w:r>
      <w:r>
        <w:rPr>
          <w:rFonts w:hint="eastAsia" w:ascii="宋体" w:hAnsi="宋体" w:eastAsia="宋体" w:cs="宋体"/>
          <w:b/>
          <w:bCs/>
          <w:szCs w:val="21"/>
          <w:u w:val="single"/>
          <w:lang w:val="en-US" w:eastAsia="zh-CN"/>
        </w:rPr>
        <w:t>有</w:t>
      </w:r>
      <w:r>
        <w:rPr>
          <w:rFonts w:hint="eastAsia" w:ascii="宋体" w:hAnsi="宋体" w:eastAsia="宋体" w:cs="宋体"/>
          <w:b/>
          <w:bCs/>
          <w:szCs w:val="21"/>
          <w:u w:val="single"/>
        </w:rPr>
        <w:t>投标供应商均超过最高限价的，采购人确认不能支付的，本次采购做废标处理。</w:t>
      </w:r>
    </w:p>
    <w:p w14:paraId="4AF48F86">
      <w:pPr>
        <w:numPr>
          <w:ilvl w:val="0"/>
          <w:numId w:val="34"/>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szCs w:val="21"/>
          <w:lang w:eastAsia="zh-CN"/>
        </w:rPr>
        <w:t>投标供应商</w:t>
      </w:r>
      <w:r>
        <w:rPr>
          <w:rFonts w:hint="eastAsia" w:ascii="宋体" w:hAnsi="宋体" w:eastAsia="宋体" w:cs="宋体"/>
          <w:bCs/>
          <w:szCs w:val="21"/>
        </w:rPr>
        <w:t>需按招标文件的要求完成所有工作。按要求提交所需的无论其是否被明细列在合同文件中的所有资料，提供的产品（服务）必须满足招标文件中提出的相关技术</w:t>
      </w:r>
      <w:r>
        <w:rPr>
          <w:rFonts w:hint="eastAsia" w:ascii="宋体" w:hAnsi="宋体" w:eastAsia="宋体" w:cs="宋体"/>
          <w:bCs/>
          <w:szCs w:val="21"/>
          <w:lang w:val="en-US" w:eastAsia="zh-CN"/>
        </w:rPr>
        <w:t>服务</w:t>
      </w:r>
      <w:r>
        <w:rPr>
          <w:rFonts w:hint="eastAsia" w:ascii="宋体" w:hAnsi="宋体" w:eastAsia="宋体" w:cs="宋体"/>
          <w:bCs/>
          <w:szCs w:val="21"/>
        </w:rPr>
        <w:t>要求。</w:t>
      </w:r>
    </w:p>
    <w:p w14:paraId="0ED7A4F6">
      <w:pPr>
        <w:numPr>
          <w:ilvl w:val="0"/>
          <w:numId w:val="34"/>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szCs w:val="21"/>
          <w:lang w:eastAsia="zh-CN"/>
        </w:rPr>
        <w:t>投标供应商</w:t>
      </w:r>
      <w:r>
        <w:rPr>
          <w:rFonts w:hint="eastAsia" w:ascii="宋体" w:hAnsi="宋体" w:eastAsia="宋体" w:cs="宋体"/>
          <w:bCs/>
          <w:szCs w:val="21"/>
        </w:rPr>
        <w:t>提供的成果应是无任何质量缺陷、技术成熟，符合国家现行规范/标准要求。</w:t>
      </w:r>
    </w:p>
    <w:p w14:paraId="32793065">
      <w:pPr>
        <w:numPr>
          <w:ilvl w:val="0"/>
          <w:numId w:val="34"/>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bCs/>
          <w:szCs w:val="21"/>
        </w:rPr>
        <w:t>供应商应根据项目说明、采购内容及技术要求相关规范、规定，结合项目特征分析，以及现场踏勘等情况，自行编制工作方案。</w:t>
      </w:r>
    </w:p>
    <w:p w14:paraId="31A3C743">
      <w:pPr>
        <w:numPr>
          <w:ilvl w:val="0"/>
          <w:numId w:val="35"/>
        </w:numPr>
        <w:snapToGrid w:val="0"/>
        <w:spacing w:line="240" w:lineRule="auto"/>
        <w:rPr>
          <w:rFonts w:hint="eastAsia" w:ascii="宋体" w:hAnsi="宋体" w:eastAsia="宋体" w:cs="宋体"/>
          <w:b/>
          <w:bCs/>
          <w:szCs w:val="21"/>
        </w:rPr>
      </w:pPr>
      <w:r>
        <w:rPr>
          <w:rFonts w:hint="eastAsia" w:ascii="宋体" w:hAnsi="宋体" w:eastAsia="宋体" w:cs="宋体"/>
          <w:b/>
          <w:bCs/>
          <w:szCs w:val="21"/>
        </w:rPr>
        <w:t>采购内容及技术要求：</w:t>
      </w:r>
    </w:p>
    <w:p w14:paraId="44330F1C">
      <w:pPr>
        <w:spacing w:line="24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1、项目背景：</w:t>
      </w:r>
    </w:p>
    <w:p w14:paraId="0E587498">
      <w:pPr>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eastAsia="zh-CN"/>
        </w:rPr>
        <w:t>温州绕城高速陶山服务区党群服务中心</w:t>
      </w:r>
      <w:r>
        <w:rPr>
          <w:rFonts w:hint="eastAsia" w:ascii="宋体" w:hAnsi="宋体" w:eastAsia="宋体" w:cs="宋体"/>
          <w:color w:val="000000"/>
          <w:szCs w:val="21"/>
        </w:rPr>
        <w:t>因工作需要，需</w:t>
      </w:r>
      <w:r>
        <w:rPr>
          <w:rFonts w:hint="eastAsia" w:ascii="宋体" w:hAnsi="宋体" w:eastAsia="宋体" w:cs="宋体"/>
          <w:color w:val="000000"/>
          <w:szCs w:val="21"/>
          <w:lang w:val="en-US" w:eastAsia="zh-CN"/>
        </w:rPr>
        <w:t>配备服务</w:t>
      </w:r>
      <w:r>
        <w:rPr>
          <w:rFonts w:hint="eastAsia" w:ascii="宋体" w:hAnsi="宋体" w:eastAsia="宋体" w:cs="宋体"/>
          <w:color w:val="000000"/>
          <w:szCs w:val="21"/>
        </w:rPr>
        <w:t>人员</w:t>
      </w:r>
      <w:r>
        <w:rPr>
          <w:rFonts w:hint="eastAsia" w:ascii="宋体" w:hAnsi="宋体" w:eastAsia="宋体" w:cs="宋体"/>
          <w:color w:val="000000"/>
          <w:szCs w:val="21"/>
          <w:lang w:val="en-US" w:eastAsia="zh-CN"/>
        </w:rPr>
        <w:t>2人</w:t>
      </w:r>
      <w:r>
        <w:rPr>
          <w:rFonts w:hint="eastAsia" w:ascii="宋体" w:hAnsi="宋体" w:eastAsia="宋体" w:cs="宋体"/>
          <w:color w:val="000000"/>
          <w:szCs w:val="21"/>
        </w:rPr>
        <w:t>。</w:t>
      </w:r>
    </w:p>
    <w:p w14:paraId="3F1BD393">
      <w:pPr>
        <w:spacing w:line="240"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2、服务期：</w:t>
      </w:r>
      <w:r>
        <w:rPr>
          <w:rFonts w:hint="eastAsia" w:ascii="宋体" w:hAnsi="宋体" w:eastAsia="宋体" w:cs="宋体"/>
          <w:b/>
          <w:szCs w:val="21"/>
          <w:highlight w:val="none"/>
          <w:lang w:val="en-US" w:eastAsia="zh-CN"/>
        </w:rPr>
        <w:t>1年</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如承包期内，若成交供应商有违约行为，采购人有权单方面解除合同</w:t>
      </w:r>
      <w:r>
        <w:rPr>
          <w:rFonts w:hint="eastAsia" w:ascii="宋体" w:hAnsi="宋体" w:eastAsia="宋体" w:cs="宋体"/>
          <w:szCs w:val="21"/>
          <w:highlight w:val="none"/>
        </w:rPr>
        <w:t>。</w:t>
      </w:r>
    </w:p>
    <w:p w14:paraId="44C5974A">
      <w:pPr>
        <w:spacing w:line="24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3、人员要求：</w:t>
      </w:r>
    </w:p>
    <w:p w14:paraId="51A4F659">
      <w:pPr>
        <w:spacing w:line="240" w:lineRule="auto"/>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3.1、中标供应商向采购人配备的人员均</w:t>
      </w:r>
      <w:r>
        <w:rPr>
          <w:rFonts w:hint="eastAsia" w:ascii="宋体" w:hAnsi="宋体" w:eastAsia="宋体" w:cs="宋体"/>
          <w:color w:val="000000"/>
          <w:szCs w:val="21"/>
          <w:highlight w:val="none"/>
          <w:lang w:val="en-US" w:eastAsia="zh-CN"/>
        </w:rPr>
        <w:t>需经</w:t>
      </w:r>
      <w:r>
        <w:rPr>
          <w:rFonts w:hint="eastAsia" w:ascii="宋体" w:hAnsi="宋体" w:eastAsia="宋体" w:cs="宋体"/>
          <w:color w:val="000000"/>
          <w:szCs w:val="21"/>
          <w:highlight w:val="none"/>
        </w:rPr>
        <w:t>采购人</w:t>
      </w:r>
      <w:r>
        <w:rPr>
          <w:rFonts w:hint="eastAsia" w:ascii="宋体" w:hAnsi="宋体" w:eastAsia="宋体" w:cs="宋体"/>
          <w:color w:val="000000"/>
          <w:szCs w:val="21"/>
          <w:highlight w:val="none"/>
          <w:lang w:val="en-US" w:eastAsia="zh-CN"/>
        </w:rPr>
        <w:t>审核后</w:t>
      </w:r>
      <w:r>
        <w:rPr>
          <w:rFonts w:hint="eastAsia" w:ascii="宋体" w:hAnsi="宋体" w:eastAsia="宋体" w:cs="宋体"/>
          <w:color w:val="000000"/>
          <w:szCs w:val="21"/>
          <w:highlight w:val="none"/>
        </w:rPr>
        <w:t>确定，共计</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人</w:t>
      </w:r>
      <w:r>
        <w:rPr>
          <w:rFonts w:hint="eastAsia" w:ascii="宋体" w:hAnsi="宋体" w:eastAsia="宋体" w:cs="宋体"/>
          <w:color w:val="000000"/>
          <w:szCs w:val="21"/>
          <w:highlight w:val="none"/>
          <w:lang w:eastAsia="zh-CN"/>
        </w:rPr>
        <w:t>；</w:t>
      </w:r>
    </w:p>
    <w:p w14:paraId="20BD6103">
      <w:pPr>
        <w:numPr>
          <w:ilvl w:val="0"/>
          <w:numId w:val="36"/>
        </w:numPr>
        <w:spacing w:line="240" w:lineRule="auto"/>
        <w:ind w:left="20" w:leftChars="0" w:firstLine="400" w:firstLineChars="0"/>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党</w:t>
      </w:r>
      <w:r>
        <w:rPr>
          <w:rFonts w:hint="eastAsia" w:ascii="宋体" w:hAnsi="宋体" w:eastAsia="宋体" w:cs="宋体"/>
          <w:color w:val="000000"/>
          <w:szCs w:val="21"/>
          <w:lang w:eastAsia="zh-CN"/>
        </w:rPr>
        <w:t>群服务中心讲解</w:t>
      </w:r>
      <w:r>
        <w:rPr>
          <w:rFonts w:hint="eastAsia" w:ascii="宋体" w:hAnsi="宋体" w:eastAsia="宋体" w:cs="宋体"/>
          <w:color w:val="000000"/>
          <w:szCs w:val="21"/>
          <w:lang w:val="en-US" w:eastAsia="zh-CN"/>
        </w:rPr>
        <w:t>人员兼前台2人。</w:t>
      </w:r>
    </w:p>
    <w:p w14:paraId="70B275A1">
      <w:pPr>
        <w:numPr>
          <w:ilvl w:val="0"/>
          <w:numId w:val="36"/>
        </w:numPr>
        <w:spacing w:line="240" w:lineRule="auto"/>
        <w:ind w:left="20" w:leftChars="0" w:firstLine="40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人员要求五官端正，有较强的语言表达能力和文字能力，中专及以上学历。</w:t>
      </w:r>
    </w:p>
    <w:p w14:paraId="4145CFDE">
      <w:pPr>
        <w:numPr>
          <w:ilvl w:val="0"/>
          <w:numId w:val="36"/>
        </w:numPr>
        <w:spacing w:line="240" w:lineRule="auto"/>
        <w:ind w:left="20" w:leftChars="0" w:firstLine="400" w:firstLine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周一至周日（</w:t>
      </w:r>
      <w:r>
        <w:rPr>
          <w:rFonts w:hint="eastAsia" w:ascii="宋体" w:hAnsi="宋体" w:eastAsia="宋体" w:cs="宋体"/>
          <w:color w:val="000000"/>
          <w:szCs w:val="21"/>
          <w:lang w:val="en-US" w:eastAsia="zh-CN"/>
        </w:rPr>
        <w:t>8：30-17：00，并根据季节变化适时进行调整）</w:t>
      </w:r>
      <w:r>
        <w:rPr>
          <w:rFonts w:hint="eastAsia" w:ascii="宋体" w:hAnsi="宋体" w:eastAsia="宋体" w:cs="宋体"/>
          <w:color w:val="000000"/>
          <w:szCs w:val="21"/>
          <w:lang w:eastAsia="zh-CN"/>
        </w:rPr>
        <w:t>都需要人员在岗服务</w:t>
      </w:r>
    </w:p>
    <w:p w14:paraId="3DC71FF5">
      <w:pPr>
        <w:numPr>
          <w:ilvl w:val="0"/>
          <w:numId w:val="36"/>
        </w:numPr>
        <w:spacing w:line="240" w:lineRule="auto"/>
        <w:ind w:left="20" w:leftChars="0" w:firstLine="40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eastAsia="zh-CN"/>
        </w:rPr>
        <w:t>工作地点：温州绕城高速陶山服务区。</w:t>
      </w:r>
    </w:p>
    <w:p w14:paraId="706B5994">
      <w:pPr>
        <w:spacing w:line="24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4、管理要求</w:t>
      </w:r>
    </w:p>
    <w:p w14:paraId="76295780">
      <w:pPr>
        <w:spacing w:line="240" w:lineRule="auto"/>
        <w:ind w:firstLine="420" w:firstLineChars="200"/>
        <w:rPr>
          <w:rFonts w:hint="eastAsia" w:ascii="宋体" w:hAnsi="宋体" w:eastAsia="宋体" w:cs="宋体"/>
          <w:szCs w:val="21"/>
        </w:rPr>
      </w:pPr>
      <w:bookmarkStart w:id="223" w:name="_Toc157410887"/>
      <w:r>
        <w:rPr>
          <w:rFonts w:hint="eastAsia" w:ascii="宋体" w:hAnsi="宋体" w:eastAsia="宋体" w:cs="宋体"/>
          <w:szCs w:val="21"/>
        </w:rPr>
        <w:t>4.1</w:t>
      </w:r>
      <w:r>
        <w:rPr>
          <w:rFonts w:hint="eastAsia" w:ascii="宋体" w:hAnsi="宋体" w:eastAsia="宋体" w:cs="宋体"/>
          <w:szCs w:val="21"/>
        </w:rPr>
        <w:tab/>
      </w:r>
      <w:r>
        <w:rPr>
          <w:rFonts w:hint="eastAsia" w:ascii="宋体" w:hAnsi="宋体" w:eastAsia="宋体" w:cs="宋体"/>
          <w:szCs w:val="21"/>
        </w:rPr>
        <w:t>由中标供应商负责与配备的员工签订劳动合同，确定劳动关系。</w:t>
      </w:r>
    </w:p>
    <w:p w14:paraId="350966C1">
      <w:pPr>
        <w:spacing w:line="240" w:lineRule="auto"/>
        <w:ind w:firstLine="420" w:firstLineChars="200"/>
        <w:rPr>
          <w:rFonts w:hint="eastAsia" w:ascii="宋体" w:hAnsi="宋体" w:eastAsia="宋体" w:cs="宋体"/>
          <w:szCs w:val="21"/>
          <w:lang w:eastAsia="zh-CN"/>
        </w:rPr>
      </w:pPr>
      <w:r>
        <w:rPr>
          <w:rFonts w:hint="eastAsia" w:ascii="宋体" w:hAnsi="宋体" w:eastAsia="宋体" w:cs="宋体"/>
          <w:szCs w:val="21"/>
        </w:rPr>
        <w:t>4.2</w:t>
      </w:r>
      <w:r>
        <w:rPr>
          <w:rFonts w:hint="eastAsia" w:ascii="宋体" w:hAnsi="宋体" w:eastAsia="宋体" w:cs="宋体"/>
          <w:szCs w:val="21"/>
        </w:rPr>
        <w:tab/>
      </w:r>
      <w:r>
        <w:rPr>
          <w:rFonts w:hint="eastAsia" w:ascii="宋体" w:hAnsi="宋体" w:eastAsia="宋体" w:cs="宋体"/>
          <w:szCs w:val="21"/>
        </w:rPr>
        <w:t>每月由中标供应商负责配备员工的薪酬发放、奖金、劳保福利、社保、意外保险、工伤费、延长工作时间加班费、教育培训费、工作餐费、服装摊销费和法律法规规定的劳动福利待遇，企业应缴税金和应得利润，应急等完成合同所需的一切本身和不可或缺的所有工作开支、政策性文件规定计合同包含的所有风险、责任等各项全部费用并承担一切风险责任</w:t>
      </w:r>
      <w:r>
        <w:rPr>
          <w:rFonts w:hint="eastAsia" w:ascii="宋体" w:hAnsi="宋体" w:eastAsia="宋体" w:cs="宋体"/>
          <w:szCs w:val="21"/>
          <w:lang w:eastAsia="zh-CN"/>
        </w:rPr>
        <w:t>。</w:t>
      </w:r>
    </w:p>
    <w:p w14:paraId="7D0FDB4B">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4.3</w:t>
      </w:r>
      <w:r>
        <w:rPr>
          <w:rFonts w:hint="eastAsia" w:ascii="宋体" w:hAnsi="宋体" w:eastAsia="宋体" w:cs="宋体"/>
          <w:szCs w:val="21"/>
        </w:rPr>
        <w:tab/>
      </w:r>
      <w:r>
        <w:rPr>
          <w:rFonts w:hint="eastAsia" w:ascii="宋体" w:hAnsi="宋体" w:eastAsia="宋体" w:cs="宋体"/>
          <w:szCs w:val="21"/>
        </w:rPr>
        <w:t>由中标供应商负责处理</w:t>
      </w:r>
      <w:r>
        <w:rPr>
          <w:rFonts w:hint="eastAsia" w:ascii="宋体" w:hAnsi="宋体" w:eastAsia="宋体" w:cs="宋体"/>
          <w:color w:val="000000"/>
          <w:szCs w:val="21"/>
          <w:lang w:eastAsia="zh-CN"/>
        </w:rPr>
        <w:t>配备</w:t>
      </w:r>
      <w:r>
        <w:rPr>
          <w:rFonts w:hint="eastAsia" w:ascii="宋体" w:hAnsi="宋体" w:eastAsia="宋体" w:cs="宋体"/>
          <w:szCs w:val="21"/>
        </w:rPr>
        <w:t>员工提出的劳动仲裁、诉讼等事宜。</w:t>
      </w:r>
    </w:p>
    <w:p w14:paraId="3FCEF75E">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4.4</w:t>
      </w:r>
      <w:r>
        <w:rPr>
          <w:rFonts w:hint="eastAsia" w:ascii="宋体" w:hAnsi="宋体" w:eastAsia="宋体" w:cs="宋体"/>
          <w:szCs w:val="21"/>
        </w:rPr>
        <w:tab/>
      </w:r>
      <w:r>
        <w:rPr>
          <w:rFonts w:hint="eastAsia" w:ascii="宋体" w:hAnsi="宋体" w:eastAsia="宋体" w:cs="宋体"/>
          <w:szCs w:val="21"/>
        </w:rPr>
        <w:t>由中标供应商负责</w:t>
      </w:r>
      <w:r>
        <w:rPr>
          <w:rFonts w:hint="eastAsia" w:ascii="宋体" w:hAnsi="宋体" w:eastAsia="宋体" w:cs="宋体"/>
          <w:color w:val="000000"/>
          <w:szCs w:val="21"/>
          <w:lang w:eastAsia="zh-CN"/>
        </w:rPr>
        <w:t>配备</w:t>
      </w:r>
      <w:r>
        <w:rPr>
          <w:rFonts w:hint="eastAsia" w:ascii="宋体" w:hAnsi="宋体" w:eastAsia="宋体" w:cs="宋体"/>
          <w:szCs w:val="21"/>
        </w:rPr>
        <w:t>员工的档案管理、党员组织关系管理以及专业技术人员的职称申报、评定等。</w:t>
      </w:r>
    </w:p>
    <w:p w14:paraId="64F7F794">
      <w:pPr>
        <w:spacing w:line="24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4.5</w:t>
      </w:r>
      <w:r>
        <w:rPr>
          <w:rFonts w:hint="eastAsia" w:ascii="宋体" w:hAnsi="宋体" w:eastAsia="宋体" w:cs="宋体"/>
          <w:szCs w:val="21"/>
          <w:highlight w:val="none"/>
        </w:rPr>
        <w:tab/>
      </w:r>
      <w:r>
        <w:rPr>
          <w:rFonts w:hint="eastAsia" w:ascii="宋体" w:hAnsi="宋体" w:eastAsia="宋体" w:cs="宋体"/>
          <w:szCs w:val="21"/>
          <w:highlight w:val="none"/>
        </w:rPr>
        <w:t>由采购人制定考核标准，并以此为依据对</w:t>
      </w:r>
      <w:r>
        <w:rPr>
          <w:rFonts w:hint="eastAsia" w:ascii="宋体" w:hAnsi="宋体" w:eastAsia="宋体" w:cs="宋体"/>
          <w:color w:val="000000"/>
          <w:szCs w:val="21"/>
          <w:highlight w:val="none"/>
          <w:lang w:eastAsia="zh-CN"/>
        </w:rPr>
        <w:t>配备</w:t>
      </w:r>
      <w:r>
        <w:rPr>
          <w:rFonts w:hint="eastAsia" w:ascii="宋体" w:hAnsi="宋体" w:eastAsia="宋体" w:cs="宋体"/>
          <w:szCs w:val="21"/>
          <w:highlight w:val="none"/>
        </w:rPr>
        <w:t>人员进行每月考核。</w:t>
      </w:r>
    </w:p>
    <w:p w14:paraId="0EBDDA5C">
      <w:pPr>
        <w:spacing w:line="240" w:lineRule="auto"/>
        <w:ind w:firstLine="422" w:firstLineChars="200"/>
        <w:rPr>
          <w:rFonts w:hint="eastAsia" w:ascii="宋体" w:hAnsi="宋体" w:eastAsia="宋体" w:cs="宋体"/>
          <w:b/>
          <w:szCs w:val="21"/>
        </w:rPr>
      </w:pPr>
      <w:r>
        <w:rPr>
          <w:rFonts w:hint="eastAsia" w:ascii="宋体" w:hAnsi="宋体" w:eastAsia="宋体" w:cs="宋体"/>
          <w:b/>
          <w:szCs w:val="21"/>
        </w:rPr>
        <w:t>5、服务质量要求</w:t>
      </w:r>
    </w:p>
    <w:p w14:paraId="2B31306C">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5.1、采购人确定员工的名单后，由中标供应商确保5个工作日内办理完毕劳动签订手续、</w:t>
      </w:r>
      <w:r>
        <w:rPr>
          <w:rFonts w:hint="eastAsia" w:ascii="宋体" w:hAnsi="宋体" w:eastAsia="宋体" w:cs="宋体"/>
          <w:color w:val="000000"/>
          <w:szCs w:val="21"/>
          <w:lang w:eastAsia="zh-CN"/>
        </w:rPr>
        <w:t>配备</w:t>
      </w:r>
      <w:r>
        <w:rPr>
          <w:rFonts w:hint="eastAsia" w:ascii="宋体" w:hAnsi="宋体" w:eastAsia="宋体" w:cs="宋体"/>
          <w:szCs w:val="21"/>
        </w:rPr>
        <w:t>手续，及时向采购人</w:t>
      </w:r>
      <w:r>
        <w:rPr>
          <w:rFonts w:hint="eastAsia" w:ascii="宋体" w:hAnsi="宋体" w:eastAsia="宋体" w:cs="宋体"/>
          <w:color w:val="000000"/>
          <w:szCs w:val="21"/>
          <w:lang w:eastAsia="zh-CN"/>
        </w:rPr>
        <w:t>配备</w:t>
      </w:r>
      <w:r>
        <w:rPr>
          <w:rFonts w:hint="eastAsia" w:ascii="宋体" w:hAnsi="宋体" w:eastAsia="宋体" w:cs="宋体"/>
          <w:szCs w:val="21"/>
        </w:rPr>
        <w:t>。</w:t>
      </w:r>
    </w:p>
    <w:p w14:paraId="2D69FFD5">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5.2、中标供应商应确保及时、准确、妥善的处理</w:t>
      </w:r>
      <w:r>
        <w:rPr>
          <w:rFonts w:hint="eastAsia" w:ascii="宋体" w:hAnsi="宋体" w:eastAsia="宋体" w:cs="宋体"/>
          <w:color w:val="000000"/>
          <w:szCs w:val="21"/>
          <w:lang w:eastAsia="zh-CN"/>
        </w:rPr>
        <w:t>配备</w:t>
      </w:r>
      <w:r>
        <w:rPr>
          <w:rFonts w:hint="eastAsia" w:ascii="宋体" w:hAnsi="宋体" w:eastAsia="宋体" w:cs="宋体"/>
          <w:szCs w:val="21"/>
        </w:rPr>
        <w:t>员工的薪酬管理、社保、及个税代扣代缴工作，避免发生劳动仲裁、诉讼事件。</w:t>
      </w:r>
    </w:p>
    <w:p w14:paraId="71E3C571">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5.3、中标供应商应确保及时、准确、妥善的处理</w:t>
      </w:r>
      <w:r>
        <w:rPr>
          <w:rFonts w:hint="eastAsia" w:ascii="宋体" w:hAnsi="宋体" w:eastAsia="宋体" w:cs="宋体"/>
          <w:color w:val="000000"/>
          <w:szCs w:val="21"/>
          <w:lang w:eastAsia="zh-CN"/>
        </w:rPr>
        <w:t>配备</w:t>
      </w:r>
      <w:r>
        <w:rPr>
          <w:rFonts w:hint="eastAsia" w:ascii="宋体" w:hAnsi="宋体" w:eastAsia="宋体" w:cs="宋体"/>
          <w:szCs w:val="21"/>
        </w:rPr>
        <w:t>员工的档案管理、党员组织关系管理以及专业技术人员的职称申报、评定等工作，避免发生人事仲裁事件。</w:t>
      </w:r>
    </w:p>
    <w:p w14:paraId="282B4C3C">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5.4、中标供应商应确保和谐、稳妥的处理</w:t>
      </w:r>
      <w:r>
        <w:rPr>
          <w:rFonts w:hint="eastAsia" w:ascii="宋体" w:hAnsi="宋体" w:eastAsia="宋体" w:cs="宋体"/>
          <w:color w:val="000000"/>
          <w:szCs w:val="21"/>
          <w:lang w:eastAsia="zh-CN"/>
        </w:rPr>
        <w:t>配备</w:t>
      </w:r>
      <w:r>
        <w:rPr>
          <w:rFonts w:hint="eastAsia" w:ascii="宋体" w:hAnsi="宋体" w:eastAsia="宋体" w:cs="宋体"/>
          <w:szCs w:val="21"/>
        </w:rPr>
        <w:t>员工的劳动仲裁、劳动诉讼及人事仲裁事件，避免妨碍采购人的正常工作或给采购人带来不利社会影响。</w:t>
      </w:r>
    </w:p>
    <w:p w14:paraId="5AFE9796">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5.5、中标供应商与</w:t>
      </w:r>
      <w:r>
        <w:rPr>
          <w:rFonts w:hint="eastAsia" w:ascii="宋体" w:hAnsi="宋体" w:eastAsia="宋体" w:cs="宋体"/>
          <w:color w:val="000000"/>
          <w:szCs w:val="21"/>
          <w:lang w:eastAsia="zh-CN"/>
        </w:rPr>
        <w:t>配备</w:t>
      </w:r>
      <w:r>
        <w:rPr>
          <w:rFonts w:hint="eastAsia" w:ascii="宋体" w:hAnsi="宋体" w:eastAsia="宋体" w:cs="宋体"/>
          <w:szCs w:val="21"/>
        </w:rPr>
        <w:t>员工确定聘用关系后（提供相应的证明材料），须将该材料原件提供至采购人备案后方可成立。</w:t>
      </w:r>
    </w:p>
    <w:p w14:paraId="53180A16">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5.6、</w:t>
      </w:r>
      <w:r>
        <w:rPr>
          <w:rFonts w:hint="eastAsia" w:ascii="宋体" w:hAnsi="宋体" w:eastAsia="宋体" w:cs="宋体"/>
          <w:color w:val="000000"/>
          <w:szCs w:val="21"/>
          <w:lang w:eastAsia="zh-CN"/>
        </w:rPr>
        <w:t>配备</w:t>
      </w:r>
      <w:r>
        <w:rPr>
          <w:rFonts w:hint="eastAsia" w:ascii="宋体" w:hAnsi="宋体" w:eastAsia="宋体" w:cs="宋体"/>
          <w:szCs w:val="21"/>
        </w:rPr>
        <w:t>员工在用工单位因工作遭受事故伤害的，中标供应商应当依法申请工伤认定，采购人应当协助工伤认定的调查核实工作。中标供应商承担工伤保险责任。</w:t>
      </w:r>
    </w:p>
    <w:p w14:paraId="57F5AB82">
      <w:pPr>
        <w:spacing w:line="24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6、</w:t>
      </w:r>
      <w:bookmarkStart w:id="224" w:name="_Toc447271490"/>
      <w:r>
        <w:rPr>
          <w:rFonts w:hint="eastAsia" w:ascii="宋体" w:hAnsi="宋体" w:eastAsia="宋体" w:cs="宋体"/>
          <w:b/>
          <w:color w:val="000000"/>
          <w:szCs w:val="21"/>
        </w:rPr>
        <w:t>投标报价</w:t>
      </w:r>
      <w:bookmarkEnd w:id="224"/>
    </w:p>
    <w:p w14:paraId="2497AEE7">
      <w:pPr>
        <w:tabs>
          <w:tab w:val="left" w:pos="2426"/>
        </w:tabs>
        <w:spacing w:line="240" w:lineRule="auto"/>
        <w:ind w:firstLine="420" w:firstLineChars="200"/>
        <w:rPr>
          <w:rFonts w:hint="eastAsia" w:ascii="宋体" w:hAnsi="宋体" w:eastAsia="宋体" w:cs="宋体"/>
          <w:szCs w:val="21"/>
        </w:rPr>
      </w:pPr>
      <w:r>
        <w:rPr>
          <w:rFonts w:hint="eastAsia" w:ascii="宋体" w:hAnsi="宋体" w:eastAsia="宋体" w:cs="宋体"/>
          <w:szCs w:val="21"/>
        </w:rPr>
        <w:t>6.1、本项目的费用包含：人员经费：含薪酬、奖金、劳保福利、社保、意外保险、工伤费、延长工作时间加班费、教育培训费、工作餐费、服装摊销费和法律法规规定的劳动福利待遇，企业应缴税金和应得利润，应急等完成合同所需的一切本身和不可或缺的所有工作开支、政策性文件规定计合同包含的所有风险、责任等各项全部费用。</w:t>
      </w:r>
    </w:p>
    <w:p w14:paraId="520125E4">
      <w:pPr>
        <w:tabs>
          <w:tab w:val="left" w:pos="2426"/>
        </w:tabs>
        <w:spacing w:line="240" w:lineRule="auto"/>
        <w:ind w:firstLine="420" w:firstLineChars="200"/>
        <w:rPr>
          <w:rFonts w:hint="eastAsia" w:ascii="宋体" w:hAnsi="宋体" w:eastAsia="宋体" w:cs="宋体"/>
          <w:szCs w:val="21"/>
          <w:lang w:eastAsia="zh-CN"/>
        </w:rPr>
      </w:pPr>
      <w:r>
        <w:rPr>
          <w:rFonts w:hint="eastAsia" w:ascii="宋体" w:hAnsi="宋体" w:eastAsia="宋体" w:cs="宋体"/>
          <w:szCs w:val="21"/>
        </w:rPr>
        <w:t>6.2、本项目的服务费采用费用</w:t>
      </w:r>
      <w:r>
        <w:rPr>
          <w:rFonts w:hint="eastAsia" w:ascii="宋体" w:hAnsi="宋体" w:eastAsia="宋体" w:cs="宋体"/>
          <w:szCs w:val="21"/>
          <w:lang w:val="en-US" w:eastAsia="zh-CN"/>
        </w:rPr>
        <w:t>按实结算</w:t>
      </w:r>
      <w:r>
        <w:rPr>
          <w:rFonts w:hint="eastAsia" w:ascii="宋体" w:hAnsi="宋体" w:eastAsia="宋体" w:cs="宋体"/>
          <w:szCs w:val="21"/>
        </w:rPr>
        <w:t>方式服务，投标供应商应根据项目要求和现场情况，详细列明项目所需的人力、物力、财力等,以及所有人工、管理、财务、税金等所有费用，如一旦中标，在服务过程中出现任何遗漏，均由中标供应商免费提供，采购人不再支付任何费用</w:t>
      </w:r>
      <w:r>
        <w:rPr>
          <w:rFonts w:hint="eastAsia" w:ascii="宋体" w:hAnsi="宋体" w:eastAsia="宋体" w:cs="宋体"/>
          <w:szCs w:val="21"/>
          <w:lang w:eastAsia="zh-CN"/>
        </w:rPr>
        <w:t>。</w:t>
      </w:r>
    </w:p>
    <w:p w14:paraId="21179FF1">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6.3、本项目投标报价实行综合总价，投标供应商报价应为承包完成上述所规定服务内容的全部工作所发生的管理费，并承担一切风险责任。投标供应商应从特点，市场行情及自身的能力，技术、管理水平，确定最终报价。</w:t>
      </w:r>
    </w:p>
    <w:p w14:paraId="170363D6">
      <w:pPr>
        <w:spacing w:line="24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7、</w:t>
      </w:r>
      <w:bookmarkStart w:id="225" w:name="_Toc447271491"/>
      <w:r>
        <w:rPr>
          <w:rFonts w:hint="eastAsia" w:ascii="宋体" w:hAnsi="宋体" w:eastAsia="宋体" w:cs="宋体"/>
          <w:b/>
          <w:color w:val="000000"/>
          <w:szCs w:val="21"/>
          <w:highlight w:val="none"/>
        </w:rPr>
        <w:t>付款方式</w:t>
      </w:r>
      <w:bookmarkEnd w:id="225"/>
    </w:p>
    <w:p w14:paraId="602744C9">
      <w:pPr>
        <w:spacing w:line="24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7.</w:t>
      </w: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rPr>
        <w:t>、付款方式为先服务后支付，半年支付一次，中标供应商凭正式税务</w:t>
      </w:r>
      <w:r>
        <w:rPr>
          <w:rFonts w:hint="eastAsia" w:ascii="宋体" w:hAnsi="宋体" w:eastAsia="宋体" w:cs="宋体"/>
          <w:b/>
          <w:szCs w:val="21"/>
          <w:highlight w:val="none"/>
          <w:lang w:val="en-US" w:eastAsia="zh-CN"/>
        </w:rPr>
        <w:t>增值税专用</w:t>
      </w:r>
      <w:r>
        <w:rPr>
          <w:rFonts w:hint="eastAsia" w:ascii="宋体" w:hAnsi="宋体" w:eastAsia="宋体" w:cs="宋体"/>
          <w:b/>
          <w:szCs w:val="21"/>
          <w:highlight w:val="none"/>
        </w:rPr>
        <w:t>发票向采购人结算</w:t>
      </w:r>
      <w:r>
        <w:rPr>
          <w:rFonts w:hint="eastAsia" w:ascii="宋体" w:hAnsi="宋体" w:eastAsia="宋体" w:cs="宋体"/>
          <w:b/>
          <w:szCs w:val="21"/>
          <w:highlight w:val="none"/>
          <w:lang w:val="en-US" w:eastAsia="zh-CN"/>
        </w:rPr>
        <w:t>费用</w:t>
      </w:r>
      <w:r>
        <w:rPr>
          <w:rFonts w:hint="eastAsia" w:ascii="宋体" w:hAnsi="宋体" w:eastAsia="宋体" w:cs="宋体"/>
          <w:b/>
          <w:szCs w:val="21"/>
          <w:highlight w:val="none"/>
        </w:rPr>
        <w:t>，按实结算</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最后一次费用在合同结束前提前支付。</w:t>
      </w:r>
    </w:p>
    <w:p w14:paraId="4E28770F">
      <w:pPr>
        <w:spacing w:line="240" w:lineRule="auto"/>
        <w:ind w:firstLine="420" w:firstLineChars="200"/>
        <w:rPr>
          <w:rFonts w:hint="eastAsia" w:ascii="宋体" w:hAnsi="宋体" w:eastAsia="宋体" w:cs="宋体"/>
          <w:szCs w:val="21"/>
        </w:rPr>
      </w:pPr>
      <w:r>
        <w:rPr>
          <w:rFonts w:hint="eastAsia" w:ascii="宋体" w:hAnsi="宋体" w:eastAsia="宋体" w:cs="宋体"/>
          <w:szCs w:val="21"/>
          <w:lang w:eastAsia="zh-CN"/>
        </w:rPr>
        <w:t>温州市高速公路资产经营有限公司</w:t>
      </w:r>
      <w:r>
        <w:rPr>
          <w:rFonts w:hint="eastAsia" w:ascii="宋体" w:hAnsi="宋体" w:eastAsia="宋体" w:cs="宋体"/>
          <w:szCs w:val="21"/>
        </w:rPr>
        <w:t>可随时根据实际情况进行核实，一经发现存在克扣员工工资及福利或者拖欠员工工资问题及福利将按照相关要求及法律规定对相关责任人严肃查处。</w:t>
      </w:r>
      <w:bookmarkEnd w:id="223"/>
    </w:p>
    <w:p w14:paraId="632C6BE0">
      <w:pPr>
        <w:ind w:firstLine="422" w:firstLineChars="200"/>
        <w:rPr>
          <w:rFonts w:hint="eastAsia"/>
        </w:rPr>
      </w:pPr>
      <w:r>
        <w:rPr>
          <w:rFonts w:hint="eastAsia" w:ascii="宋体" w:hAnsi="宋体" w:eastAsia="宋体" w:cs="宋体"/>
          <w:b/>
          <w:bCs/>
          <w:highlight w:val="none"/>
          <w:lang w:val="en-US" w:eastAsia="zh-CN"/>
        </w:rPr>
        <w:t>9、其他：详见合同条款</w:t>
      </w:r>
    </w:p>
    <w:p w14:paraId="413C744F">
      <w:pPr>
        <w:keepNext w:val="0"/>
        <w:jc w:val="left"/>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6D0516A">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1"/>
      <w:bookmarkEnd w:id="202"/>
      <w:bookmarkEnd w:id="203"/>
      <w:bookmarkEnd w:id="206"/>
      <w:bookmarkEnd w:id="207"/>
      <w:bookmarkEnd w:id="208"/>
      <w:bookmarkEnd w:id="209"/>
      <w:bookmarkEnd w:id="210"/>
      <w:bookmarkEnd w:id="211"/>
      <w:bookmarkEnd w:id="212"/>
      <w:bookmarkEnd w:id="213"/>
      <w:bookmarkEnd w:id="214"/>
      <w:bookmarkEnd w:id="215"/>
      <w:bookmarkEnd w:id="216"/>
      <w:bookmarkEnd w:id="217"/>
      <w:bookmarkEnd w:id="218"/>
    </w:p>
    <w:p w14:paraId="026013E2">
      <w:pPr>
        <w:jc w:val="center"/>
        <w:rPr>
          <w:rFonts w:hint="eastAsia" w:ascii="宋体" w:hAnsi="宋体" w:eastAsia="宋体" w:cs="宋体"/>
          <w:color w:val="auto"/>
          <w:sz w:val="22"/>
          <w:highlight w:val="none"/>
        </w:rPr>
      </w:pPr>
    </w:p>
    <w:p w14:paraId="0FCCDE58">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本项目属非政府采购项目，根据《温州市市属国有企业采购管理办法》等有关法规、规定，结合本项目的实际，按照公平、公正、科学、择优的原则选择中标单位，特制定本评标办法。</w:t>
      </w:r>
    </w:p>
    <w:p w14:paraId="0A0A0333">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14:paraId="0DDD1386">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14:paraId="26D3F97E">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14:paraId="29979B47">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14:paraId="3C5F7FAC">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14:paraId="49A6FAF9">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14:paraId="0A825026">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14:paraId="6DB1AFEF">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color w:val="auto"/>
          <w:kern w:val="0"/>
          <w:sz w:val="22"/>
          <w:highlight w:val="none"/>
        </w:rPr>
        <w:t>2、先熟悉采购文件和评</w:t>
      </w:r>
      <w:r>
        <w:rPr>
          <w:rFonts w:hint="eastAsia" w:ascii="宋体" w:hAnsi="宋体" w:eastAsia="宋体" w:cs="宋体"/>
          <w:snapToGrid w:val="0"/>
          <w:kern w:val="0"/>
          <w:sz w:val="22"/>
          <w:highlight w:val="none"/>
        </w:rPr>
        <w:t>标办法。</w:t>
      </w:r>
    </w:p>
    <w:p w14:paraId="64F310D2">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14:paraId="55E2274F">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14:paraId="5BD7110C">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14:paraId="3D20CF0A">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14:paraId="1061541B">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14:paraId="772BFC42">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14:paraId="5B60D4A5">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14:paraId="3581F874">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p>
    <w:p w14:paraId="6363D24D">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14:paraId="52FD1328">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14:paraId="3C27E889">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14:paraId="7606EF2C">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14:paraId="60017685">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14:paraId="5990F563">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14:paraId="2A7D2511">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8</w:t>
      </w:r>
      <w:r>
        <w:rPr>
          <w:rFonts w:hint="eastAsia" w:ascii="宋体" w:hAnsi="宋体" w:eastAsia="宋体" w:cs="宋体"/>
          <w:sz w:val="22"/>
          <w:szCs w:val="24"/>
          <w:highlight w:val="none"/>
          <w:lang w:val="en-US" w:eastAsia="zh-CN"/>
        </w:rPr>
        <w:t>0</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20</w:t>
      </w:r>
      <w:r>
        <w:rPr>
          <w:rFonts w:hint="eastAsia" w:ascii="宋体" w:hAnsi="宋体" w:eastAsia="宋体" w:cs="宋体"/>
          <w:sz w:val="22"/>
          <w:szCs w:val="24"/>
          <w:highlight w:val="none"/>
        </w:rPr>
        <w:t>分。</w:t>
      </w:r>
    </w:p>
    <w:p w14:paraId="7C27FC35">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14:paraId="533CC0D7">
      <w:pPr>
        <w:adjustRightInd w:val="0"/>
        <w:snapToGrid w:val="0"/>
        <w:rPr>
          <w:rFonts w:hint="eastAsia" w:ascii="宋体" w:hAnsi="宋体" w:eastAsia="宋体" w:cs="宋体"/>
          <w:b/>
          <w:bCs/>
          <w:color w:val="auto"/>
          <w:sz w:val="22"/>
          <w:highlight w:val="none"/>
        </w:rPr>
      </w:pPr>
      <w:r>
        <w:rPr>
          <w:rFonts w:hint="eastAsia" w:ascii="宋体" w:hAnsi="宋体" w:eastAsia="宋体" w:cs="宋体"/>
          <w:b/>
          <w:bCs/>
          <w:sz w:val="22"/>
          <w:highlight w:val="none"/>
        </w:rPr>
        <w:t>1、技术资信评审分值（8</w:t>
      </w:r>
      <w:r>
        <w:rPr>
          <w:rFonts w:hint="eastAsia" w:ascii="宋体" w:hAnsi="宋体" w:eastAsia="宋体" w:cs="宋体"/>
          <w:b/>
          <w:bCs/>
          <w:color w:val="auto"/>
          <w:sz w:val="22"/>
          <w:highlight w:val="none"/>
          <w:lang w:val="en-US" w:eastAsia="zh-CN"/>
        </w:rPr>
        <w:t>0</w:t>
      </w:r>
      <w:r>
        <w:rPr>
          <w:rFonts w:hint="eastAsia" w:ascii="宋体" w:hAnsi="宋体" w:eastAsia="宋体" w:cs="宋体"/>
          <w:b/>
          <w:bCs/>
          <w:color w:val="auto"/>
          <w:sz w:val="22"/>
          <w:highlight w:val="none"/>
        </w:rPr>
        <w:t>分）</w:t>
      </w:r>
    </w:p>
    <w:p w14:paraId="4F3BE3B4">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5"/>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625"/>
        <w:gridCol w:w="1575"/>
        <w:gridCol w:w="713"/>
        <w:gridCol w:w="5652"/>
      </w:tblGrid>
      <w:tr w14:paraId="38D6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2D62D960">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200" w:type="dxa"/>
            <w:gridSpan w:val="2"/>
            <w:noWrap w:val="0"/>
            <w:vAlign w:val="center"/>
          </w:tcPr>
          <w:p w14:paraId="556B3A37">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713" w:type="dxa"/>
            <w:noWrap w:val="0"/>
            <w:vAlign w:val="center"/>
          </w:tcPr>
          <w:p w14:paraId="55DD893B">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满</w:t>
            </w:r>
            <w:r>
              <w:rPr>
                <w:rFonts w:hint="eastAsia" w:ascii="宋体" w:hAnsi="宋体" w:eastAsia="宋体" w:cs="宋体"/>
                <w:color w:val="auto"/>
                <w:sz w:val="18"/>
                <w:szCs w:val="18"/>
                <w:highlight w:val="none"/>
              </w:rPr>
              <w:t>分值</w:t>
            </w:r>
          </w:p>
        </w:tc>
        <w:tc>
          <w:tcPr>
            <w:tcW w:w="5652" w:type="dxa"/>
            <w:noWrap w:val="0"/>
            <w:vAlign w:val="center"/>
          </w:tcPr>
          <w:p w14:paraId="091EA063">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4012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1A290423">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25" w:type="dxa"/>
            <w:vMerge w:val="restart"/>
            <w:noWrap w:val="0"/>
            <w:vAlign w:val="center"/>
          </w:tcPr>
          <w:p w14:paraId="1E8DC7C9">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投标人综合实力</w:t>
            </w:r>
          </w:p>
        </w:tc>
        <w:tc>
          <w:tcPr>
            <w:tcW w:w="1575" w:type="dxa"/>
            <w:noWrap w:val="0"/>
            <w:vAlign w:val="center"/>
          </w:tcPr>
          <w:p w14:paraId="628F8D67">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投标人认证情况</w:t>
            </w:r>
          </w:p>
        </w:tc>
        <w:tc>
          <w:tcPr>
            <w:tcW w:w="713" w:type="dxa"/>
            <w:noWrap w:val="0"/>
            <w:vAlign w:val="center"/>
          </w:tcPr>
          <w:p w14:paraId="0365E4A2">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noWrap w:val="0"/>
            <w:vAlign w:val="center"/>
          </w:tcPr>
          <w:p w14:paraId="2AC1943C">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1）通过ISO9001质量管理体系认证，并获得有效证书得1分；</w:t>
            </w:r>
          </w:p>
          <w:p w14:paraId="0DF8C3E4">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2）通过ISO14001环境体系认证，并获得有效证书得1分；</w:t>
            </w:r>
          </w:p>
          <w:p w14:paraId="1E098A31">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3）通过ISO18001职业健康安全体系认证，并获得有效证书得1分</w:t>
            </w:r>
            <w:r>
              <w:rPr>
                <w:rFonts w:hint="eastAsia" w:ascii="宋体" w:hAnsi="宋体" w:eastAsia="宋体" w:cs="宋体"/>
                <w:color w:val="auto"/>
                <w:kern w:val="0"/>
                <w:sz w:val="18"/>
                <w:szCs w:val="18"/>
                <w:highlight w:val="none"/>
                <w:lang w:eastAsia="zh-CN"/>
              </w:rPr>
              <w:t>；</w:t>
            </w:r>
          </w:p>
          <w:p w14:paraId="3EC9FA41">
            <w:pPr>
              <w:widowControl/>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通过政府主管部门服务业标准化创建，并获得有效证书的得</w:t>
            </w:r>
            <w:r>
              <w:rPr>
                <w:rFonts w:hint="eastAsia" w:ascii="宋体" w:hAnsi="宋体" w:eastAsia="宋体" w:cs="宋体"/>
                <w:color w:val="auto"/>
                <w:kern w:val="0"/>
                <w:sz w:val="18"/>
                <w:szCs w:val="18"/>
                <w:highlight w:val="none"/>
                <w:lang w:val="en-US" w:eastAsia="zh-CN"/>
              </w:rPr>
              <w:t>3分。</w:t>
            </w:r>
          </w:p>
          <w:p w14:paraId="1103848B">
            <w:pPr>
              <w:widowControl/>
              <w:adjustRightInd w:val="0"/>
              <w:snapToGrid w:val="0"/>
              <w:spacing w:line="240" w:lineRule="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14:paraId="06D5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660387F8">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625" w:type="dxa"/>
            <w:vMerge w:val="continue"/>
            <w:noWrap w:val="0"/>
            <w:vAlign w:val="center"/>
          </w:tcPr>
          <w:p w14:paraId="5A189EC2">
            <w:pPr>
              <w:adjustRightInd w:val="0"/>
              <w:snapToGrid w:val="0"/>
              <w:spacing w:line="240" w:lineRule="auto"/>
              <w:rPr>
                <w:rFonts w:hint="eastAsia" w:ascii="宋体" w:hAnsi="宋体" w:eastAsia="宋体" w:cs="宋体"/>
                <w:color w:val="auto"/>
                <w:sz w:val="18"/>
                <w:szCs w:val="18"/>
                <w:highlight w:val="none"/>
              </w:rPr>
            </w:pPr>
          </w:p>
        </w:tc>
        <w:tc>
          <w:tcPr>
            <w:tcW w:w="1575" w:type="dxa"/>
            <w:noWrap w:val="0"/>
            <w:vAlign w:val="center"/>
          </w:tcPr>
          <w:p w14:paraId="00C4CB8F">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投标人获得荣誉</w:t>
            </w:r>
          </w:p>
        </w:tc>
        <w:tc>
          <w:tcPr>
            <w:tcW w:w="713" w:type="dxa"/>
            <w:noWrap w:val="0"/>
            <w:vAlign w:val="center"/>
          </w:tcPr>
          <w:p w14:paraId="603C37DA">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5652" w:type="dxa"/>
            <w:noWrap w:val="0"/>
            <w:vAlign w:val="center"/>
          </w:tcPr>
          <w:p w14:paraId="24672C8C">
            <w:pPr>
              <w:adjustRightInd w:val="0"/>
              <w:snapToGrid w:val="0"/>
              <w:spacing w:line="240" w:lineRule="auto"/>
              <w:rPr>
                <w:rFonts w:hint="eastAsia" w:ascii="宋体" w:hAnsi="宋体" w:eastAsia="宋体" w:cs="宋体"/>
                <w:snapToGrid w:val="0"/>
                <w:color w:val="auto"/>
                <w:kern w:val="0"/>
                <w:sz w:val="18"/>
                <w:szCs w:val="18"/>
                <w:highlight w:val="none"/>
                <w:lang w:eastAsia="zh-CN"/>
              </w:rPr>
            </w:pPr>
            <w:r>
              <w:rPr>
                <w:rFonts w:hint="eastAsia" w:ascii="宋体" w:hAnsi="宋体" w:eastAsia="宋体" w:cs="宋体"/>
                <w:snapToGrid w:val="0"/>
                <w:color w:val="auto"/>
                <w:kern w:val="0"/>
                <w:sz w:val="18"/>
                <w:szCs w:val="18"/>
                <w:highlight w:val="none"/>
                <w:lang w:val="en-US" w:eastAsia="zh-CN"/>
              </w:rPr>
              <w:t>投标人</w:t>
            </w:r>
            <w:r>
              <w:rPr>
                <w:rFonts w:hint="eastAsia" w:ascii="宋体" w:hAnsi="宋体" w:eastAsia="宋体" w:cs="宋体"/>
                <w:snapToGrid w:val="0"/>
                <w:color w:val="auto"/>
                <w:kern w:val="0"/>
                <w:sz w:val="18"/>
                <w:szCs w:val="18"/>
                <w:highlight w:val="none"/>
              </w:rPr>
              <w:t>企业获得区级（含区级）以上人民政府或部门颁发的各种荣誉的</w:t>
            </w:r>
            <w:r>
              <w:rPr>
                <w:rFonts w:hint="eastAsia" w:ascii="宋体" w:hAnsi="宋体" w:eastAsia="宋体" w:cs="宋体"/>
                <w:snapToGrid w:val="0"/>
                <w:color w:val="auto"/>
                <w:kern w:val="0"/>
                <w:sz w:val="18"/>
                <w:szCs w:val="18"/>
                <w:highlight w:val="none"/>
                <w:lang w:eastAsia="zh-CN"/>
              </w:rPr>
              <w:t>1</w:t>
            </w:r>
            <w:r>
              <w:rPr>
                <w:rFonts w:hint="eastAsia" w:ascii="宋体" w:hAnsi="宋体" w:eastAsia="宋体" w:cs="宋体"/>
                <w:snapToGrid w:val="0"/>
                <w:color w:val="auto"/>
                <w:kern w:val="0"/>
                <w:sz w:val="18"/>
                <w:szCs w:val="18"/>
                <w:highlight w:val="none"/>
              </w:rPr>
              <w:t>分/个，最高</w:t>
            </w:r>
            <w:r>
              <w:rPr>
                <w:rFonts w:hint="eastAsia" w:ascii="宋体" w:hAnsi="宋体" w:eastAsia="宋体" w:cs="宋体"/>
                <w:snapToGrid w:val="0"/>
                <w:color w:val="auto"/>
                <w:kern w:val="0"/>
                <w:sz w:val="18"/>
                <w:szCs w:val="18"/>
                <w:highlight w:val="none"/>
                <w:lang w:val="en-US" w:eastAsia="zh-CN"/>
              </w:rPr>
              <w:t>3</w:t>
            </w:r>
            <w:r>
              <w:rPr>
                <w:rFonts w:hint="eastAsia" w:ascii="宋体" w:hAnsi="宋体" w:eastAsia="宋体" w:cs="宋体"/>
                <w:snapToGrid w:val="0"/>
                <w:color w:val="auto"/>
                <w:kern w:val="0"/>
                <w:sz w:val="18"/>
                <w:szCs w:val="18"/>
                <w:highlight w:val="none"/>
              </w:rPr>
              <w:t>分（管理项目荣誉不计，同类荣誉不累计计分）</w:t>
            </w:r>
            <w:r>
              <w:rPr>
                <w:rFonts w:hint="eastAsia" w:ascii="宋体" w:hAnsi="宋体" w:eastAsia="宋体" w:cs="宋体"/>
                <w:snapToGrid w:val="0"/>
                <w:color w:val="auto"/>
                <w:kern w:val="0"/>
                <w:sz w:val="18"/>
                <w:szCs w:val="18"/>
                <w:highlight w:val="none"/>
                <w:lang w:eastAsia="zh-CN"/>
              </w:rPr>
              <w:t>。</w:t>
            </w:r>
          </w:p>
          <w:p w14:paraId="2C24A284">
            <w:pPr>
              <w:adjustRightInd w:val="0"/>
              <w:snapToGrid w:val="0"/>
              <w:spacing w:line="240" w:lineRule="auto"/>
              <w:rPr>
                <w:rFonts w:hint="eastAsia" w:ascii="宋体" w:hAnsi="宋体" w:eastAsia="宋体" w:cs="宋体"/>
                <w:snapToGrid w:val="0"/>
                <w:color w:val="auto"/>
                <w:kern w:val="0"/>
                <w:sz w:val="18"/>
                <w:szCs w:val="18"/>
                <w:highlight w:val="none"/>
              </w:rPr>
            </w:pP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14:paraId="2CBF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1B399141">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625" w:type="dxa"/>
            <w:vMerge w:val="continue"/>
            <w:noWrap w:val="0"/>
            <w:vAlign w:val="center"/>
          </w:tcPr>
          <w:p w14:paraId="11B1848C">
            <w:pPr>
              <w:adjustRightInd w:val="0"/>
              <w:snapToGrid w:val="0"/>
              <w:spacing w:line="240" w:lineRule="auto"/>
              <w:rPr>
                <w:rFonts w:hint="eastAsia" w:ascii="宋体" w:hAnsi="宋体" w:eastAsia="宋体" w:cs="宋体"/>
                <w:color w:val="auto"/>
                <w:sz w:val="18"/>
                <w:szCs w:val="18"/>
                <w:highlight w:val="none"/>
              </w:rPr>
            </w:pPr>
          </w:p>
        </w:tc>
        <w:tc>
          <w:tcPr>
            <w:tcW w:w="1575" w:type="dxa"/>
            <w:noWrap w:val="0"/>
            <w:vAlign w:val="center"/>
          </w:tcPr>
          <w:p w14:paraId="0E1A1E05">
            <w:pPr>
              <w:adjustRightInd w:val="0"/>
              <w:snapToGrid w:val="0"/>
              <w:spacing w:line="240" w:lineRule="auto"/>
              <w:ind w:left="-34"/>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w:t>
            </w:r>
            <w:r>
              <w:rPr>
                <w:rFonts w:hint="eastAsia" w:ascii="宋体" w:hAnsi="宋体" w:eastAsia="宋体" w:cs="宋体"/>
                <w:color w:val="auto"/>
                <w:kern w:val="0"/>
                <w:sz w:val="18"/>
                <w:szCs w:val="18"/>
                <w:highlight w:val="none"/>
              </w:rPr>
              <w:t>项目获奖情况</w:t>
            </w:r>
          </w:p>
        </w:tc>
        <w:tc>
          <w:tcPr>
            <w:tcW w:w="713" w:type="dxa"/>
            <w:noWrap w:val="0"/>
            <w:vAlign w:val="center"/>
          </w:tcPr>
          <w:p w14:paraId="2D730FAF">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5652" w:type="dxa"/>
            <w:noWrap w:val="0"/>
            <w:vAlign w:val="center"/>
          </w:tcPr>
          <w:p w14:paraId="7FB62145">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投标人</w:t>
            </w:r>
            <w:r>
              <w:rPr>
                <w:rFonts w:hint="eastAsia" w:ascii="宋体" w:hAnsi="宋体" w:eastAsia="宋体" w:cs="宋体"/>
                <w:color w:val="auto"/>
                <w:kern w:val="0"/>
                <w:sz w:val="18"/>
                <w:szCs w:val="18"/>
                <w:highlight w:val="none"/>
              </w:rPr>
              <w:t>公共场所项目获部级物业管理示范项目或复评通过的，得3分；获省示范或复评通过的，得2分，获市示范或复评通过的，得1分。</w:t>
            </w:r>
          </w:p>
          <w:p w14:paraId="6AECADB2">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注：</w:t>
            </w:r>
            <w:r>
              <w:rPr>
                <w:rFonts w:hint="eastAsia" w:ascii="宋体" w:hAnsi="宋体" w:eastAsia="宋体" w:cs="宋体"/>
                <w:color w:val="auto"/>
                <w:kern w:val="0"/>
                <w:sz w:val="18"/>
                <w:szCs w:val="18"/>
                <w:highlight w:val="none"/>
              </w:rPr>
              <w:t>各项目获奖情况不累计计分，仅取最高奖项，即不同项目获得不同荣誉称号，仅取最高荣誉计分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14:paraId="335A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00CF47AA">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2200" w:type="dxa"/>
            <w:gridSpan w:val="2"/>
            <w:noWrap w:val="0"/>
            <w:vAlign w:val="center"/>
          </w:tcPr>
          <w:p w14:paraId="72BB46AD">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人员投入、服务员工配备情况</w:t>
            </w:r>
          </w:p>
        </w:tc>
        <w:tc>
          <w:tcPr>
            <w:tcW w:w="713" w:type="dxa"/>
            <w:noWrap w:val="0"/>
            <w:vAlign w:val="center"/>
          </w:tcPr>
          <w:p w14:paraId="7FDD30D6">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noWrap w:val="0"/>
            <w:vAlign w:val="center"/>
          </w:tcPr>
          <w:p w14:paraId="64864978">
            <w:pPr>
              <w:numPr>
                <w:ilvl w:val="0"/>
                <w:numId w:val="0"/>
              </w:num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岗位设置及配备情况（包括岗位明细、每个岗位的工作安排</w:t>
            </w:r>
            <w:r>
              <w:rPr>
                <w:rFonts w:hint="eastAsia" w:ascii="宋体" w:hAnsi="宋体" w:eastAsia="宋体" w:cs="宋体"/>
                <w:color w:val="auto"/>
                <w:sz w:val="18"/>
                <w:szCs w:val="18"/>
                <w:highlight w:val="none"/>
                <w:lang w:val="en-US" w:eastAsia="zh-CN"/>
              </w:rPr>
              <w:t>计划等</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5EEF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60F03CEC">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200" w:type="dxa"/>
            <w:gridSpan w:val="2"/>
            <w:noWrap w:val="0"/>
            <w:vAlign w:val="center"/>
          </w:tcPr>
          <w:p w14:paraId="623E422A">
            <w:pPr>
              <w:adjustRightInd w:val="0"/>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员工服装配置</w:t>
            </w:r>
          </w:p>
        </w:tc>
        <w:tc>
          <w:tcPr>
            <w:tcW w:w="713" w:type="dxa"/>
            <w:noWrap w:val="0"/>
            <w:vAlign w:val="center"/>
          </w:tcPr>
          <w:p w14:paraId="38D6AD75">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noWrap w:val="0"/>
            <w:vAlign w:val="center"/>
          </w:tcPr>
          <w:p w14:paraId="3C5A095C">
            <w:pPr>
              <w:adjustRightInd w:val="0"/>
              <w:snapToGrid w:val="0"/>
              <w:spacing w:line="240" w:lineRule="auto"/>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根据各类</w:t>
            </w:r>
            <w:r>
              <w:rPr>
                <w:rFonts w:hint="eastAsia" w:ascii="宋体" w:hAnsi="宋体" w:eastAsia="宋体" w:cs="宋体"/>
                <w:color w:val="auto"/>
                <w:kern w:val="0"/>
                <w:sz w:val="18"/>
                <w:szCs w:val="18"/>
                <w:highlight w:val="none"/>
                <w:lang w:val="en-US" w:eastAsia="zh-CN"/>
              </w:rPr>
              <w:t>服务</w:t>
            </w:r>
            <w:r>
              <w:rPr>
                <w:rFonts w:hint="eastAsia" w:ascii="宋体" w:hAnsi="宋体" w:eastAsia="宋体" w:cs="宋体"/>
                <w:color w:val="auto"/>
                <w:kern w:val="0"/>
                <w:sz w:val="18"/>
                <w:szCs w:val="18"/>
                <w:highlight w:val="none"/>
              </w:rPr>
              <w:t>人员着装配置是否齐备等因素酌情打分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130D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3C8695D6">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6</w:t>
            </w:r>
          </w:p>
        </w:tc>
        <w:tc>
          <w:tcPr>
            <w:tcW w:w="625" w:type="dxa"/>
            <w:vMerge w:val="restart"/>
            <w:noWrap w:val="0"/>
            <w:vAlign w:val="center"/>
          </w:tcPr>
          <w:p w14:paraId="09875BAE">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服务方案</w:t>
            </w:r>
          </w:p>
        </w:tc>
        <w:tc>
          <w:tcPr>
            <w:tcW w:w="1575" w:type="dxa"/>
            <w:noWrap w:val="0"/>
            <w:vAlign w:val="center"/>
          </w:tcPr>
          <w:p w14:paraId="18B06F70">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管理服务组织机构设置、运作流程、服务管理机制</w:t>
            </w:r>
          </w:p>
        </w:tc>
        <w:tc>
          <w:tcPr>
            <w:tcW w:w="713" w:type="dxa"/>
            <w:noWrap w:val="0"/>
            <w:vAlign w:val="center"/>
          </w:tcPr>
          <w:p w14:paraId="390B0A16">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5652" w:type="dxa"/>
            <w:noWrap w:val="0"/>
            <w:vAlign w:val="center"/>
          </w:tcPr>
          <w:p w14:paraId="7B63A8FA">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根据管理服务组织机构设置（附组织机构图）、运作流程（附运作流程图）、激励机制、监督机制、自我约束机制和信息反馈渠道及处理机制等是否科学、合理、高效，</w:t>
            </w:r>
            <w:r>
              <w:rPr>
                <w:rFonts w:hint="eastAsia" w:ascii="宋体" w:hAnsi="宋体" w:eastAsia="宋体" w:cs="宋体"/>
                <w:color w:val="auto"/>
                <w:sz w:val="18"/>
                <w:szCs w:val="18"/>
                <w:highlight w:val="none"/>
                <w:lang w:val="en-US" w:eastAsia="zh-CN"/>
              </w:rPr>
              <w:t>进行综合评价，一般0-2分，良2-4分，优4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7241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6DD7ED80">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625" w:type="dxa"/>
            <w:vMerge w:val="continue"/>
            <w:noWrap w:val="0"/>
            <w:vAlign w:val="center"/>
          </w:tcPr>
          <w:p w14:paraId="127CDD94">
            <w:pPr>
              <w:adjustRightInd w:val="0"/>
              <w:snapToGrid w:val="0"/>
              <w:spacing w:line="240" w:lineRule="auto"/>
              <w:rPr>
                <w:rFonts w:hint="eastAsia" w:ascii="宋体" w:hAnsi="宋体" w:eastAsia="宋体" w:cs="宋体"/>
                <w:color w:val="auto"/>
                <w:sz w:val="18"/>
                <w:szCs w:val="18"/>
                <w:highlight w:val="none"/>
              </w:rPr>
            </w:pPr>
          </w:p>
        </w:tc>
        <w:tc>
          <w:tcPr>
            <w:tcW w:w="1575" w:type="dxa"/>
            <w:noWrap w:val="0"/>
            <w:vAlign w:val="center"/>
          </w:tcPr>
          <w:p w14:paraId="340FE599">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各项管理规章制度及考核方法</w:t>
            </w:r>
          </w:p>
        </w:tc>
        <w:tc>
          <w:tcPr>
            <w:tcW w:w="713" w:type="dxa"/>
            <w:noWrap w:val="0"/>
            <w:vAlign w:val="center"/>
          </w:tcPr>
          <w:p w14:paraId="44BF346A">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w:t>
            </w:r>
          </w:p>
        </w:tc>
        <w:tc>
          <w:tcPr>
            <w:tcW w:w="5652" w:type="dxa"/>
            <w:noWrap w:val="0"/>
            <w:vAlign w:val="center"/>
          </w:tcPr>
          <w:p w14:paraId="08314B78">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各项公众制度、内部岗位责任制度、管理人员考核制度及标准等，要求符合规范，体现高标准、高档次、科学合理、详细完备；人员、设施、设备管理服务、业主方反馈资料、文件资料等档案的建立与管理。</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6518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6EE9512D">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625" w:type="dxa"/>
            <w:vMerge w:val="continue"/>
            <w:noWrap w:val="0"/>
            <w:vAlign w:val="center"/>
          </w:tcPr>
          <w:p w14:paraId="61EF32FA">
            <w:pPr>
              <w:adjustRightInd w:val="0"/>
              <w:snapToGrid w:val="0"/>
              <w:spacing w:line="240" w:lineRule="auto"/>
              <w:rPr>
                <w:rFonts w:hint="eastAsia" w:ascii="宋体" w:hAnsi="宋体" w:eastAsia="宋体" w:cs="宋体"/>
                <w:color w:val="auto"/>
                <w:sz w:val="18"/>
                <w:szCs w:val="18"/>
                <w:highlight w:val="none"/>
              </w:rPr>
            </w:pPr>
          </w:p>
        </w:tc>
        <w:tc>
          <w:tcPr>
            <w:tcW w:w="1575" w:type="dxa"/>
            <w:noWrap w:val="0"/>
            <w:vAlign w:val="center"/>
          </w:tcPr>
          <w:p w14:paraId="37DCBC90">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针对本项目的特点和难点分析及解决措施</w:t>
            </w:r>
          </w:p>
        </w:tc>
        <w:tc>
          <w:tcPr>
            <w:tcW w:w="713" w:type="dxa"/>
            <w:noWrap w:val="0"/>
            <w:vAlign w:val="center"/>
          </w:tcPr>
          <w:p w14:paraId="56505E38">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7</w:t>
            </w:r>
          </w:p>
        </w:tc>
        <w:tc>
          <w:tcPr>
            <w:tcW w:w="5652" w:type="dxa"/>
            <w:noWrap w:val="0"/>
            <w:vAlign w:val="center"/>
          </w:tcPr>
          <w:p w14:paraId="49C8AD93">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根据对本项目运行特点和难点分析的准确性及解决措施的科学性进行比较</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进行</w:t>
            </w:r>
            <w:r>
              <w:rPr>
                <w:rFonts w:hint="eastAsia" w:ascii="宋体" w:hAnsi="宋体" w:eastAsia="宋体" w:cs="宋体"/>
                <w:color w:val="auto"/>
                <w:sz w:val="18"/>
                <w:szCs w:val="18"/>
                <w:highlight w:val="none"/>
                <w:lang w:val="en-US" w:eastAsia="zh-CN"/>
              </w:rPr>
              <w:t>综合评价，一般0-3分，良3-6分，优6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6466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3A1A0D8E">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625" w:type="dxa"/>
            <w:vMerge w:val="continue"/>
            <w:noWrap w:val="0"/>
            <w:vAlign w:val="center"/>
          </w:tcPr>
          <w:p w14:paraId="3E906BE9">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noWrap w:val="0"/>
            <w:vAlign w:val="center"/>
          </w:tcPr>
          <w:p w14:paraId="457B7E1B">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环境卫生管理实施方案</w:t>
            </w:r>
          </w:p>
        </w:tc>
        <w:tc>
          <w:tcPr>
            <w:tcW w:w="713" w:type="dxa"/>
            <w:noWrap w:val="0"/>
            <w:vAlign w:val="center"/>
          </w:tcPr>
          <w:p w14:paraId="77A59A71">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5</w:t>
            </w:r>
          </w:p>
        </w:tc>
        <w:tc>
          <w:tcPr>
            <w:tcW w:w="5652" w:type="dxa"/>
            <w:noWrap w:val="0"/>
            <w:vAlign w:val="center"/>
          </w:tcPr>
          <w:p w14:paraId="1A5B6517">
            <w:pPr>
              <w:adjustRightInd w:val="0"/>
              <w:snapToGrid w:val="0"/>
              <w:spacing w:line="240" w:lineRule="auto"/>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7310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21CA0B44">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625" w:type="dxa"/>
            <w:vMerge w:val="continue"/>
            <w:noWrap w:val="0"/>
            <w:vAlign w:val="center"/>
          </w:tcPr>
          <w:p w14:paraId="5A4474E7">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noWrap w:val="0"/>
            <w:vAlign w:val="center"/>
          </w:tcPr>
          <w:p w14:paraId="38DBD66A">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安防实施方案</w:t>
            </w:r>
          </w:p>
        </w:tc>
        <w:tc>
          <w:tcPr>
            <w:tcW w:w="713" w:type="dxa"/>
            <w:noWrap w:val="0"/>
            <w:vAlign w:val="center"/>
          </w:tcPr>
          <w:p w14:paraId="01DC434A">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5</w:t>
            </w:r>
          </w:p>
        </w:tc>
        <w:tc>
          <w:tcPr>
            <w:tcW w:w="5652" w:type="dxa"/>
            <w:noWrap w:val="0"/>
            <w:vAlign w:val="center"/>
          </w:tcPr>
          <w:p w14:paraId="7F1E62DF">
            <w:pPr>
              <w:adjustRightInd w:val="0"/>
              <w:snapToGrid w:val="0"/>
              <w:spacing w:line="240" w:lineRule="auto"/>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3DB1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46820178">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625" w:type="dxa"/>
            <w:vMerge w:val="continue"/>
            <w:noWrap w:val="0"/>
            <w:vAlign w:val="center"/>
          </w:tcPr>
          <w:p w14:paraId="5552E089">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shd w:val="clear" w:color="auto" w:fill="auto"/>
            <w:noWrap w:val="0"/>
            <w:vAlign w:val="center"/>
          </w:tcPr>
          <w:p w14:paraId="4791C5EB">
            <w:pPr>
              <w:widowControl/>
              <w:adjustRightInd w:val="0"/>
              <w:snapToGrid w:val="0"/>
              <w:spacing w:line="240" w:lineRule="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项目质量管理保证措施方案</w:t>
            </w:r>
          </w:p>
        </w:tc>
        <w:tc>
          <w:tcPr>
            <w:tcW w:w="713" w:type="dxa"/>
            <w:shd w:val="clear" w:color="auto" w:fill="auto"/>
            <w:noWrap w:val="0"/>
            <w:vAlign w:val="center"/>
          </w:tcPr>
          <w:p w14:paraId="06785EB1">
            <w:pPr>
              <w:widowControl/>
              <w:adjustRightInd w:val="0"/>
              <w:snapToGrid w:val="0"/>
              <w:spacing w:line="240" w:lineRule="auto"/>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w:t>
            </w:r>
          </w:p>
        </w:tc>
        <w:tc>
          <w:tcPr>
            <w:tcW w:w="5652" w:type="dxa"/>
            <w:shd w:val="clear" w:color="auto" w:fill="auto"/>
            <w:noWrap w:val="0"/>
            <w:vAlign w:val="center"/>
          </w:tcPr>
          <w:p w14:paraId="1EE12AF5">
            <w:pPr>
              <w:widowControl/>
              <w:adjustRightInd w:val="0"/>
              <w:snapToGrid w:val="0"/>
              <w:spacing w:line="240" w:lineRule="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根据为本项目就管理程序文件、质量记录，管理过程中存在的问题解决对策，管理成果检验评估方法，质量管理改进方法等，</w:t>
            </w:r>
            <w:r>
              <w:rPr>
                <w:rFonts w:hint="eastAsia" w:ascii="宋体" w:hAnsi="宋体" w:eastAsia="宋体" w:cs="宋体"/>
                <w:color w:val="auto"/>
                <w:kern w:val="0"/>
                <w:sz w:val="18"/>
                <w:szCs w:val="18"/>
                <w:highlight w:val="none"/>
                <w:lang w:val="en-US" w:eastAsia="zh-CN"/>
              </w:rPr>
              <w:t>进行</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31FB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6B7CF1E4">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625" w:type="dxa"/>
            <w:vMerge w:val="continue"/>
            <w:noWrap w:val="0"/>
            <w:vAlign w:val="center"/>
          </w:tcPr>
          <w:p w14:paraId="555B5E5D">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noWrap w:val="0"/>
            <w:vAlign w:val="center"/>
          </w:tcPr>
          <w:p w14:paraId="5D325D2D">
            <w:pPr>
              <w:widowControl/>
              <w:adjustRightInd w:val="0"/>
              <w:snapToGrid w:val="0"/>
              <w:spacing w:line="240" w:lineRule="auto"/>
              <w:rPr>
                <w:rFonts w:hint="default" w:ascii="宋体" w:hAnsi="宋体" w:eastAsia="宋体" w:cs="宋体"/>
                <w:color w:val="auto"/>
                <w:kern w:val="0"/>
                <w:sz w:val="18"/>
                <w:szCs w:val="18"/>
                <w:highlight w:val="none"/>
                <w:lang w:val="en-US"/>
              </w:rPr>
            </w:pPr>
            <w:r>
              <w:rPr>
                <w:rFonts w:hint="eastAsia" w:ascii="宋体" w:hAnsi="宋体" w:eastAsia="宋体" w:cs="宋体"/>
                <w:sz w:val="18"/>
                <w:szCs w:val="18"/>
                <w:highlight w:val="none"/>
                <w:lang w:eastAsia="zh-CN"/>
              </w:rPr>
              <w:t>“</w:t>
            </w:r>
            <w:r>
              <w:rPr>
                <w:rFonts w:hint="eastAsia" w:ascii="宋体" w:hAnsi="宋体" w:eastAsia="宋体" w:cs="宋体"/>
                <w:bCs/>
                <w:color w:val="0000FF"/>
                <w:kern w:val="0"/>
                <w:sz w:val="18"/>
                <w:szCs w:val="18"/>
                <w:highlight w:val="none"/>
                <w:lang w:eastAsia="zh-CN"/>
              </w:rPr>
              <w:t>瓯江红·畅美高速”党群服务中心物业服务</w:t>
            </w:r>
            <w:r>
              <w:rPr>
                <w:rFonts w:hint="eastAsia" w:ascii="宋体" w:hAnsi="宋体" w:eastAsia="宋体" w:cs="宋体"/>
                <w:bCs/>
                <w:color w:val="0000FF"/>
                <w:kern w:val="0"/>
                <w:sz w:val="18"/>
                <w:szCs w:val="18"/>
                <w:highlight w:val="none"/>
                <w:lang w:val="en-US" w:eastAsia="zh-CN"/>
              </w:rPr>
              <w:t>实施方案</w:t>
            </w:r>
          </w:p>
        </w:tc>
        <w:tc>
          <w:tcPr>
            <w:tcW w:w="713" w:type="dxa"/>
            <w:noWrap w:val="0"/>
            <w:vAlign w:val="center"/>
          </w:tcPr>
          <w:p w14:paraId="0844962F">
            <w:pPr>
              <w:widowControl/>
              <w:adjustRightInd w:val="0"/>
              <w:snapToGrid w:val="0"/>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5652" w:type="dxa"/>
            <w:noWrap w:val="0"/>
            <w:vAlign w:val="center"/>
          </w:tcPr>
          <w:p w14:paraId="2D09A88E">
            <w:pPr>
              <w:widowControl/>
              <w:adjustRightInd w:val="0"/>
              <w:snapToGrid w:val="0"/>
              <w:spacing w:line="240" w:lineRule="auto"/>
              <w:rPr>
                <w:rFonts w:hint="default" w:ascii="宋体" w:hAnsi="宋体" w:eastAsia="宋体" w:cs="宋体"/>
                <w:color w:val="auto"/>
                <w:kern w:val="0"/>
                <w:sz w:val="18"/>
                <w:szCs w:val="18"/>
                <w:highlight w:val="none"/>
                <w:lang w:val="en-US"/>
              </w:rPr>
            </w:pPr>
            <w:r>
              <w:rPr>
                <w:rFonts w:hint="eastAsia" w:ascii="宋体" w:hAnsi="宋体" w:eastAsia="宋体" w:cs="宋体"/>
                <w:sz w:val="18"/>
                <w:szCs w:val="18"/>
                <w:highlight w:val="none"/>
                <w:lang w:val="en-US" w:eastAsia="zh-CN"/>
              </w:rPr>
              <w:t>根据</w:t>
            </w:r>
            <w:r>
              <w:rPr>
                <w:rFonts w:hint="eastAsia" w:ascii="宋体" w:hAnsi="宋体" w:eastAsia="宋体" w:cs="宋体"/>
                <w:sz w:val="18"/>
                <w:szCs w:val="18"/>
                <w:highlight w:val="none"/>
                <w:lang w:eastAsia="zh-CN"/>
              </w:rPr>
              <w:t>“</w:t>
            </w:r>
            <w:r>
              <w:rPr>
                <w:rFonts w:hint="eastAsia" w:ascii="宋体" w:hAnsi="宋体" w:eastAsia="宋体" w:cs="宋体"/>
                <w:bCs/>
                <w:color w:val="0000FF"/>
                <w:kern w:val="0"/>
                <w:sz w:val="18"/>
                <w:szCs w:val="18"/>
                <w:highlight w:val="none"/>
                <w:lang w:eastAsia="zh-CN"/>
              </w:rPr>
              <w:t>瓯江红·畅美高速”党群服务中心物业服务</w:t>
            </w:r>
            <w:r>
              <w:rPr>
                <w:rFonts w:hint="eastAsia" w:ascii="宋体" w:hAnsi="宋体" w:eastAsia="宋体" w:cs="宋体"/>
                <w:bCs/>
                <w:color w:val="0000FF"/>
                <w:kern w:val="0"/>
                <w:sz w:val="18"/>
                <w:szCs w:val="18"/>
                <w:highlight w:val="none"/>
                <w:lang w:val="en-US" w:eastAsia="zh-CN"/>
              </w:rPr>
              <w:t>实施方案全面、科学及合理性进行综合评价：</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14:paraId="6E52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62" w:type="dxa"/>
            <w:noWrap w:val="0"/>
            <w:vAlign w:val="center"/>
          </w:tcPr>
          <w:p w14:paraId="26ECD777">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2200" w:type="dxa"/>
            <w:gridSpan w:val="2"/>
            <w:noWrap w:val="0"/>
            <w:vAlign w:val="center"/>
          </w:tcPr>
          <w:p w14:paraId="4F464E82">
            <w:pPr>
              <w:adjustRightInd w:val="0"/>
              <w:snapToGrid w:val="0"/>
              <w:spacing w:line="240" w:lineRule="auto"/>
              <w:ind w:left="-50"/>
              <w:jc w:val="both"/>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人均月工资</w:t>
            </w:r>
          </w:p>
        </w:tc>
        <w:tc>
          <w:tcPr>
            <w:tcW w:w="713" w:type="dxa"/>
            <w:noWrap w:val="0"/>
            <w:vAlign w:val="center"/>
          </w:tcPr>
          <w:p w14:paraId="1DEDB0D4">
            <w:pPr>
              <w:adjustRightInd w:val="0"/>
              <w:snapToGrid w:val="0"/>
              <w:spacing w:line="240" w:lineRule="auto"/>
              <w:ind w:right="3"/>
              <w:jc w:val="center"/>
              <w:rPr>
                <w:rFonts w:hint="eastAsia" w:ascii="宋体" w:hAnsi="宋体" w:eastAsia="宋体" w:cs="宋体"/>
                <w:color w:val="auto"/>
                <w:kern w:val="0"/>
                <w:sz w:val="18"/>
                <w:szCs w:val="18"/>
                <w:highlight w:val="none"/>
              </w:rPr>
            </w:pPr>
            <w:r>
              <w:rPr>
                <w:rFonts w:hint="eastAsia" w:ascii="宋体" w:hAnsi="宋体" w:eastAsia="宋体" w:cs="宋体"/>
                <w:bCs/>
                <w:color w:val="auto"/>
                <w:kern w:val="28"/>
                <w:sz w:val="18"/>
                <w:szCs w:val="18"/>
                <w:highlight w:val="none"/>
                <w:lang w:val="en-US" w:eastAsia="zh-CN"/>
              </w:rPr>
              <w:t>5</w:t>
            </w:r>
          </w:p>
        </w:tc>
        <w:tc>
          <w:tcPr>
            <w:tcW w:w="5652" w:type="dxa"/>
            <w:noWrap w:val="0"/>
            <w:vAlign w:val="center"/>
          </w:tcPr>
          <w:p w14:paraId="6FE090F8">
            <w:pPr>
              <w:pStyle w:val="12"/>
              <w:keepNext w:val="0"/>
              <w:keepLines w:val="0"/>
              <w:pageBreakBefore w:val="0"/>
              <w:widowControl w:val="0"/>
              <w:kinsoku/>
              <w:wordWrap/>
              <w:overflowPunct/>
              <w:topLinePunct w:val="0"/>
              <w:autoSpaceDE/>
              <w:autoSpaceDN/>
              <w:bidi w:val="0"/>
              <w:adjustRightInd/>
              <w:snapToGrid/>
              <w:spacing w:line="240" w:lineRule="auto"/>
              <w:ind w:left="0" w:right="-11" w:firstLine="0" w:firstLineChars="0"/>
              <w:jc w:val="left"/>
              <w:textAlignment w:val="auto"/>
              <w:rPr>
                <w:rFonts w:hint="eastAsia" w:ascii="宋体" w:hAnsi="宋体" w:eastAsia="宋体" w:cs="宋体"/>
                <w:color w:val="auto"/>
                <w:sz w:val="18"/>
                <w:szCs w:val="18"/>
                <w:highlight w:val="none"/>
                <w:lang w:val="en-US" w:eastAsia="zh-CN" w:bidi="ar"/>
              </w:rPr>
            </w:pPr>
            <w:r>
              <w:rPr>
                <w:rFonts w:hint="eastAsia" w:ascii="宋体" w:hAnsi="宋体" w:eastAsia="宋体" w:cs="宋体"/>
                <w:b w:val="0"/>
                <w:color w:val="auto"/>
                <w:spacing w:val="0"/>
                <w:kern w:val="2"/>
                <w:sz w:val="18"/>
                <w:szCs w:val="18"/>
                <w:highlight w:val="none"/>
                <w:lang w:val="en-US" w:eastAsia="zh-CN" w:bidi="ar"/>
              </w:rPr>
              <w:t>保安人员与保洁人员承诺</w:t>
            </w:r>
            <w:r>
              <w:rPr>
                <w:rFonts w:hint="eastAsia" w:ascii="宋体" w:hAnsi="宋体" w:eastAsia="宋体" w:cs="宋体"/>
                <w:color w:val="auto"/>
                <w:sz w:val="18"/>
                <w:szCs w:val="18"/>
                <w:highlight w:val="none"/>
                <w:lang w:bidi="ar"/>
              </w:rPr>
              <w:t>日常人员工资</w:t>
            </w:r>
            <w:r>
              <w:rPr>
                <w:rFonts w:hint="eastAsia" w:ascii="宋体" w:hAnsi="宋体" w:eastAsia="宋体" w:cs="宋体"/>
                <w:color w:val="auto"/>
                <w:sz w:val="18"/>
                <w:szCs w:val="18"/>
                <w:highlight w:val="none"/>
                <w:lang w:val="en-US" w:eastAsia="zh-CN" w:bidi="ar"/>
              </w:rPr>
              <w:t>不低于2800.00元的，每增加50元加0.5分，满分2分。</w:t>
            </w:r>
          </w:p>
          <w:p w14:paraId="36150756">
            <w:pPr>
              <w:pStyle w:val="12"/>
              <w:keepNext w:val="0"/>
              <w:keepLines w:val="0"/>
              <w:pageBreakBefore w:val="0"/>
              <w:widowControl w:val="0"/>
              <w:kinsoku/>
              <w:wordWrap/>
              <w:overflowPunct/>
              <w:topLinePunct w:val="0"/>
              <w:autoSpaceDE/>
              <w:autoSpaceDN/>
              <w:bidi w:val="0"/>
              <w:adjustRightInd/>
              <w:snapToGrid/>
              <w:spacing w:line="240" w:lineRule="auto"/>
              <w:ind w:left="0" w:right="-11" w:firstLine="0" w:firstLineChars="0"/>
              <w:jc w:val="left"/>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保安队长、保洁组长、前台、</w:t>
            </w:r>
            <w:r>
              <w:rPr>
                <w:rFonts w:hint="eastAsia" w:ascii="宋体" w:hAnsi="宋体" w:eastAsia="宋体" w:cs="宋体"/>
                <w:color w:val="auto"/>
                <w:kern w:val="2"/>
                <w:sz w:val="18"/>
                <w:szCs w:val="18"/>
                <w:highlight w:val="none"/>
                <w:lang w:val="en-US" w:eastAsia="zh-CN" w:bidi="ar"/>
              </w:rPr>
              <w:t>监控消控员承诺日常工资不低于3500.00元的得0.5分，每增加100元加0.1分，满分1分。</w:t>
            </w:r>
          </w:p>
          <w:p w14:paraId="4A71A91A">
            <w:pPr>
              <w:pStyle w:val="12"/>
              <w:keepNext w:val="0"/>
              <w:keepLines w:val="0"/>
              <w:pageBreakBefore w:val="0"/>
              <w:widowControl w:val="0"/>
              <w:kinsoku/>
              <w:wordWrap/>
              <w:overflowPunct/>
              <w:topLinePunct w:val="0"/>
              <w:autoSpaceDE/>
              <w:autoSpaceDN/>
              <w:bidi w:val="0"/>
              <w:adjustRightInd/>
              <w:snapToGrid/>
              <w:spacing w:line="240" w:lineRule="auto"/>
              <w:ind w:left="0" w:right="-11" w:firstLine="0" w:firstLineChars="0"/>
              <w:jc w:val="left"/>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物业经理、电工承诺日常工资不低于5800.00元的得0.5分，每增加100元加0.1分，满分1分。</w:t>
            </w:r>
          </w:p>
          <w:p w14:paraId="0D7236A8">
            <w:pPr>
              <w:pStyle w:val="12"/>
              <w:keepNext w:val="0"/>
              <w:keepLines w:val="0"/>
              <w:pageBreakBefore w:val="0"/>
              <w:widowControl w:val="0"/>
              <w:kinsoku/>
              <w:wordWrap/>
              <w:overflowPunct/>
              <w:topLinePunct w:val="0"/>
              <w:autoSpaceDE/>
              <w:autoSpaceDN/>
              <w:bidi w:val="0"/>
              <w:adjustRightInd/>
              <w:snapToGrid/>
              <w:spacing w:line="240" w:lineRule="auto"/>
              <w:ind w:left="0" w:right="-11" w:firstLine="0" w:firstLineChars="0"/>
              <w:jc w:val="left"/>
              <w:textAlignment w:val="auto"/>
              <w:rPr>
                <w:rFonts w:hint="default"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党群服务中心服务人员承诺日常工资不低于4500.00元的得0.5分，每增加100元加0.1分，满分1分。</w:t>
            </w:r>
          </w:p>
        </w:tc>
      </w:tr>
      <w:tr w14:paraId="14A3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7D59B7C4">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w:t>
            </w:r>
          </w:p>
        </w:tc>
        <w:tc>
          <w:tcPr>
            <w:tcW w:w="2200" w:type="dxa"/>
            <w:gridSpan w:val="2"/>
            <w:noWrap w:val="0"/>
            <w:vAlign w:val="center"/>
          </w:tcPr>
          <w:p w14:paraId="1D75B4B2">
            <w:pPr>
              <w:adjustRightInd w:val="0"/>
              <w:snapToGrid w:val="0"/>
              <w:spacing w:line="240" w:lineRule="auto"/>
              <w:ind w:left="-5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
              </w:rPr>
              <w:t>投标人为本项目拟投入的设备情况</w:t>
            </w:r>
          </w:p>
        </w:tc>
        <w:tc>
          <w:tcPr>
            <w:tcW w:w="713" w:type="dxa"/>
            <w:noWrap w:val="0"/>
            <w:vAlign w:val="center"/>
          </w:tcPr>
          <w:p w14:paraId="029E5B67">
            <w:pPr>
              <w:adjustRightInd w:val="0"/>
              <w:snapToGrid w:val="0"/>
              <w:spacing w:line="240" w:lineRule="auto"/>
              <w:ind w:right="3"/>
              <w:jc w:val="center"/>
              <w:rPr>
                <w:rFonts w:hint="eastAsia" w:ascii="宋体" w:hAnsi="宋体" w:eastAsia="宋体" w:cs="宋体"/>
                <w:bCs/>
                <w:color w:val="auto"/>
                <w:kern w:val="28"/>
                <w:sz w:val="18"/>
                <w:szCs w:val="18"/>
                <w:highlight w:val="none"/>
                <w:lang w:val="en-US" w:eastAsia="zh-CN"/>
              </w:rPr>
            </w:pPr>
            <w:r>
              <w:rPr>
                <w:rFonts w:hint="eastAsia" w:ascii="宋体" w:hAnsi="宋体" w:eastAsia="宋体" w:cs="宋体"/>
                <w:bCs/>
                <w:color w:val="auto"/>
                <w:kern w:val="28"/>
                <w:sz w:val="18"/>
                <w:szCs w:val="18"/>
                <w:highlight w:val="none"/>
                <w:lang w:val="en-US" w:eastAsia="zh-CN"/>
              </w:rPr>
              <w:t>4</w:t>
            </w:r>
          </w:p>
        </w:tc>
        <w:tc>
          <w:tcPr>
            <w:tcW w:w="5652" w:type="dxa"/>
            <w:noWrap w:val="0"/>
            <w:vAlign w:val="center"/>
          </w:tcPr>
          <w:p w14:paraId="49C02597">
            <w:pPr>
              <w:widowControl/>
              <w:numPr>
                <w:ilvl w:val="0"/>
                <w:numId w:val="0"/>
              </w:numPr>
              <w:tabs>
                <w:tab w:val="left" w:pos="420"/>
              </w:tabs>
              <w:adjustRightInd w:val="0"/>
              <w:snapToGrid w:val="0"/>
              <w:spacing w:line="240" w:lineRule="auto"/>
              <w:ind w:left="0" w:firstLine="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投标人为本项目拟投入的设备其中提供：</w:t>
            </w:r>
          </w:p>
          <w:p w14:paraId="4CEADB0E">
            <w:pPr>
              <w:widowControl/>
              <w:numPr>
                <w:ilvl w:val="0"/>
                <w:numId w:val="37"/>
              </w:numPr>
              <w:tabs>
                <w:tab w:val="left" w:pos="420"/>
              </w:tabs>
              <w:adjustRightInd w:val="0"/>
              <w:snapToGrid w:val="0"/>
              <w:spacing w:line="240" w:lineRule="auto"/>
              <w:ind w:left="425" w:leftChars="0" w:hanging="425" w:firstLineChars="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四轮双排巡逻车（基本参数中电机功率≥4000W且载客人数达到4-5 人的，得2分，不满足参数要求的不得分）。</w:t>
            </w:r>
          </w:p>
          <w:p w14:paraId="48EA6ED1">
            <w:pPr>
              <w:widowControl/>
              <w:numPr>
                <w:ilvl w:val="0"/>
                <w:numId w:val="37"/>
              </w:numPr>
              <w:tabs>
                <w:tab w:val="left" w:pos="420"/>
              </w:tabs>
              <w:adjustRightInd w:val="0"/>
              <w:snapToGrid w:val="0"/>
              <w:spacing w:line="240" w:lineRule="auto"/>
              <w:ind w:left="425" w:leftChars="0" w:hanging="425" w:firstLineChars="0"/>
              <w:jc w:val="both"/>
              <w:rPr>
                <w:rFonts w:hint="eastAsia" w:ascii="宋体" w:hAnsi="宋体" w:eastAsia="宋体" w:cs="宋体"/>
                <w:b w:val="0"/>
                <w:color w:val="auto"/>
                <w:spacing w:val="0"/>
                <w:kern w:val="0"/>
                <w:sz w:val="18"/>
                <w:szCs w:val="18"/>
                <w:highlight w:val="none"/>
                <w:lang w:val="en-US" w:eastAsia="zh-CN" w:bidi="ar-SA"/>
              </w:rPr>
            </w:pPr>
            <w:r>
              <w:rPr>
                <w:rFonts w:hint="eastAsia" w:ascii="宋体" w:hAnsi="宋体" w:eastAsia="宋体" w:cs="宋体"/>
                <w:b w:val="0"/>
                <w:color w:val="auto"/>
                <w:spacing w:val="0"/>
                <w:kern w:val="0"/>
                <w:sz w:val="18"/>
                <w:szCs w:val="18"/>
                <w:highlight w:val="none"/>
                <w:lang w:val="en-US" w:eastAsia="zh-CN" w:bidi="ar-SA"/>
              </w:rPr>
              <w:t>根据投标供应商提供专业地面清洗设备的情况，由评标委员会综合打分，得0-2分。</w:t>
            </w:r>
          </w:p>
        </w:tc>
      </w:tr>
      <w:tr w14:paraId="49B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30EB881B">
            <w:pPr>
              <w:adjustRightInd w:val="0"/>
              <w:snapToGrid w:val="0"/>
              <w:spacing w:line="24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2200" w:type="dxa"/>
            <w:gridSpan w:val="2"/>
            <w:noWrap w:val="0"/>
            <w:vAlign w:val="center"/>
          </w:tcPr>
          <w:p w14:paraId="365E4521">
            <w:pPr>
              <w:adjustRightInd w:val="0"/>
              <w:snapToGrid w:val="0"/>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投标人</w:t>
            </w:r>
            <w:r>
              <w:rPr>
                <w:rFonts w:hint="eastAsia" w:ascii="宋体" w:hAnsi="宋体" w:eastAsia="宋体" w:cs="宋体"/>
                <w:color w:val="auto"/>
                <w:sz w:val="18"/>
                <w:szCs w:val="18"/>
                <w:highlight w:val="none"/>
                <w:lang w:eastAsia="zh-CN"/>
              </w:rPr>
              <w:t>2021年1月1日以来</w:t>
            </w:r>
            <w:r>
              <w:rPr>
                <w:rFonts w:hint="eastAsia" w:ascii="宋体" w:hAnsi="宋体" w:eastAsia="宋体" w:cs="宋体"/>
                <w:color w:val="auto"/>
                <w:sz w:val="18"/>
                <w:szCs w:val="18"/>
                <w:highlight w:val="none"/>
              </w:rPr>
              <w:t>项目业绩</w:t>
            </w:r>
          </w:p>
        </w:tc>
        <w:tc>
          <w:tcPr>
            <w:tcW w:w="713" w:type="dxa"/>
            <w:noWrap w:val="0"/>
            <w:vAlign w:val="center"/>
          </w:tcPr>
          <w:p w14:paraId="3774DCD9">
            <w:pPr>
              <w:adjustRightInd w:val="0"/>
              <w:snapToGrid w:val="0"/>
              <w:spacing w:line="240" w:lineRule="auto"/>
              <w:jc w:val="center"/>
              <w:rPr>
                <w:rFonts w:hint="eastAsia" w:ascii="宋体" w:hAnsi="宋体" w:eastAsia="宋体" w:cs="宋体"/>
                <w:bCs/>
                <w:color w:val="auto"/>
                <w:kern w:val="28"/>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0</w:t>
            </w:r>
          </w:p>
        </w:tc>
        <w:tc>
          <w:tcPr>
            <w:tcW w:w="5652" w:type="dxa"/>
            <w:noWrap w:val="0"/>
            <w:vAlign w:val="center"/>
          </w:tcPr>
          <w:p w14:paraId="4415BF87">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投标人项目业绩（有效业绩以中标通知书发出日期或合同签订日期为准）：</w:t>
            </w:r>
          </w:p>
          <w:p w14:paraId="309F7E5C">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1、提供投标供应商2021年1月1日以来的有高速服务区（停车区）物业管理业绩的，每提供1项业绩得1分，最高4分。</w:t>
            </w:r>
          </w:p>
          <w:p w14:paraId="3967FBA1">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2、提供投标供应商自2021年1月1日以来的公共场所物业管理项目业绩的，每提供1项业绩得0.5分，最高6分。</w:t>
            </w:r>
          </w:p>
          <w:p w14:paraId="00CA84F4">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（提供中标通知书或合同，同个项目不可重复计分）。</w:t>
            </w:r>
          </w:p>
        </w:tc>
      </w:tr>
      <w:tr w14:paraId="6D5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noWrap w:val="0"/>
            <w:vAlign w:val="center"/>
          </w:tcPr>
          <w:p w14:paraId="3E7B3C92">
            <w:pPr>
              <w:adjustRightInd w:val="0"/>
              <w:snapToGrid w:val="0"/>
              <w:spacing w:line="240" w:lineRule="auto"/>
              <w:jc w:val="center"/>
              <w:rPr>
                <w:rFonts w:hint="eastAsia" w:ascii="宋体" w:hAnsi="宋体" w:eastAsia="宋体" w:cs="宋体"/>
                <w:color w:val="auto"/>
                <w:sz w:val="18"/>
                <w:szCs w:val="18"/>
                <w:highlight w:val="none"/>
                <w:lang w:val="en-US" w:eastAsia="zh-CN"/>
              </w:rPr>
            </w:pPr>
          </w:p>
        </w:tc>
        <w:tc>
          <w:tcPr>
            <w:tcW w:w="2200" w:type="dxa"/>
            <w:gridSpan w:val="2"/>
            <w:noWrap w:val="0"/>
            <w:vAlign w:val="center"/>
          </w:tcPr>
          <w:p w14:paraId="70FF3B6D">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合计满分</w:t>
            </w:r>
          </w:p>
        </w:tc>
        <w:tc>
          <w:tcPr>
            <w:tcW w:w="713" w:type="dxa"/>
            <w:noWrap w:val="0"/>
            <w:vAlign w:val="center"/>
          </w:tcPr>
          <w:p w14:paraId="70CB3F31">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=SUM(ABOVE) \* MERGEFORMAT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80</w:t>
            </w:r>
            <w:r>
              <w:rPr>
                <w:rFonts w:hint="eastAsia" w:ascii="宋体" w:hAnsi="宋体" w:eastAsia="宋体" w:cs="宋体"/>
                <w:color w:val="auto"/>
                <w:sz w:val="18"/>
                <w:szCs w:val="18"/>
                <w:highlight w:val="none"/>
              </w:rPr>
              <w:fldChar w:fldCharType="end"/>
            </w:r>
          </w:p>
        </w:tc>
        <w:tc>
          <w:tcPr>
            <w:tcW w:w="5652" w:type="dxa"/>
            <w:noWrap w:val="0"/>
            <w:vAlign w:val="center"/>
          </w:tcPr>
          <w:p w14:paraId="27388EDC">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p>
        </w:tc>
      </w:tr>
    </w:tbl>
    <w:p w14:paraId="17156BA3">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14:paraId="5539A90B">
      <w:pPr>
        <w:overflowPunct w:val="0"/>
        <w:ind w:firstLine="440" w:firstLineChars="200"/>
        <w:rPr>
          <w:rFonts w:hint="eastAsia" w:ascii="宋体" w:hAnsi="宋体" w:eastAsia="宋体" w:cs="宋体"/>
          <w:color w:val="auto"/>
          <w:sz w:val="22"/>
          <w:highlight w:val="none"/>
        </w:rPr>
      </w:pPr>
      <w:bookmarkStart w:id="226" w:name="_Hlk11188594"/>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rPr>
        <w:t>）投标供应商提供的相关证明资料、截图查询证明等资料模糊不清，评委无法判断或者难以辨认时，评委评审时将作未提供相关资料处理。</w:t>
      </w:r>
    </w:p>
    <w:p w14:paraId="78B9FA74">
      <w:pPr>
        <w:overflowPunct w:val="0"/>
        <w:ind w:firstLine="440" w:firstLineChars="200"/>
        <w:rPr>
          <w:rFonts w:hint="eastAsia" w:ascii="宋体" w:hAnsi="宋体" w:eastAsia="宋体" w:cs="宋体"/>
          <w:color w:val="auto"/>
          <w:sz w:val="22"/>
          <w:highlight w:val="none"/>
        </w:rPr>
      </w:pPr>
    </w:p>
    <w:p w14:paraId="23E309BC">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20</w:t>
      </w:r>
      <w:r>
        <w:rPr>
          <w:rFonts w:hint="eastAsia" w:ascii="宋体" w:hAnsi="宋体" w:eastAsia="宋体" w:cs="宋体"/>
          <w:b/>
          <w:color w:val="auto"/>
          <w:sz w:val="22"/>
          <w:highlight w:val="none"/>
        </w:rPr>
        <w:t>分）：</w:t>
      </w:r>
    </w:p>
    <w:bookmarkEnd w:id="226"/>
    <w:p w14:paraId="13795F5A">
      <w:pPr>
        <w:ind w:firstLine="440" w:firstLineChars="200"/>
        <w:rPr>
          <w:rFonts w:hint="eastAsia" w:ascii="宋体" w:hAnsi="宋体" w:eastAsia="宋体" w:cs="宋体"/>
          <w:color w:val="auto"/>
          <w:sz w:val="22"/>
          <w:highlight w:val="none"/>
        </w:rPr>
      </w:pPr>
      <w:bookmarkStart w:id="227"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文件要求且投标价格最低的投标报价为评标基准价</w:t>
      </w:r>
      <w:r>
        <w:rPr>
          <w:rFonts w:hint="eastAsia" w:ascii="宋体" w:hAnsi="宋体" w:eastAsia="宋体" w:cs="宋体"/>
          <w:color w:val="auto"/>
          <w:sz w:val="22"/>
          <w:highlight w:val="none"/>
          <w:lang w:eastAsia="zh-CN"/>
        </w:rPr>
        <w:t>；</w:t>
      </w:r>
    </w:p>
    <w:p w14:paraId="05FD9260">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评分值为满分20分；</w:t>
      </w:r>
    </w:p>
    <w:p w14:paraId="06F9C5D8">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14:paraId="4ED7EE00">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14:paraId="746A67A0">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本项目价格权值为20%</w:t>
      </w:r>
      <w:r>
        <w:rPr>
          <w:rFonts w:hint="eastAsia" w:ascii="宋体" w:hAnsi="宋体" w:eastAsia="宋体" w:cs="宋体"/>
          <w:color w:val="auto"/>
          <w:sz w:val="22"/>
          <w:highlight w:val="none"/>
        </w:rPr>
        <w:t>。</w:t>
      </w:r>
    </w:p>
    <w:bookmarkEnd w:id="227"/>
    <w:p w14:paraId="51B55F48">
      <w:pPr>
        <w:rPr>
          <w:rFonts w:hint="eastAsia" w:ascii="宋体" w:hAnsi="宋体" w:eastAsia="宋体" w:cs="宋体"/>
          <w:b/>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color w:val="auto"/>
          <w:sz w:val="22"/>
          <w:highlight w:val="none"/>
        </w:rPr>
        <w:t>3、本次采购</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为人民币</w:t>
      </w:r>
      <w:r>
        <w:rPr>
          <w:rFonts w:hint="eastAsia" w:ascii="宋体" w:hAnsi="宋体" w:eastAsia="宋体" w:cs="宋体"/>
          <w:b/>
          <w:color w:val="auto"/>
          <w:sz w:val="22"/>
          <w:highlight w:val="none"/>
          <w:lang w:val="en-US" w:eastAsia="zh-CN"/>
        </w:rPr>
        <w:t>384</w:t>
      </w:r>
      <w:r>
        <w:rPr>
          <w:rFonts w:hint="eastAsia" w:ascii="宋体" w:hAnsi="宋体" w:eastAsia="宋体" w:cs="宋体"/>
          <w:b/>
          <w:color w:val="auto"/>
          <w:sz w:val="22"/>
          <w:highlight w:val="none"/>
        </w:rPr>
        <w:t>万元, 如投标供应商报价超过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按无效标处理。</w:t>
      </w:r>
    </w:p>
    <w:p w14:paraId="1F5EFE25">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4、如所有投标供应商报价均超过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，此项目废标，应重新组织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14:paraId="11557A65">
      <w:pPr>
        <w:ind w:firstLine="442" w:firstLineChars="200"/>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szCs w:val="22"/>
          <w:highlight w:val="none"/>
          <w:lang w:val="en-US" w:eastAsia="zh-CN"/>
        </w:rPr>
        <w:t>5、投标分项报价表中</w:t>
      </w:r>
      <w:r>
        <w:rPr>
          <w:rFonts w:hint="eastAsia" w:ascii="宋体" w:hAnsi="宋体" w:eastAsia="宋体" w:cs="宋体"/>
          <w:b/>
          <w:bCs/>
          <w:color w:val="auto"/>
          <w:sz w:val="21"/>
          <w:szCs w:val="21"/>
          <w:highlight w:val="none"/>
          <w:lang w:val="en-US" w:eastAsia="zh-CN"/>
        </w:rPr>
        <w:t>各岗位人员“</w:t>
      </w:r>
      <w:r>
        <w:rPr>
          <w:rFonts w:hint="eastAsia" w:ascii="宋体" w:hAnsi="宋体" w:eastAsia="宋体" w:cs="宋体"/>
          <w:b/>
          <w:bCs/>
          <w:color w:val="auto"/>
          <w:sz w:val="21"/>
          <w:szCs w:val="21"/>
          <w:highlight w:val="none"/>
        </w:rPr>
        <w:t>日常</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工资</w:t>
      </w:r>
      <w:r>
        <w:rPr>
          <w:rFonts w:hint="eastAsia" w:ascii="宋体" w:hAnsi="宋体" w:eastAsia="宋体" w:cs="宋体"/>
          <w:b/>
          <w:bCs/>
          <w:color w:val="auto"/>
          <w:sz w:val="21"/>
          <w:szCs w:val="21"/>
          <w:highlight w:val="none"/>
          <w:lang w:val="en-US" w:eastAsia="zh-CN"/>
        </w:rPr>
        <w:t>”报价低于附件十一“服务人员最低月工资承诺函”中所承诺金额的，商务报价评分将按0分处理，低于2800元/月·人的作无效标处理。</w:t>
      </w:r>
    </w:p>
    <w:p w14:paraId="25384D9C">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、各有效投标供应商的综合得分为技术资信分和商务（报价）分的总和。</w:t>
      </w:r>
    </w:p>
    <w:p w14:paraId="1DDD309C">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、评标委员会按各有效投标供应商综合得分高低顺序排列，综合得分第一名的投标人作为中标候选供应商，并提交评标报告。</w:t>
      </w:r>
    </w:p>
    <w:p w14:paraId="3782A1C6">
      <w:pPr>
        <w:ind w:firstLine="440" w:firstLineChars="200"/>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14:paraId="2618B9E2">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8" w:name="_Toc221356904"/>
      <w:bookmarkStart w:id="229" w:name="_Toc221356967"/>
    </w:p>
    <w:p w14:paraId="4CDFB9A0">
      <w:pPr>
        <w:ind w:left="424" w:leftChars="1" w:hanging="422" w:hangingChars="191"/>
        <w:rPr>
          <w:rFonts w:hint="eastAsia" w:ascii="宋体" w:hAnsi="宋体" w:eastAsia="宋体" w:cs="宋体"/>
          <w:color w:val="auto"/>
          <w:highlight w:val="none"/>
        </w:rPr>
      </w:pPr>
      <w:r>
        <w:rPr>
          <w:rFonts w:hint="eastAsia" w:ascii="宋体" w:hAnsi="宋体" w:eastAsia="宋体" w:cs="宋体"/>
          <w:b/>
          <w:color w:val="auto"/>
          <w:sz w:val="22"/>
          <w:szCs w:val="24"/>
          <w:highlight w:val="none"/>
        </w:rPr>
        <w:t xml:space="preserve">1、 </w:t>
      </w:r>
      <w:r>
        <w:rPr>
          <w:rFonts w:hint="eastAsia" w:ascii="宋体" w:hAnsi="宋体" w:eastAsia="宋体" w:cs="宋体"/>
          <w:color w:val="auto"/>
          <w:sz w:val="22"/>
          <w:highlight w:val="none"/>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14:paraId="3C8D428B">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14:paraId="763C9110">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14:paraId="7424FA2C">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28"/>
      <w:bookmarkEnd w:id="229"/>
    </w:p>
    <w:p w14:paraId="707B2A60">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评标结束后，采购人将在发布采购公告的网站上公示中标结果。中标公告期为3日，中标公告期限结束无异议的，采购人向中标人发出中标通知书。</w:t>
      </w:r>
    </w:p>
    <w:p w14:paraId="6F0251B5">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各投标人对评标结果如有异议，可在中标公告期内以书面形式向采购人进行署名投诉或提出质疑，但需对投诉或质疑内容的真实性承担法律责任。</w:t>
      </w:r>
    </w:p>
    <w:p w14:paraId="5488423D">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14:paraId="0E5DCBC9">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6241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BDE28">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99BDE28">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A6F28">
    <w:pPr>
      <w:pStyle w:val="3"/>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14:paraId="0C0703D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9564">
    <w:pPr>
      <w:pStyle w:val="1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1F90B3C"/>
    <w:multiLevelType w:val="singleLevel"/>
    <w:tmpl w:val="A1F90B3C"/>
    <w:lvl w:ilvl="0" w:tentative="0">
      <w:start w:val="1"/>
      <w:numFmt w:val="decimalEnclosedCircleChinese"/>
      <w:suff w:val="nothing"/>
      <w:lvlText w:val="%1　"/>
      <w:lvlJc w:val="left"/>
      <w:pPr>
        <w:ind w:left="20" w:firstLine="400"/>
      </w:pPr>
      <w:rPr>
        <w:rFonts w:hint="eastAsia"/>
      </w:rPr>
    </w:lvl>
  </w:abstractNum>
  <w:abstractNum w:abstractNumId="3">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CBAE81D7"/>
    <w:multiLevelType w:val="multilevel"/>
    <w:tmpl w:val="CBAE81D7"/>
    <w:lvl w:ilvl="0" w:tentative="0">
      <w:start w:val="1"/>
      <w:numFmt w:val="decimal"/>
      <w:lvlText w:val="31.%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00000001"/>
    <w:multiLevelType w:val="singleLevel"/>
    <w:tmpl w:val="00000001"/>
    <w:lvl w:ilvl="0" w:tentative="0">
      <w:start w:val="1"/>
      <w:numFmt w:val="decimal"/>
      <w:lvlText w:val="%1."/>
      <w:lvlJc w:val="left"/>
      <w:pPr>
        <w:ind w:left="425" w:hanging="425"/>
      </w:pPr>
      <w:rPr>
        <w:rFonts w:hint="default"/>
      </w:rPr>
    </w:lvl>
  </w:abstractNum>
  <w:abstractNum w:abstractNumId="7">
    <w:nsid w:val="00000002"/>
    <w:multiLevelType w:val="multilevel"/>
    <w:tmpl w:val="00000002"/>
    <w:lvl w:ilvl="0" w:tentative="0">
      <w:start w:val="1"/>
      <w:numFmt w:val="chineseCounting"/>
      <w:suff w:val="nothing"/>
      <w:lvlText w:val="%1、"/>
      <w:lvlJc w:val="left"/>
      <w:pPr>
        <w:ind w:left="0"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0000003"/>
    <w:multiLevelType w:val="multilevel"/>
    <w:tmpl w:val="00000003"/>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00000005"/>
    <w:multiLevelType w:val="multilevel"/>
    <w:tmpl w:val="00000005"/>
    <w:lvl w:ilvl="0" w:tentative="0">
      <w:start w:val="1"/>
      <w:numFmt w:val="bullet"/>
      <w:lvlText w:val=""/>
      <w:lvlJc w:val="left"/>
      <w:pPr>
        <w:tabs>
          <w:tab w:val="left" w:pos="510"/>
        </w:tabs>
        <w:ind w:left="510" w:hanging="51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3">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3">
    <w:nsid w:val="02204323"/>
    <w:multiLevelType w:val="multilevel"/>
    <w:tmpl w:val="02204323"/>
    <w:lvl w:ilvl="0" w:tentative="0">
      <w:start w:val="1"/>
      <w:numFmt w:val="decimal"/>
      <w:lvlText w:val="%1、"/>
      <w:lvlJc w:val="left"/>
      <w:pPr>
        <w:ind w:left="420" w:hanging="420"/>
      </w:pPr>
      <w:rPr>
        <w:rFonts w:hint="eastAsia" w:ascii="宋体" w:hAnsi="宋体" w:eastAsia="宋体" w:cs="宋体"/>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chineseCountingThousand"/>
      <w:lvlText w:val="%4、"/>
      <w:lvlJc w:val="left"/>
      <w:pPr>
        <w:ind w:left="42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073247F6"/>
    <w:multiLevelType w:val="multilevel"/>
    <w:tmpl w:val="073247F6"/>
    <w:lvl w:ilvl="0" w:tentative="0">
      <w:start w:val="1"/>
      <w:numFmt w:val="decimal"/>
      <w:lvlText w:val="%1、"/>
      <w:lvlJc w:val="left"/>
      <w:pPr>
        <w:ind w:left="420" w:hanging="420"/>
      </w:pPr>
      <w:rPr>
        <w:rFonts w:hint="eastAsia" w:ascii="宋体" w:hAnsi="宋体" w:eastAsia="宋体" w:cs="宋体"/>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chineseCountingThousand"/>
      <w:lvlText w:val="%4、"/>
      <w:lvlJc w:val="left"/>
      <w:pPr>
        <w:ind w:left="42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5">
    <w:nsid w:val="40C32C46"/>
    <w:multiLevelType w:val="multilevel"/>
    <w:tmpl w:val="40C32C46"/>
    <w:lvl w:ilvl="0" w:tentative="0">
      <w:start w:val="2"/>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21020B9"/>
    <w:multiLevelType w:val="multilevel"/>
    <w:tmpl w:val="421020B9"/>
    <w:lvl w:ilvl="0" w:tentative="0">
      <w:start w:val="1"/>
      <w:numFmt w:val="decimal"/>
      <w:lvlText w:val="%1."/>
      <w:lvlJc w:val="left"/>
      <w:pPr>
        <w:tabs>
          <w:tab w:val="left" w:pos="680"/>
        </w:tabs>
        <w:ind w:left="680" w:hanging="680"/>
      </w:pPr>
      <w:rPr>
        <w:rFonts w:hint="default" w:ascii="Arial" w:hAnsi="Arial" w:eastAsia="宋体"/>
        <w:b w:val="0"/>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27">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8">
    <w:nsid w:val="5D327579"/>
    <w:multiLevelType w:val="singleLevel"/>
    <w:tmpl w:val="5D327579"/>
    <w:lvl w:ilvl="0" w:tentative="0">
      <w:start w:val="1"/>
      <w:numFmt w:val="decimal"/>
      <w:suff w:val="nothing"/>
      <w:lvlText w:val="%1、"/>
      <w:lvlJc w:val="left"/>
    </w:lvl>
  </w:abstractNum>
  <w:abstractNum w:abstractNumId="29">
    <w:nsid w:val="5F330199"/>
    <w:multiLevelType w:val="multilevel"/>
    <w:tmpl w:val="5F33019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0ACAF2B"/>
    <w:multiLevelType w:val="multilevel"/>
    <w:tmpl w:val="60ACAF2B"/>
    <w:lvl w:ilvl="0" w:tentative="0">
      <w:start w:val="1"/>
      <w:numFmt w:val="decimal"/>
      <w:lvlText w:val="31.%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1">
    <w:nsid w:val="61C91FB3"/>
    <w:multiLevelType w:val="multilevel"/>
    <w:tmpl w:val="61C91FB3"/>
    <w:lvl w:ilvl="0" w:tentative="0">
      <w:start w:val="1"/>
      <w:numFmt w:val="decimal"/>
      <w:pStyle w:val="56"/>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2">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7AE01F9E"/>
    <w:multiLevelType w:val="singleLevel"/>
    <w:tmpl w:val="7AE01F9E"/>
    <w:lvl w:ilvl="0" w:tentative="0">
      <w:start w:val="2"/>
      <w:numFmt w:val="chineseCounting"/>
      <w:suff w:val="nothing"/>
      <w:lvlText w:val="%1、"/>
      <w:lvlJc w:val="left"/>
      <w:rPr>
        <w:rFonts w:hint="eastAsia"/>
      </w:rPr>
    </w:lvl>
  </w:abstractNum>
  <w:abstractNum w:abstractNumId="35">
    <w:nsid w:val="7F3C0690"/>
    <w:multiLevelType w:val="multilevel"/>
    <w:tmpl w:val="7F3C0690"/>
    <w:lvl w:ilvl="0" w:tentative="0">
      <w:start w:val="1"/>
      <w:numFmt w:val="decimal"/>
      <w:lvlText w:val="%1."/>
      <w:lvlJc w:val="left"/>
      <w:pPr>
        <w:tabs>
          <w:tab w:val="left" w:pos="680"/>
        </w:tabs>
        <w:ind w:left="680" w:hanging="680"/>
      </w:pPr>
      <w:rPr>
        <w:rFonts w:hint="default" w:ascii="Arial" w:hAnsi="Arial" w:eastAsia="宋体"/>
        <w:b/>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1156"/>
        </w:tabs>
        <w:ind w:left="856" w:hanging="420"/>
      </w:pPr>
      <w:rPr>
        <w:rFonts w:hint="default" w:ascii="Arial" w:hAnsi="Arial" w:cs="Arial"/>
        <w:b w:val="0"/>
        <w:sz w:val="21"/>
        <w:szCs w:val="21"/>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num w:numId="1">
    <w:abstractNumId w:val="31"/>
  </w:num>
  <w:num w:numId="2">
    <w:abstractNumId w:val="32"/>
  </w:num>
  <w:num w:numId="3">
    <w:abstractNumId w:val="11"/>
  </w:num>
  <w:num w:numId="4">
    <w:abstractNumId w:val="10"/>
  </w:num>
  <w:num w:numId="5">
    <w:abstractNumId w:val="13"/>
  </w:num>
  <w:num w:numId="6">
    <w:abstractNumId w:val="21"/>
  </w:num>
  <w:num w:numId="7">
    <w:abstractNumId w:val="18"/>
  </w:num>
  <w:num w:numId="8">
    <w:abstractNumId w:val="20"/>
  </w:num>
  <w:num w:numId="9">
    <w:abstractNumId w:val="33"/>
  </w:num>
  <w:num w:numId="10">
    <w:abstractNumId w:val="16"/>
  </w:num>
  <w:num w:numId="11">
    <w:abstractNumId w:val="17"/>
  </w:num>
  <w:num w:numId="12">
    <w:abstractNumId w:val="12"/>
  </w:num>
  <w:num w:numId="13">
    <w:abstractNumId w:val="1"/>
  </w:num>
  <w:num w:numId="14">
    <w:abstractNumId w:val="19"/>
  </w:num>
  <w:num w:numId="15">
    <w:abstractNumId w:val="14"/>
  </w:num>
  <w:num w:numId="16">
    <w:abstractNumId w:val="15"/>
  </w:num>
  <w:num w:numId="17">
    <w:abstractNumId w:val="22"/>
  </w:num>
  <w:num w:numId="18">
    <w:abstractNumId w:val="5"/>
  </w:num>
  <w:num w:numId="19">
    <w:abstractNumId w:val="0"/>
  </w:num>
  <w:num w:numId="20">
    <w:abstractNumId w:val="4"/>
  </w:num>
  <w:num w:numId="21">
    <w:abstractNumId w:val="3"/>
  </w:num>
  <w:num w:numId="22">
    <w:abstractNumId w:val="30"/>
  </w:num>
  <w:num w:numId="23">
    <w:abstractNumId w:val="7"/>
    <w:lvlOverride w:ilvl="0">
      <w:startOverride w:val="1"/>
    </w:lvlOverride>
  </w:num>
  <w:num w:numId="24">
    <w:abstractNumId w:val="7"/>
  </w:num>
  <w:num w:numId="25">
    <w:abstractNumId w:val="8"/>
  </w:num>
  <w:num w:numId="26">
    <w:abstractNumId w:val="27"/>
  </w:num>
  <w:num w:numId="27">
    <w:abstractNumId w:val="28"/>
  </w:num>
  <w:num w:numId="28">
    <w:abstractNumId w:val="29"/>
  </w:num>
  <w:num w:numId="29">
    <w:abstractNumId w:val="26"/>
  </w:num>
  <w:num w:numId="30">
    <w:abstractNumId w:val="34"/>
  </w:num>
  <w:num w:numId="31">
    <w:abstractNumId w:val="35"/>
  </w:num>
  <w:num w:numId="32">
    <w:abstractNumId w:val="9"/>
  </w:num>
  <w:num w:numId="33">
    <w:abstractNumId w:val="23"/>
  </w:num>
  <w:num w:numId="34">
    <w:abstractNumId w:val="24"/>
  </w:num>
  <w:num w:numId="35">
    <w:abstractNumId w:val="25"/>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OTBkMTM2NTFiZTgyZThjMmVjYWFlOGJjYTJlNGM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1E43A9D"/>
    <w:rsid w:val="01F7665B"/>
    <w:rsid w:val="02197961"/>
    <w:rsid w:val="02225E7B"/>
    <w:rsid w:val="02D24484"/>
    <w:rsid w:val="0390360A"/>
    <w:rsid w:val="039C74BF"/>
    <w:rsid w:val="04824617"/>
    <w:rsid w:val="04D83AD1"/>
    <w:rsid w:val="05380AFF"/>
    <w:rsid w:val="055022DD"/>
    <w:rsid w:val="07B211EB"/>
    <w:rsid w:val="07E27C7A"/>
    <w:rsid w:val="097769B8"/>
    <w:rsid w:val="0A0028B7"/>
    <w:rsid w:val="0A0C1598"/>
    <w:rsid w:val="0A0D1766"/>
    <w:rsid w:val="0A474359"/>
    <w:rsid w:val="0B681B73"/>
    <w:rsid w:val="0EF123DD"/>
    <w:rsid w:val="0FA90764"/>
    <w:rsid w:val="109B2372"/>
    <w:rsid w:val="10DC4179"/>
    <w:rsid w:val="127D5FE1"/>
    <w:rsid w:val="12D60804"/>
    <w:rsid w:val="131F731B"/>
    <w:rsid w:val="134C3973"/>
    <w:rsid w:val="13855179"/>
    <w:rsid w:val="14362C14"/>
    <w:rsid w:val="144607CD"/>
    <w:rsid w:val="14E775D9"/>
    <w:rsid w:val="16F0162C"/>
    <w:rsid w:val="17204078"/>
    <w:rsid w:val="175D20E7"/>
    <w:rsid w:val="17951D53"/>
    <w:rsid w:val="17F42F7B"/>
    <w:rsid w:val="189F6425"/>
    <w:rsid w:val="194873ED"/>
    <w:rsid w:val="194A795A"/>
    <w:rsid w:val="1A832753"/>
    <w:rsid w:val="1AB7139C"/>
    <w:rsid w:val="1B55070F"/>
    <w:rsid w:val="1C1A3373"/>
    <w:rsid w:val="1C74219B"/>
    <w:rsid w:val="1CA9457D"/>
    <w:rsid w:val="1CFE561E"/>
    <w:rsid w:val="1FED6319"/>
    <w:rsid w:val="201179B6"/>
    <w:rsid w:val="20512598"/>
    <w:rsid w:val="20643D84"/>
    <w:rsid w:val="20E12C42"/>
    <w:rsid w:val="211D2FFF"/>
    <w:rsid w:val="22AE0075"/>
    <w:rsid w:val="23701F89"/>
    <w:rsid w:val="23E20B30"/>
    <w:rsid w:val="25074D3A"/>
    <w:rsid w:val="25722EEF"/>
    <w:rsid w:val="267E7AA6"/>
    <w:rsid w:val="276878F2"/>
    <w:rsid w:val="27A0246B"/>
    <w:rsid w:val="27A25135"/>
    <w:rsid w:val="27AB3D4E"/>
    <w:rsid w:val="27CB4942"/>
    <w:rsid w:val="28D36913"/>
    <w:rsid w:val="292170A7"/>
    <w:rsid w:val="2A4F3B9E"/>
    <w:rsid w:val="2A5D30E7"/>
    <w:rsid w:val="2BAE17FF"/>
    <w:rsid w:val="2BE91F37"/>
    <w:rsid w:val="2C7A749B"/>
    <w:rsid w:val="2CF325E7"/>
    <w:rsid w:val="2D394F92"/>
    <w:rsid w:val="2D8C35AC"/>
    <w:rsid w:val="2D8D700C"/>
    <w:rsid w:val="2DA134B8"/>
    <w:rsid w:val="2DE46FCA"/>
    <w:rsid w:val="2F922452"/>
    <w:rsid w:val="2FD76B14"/>
    <w:rsid w:val="30856178"/>
    <w:rsid w:val="321565DA"/>
    <w:rsid w:val="323F36A4"/>
    <w:rsid w:val="34122848"/>
    <w:rsid w:val="341A30EC"/>
    <w:rsid w:val="34402E73"/>
    <w:rsid w:val="363F6564"/>
    <w:rsid w:val="367A561E"/>
    <w:rsid w:val="370E5AB9"/>
    <w:rsid w:val="373B5261"/>
    <w:rsid w:val="3879381B"/>
    <w:rsid w:val="38DA2725"/>
    <w:rsid w:val="38F76E7A"/>
    <w:rsid w:val="39644506"/>
    <w:rsid w:val="396E7463"/>
    <w:rsid w:val="397702BB"/>
    <w:rsid w:val="3A3B0A05"/>
    <w:rsid w:val="3B274F84"/>
    <w:rsid w:val="3B665F58"/>
    <w:rsid w:val="3BAF5709"/>
    <w:rsid w:val="3C294FC1"/>
    <w:rsid w:val="3D602EC0"/>
    <w:rsid w:val="3D6B3046"/>
    <w:rsid w:val="3F2A0CE7"/>
    <w:rsid w:val="400A66DC"/>
    <w:rsid w:val="41E16035"/>
    <w:rsid w:val="42F8526C"/>
    <w:rsid w:val="43255009"/>
    <w:rsid w:val="436822EB"/>
    <w:rsid w:val="43E2309D"/>
    <w:rsid w:val="446316C8"/>
    <w:rsid w:val="457703BB"/>
    <w:rsid w:val="461D61E6"/>
    <w:rsid w:val="465B07E0"/>
    <w:rsid w:val="465B19C6"/>
    <w:rsid w:val="46D87095"/>
    <w:rsid w:val="46F359A1"/>
    <w:rsid w:val="473E2E99"/>
    <w:rsid w:val="4766166B"/>
    <w:rsid w:val="47CF2F88"/>
    <w:rsid w:val="47FE4D25"/>
    <w:rsid w:val="486B260B"/>
    <w:rsid w:val="499015D2"/>
    <w:rsid w:val="49B7682C"/>
    <w:rsid w:val="4A6142EA"/>
    <w:rsid w:val="4A7C50FD"/>
    <w:rsid w:val="4B9C5A94"/>
    <w:rsid w:val="4BC573A8"/>
    <w:rsid w:val="4BE13907"/>
    <w:rsid w:val="4C1C3E43"/>
    <w:rsid w:val="4CBD124A"/>
    <w:rsid w:val="4DF55A70"/>
    <w:rsid w:val="4ECB70F3"/>
    <w:rsid w:val="4F5D3335"/>
    <w:rsid w:val="4F6164F5"/>
    <w:rsid w:val="4FA97952"/>
    <w:rsid w:val="506F4E1E"/>
    <w:rsid w:val="51F35615"/>
    <w:rsid w:val="53F44CB7"/>
    <w:rsid w:val="540E20B0"/>
    <w:rsid w:val="55482FE4"/>
    <w:rsid w:val="55D40B98"/>
    <w:rsid w:val="56C33545"/>
    <w:rsid w:val="56F02839"/>
    <w:rsid w:val="576D6D37"/>
    <w:rsid w:val="58A514A0"/>
    <w:rsid w:val="58D20B4F"/>
    <w:rsid w:val="59134369"/>
    <w:rsid w:val="59B33345"/>
    <w:rsid w:val="5A431DCD"/>
    <w:rsid w:val="5A4474E6"/>
    <w:rsid w:val="5B736D73"/>
    <w:rsid w:val="5D1C7AB0"/>
    <w:rsid w:val="5D5F1CFA"/>
    <w:rsid w:val="5DF30FB6"/>
    <w:rsid w:val="5DFE4642"/>
    <w:rsid w:val="5E7D4C2D"/>
    <w:rsid w:val="5F99219D"/>
    <w:rsid w:val="60AB6EDD"/>
    <w:rsid w:val="63007260"/>
    <w:rsid w:val="63160A12"/>
    <w:rsid w:val="63241CE6"/>
    <w:rsid w:val="641D786A"/>
    <w:rsid w:val="64795514"/>
    <w:rsid w:val="65172004"/>
    <w:rsid w:val="65B07580"/>
    <w:rsid w:val="65F9165C"/>
    <w:rsid w:val="66951383"/>
    <w:rsid w:val="67296664"/>
    <w:rsid w:val="67404828"/>
    <w:rsid w:val="67AA1206"/>
    <w:rsid w:val="68D67726"/>
    <w:rsid w:val="691177C5"/>
    <w:rsid w:val="69F04C89"/>
    <w:rsid w:val="6A6E2984"/>
    <w:rsid w:val="6B253BC7"/>
    <w:rsid w:val="6B924AC0"/>
    <w:rsid w:val="6BE14F0E"/>
    <w:rsid w:val="6C6E57C2"/>
    <w:rsid w:val="6CEE2778"/>
    <w:rsid w:val="6DEC77D0"/>
    <w:rsid w:val="6F9371EB"/>
    <w:rsid w:val="6FDB3E77"/>
    <w:rsid w:val="71B740EC"/>
    <w:rsid w:val="72223A16"/>
    <w:rsid w:val="72245523"/>
    <w:rsid w:val="72B917BC"/>
    <w:rsid w:val="72BB0AD8"/>
    <w:rsid w:val="72C1286E"/>
    <w:rsid w:val="73E55E1C"/>
    <w:rsid w:val="74277D91"/>
    <w:rsid w:val="74387DB6"/>
    <w:rsid w:val="7465193A"/>
    <w:rsid w:val="759E0068"/>
    <w:rsid w:val="76110A91"/>
    <w:rsid w:val="7649793B"/>
    <w:rsid w:val="77AD0A02"/>
    <w:rsid w:val="785A05EC"/>
    <w:rsid w:val="78A35E38"/>
    <w:rsid w:val="79E93803"/>
    <w:rsid w:val="79F57DFF"/>
    <w:rsid w:val="7A316A2D"/>
    <w:rsid w:val="7AEE79C2"/>
    <w:rsid w:val="7B933E36"/>
    <w:rsid w:val="7C200EF9"/>
    <w:rsid w:val="7C2C6B59"/>
    <w:rsid w:val="7D7B47E8"/>
    <w:rsid w:val="7E6F0C8B"/>
    <w:rsid w:val="7EA44C35"/>
    <w:rsid w:val="7F0A5FAD"/>
    <w:rsid w:val="7F9D77A7"/>
    <w:rsid w:val="7F9E4398"/>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0"/>
    <w:pPr>
      <w:keepNext/>
      <w:jc w:val="center"/>
      <w:outlineLvl w:val="0"/>
    </w:pPr>
    <w:rPr>
      <w:rFonts w:ascii="Tahoma" w:eastAsia="Tahoma"/>
      <w:b/>
      <w:bCs/>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autoSpaceDE w:val="0"/>
      <w:autoSpaceDN w:val="0"/>
      <w:adjustRightInd w:val="0"/>
      <w:ind w:firstLine="420" w:firstLineChars="100"/>
      <w:jc w:val="left"/>
    </w:pPr>
  </w:style>
  <w:style w:type="paragraph" w:styleId="3">
    <w:name w:val="Body Text"/>
    <w:basedOn w:val="1"/>
    <w:next w:val="2"/>
    <w:qFormat/>
    <w:uiPriority w:val="0"/>
    <w:pPr>
      <w:spacing w:after="120"/>
    </w:pPr>
    <w:rPr>
      <w:rFonts w:eastAsia="宋体,Verdana,Arial"/>
    </w:rPr>
  </w:style>
  <w:style w:type="paragraph" w:styleId="4">
    <w:name w:val="toc 6"/>
    <w:basedOn w:val="1"/>
    <w:next w:val="1"/>
    <w:semiHidden/>
    <w:qFormat/>
    <w:uiPriority w:val="0"/>
    <w:pPr>
      <w:ind w:left="1050"/>
      <w:jc w:val="left"/>
    </w:pPr>
    <w:rPr>
      <w:sz w:val="18"/>
      <w:szCs w:val="18"/>
    </w:rPr>
  </w:style>
  <w:style w:type="paragraph" w:styleId="9">
    <w:name w:val="Normal Indent"/>
    <w:basedOn w:val="1"/>
    <w:qFormat/>
    <w:uiPriority w:val="0"/>
    <w:pPr>
      <w:adjustRightInd w:val="0"/>
      <w:spacing w:line="312" w:lineRule="atLeast"/>
      <w:ind w:firstLine="420"/>
      <w:textAlignment w:val="baseline"/>
    </w:pPr>
    <w:rPr>
      <w:kern w:val="0"/>
      <w:szCs w:val="20"/>
    </w:rPr>
  </w:style>
  <w:style w:type="paragraph" w:styleId="10">
    <w:name w:val="annotation text"/>
    <w:basedOn w:val="1"/>
    <w:link w:val="37"/>
    <w:qFormat/>
    <w:uiPriority w:val="0"/>
    <w:pPr>
      <w:jc w:val="left"/>
    </w:pPr>
  </w:style>
  <w:style w:type="paragraph" w:styleId="11">
    <w:name w:val="Body Text Indent"/>
    <w:basedOn w:val="1"/>
    <w:next w:val="1"/>
    <w:qFormat/>
    <w:uiPriority w:val="0"/>
    <w:pPr>
      <w:ind w:left="480" w:hanging="480" w:hangingChars="200"/>
    </w:pPr>
    <w:rPr>
      <w:sz w:val="24"/>
    </w:r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4">
    <w:name w:val="Date"/>
    <w:basedOn w:val="1"/>
    <w:next w:val="1"/>
    <w:qFormat/>
    <w:uiPriority w:val="0"/>
    <w:pPr>
      <w:ind w:left="100" w:leftChars="2500"/>
    </w:pPr>
    <w:rPr>
      <w:rFonts w:ascii="Times New Roman" w:hAnsi="Times New Roman"/>
    </w:rPr>
  </w:style>
  <w:style w:type="paragraph" w:styleId="15">
    <w:name w:val="Body Text Indent 2"/>
    <w:basedOn w:val="1"/>
    <w:qFormat/>
    <w:uiPriority w:val="0"/>
    <w:pPr>
      <w:ind w:firstLine="568" w:firstLineChars="203"/>
    </w:pPr>
    <w:rPr>
      <w:rFonts w:ascii="宋体" w:hAnsi="宋体"/>
      <w:sz w:val="28"/>
    </w:rPr>
  </w:style>
  <w:style w:type="paragraph" w:styleId="16">
    <w:name w:val="Balloon Text"/>
    <w:basedOn w:val="1"/>
    <w:link w:val="63"/>
    <w:qFormat/>
    <w:uiPriority w:val="0"/>
    <w:rPr>
      <w:sz w:val="18"/>
      <w:szCs w:val="18"/>
    </w:rPr>
  </w:style>
  <w:style w:type="paragraph" w:styleId="17">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9">
    <w:name w:val="toc 1"/>
    <w:basedOn w:val="1"/>
    <w:next w:val="1"/>
    <w:qFormat/>
    <w:uiPriority w:val="39"/>
    <w:pPr>
      <w:tabs>
        <w:tab w:val="right" w:leader="dot" w:pos="9660"/>
      </w:tabs>
      <w:spacing w:line="480" w:lineRule="auto"/>
    </w:pPr>
  </w:style>
  <w:style w:type="paragraph" w:styleId="20">
    <w:name w:val="toc 4"/>
    <w:basedOn w:val="1"/>
    <w:next w:val="1"/>
    <w:qFormat/>
    <w:uiPriority w:val="0"/>
    <w:pPr>
      <w:wordWrap w:val="0"/>
      <w:ind w:left="850"/>
    </w:p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Normal (Web)"/>
    <w:basedOn w:val="1"/>
    <w:qFormat/>
    <w:uiPriority w:val="0"/>
    <w:pPr>
      <w:spacing w:after="210"/>
      <w:jc w:val="left"/>
    </w:pPr>
    <w:rPr>
      <w:kern w:val="0"/>
      <w:sz w:val="24"/>
    </w:rPr>
  </w:style>
  <w:style w:type="paragraph" w:styleId="23">
    <w:name w:val="annotation subject"/>
    <w:basedOn w:val="10"/>
    <w:next w:val="10"/>
    <w:link w:val="38"/>
    <w:qFormat/>
    <w:uiPriority w:val="0"/>
    <w:rPr>
      <w:b/>
      <w:bCs/>
    </w:rPr>
  </w:style>
  <w:style w:type="paragraph" w:styleId="24">
    <w:name w:val="Body Text First Indent 2"/>
    <w:basedOn w:val="11"/>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FollowedHyperlink"/>
    <w:basedOn w:val="27"/>
    <w:qFormat/>
    <w:uiPriority w:val="0"/>
    <w:rPr>
      <w:color w:val="1890FF"/>
      <w:u w:val="none"/>
    </w:rPr>
  </w:style>
  <w:style w:type="character" w:styleId="30">
    <w:name w:val="HTML Definition"/>
    <w:basedOn w:val="27"/>
    <w:qFormat/>
    <w:uiPriority w:val="0"/>
    <w:rPr>
      <w:i/>
      <w:iCs/>
    </w:rPr>
  </w:style>
  <w:style w:type="character" w:styleId="31">
    <w:name w:val="Hyperlink"/>
    <w:qFormat/>
    <w:uiPriority w:val="99"/>
    <w:rPr>
      <w:color w:val="0000FF"/>
      <w:u w:val="single"/>
    </w:rPr>
  </w:style>
  <w:style w:type="character" w:styleId="32">
    <w:name w:val="HTML Code"/>
    <w:basedOn w:val="27"/>
    <w:qFormat/>
    <w:uiPriority w:val="0"/>
    <w:rPr>
      <w:rFonts w:ascii="Consolas" w:hAnsi="Consolas" w:eastAsia="Consolas" w:cs="Consolas"/>
      <w:sz w:val="21"/>
      <w:szCs w:val="21"/>
    </w:rPr>
  </w:style>
  <w:style w:type="character" w:styleId="33">
    <w:name w:val="annotation reference"/>
    <w:basedOn w:val="27"/>
    <w:qFormat/>
    <w:uiPriority w:val="0"/>
    <w:rPr>
      <w:sz w:val="21"/>
      <w:szCs w:val="21"/>
    </w:rPr>
  </w:style>
  <w:style w:type="character" w:styleId="34">
    <w:name w:val="HTML Keyboard"/>
    <w:basedOn w:val="27"/>
    <w:qFormat/>
    <w:uiPriority w:val="0"/>
    <w:rPr>
      <w:rFonts w:hint="default" w:ascii="Consolas" w:hAnsi="Consolas" w:eastAsia="Consolas" w:cs="Consolas"/>
      <w:sz w:val="21"/>
      <w:szCs w:val="21"/>
    </w:rPr>
  </w:style>
  <w:style w:type="character" w:styleId="35">
    <w:name w:val="HTML Sample"/>
    <w:basedOn w:val="27"/>
    <w:qFormat/>
    <w:uiPriority w:val="0"/>
    <w:rPr>
      <w:rFonts w:hint="default" w:ascii="Consolas" w:hAnsi="Consolas" w:eastAsia="Consolas" w:cs="Consolas"/>
      <w:sz w:val="21"/>
      <w:szCs w:val="21"/>
    </w:rPr>
  </w:style>
  <w:style w:type="paragraph" w:customStyle="1" w:styleId="36">
    <w:name w:val="正文文本首行缩进1"/>
    <w:basedOn w:val="3"/>
    <w:qFormat/>
    <w:uiPriority w:val="0"/>
    <w:pPr>
      <w:ind w:firstLine="420" w:firstLineChars="100"/>
    </w:pPr>
    <w:rPr>
      <w:szCs w:val="21"/>
    </w:rPr>
  </w:style>
  <w:style w:type="character" w:customStyle="1" w:styleId="37">
    <w:name w:val="批注文字 Char"/>
    <w:basedOn w:val="27"/>
    <w:link w:val="10"/>
    <w:qFormat/>
    <w:uiPriority w:val="0"/>
    <w:rPr>
      <w:rFonts w:ascii="等线" w:hAnsi="等线" w:eastAsia="等线"/>
      <w:kern w:val="2"/>
      <w:sz w:val="21"/>
      <w:szCs w:val="22"/>
    </w:rPr>
  </w:style>
  <w:style w:type="character" w:customStyle="1" w:styleId="38">
    <w:name w:val="批注主题 Char"/>
    <w:basedOn w:val="37"/>
    <w:link w:val="23"/>
    <w:qFormat/>
    <w:uiPriority w:val="0"/>
    <w:rPr>
      <w:rFonts w:ascii="等线" w:hAnsi="等线" w:eastAsia="等线"/>
      <w:b/>
      <w:bCs/>
      <w:kern w:val="2"/>
      <w:sz w:val="21"/>
      <w:szCs w:val="22"/>
    </w:rPr>
  </w:style>
  <w:style w:type="character" w:customStyle="1" w:styleId="39">
    <w:name w:val="user-acct"/>
    <w:basedOn w:val="27"/>
    <w:qFormat/>
    <w:uiPriority w:val="0"/>
    <w:rPr>
      <w:color w:val="7C7070"/>
    </w:rPr>
  </w:style>
  <w:style w:type="character" w:customStyle="1" w:styleId="40">
    <w:name w:val="hover12"/>
    <w:basedOn w:val="27"/>
    <w:qFormat/>
    <w:uiPriority w:val="0"/>
  </w:style>
  <w:style w:type="character" w:customStyle="1" w:styleId="41">
    <w:name w:val="current"/>
    <w:basedOn w:val="27"/>
    <w:qFormat/>
    <w:uiPriority w:val="0"/>
    <w:rPr>
      <w:color w:val="00C1DE"/>
    </w:rPr>
  </w:style>
  <w:style w:type="character" w:customStyle="1" w:styleId="42">
    <w:name w:val="current1"/>
    <w:basedOn w:val="27"/>
    <w:qFormat/>
    <w:uiPriority w:val="0"/>
    <w:rPr>
      <w:color w:val="00C1DE"/>
    </w:rPr>
  </w:style>
  <w:style w:type="character" w:customStyle="1" w:styleId="43">
    <w:name w:val="selected"/>
    <w:basedOn w:val="27"/>
    <w:qFormat/>
    <w:uiPriority w:val="0"/>
    <w:rPr>
      <w:color w:val="1C81FE"/>
    </w:rPr>
  </w:style>
  <w:style w:type="character" w:customStyle="1" w:styleId="44">
    <w:name w:val="selected1"/>
    <w:basedOn w:val="27"/>
    <w:qFormat/>
    <w:uiPriority w:val="0"/>
    <w:rPr>
      <w:color w:val="1C81FE"/>
    </w:rPr>
  </w:style>
  <w:style w:type="character" w:customStyle="1" w:styleId="45">
    <w:name w:val="desc"/>
    <w:basedOn w:val="27"/>
    <w:qFormat/>
    <w:uiPriority w:val="0"/>
    <w:rPr>
      <w:b/>
      <w:bCs/>
      <w:color w:val="404040"/>
    </w:rPr>
  </w:style>
  <w:style w:type="character" w:customStyle="1" w:styleId="46">
    <w:name w:val="desc1"/>
    <w:basedOn w:val="27"/>
    <w:qFormat/>
    <w:uiPriority w:val="0"/>
    <w:rPr>
      <w:b/>
      <w:bCs/>
      <w:color w:val="404040"/>
    </w:rPr>
  </w:style>
  <w:style w:type="character" w:customStyle="1" w:styleId="47">
    <w:name w:val="helper"/>
    <w:basedOn w:val="27"/>
    <w:qFormat/>
    <w:uiPriority w:val="0"/>
    <w:rPr>
      <w:b/>
      <w:bCs/>
      <w:color w:val="404040"/>
      <w:sz w:val="38"/>
      <w:szCs w:val="38"/>
    </w:rPr>
  </w:style>
  <w:style w:type="character" w:customStyle="1" w:styleId="48">
    <w:name w:val="icon6"/>
    <w:basedOn w:val="27"/>
    <w:qFormat/>
    <w:uiPriority w:val="0"/>
  </w:style>
  <w:style w:type="character" w:customStyle="1" w:styleId="49">
    <w:name w:val="ant-typography-ellipsis"/>
    <w:basedOn w:val="27"/>
    <w:qFormat/>
    <w:uiPriority w:val="0"/>
  </w:style>
  <w:style w:type="character" w:customStyle="1" w:styleId="50">
    <w:name w:val="ant-radio+*"/>
    <w:basedOn w:val="27"/>
    <w:qFormat/>
    <w:uiPriority w:val="0"/>
  </w:style>
  <w:style w:type="character" w:customStyle="1" w:styleId="51">
    <w:name w:val="content72"/>
    <w:basedOn w:val="27"/>
    <w:qFormat/>
    <w:uiPriority w:val="0"/>
    <w:rPr>
      <w:color w:val="7C7070"/>
      <w:sz w:val="14"/>
      <w:szCs w:val="14"/>
    </w:rPr>
  </w:style>
  <w:style w:type="character" w:customStyle="1" w:styleId="52">
    <w:name w:val="info-label"/>
    <w:basedOn w:val="27"/>
    <w:qFormat/>
    <w:uiPriority w:val="0"/>
    <w:rPr>
      <w:b/>
      <w:bCs/>
    </w:rPr>
  </w:style>
  <w:style w:type="character" w:customStyle="1" w:styleId="53">
    <w:name w:val="info-content"/>
    <w:basedOn w:val="27"/>
    <w:qFormat/>
    <w:uiPriority w:val="0"/>
    <w:rPr>
      <w:color w:val="808080"/>
    </w:rPr>
  </w:style>
  <w:style w:type="character" w:customStyle="1" w:styleId="54">
    <w:name w:val="phone-number1"/>
    <w:basedOn w:val="27"/>
    <w:qFormat/>
    <w:uiPriority w:val="0"/>
    <w:rPr>
      <w:color w:val="0876FF"/>
    </w:rPr>
  </w:style>
  <w:style w:type="paragraph" w:styleId="55">
    <w:name w:val="List Paragraph"/>
    <w:basedOn w:val="1"/>
    <w:qFormat/>
    <w:uiPriority w:val="34"/>
    <w:pPr>
      <w:ind w:firstLine="420" w:firstLineChars="200"/>
    </w:pPr>
  </w:style>
  <w:style w:type="paragraph" w:customStyle="1" w:styleId="56">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7">
    <w:name w:val="正文_0_0"/>
    <w:basedOn w:val="1"/>
    <w:qFormat/>
    <w:uiPriority w:val="0"/>
    <w:rPr>
      <w:rFonts w:ascii="Calibri" w:hAnsi="Calibri" w:cs="Calibri"/>
      <w:szCs w:val="21"/>
    </w:rPr>
  </w:style>
  <w:style w:type="paragraph" w:customStyle="1" w:styleId="58">
    <w:name w:val="[Normal]"/>
    <w:qFormat/>
    <w:uiPriority w:val="0"/>
    <w:rPr>
      <w:rFonts w:ascii="宋体" w:hAnsi="宋体" w:eastAsia="宋体" w:cs="Times New Roman"/>
      <w:sz w:val="24"/>
      <w:szCs w:val="22"/>
      <w:lang w:val="zh-CN" w:eastAsia="zh-CN" w:bidi="ar-SA"/>
    </w:rPr>
  </w:style>
  <w:style w:type="paragraph" w:customStyle="1" w:styleId="59">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60">
    <w:name w:val="p5"/>
    <w:basedOn w:val="27"/>
    <w:qFormat/>
    <w:uiPriority w:val="0"/>
  </w:style>
  <w:style w:type="paragraph" w:customStyle="1" w:styleId="61">
    <w:name w:val="正文首行缩进1"/>
    <w:basedOn w:val="3"/>
    <w:qFormat/>
    <w:uiPriority w:val="0"/>
    <w:pPr>
      <w:ind w:firstLine="420" w:firstLineChars="100"/>
    </w:pPr>
    <w:rPr>
      <w:rFonts w:ascii="Times New Roman" w:hAnsi="Times New Roman"/>
    </w:rPr>
  </w:style>
  <w:style w:type="paragraph" w:customStyle="1" w:styleId="62">
    <w:name w:val="列出段落1"/>
    <w:basedOn w:val="1"/>
    <w:qFormat/>
    <w:uiPriority w:val="0"/>
    <w:pPr>
      <w:ind w:firstLine="420" w:firstLineChars="200"/>
    </w:pPr>
    <w:rPr>
      <w:szCs w:val="20"/>
    </w:rPr>
  </w:style>
  <w:style w:type="character" w:customStyle="1" w:styleId="63">
    <w:name w:val="批注框文本 Char"/>
    <w:basedOn w:val="27"/>
    <w:link w:val="16"/>
    <w:qFormat/>
    <w:uiPriority w:val="0"/>
    <w:rPr>
      <w:rFonts w:ascii="等线" w:hAnsi="等线" w:eastAsia="等线"/>
      <w:kern w:val="2"/>
      <w:sz w:val="18"/>
      <w:szCs w:val="18"/>
    </w:rPr>
  </w:style>
  <w:style w:type="paragraph" w:customStyle="1" w:styleId="64">
    <w:name w:val="hb.1"/>
    <w:basedOn w:val="1"/>
    <w:qFormat/>
    <w:uiPriority w:val="0"/>
    <w:pPr>
      <w:tabs>
        <w:tab w:val="left" w:pos="992"/>
      </w:tabs>
      <w:spacing w:after="156"/>
      <w:ind w:left="992" w:hanging="567"/>
    </w:pPr>
    <w:rPr>
      <w:rFonts w:ascii="Times New Roman" w:hAnsi="Times New Roman"/>
      <w:szCs w:val="20"/>
    </w:rPr>
  </w:style>
  <w:style w:type="paragraph" w:customStyle="1" w:styleId="65">
    <w:name w:val="htbh"/>
    <w:basedOn w:val="6"/>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6">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7">
    <w:name w:val="正文表标题"/>
    <w:next w:val="68"/>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表内文字"/>
    <w:basedOn w:val="1"/>
    <w:qFormat/>
    <w:uiPriority w:val="0"/>
    <w:pPr>
      <w:spacing w:line="240" w:lineRule="atLeast"/>
      <w:jc w:val="center"/>
    </w:pPr>
    <w:rPr>
      <w:rFonts w:ascii="Arial" w:hAnsi="Arial" w:eastAsia="宋体" w:cs="Arial"/>
      <w:b/>
      <w:bCs/>
    </w:rPr>
  </w:style>
  <w:style w:type="paragraph" w:customStyle="1" w:styleId="70">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1">
    <w:name w:val="reader-word-layer reader-word-s1-2"/>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70</Pages>
  <Words>8027</Words>
  <Characters>8556</Characters>
  <Lines>373</Lines>
  <Paragraphs>105</Paragraphs>
  <TotalTime>47</TotalTime>
  <ScaleCrop>false</ScaleCrop>
  <LinksUpToDate>false</LinksUpToDate>
  <CharactersWithSpaces>8638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金楷啊</cp:lastModifiedBy>
  <dcterms:modified xsi:type="dcterms:W3CDTF">2024-10-23T07:11:46Z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A73C200C73F34C9998DDAE0C166A00A9</vt:lpwstr>
  </property>
</Properties>
</file>