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kern w:val="0"/>
          <w:sz w:val="84"/>
          <w:szCs w:val="84"/>
          <w:highlight w:val="none"/>
        </w:rPr>
      </w:pPr>
      <w:r>
        <w:rPr>
          <w:rFonts w:hint="eastAsia" w:ascii="宋体" w:hAnsi="宋体" w:eastAsia="宋体" w:cs="宋体"/>
          <w:color w:val="auto"/>
          <w:kern w:val="0"/>
          <w:sz w:val="84"/>
          <w:szCs w:val="84"/>
          <w:highlight w:val="none"/>
        </w:rPr>
        <w:t>温州市国有企业</w:t>
      </w:r>
    </w:p>
    <w:p>
      <w:pPr>
        <w:widowControl/>
        <w:spacing w:line="360" w:lineRule="auto"/>
        <w:ind w:right="-2"/>
        <w:jc w:val="center"/>
        <w:outlineLvl w:val="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采购文件</w:t>
      </w:r>
    </w:p>
    <w:p>
      <w:pPr>
        <w:widowControl/>
        <w:spacing w:line="360" w:lineRule="auto"/>
        <w:ind w:right="-2"/>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（线上电子招投标）</w:t>
      </w:r>
    </w:p>
    <w:p>
      <w:pPr>
        <w:pStyle w:val="4"/>
        <w:outlineLvl w:val="9"/>
        <w:rPr>
          <w:rFonts w:hint="eastAsia" w:ascii="宋体" w:hAnsi="宋体" w:eastAsia="宋体" w:cs="宋体"/>
          <w:color w:val="auto"/>
          <w:highlight w:val="none"/>
        </w:rPr>
      </w:pPr>
    </w:p>
    <w:p>
      <w:pPr>
        <w:pStyle w:val="4"/>
        <w:outlineLvl w:val="9"/>
        <w:rPr>
          <w:rFonts w:hint="eastAsia" w:ascii="宋体" w:hAnsi="宋体" w:eastAsia="宋体" w:cs="宋体"/>
          <w:color w:val="auto"/>
          <w:highlight w:val="none"/>
        </w:rPr>
      </w:pPr>
    </w:p>
    <w:tbl>
      <w:tblPr>
        <w:tblStyle w:val="34"/>
        <w:tblW w:w="0" w:type="auto"/>
        <w:jc w:val="center"/>
        <w:tblLayout w:type="autofit"/>
        <w:tblCellMar>
          <w:top w:w="0" w:type="dxa"/>
          <w:left w:w="108" w:type="dxa"/>
          <w:bottom w:w="0" w:type="dxa"/>
          <w:right w:w="108" w:type="dxa"/>
        </w:tblCellMar>
      </w:tblPr>
      <w:tblGrid>
        <w:gridCol w:w="2280"/>
        <w:gridCol w:w="6357"/>
      </w:tblGrid>
      <w:tr>
        <w:tblPrEx>
          <w:tblCellMar>
            <w:top w:w="0" w:type="dxa"/>
            <w:left w:w="108" w:type="dxa"/>
            <w:bottom w:w="0" w:type="dxa"/>
            <w:right w:w="108" w:type="dxa"/>
          </w:tblCellMar>
        </w:tblPrEx>
        <w:trPr>
          <w:trHeight w:val="397" w:hRule="atLeast"/>
          <w:jc w:val="center"/>
        </w:trPr>
        <w:tc>
          <w:tcPr>
            <w:tcW w:w="2280" w:type="dxa"/>
            <w:vAlign w:val="center"/>
          </w:tcPr>
          <w:p>
            <w:pPr>
              <w:spacing w:line="360" w:lineRule="auto"/>
              <w:jc w:val="center"/>
              <w:rPr>
                <w:rFonts w:hint="eastAsia" w:ascii="宋体" w:hAnsi="宋体" w:eastAsia="宋体" w:cs="宋体"/>
                <w:b/>
                <w:color w:val="auto"/>
                <w:spacing w:val="40"/>
                <w:sz w:val="24"/>
                <w:highlight w:val="none"/>
              </w:rPr>
            </w:pPr>
            <w:r>
              <w:rPr>
                <w:rFonts w:hint="eastAsia" w:ascii="宋体" w:hAnsi="宋体" w:eastAsia="宋体" w:cs="宋体"/>
                <w:b/>
                <w:color w:val="auto"/>
                <w:spacing w:val="40"/>
                <w:sz w:val="24"/>
                <w:highlight w:val="none"/>
              </w:rPr>
              <w:t>项目编号：</w:t>
            </w:r>
          </w:p>
        </w:tc>
        <w:tc>
          <w:tcPr>
            <w:tcW w:w="6357" w:type="dxa"/>
            <w:vAlign w:val="center"/>
          </w:tcPr>
          <w:p>
            <w:pPr>
              <w:spacing w:line="360" w:lineRule="auto"/>
              <w:jc w:val="left"/>
              <w:rPr>
                <w:rFonts w:hint="eastAsia" w:ascii="宋体" w:hAnsi="宋体" w:eastAsia="宋体" w:cs="宋体"/>
                <w:b/>
                <w:color w:val="auto"/>
                <w:spacing w:val="40"/>
                <w:sz w:val="24"/>
                <w:highlight w:val="none"/>
              </w:rPr>
            </w:pPr>
            <w:r>
              <w:rPr>
                <w:rFonts w:hint="eastAsia" w:ascii="宋体" w:hAnsi="宋体" w:eastAsia="宋体" w:cs="宋体"/>
                <w:b/>
                <w:color w:val="auto"/>
                <w:spacing w:val="40"/>
                <w:sz w:val="24"/>
                <w:highlight w:val="none"/>
              </w:rPr>
              <w:t>WGSS-GYJT-X-2024041</w:t>
            </w:r>
          </w:p>
        </w:tc>
      </w:tr>
      <w:tr>
        <w:tblPrEx>
          <w:tblCellMar>
            <w:top w:w="0" w:type="dxa"/>
            <w:left w:w="108" w:type="dxa"/>
            <w:bottom w:w="0" w:type="dxa"/>
            <w:right w:w="108" w:type="dxa"/>
          </w:tblCellMar>
        </w:tblPrEx>
        <w:trPr>
          <w:trHeight w:val="397" w:hRule="atLeast"/>
          <w:jc w:val="center"/>
        </w:trPr>
        <w:tc>
          <w:tcPr>
            <w:tcW w:w="2280" w:type="dxa"/>
            <w:vAlign w:val="center"/>
          </w:tcPr>
          <w:p>
            <w:pPr>
              <w:spacing w:line="360" w:lineRule="auto"/>
              <w:jc w:val="center"/>
              <w:rPr>
                <w:rFonts w:hint="eastAsia" w:ascii="宋体" w:hAnsi="宋体" w:eastAsia="宋体" w:cs="宋体"/>
                <w:b/>
                <w:color w:val="auto"/>
                <w:spacing w:val="40"/>
                <w:sz w:val="24"/>
                <w:highlight w:val="none"/>
              </w:rPr>
            </w:pPr>
            <w:r>
              <w:rPr>
                <w:rFonts w:hint="eastAsia" w:ascii="宋体" w:hAnsi="宋体" w:eastAsia="宋体" w:cs="宋体"/>
                <w:b/>
                <w:color w:val="auto"/>
                <w:spacing w:val="40"/>
                <w:sz w:val="24"/>
                <w:highlight w:val="none"/>
              </w:rPr>
              <w:t>项目名称：</w:t>
            </w:r>
          </w:p>
        </w:tc>
        <w:tc>
          <w:tcPr>
            <w:tcW w:w="6357" w:type="dxa"/>
            <w:vAlign w:val="center"/>
          </w:tcPr>
          <w:p>
            <w:pPr>
              <w:spacing w:line="360" w:lineRule="auto"/>
              <w:jc w:val="left"/>
              <w:rPr>
                <w:rFonts w:hint="eastAsia" w:ascii="宋体" w:hAnsi="宋体" w:eastAsia="宋体" w:cs="宋体"/>
                <w:b/>
                <w:color w:val="auto"/>
                <w:spacing w:val="40"/>
                <w:sz w:val="24"/>
                <w:highlight w:val="none"/>
              </w:rPr>
            </w:pPr>
            <w:r>
              <w:rPr>
                <w:rFonts w:hint="eastAsia" w:ascii="宋体" w:hAnsi="宋体" w:eastAsia="宋体" w:cs="宋体"/>
                <w:b/>
                <w:color w:val="auto"/>
                <w:spacing w:val="40"/>
                <w:sz w:val="24"/>
                <w:highlight w:val="none"/>
              </w:rPr>
              <w:t>市属国有企业评估服务供应商库采购（两年）</w:t>
            </w:r>
          </w:p>
        </w:tc>
      </w:tr>
      <w:tr>
        <w:tblPrEx>
          <w:tblCellMar>
            <w:top w:w="0" w:type="dxa"/>
            <w:left w:w="108" w:type="dxa"/>
            <w:bottom w:w="0" w:type="dxa"/>
            <w:right w:w="108" w:type="dxa"/>
          </w:tblCellMar>
        </w:tblPrEx>
        <w:trPr>
          <w:trHeight w:val="397" w:hRule="atLeast"/>
          <w:jc w:val="center"/>
        </w:trPr>
        <w:tc>
          <w:tcPr>
            <w:tcW w:w="2280" w:type="dxa"/>
            <w:vAlign w:val="center"/>
          </w:tcPr>
          <w:p>
            <w:pPr>
              <w:spacing w:line="360" w:lineRule="auto"/>
              <w:jc w:val="center"/>
              <w:rPr>
                <w:rFonts w:hint="eastAsia" w:ascii="宋体" w:hAnsi="宋体" w:eastAsia="宋体" w:cs="宋体"/>
                <w:b/>
                <w:color w:val="auto"/>
                <w:spacing w:val="30"/>
                <w:sz w:val="24"/>
                <w:highlight w:val="none"/>
              </w:rPr>
            </w:pPr>
            <w:r>
              <w:rPr>
                <w:rFonts w:hint="eastAsia" w:ascii="宋体" w:hAnsi="宋体" w:eastAsia="宋体" w:cs="宋体"/>
                <w:b/>
                <w:color w:val="auto"/>
                <w:spacing w:val="30"/>
                <w:sz w:val="24"/>
                <w:highlight w:val="none"/>
              </w:rPr>
              <w:t>采购方式：</w:t>
            </w:r>
          </w:p>
        </w:tc>
        <w:tc>
          <w:tcPr>
            <w:tcW w:w="6357" w:type="dxa"/>
            <w:vAlign w:val="center"/>
          </w:tcPr>
          <w:p>
            <w:pPr>
              <w:spacing w:line="360" w:lineRule="auto"/>
              <w:jc w:val="left"/>
              <w:rPr>
                <w:rFonts w:hint="eastAsia" w:ascii="宋体" w:hAnsi="宋体" w:eastAsia="宋体" w:cs="宋体"/>
                <w:color w:val="auto"/>
                <w:spacing w:val="40"/>
                <w:sz w:val="24"/>
                <w:highlight w:val="none"/>
              </w:rPr>
            </w:pPr>
            <w:r>
              <w:rPr>
                <w:rFonts w:hint="eastAsia" w:ascii="宋体" w:hAnsi="宋体" w:eastAsia="宋体" w:cs="宋体"/>
                <w:b/>
                <w:color w:val="auto"/>
                <w:spacing w:val="40"/>
                <w:sz w:val="24"/>
                <w:highlight w:val="none"/>
              </w:rPr>
              <w:t>公开招标</w:t>
            </w:r>
          </w:p>
        </w:tc>
      </w:tr>
      <w:tr>
        <w:tblPrEx>
          <w:tblCellMar>
            <w:top w:w="0" w:type="dxa"/>
            <w:left w:w="108" w:type="dxa"/>
            <w:bottom w:w="0" w:type="dxa"/>
            <w:right w:w="108" w:type="dxa"/>
          </w:tblCellMar>
        </w:tblPrEx>
        <w:trPr>
          <w:trHeight w:val="397" w:hRule="atLeast"/>
          <w:jc w:val="center"/>
        </w:trPr>
        <w:tc>
          <w:tcPr>
            <w:tcW w:w="2280" w:type="dxa"/>
            <w:vAlign w:val="center"/>
          </w:tcPr>
          <w:p>
            <w:pPr>
              <w:spacing w:line="360" w:lineRule="auto"/>
              <w:jc w:val="center"/>
              <w:rPr>
                <w:rFonts w:hint="eastAsia" w:ascii="宋体" w:hAnsi="宋体" w:eastAsia="宋体" w:cs="宋体"/>
                <w:b/>
                <w:color w:val="auto"/>
                <w:spacing w:val="30"/>
                <w:sz w:val="24"/>
                <w:highlight w:val="none"/>
              </w:rPr>
            </w:pPr>
          </w:p>
        </w:tc>
        <w:tc>
          <w:tcPr>
            <w:tcW w:w="6357" w:type="dxa"/>
            <w:vAlign w:val="center"/>
          </w:tcPr>
          <w:p>
            <w:pPr>
              <w:spacing w:line="360" w:lineRule="auto"/>
              <w:jc w:val="left"/>
              <w:rPr>
                <w:rFonts w:hint="eastAsia" w:ascii="宋体" w:hAnsi="宋体" w:eastAsia="宋体" w:cs="宋体"/>
                <w:b/>
                <w:color w:val="auto"/>
                <w:spacing w:val="40"/>
                <w:sz w:val="24"/>
                <w:highlight w:val="none"/>
              </w:rPr>
            </w:pPr>
          </w:p>
        </w:tc>
      </w:tr>
      <w:tr>
        <w:tblPrEx>
          <w:tblCellMar>
            <w:top w:w="0" w:type="dxa"/>
            <w:left w:w="108" w:type="dxa"/>
            <w:bottom w:w="0" w:type="dxa"/>
            <w:right w:w="108" w:type="dxa"/>
          </w:tblCellMar>
        </w:tblPrEx>
        <w:trPr>
          <w:trHeight w:val="283" w:hRule="atLeast"/>
          <w:jc w:val="center"/>
        </w:trPr>
        <w:tc>
          <w:tcPr>
            <w:tcW w:w="2280" w:type="dxa"/>
            <w:vAlign w:val="center"/>
          </w:tcPr>
          <w:p>
            <w:pPr>
              <w:spacing w:line="360" w:lineRule="auto"/>
              <w:jc w:val="center"/>
              <w:rPr>
                <w:rFonts w:hint="eastAsia" w:ascii="宋体" w:hAnsi="宋体" w:eastAsia="宋体" w:cs="宋体"/>
                <w:b/>
                <w:color w:val="auto"/>
                <w:spacing w:val="30"/>
                <w:sz w:val="24"/>
                <w:highlight w:val="none"/>
              </w:rPr>
            </w:pPr>
            <w:r>
              <w:rPr>
                <w:rFonts w:hint="eastAsia" w:ascii="宋体" w:hAnsi="宋体" w:eastAsia="宋体" w:cs="宋体"/>
                <w:b/>
                <w:color w:val="auto"/>
                <w:spacing w:val="30"/>
                <w:sz w:val="24"/>
                <w:highlight w:val="none"/>
              </w:rPr>
              <w:t>采 购 人：</w:t>
            </w:r>
          </w:p>
        </w:tc>
        <w:tc>
          <w:tcPr>
            <w:tcW w:w="6357" w:type="dxa"/>
            <w:vAlign w:val="center"/>
          </w:tcPr>
          <w:p>
            <w:pPr>
              <w:spacing w:line="360" w:lineRule="auto"/>
              <w:jc w:val="left"/>
              <w:rPr>
                <w:rFonts w:hint="eastAsia" w:ascii="宋体" w:hAnsi="宋体" w:eastAsia="宋体" w:cs="宋体"/>
                <w:b/>
                <w:color w:val="auto"/>
                <w:spacing w:val="40"/>
                <w:sz w:val="24"/>
                <w:highlight w:val="none"/>
              </w:rPr>
            </w:pPr>
            <w:r>
              <w:rPr>
                <w:rFonts w:hint="eastAsia" w:ascii="宋体" w:hAnsi="宋体" w:eastAsia="宋体" w:cs="宋体"/>
                <w:color w:val="auto"/>
                <w:kern w:val="0"/>
                <w:sz w:val="24"/>
                <w:highlight w:val="none"/>
              </w:rPr>
              <w:t>温州市公用事业发展集团有限公司</w:t>
            </w:r>
          </w:p>
        </w:tc>
      </w:tr>
      <w:tr>
        <w:tblPrEx>
          <w:tblCellMar>
            <w:top w:w="0" w:type="dxa"/>
            <w:left w:w="108" w:type="dxa"/>
            <w:bottom w:w="0" w:type="dxa"/>
            <w:right w:w="108" w:type="dxa"/>
          </w:tblCellMar>
        </w:tblPrEx>
        <w:trPr>
          <w:trHeight w:val="283" w:hRule="atLeast"/>
          <w:jc w:val="center"/>
        </w:trPr>
        <w:tc>
          <w:tcPr>
            <w:tcW w:w="2280" w:type="dxa"/>
            <w:vAlign w:val="center"/>
          </w:tcPr>
          <w:p>
            <w:pPr>
              <w:spacing w:line="360" w:lineRule="auto"/>
              <w:jc w:val="center"/>
              <w:rPr>
                <w:rFonts w:hint="eastAsia" w:ascii="宋体" w:hAnsi="宋体" w:eastAsia="宋体" w:cs="宋体"/>
                <w:b/>
                <w:color w:val="auto"/>
                <w:spacing w:val="30"/>
                <w:sz w:val="24"/>
                <w:highlight w:val="none"/>
              </w:rPr>
            </w:pPr>
          </w:p>
        </w:tc>
        <w:tc>
          <w:tcPr>
            <w:tcW w:w="6357" w:type="dxa"/>
            <w:vAlign w:val="center"/>
          </w:tcPr>
          <w:p>
            <w:pPr>
              <w:spacing w:line="360" w:lineRule="auto"/>
              <w:jc w:val="left"/>
              <w:rPr>
                <w:rFonts w:hint="eastAsia" w:ascii="宋体" w:hAnsi="宋体" w:eastAsia="宋体" w:cs="宋体"/>
                <w:b/>
                <w:color w:val="auto"/>
                <w:spacing w:val="40"/>
                <w:sz w:val="24"/>
                <w:highlight w:val="none"/>
              </w:rPr>
            </w:pPr>
            <w:r>
              <w:rPr>
                <w:rFonts w:hint="eastAsia" w:ascii="宋体" w:hAnsi="宋体" w:eastAsia="宋体" w:cs="宋体"/>
                <w:color w:val="auto"/>
                <w:kern w:val="0"/>
                <w:sz w:val="24"/>
                <w:highlight w:val="none"/>
              </w:rPr>
              <w:t>温州市城市建设发展集团有限公司</w:t>
            </w:r>
          </w:p>
        </w:tc>
      </w:tr>
      <w:tr>
        <w:tblPrEx>
          <w:tblCellMar>
            <w:top w:w="0" w:type="dxa"/>
            <w:left w:w="108" w:type="dxa"/>
            <w:bottom w:w="0" w:type="dxa"/>
            <w:right w:w="108" w:type="dxa"/>
          </w:tblCellMar>
        </w:tblPrEx>
        <w:trPr>
          <w:trHeight w:val="283" w:hRule="atLeast"/>
          <w:jc w:val="center"/>
        </w:trPr>
        <w:tc>
          <w:tcPr>
            <w:tcW w:w="2280" w:type="dxa"/>
            <w:vAlign w:val="center"/>
          </w:tcPr>
          <w:p>
            <w:pPr>
              <w:spacing w:line="360" w:lineRule="auto"/>
              <w:jc w:val="center"/>
              <w:rPr>
                <w:rFonts w:hint="eastAsia" w:ascii="宋体" w:hAnsi="宋体" w:eastAsia="宋体" w:cs="宋体"/>
                <w:b/>
                <w:color w:val="auto"/>
                <w:spacing w:val="30"/>
                <w:sz w:val="24"/>
                <w:highlight w:val="none"/>
              </w:rPr>
            </w:pPr>
          </w:p>
        </w:tc>
        <w:tc>
          <w:tcPr>
            <w:tcW w:w="6357" w:type="dxa"/>
            <w:vAlign w:val="center"/>
          </w:tcPr>
          <w:p>
            <w:pPr>
              <w:widowControl/>
              <w:spacing w:line="360" w:lineRule="auto"/>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温州市现代服务业发展集团有限公司</w:t>
            </w:r>
          </w:p>
        </w:tc>
      </w:tr>
      <w:tr>
        <w:tblPrEx>
          <w:tblCellMar>
            <w:top w:w="0" w:type="dxa"/>
            <w:left w:w="108" w:type="dxa"/>
            <w:bottom w:w="0" w:type="dxa"/>
            <w:right w:w="108" w:type="dxa"/>
          </w:tblCellMar>
        </w:tblPrEx>
        <w:trPr>
          <w:trHeight w:val="283" w:hRule="atLeast"/>
          <w:jc w:val="center"/>
        </w:trPr>
        <w:tc>
          <w:tcPr>
            <w:tcW w:w="2280" w:type="dxa"/>
            <w:vAlign w:val="center"/>
          </w:tcPr>
          <w:p>
            <w:pPr>
              <w:spacing w:line="360" w:lineRule="auto"/>
              <w:jc w:val="center"/>
              <w:rPr>
                <w:rFonts w:hint="eastAsia" w:ascii="宋体" w:hAnsi="宋体" w:eastAsia="宋体" w:cs="宋体"/>
                <w:b/>
                <w:color w:val="auto"/>
                <w:spacing w:val="30"/>
                <w:sz w:val="24"/>
                <w:highlight w:val="none"/>
              </w:rPr>
            </w:pPr>
          </w:p>
        </w:tc>
        <w:tc>
          <w:tcPr>
            <w:tcW w:w="6357" w:type="dxa"/>
            <w:vAlign w:val="center"/>
          </w:tcPr>
          <w:p>
            <w:pPr>
              <w:widowControl/>
              <w:spacing w:line="360" w:lineRule="auto"/>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温州市交通运输集团有限公司</w:t>
            </w:r>
          </w:p>
        </w:tc>
      </w:tr>
      <w:tr>
        <w:tblPrEx>
          <w:tblCellMar>
            <w:top w:w="0" w:type="dxa"/>
            <w:left w:w="108" w:type="dxa"/>
            <w:bottom w:w="0" w:type="dxa"/>
            <w:right w:w="108" w:type="dxa"/>
          </w:tblCellMar>
        </w:tblPrEx>
        <w:trPr>
          <w:trHeight w:val="283" w:hRule="atLeast"/>
          <w:jc w:val="center"/>
        </w:trPr>
        <w:tc>
          <w:tcPr>
            <w:tcW w:w="2280" w:type="dxa"/>
            <w:vAlign w:val="center"/>
          </w:tcPr>
          <w:p>
            <w:pPr>
              <w:spacing w:line="360" w:lineRule="auto"/>
              <w:jc w:val="center"/>
              <w:rPr>
                <w:rFonts w:hint="eastAsia" w:ascii="宋体" w:hAnsi="宋体" w:eastAsia="宋体" w:cs="宋体"/>
                <w:b/>
                <w:color w:val="auto"/>
                <w:spacing w:val="30"/>
                <w:sz w:val="24"/>
                <w:highlight w:val="none"/>
              </w:rPr>
            </w:pPr>
          </w:p>
        </w:tc>
        <w:tc>
          <w:tcPr>
            <w:tcW w:w="6357" w:type="dxa"/>
            <w:vAlign w:val="center"/>
          </w:tcPr>
          <w:p>
            <w:pPr>
              <w:widowControl/>
              <w:spacing w:line="360" w:lineRule="auto"/>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温州市工业与能源发展集团有限公司</w:t>
            </w:r>
          </w:p>
        </w:tc>
      </w:tr>
      <w:tr>
        <w:tblPrEx>
          <w:tblCellMar>
            <w:top w:w="0" w:type="dxa"/>
            <w:left w:w="108" w:type="dxa"/>
            <w:bottom w:w="0" w:type="dxa"/>
            <w:right w:w="108" w:type="dxa"/>
          </w:tblCellMar>
        </w:tblPrEx>
        <w:trPr>
          <w:trHeight w:val="283" w:hRule="atLeast"/>
          <w:jc w:val="center"/>
        </w:trPr>
        <w:tc>
          <w:tcPr>
            <w:tcW w:w="2280" w:type="dxa"/>
            <w:vAlign w:val="center"/>
          </w:tcPr>
          <w:p>
            <w:pPr>
              <w:spacing w:line="360" w:lineRule="auto"/>
              <w:jc w:val="center"/>
              <w:rPr>
                <w:rFonts w:hint="eastAsia" w:ascii="宋体" w:hAnsi="宋体" w:eastAsia="宋体" w:cs="宋体"/>
                <w:b/>
                <w:color w:val="auto"/>
                <w:spacing w:val="30"/>
                <w:sz w:val="24"/>
                <w:highlight w:val="none"/>
              </w:rPr>
            </w:pPr>
          </w:p>
        </w:tc>
        <w:tc>
          <w:tcPr>
            <w:tcW w:w="6357" w:type="dxa"/>
            <w:vAlign w:val="center"/>
          </w:tcPr>
          <w:p>
            <w:pPr>
              <w:widowControl/>
              <w:spacing w:line="360" w:lineRule="auto"/>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温州市交通发展集团有限公司</w:t>
            </w:r>
          </w:p>
        </w:tc>
      </w:tr>
      <w:tr>
        <w:tblPrEx>
          <w:tblCellMar>
            <w:top w:w="0" w:type="dxa"/>
            <w:left w:w="108" w:type="dxa"/>
            <w:bottom w:w="0" w:type="dxa"/>
            <w:right w:w="108" w:type="dxa"/>
          </w:tblCellMar>
        </w:tblPrEx>
        <w:trPr>
          <w:trHeight w:val="283" w:hRule="atLeast"/>
          <w:jc w:val="center"/>
        </w:trPr>
        <w:tc>
          <w:tcPr>
            <w:tcW w:w="2280" w:type="dxa"/>
            <w:vAlign w:val="center"/>
          </w:tcPr>
          <w:p>
            <w:pPr>
              <w:spacing w:line="360" w:lineRule="auto"/>
              <w:jc w:val="center"/>
              <w:rPr>
                <w:rFonts w:hint="eastAsia" w:ascii="宋体" w:hAnsi="宋体" w:eastAsia="宋体" w:cs="宋体"/>
                <w:b/>
                <w:color w:val="auto"/>
                <w:spacing w:val="30"/>
                <w:sz w:val="24"/>
                <w:highlight w:val="none"/>
              </w:rPr>
            </w:pPr>
          </w:p>
        </w:tc>
        <w:tc>
          <w:tcPr>
            <w:tcW w:w="6357" w:type="dxa"/>
            <w:vAlign w:val="center"/>
          </w:tcPr>
          <w:p>
            <w:pPr>
              <w:widowControl/>
              <w:spacing w:line="360" w:lineRule="auto"/>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温州市铁路与轨道交通投资集团有限公司</w:t>
            </w:r>
          </w:p>
        </w:tc>
      </w:tr>
      <w:tr>
        <w:tblPrEx>
          <w:tblCellMar>
            <w:top w:w="0" w:type="dxa"/>
            <w:left w:w="108" w:type="dxa"/>
            <w:bottom w:w="0" w:type="dxa"/>
            <w:right w:w="108" w:type="dxa"/>
          </w:tblCellMar>
        </w:tblPrEx>
        <w:trPr>
          <w:trHeight w:val="283" w:hRule="atLeast"/>
          <w:jc w:val="center"/>
        </w:trPr>
        <w:tc>
          <w:tcPr>
            <w:tcW w:w="2280" w:type="dxa"/>
            <w:vAlign w:val="center"/>
          </w:tcPr>
          <w:p>
            <w:pPr>
              <w:spacing w:line="360" w:lineRule="auto"/>
              <w:jc w:val="center"/>
              <w:rPr>
                <w:rFonts w:hint="eastAsia" w:ascii="宋体" w:hAnsi="宋体" w:eastAsia="宋体" w:cs="宋体"/>
                <w:b/>
                <w:color w:val="auto"/>
                <w:spacing w:val="30"/>
                <w:sz w:val="24"/>
                <w:highlight w:val="none"/>
              </w:rPr>
            </w:pPr>
          </w:p>
        </w:tc>
        <w:tc>
          <w:tcPr>
            <w:tcW w:w="6357" w:type="dxa"/>
            <w:vAlign w:val="center"/>
          </w:tcPr>
          <w:p>
            <w:pPr>
              <w:widowControl/>
              <w:spacing w:line="360" w:lineRule="auto"/>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温州市国有资本投资运营有限公司</w:t>
            </w:r>
          </w:p>
        </w:tc>
      </w:tr>
      <w:tr>
        <w:tblPrEx>
          <w:tblCellMar>
            <w:top w:w="0" w:type="dxa"/>
            <w:left w:w="108" w:type="dxa"/>
            <w:bottom w:w="0" w:type="dxa"/>
            <w:right w:w="108" w:type="dxa"/>
          </w:tblCellMar>
        </w:tblPrEx>
        <w:trPr>
          <w:trHeight w:val="283" w:hRule="atLeast"/>
          <w:jc w:val="center"/>
        </w:trPr>
        <w:tc>
          <w:tcPr>
            <w:tcW w:w="2280" w:type="dxa"/>
            <w:vAlign w:val="center"/>
          </w:tcPr>
          <w:p>
            <w:pPr>
              <w:spacing w:line="360" w:lineRule="auto"/>
              <w:jc w:val="center"/>
              <w:rPr>
                <w:rFonts w:hint="eastAsia" w:ascii="宋体" w:hAnsi="宋体" w:eastAsia="宋体" w:cs="宋体"/>
                <w:b/>
                <w:color w:val="auto"/>
                <w:spacing w:val="30"/>
                <w:sz w:val="24"/>
                <w:highlight w:val="none"/>
              </w:rPr>
            </w:pPr>
          </w:p>
        </w:tc>
        <w:tc>
          <w:tcPr>
            <w:tcW w:w="6357" w:type="dxa"/>
            <w:vAlign w:val="center"/>
          </w:tcPr>
          <w:p>
            <w:pPr>
              <w:widowControl/>
              <w:spacing w:line="360" w:lineRule="auto"/>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温州建设集团有限公司</w:t>
            </w:r>
          </w:p>
        </w:tc>
      </w:tr>
      <w:tr>
        <w:tblPrEx>
          <w:tblCellMar>
            <w:top w:w="0" w:type="dxa"/>
            <w:left w:w="108" w:type="dxa"/>
            <w:bottom w:w="0" w:type="dxa"/>
            <w:right w:w="108" w:type="dxa"/>
          </w:tblCellMar>
        </w:tblPrEx>
        <w:trPr>
          <w:trHeight w:val="283" w:hRule="atLeast"/>
          <w:jc w:val="center"/>
        </w:trPr>
        <w:tc>
          <w:tcPr>
            <w:tcW w:w="2280" w:type="dxa"/>
            <w:vAlign w:val="center"/>
          </w:tcPr>
          <w:p>
            <w:pPr>
              <w:spacing w:line="360" w:lineRule="auto"/>
              <w:jc w:val="center"/>
              <w:rPr>
                <w:rFonts w:hint="eastAsia" w:ascii="宋体" w:hAnsi="宋体" w:eastAsia="宋体" w:cs="宋体"/>
                <w:b/>
                <w:color w:val="auto"/>
                <w:spacing w:val="30"/>
                <w:sz w:val="24"/>
                <w:highlight w:val="none"/>
              </w:rPr>
            </w:pPr>
          </w:p>
        </w:tc>
        <w:tc>
          <w:tcPr>
            <w:tcW w:w="6357" w:type="dxa"/>
            <w:vAlign w:val="center"/>
          </w:tcPr>
          <w:p>
            <w:pPr>
              <w:widowControl/>
              <w:spacing w:line="360"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温州设计集团有限公司</w:t>
            </w:r>
          </w:p>
        </w:tc>
      </w:tr>
      <w:tr>
        <w:tblPrEx>
          <w:tblCellMar>
            <w:top w:w="0" w:type="dxa"/>
            <w:left w:w="108" w:type="dxa"/>
            <w:bottom w:w="0" w:type="dxa"/>
            <w:right w:w="108" w:type="dxa"/>
          </w:tblCellMar>
        </w:tblPrEx>
        <w:trPr>
          <w:trHeight w:val="397" w:hRule="atLeast"/>
          <w:jc w:val="center"/>
        </w:trPr>
        <w:tc>
          <w:tcPr>
            <w:tcW w:w="2280" w:type="dxa"/>
            <w:vAlign w:val="center"/>
          </w:tcPr>
          <w:p>
            <w:pPr>
              <w:spacing w:line="360" w:lineRule="auto"/>
              <w:jc w:val="center"/>
              <w:rPr>
                <w:rFonts w:hint="eastAsia" w:ascii="宋体" w:hAnsi="宋体" w:eastAsia="宋体" w:cs="宋体"/>
                <w:b/>
                <w:color w:val="auto"/>
                <w:spacing w:val="30"/>
                <w:sz w:val="24"/>
                <w:highlight w:val="none"/>
              </w:rPr>
            </w:pPr>
          </w:p>
        </w:tc>
        <w:tc>
          <w:tcPr>
            <w:tcW w:w="6357" w:type="dxa"/>
            <w:vAlign w:val="center"/>
          </w:tcPr>
          <w:p>
            <w:pPr>
              <w:widowControl/>
              <w:spacing w:line="360" w:lineRule="auto"/>
              <w:jc w:val="left"/>
              <w:textAlignment w:val="center"/>
              <w:rPr>
                <w:rFonts w:hint="eastAsia"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397" w:hRule="atLeast"/>
          <w:jc w:val="center"/>
        </w:trPr>
        <w:tc>
          <w:tcPr>
            <w:tcW w:w="2280" w:type="dxa"/>
            <w:vAlign w:val="center"/>
          </w:tcPr>
          <w:p>
            <w:pPr>
              <w:spacing w:line="360" w:lineRule="auto"/>
              <w:jc w:val="center"/>
              <w:rPr>
                <w:rFonts w:hint="eastAsia" w:ascii="宋体" w:hAnsi="宋体" w:eastAsia="宋体" w:cs="宋体"/>
                <w:b/>
                <w:color w:val="auto"/>
                <w:spacing w:val="30"/>
                <w:sz w:val="24"/>
                <w:highlight w:val="none"/>
              </w:rPr>
            </w:pPr>
            <w:r>
              <w:rPr>
                <w:rFonts w:hint="eastAsia" w:ascii="宋体" w:hAnsi="宋体" w:eastAsia="宋体" w:cs="宋体"/>
                <w:b/>
                <w:color w:val="auto"/>
                <w:spacing w:val="30"/>
                <w:sz w:val="24"/>
                <w:highlight w:val="none"/>
              </w:rPr>
              <w:t>采购代理机构：</w:t>
            </w:r>
          </w:p>
        </w:tc>
        <w:tc>
          <w:tcPr>
            <w:tcW w:w="6357" w:type="dxa"/>
            <w:vAlign w:val="center"/>
          </w:tcPr>
          <w:p>
            <w:pPr>
              <w:widowControl/>
              <w:spacing w:line="360"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浙江乐诚工程咨询有限公司</w:t>
            </w:r>
          </w:p>
        </w:tc>
      </w:tr>
    </w:tbl>
    <w:p>
      <w:pPr>
        <w:spacing w:line="360" w:lineRule="auto"/>
        <w:jc w:val="center"/>
        <w:rPr>
          <w:rFonts w:hint="eastAsia" w:ascii="宋体" w:hAnsi="宋体" w:eastAsia="宋体" w:cs="宋体"/>
          <w:color w:val="auto"/>
          <w:spacing w:val="30"/>
          <w:sz w:val="24"/>
          <w:highlight w:val="none"/>
        </w:rPr>
      </w:pPr>
      <w:bookmarkStart w:id="0" w:name="_Toc24153"/>
      <w:r>
        <w:rPr>
          <w:rFonts w:hint="eastAsia" w:ascii="宋体" w:hAnsi="宋体" w:eastAsia="宋体" w:cs="宋体"/>
          <w:color w:val="auto"/>
          <w:spacing w:val="30"/>
          <w:sz w:val="24"/>
          <w:highlight w:val="none"/>
        </w:rPr>
        <w:t>二〇二四年五月</w:t>
      </w:r>
      <w:bookmarkEnd w:id="0"/>
      <w:bookmarkStart w:id="1" w:name="_Toc24338"/>
    </w:p>
    <w:bookmarkEnd w:id="1"/>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版本：</w:t>
      </w:r>
    </w:p>
    <w:p>
      <w:pPr>
        <w:pStyle w:val="2"/>
        <w:ind w:firstLine="240"/>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8"/>
        <w:gridCol w:w="3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4198" w:type="dxa"/>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color w:val="auto"/>
                <w:kern w:val="0"/>
                <w:sz w:val="24"/>
                <w:highlight w:val="none"/>
              </w:rPr>
              <w:t>温州市公用事业发展集团有限公司</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（盖章）</w:t>
            </w:r>
          </w:p>
        </w:tc>
        <w:tc>
          <w:tcPr>
            <w:tcW w:w="3968" w:type="dxa"/>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温州市城市建设发展集团有限公司</w:t>
            </w:r>
            <w:r>
              <w:rPr>
                <w:rFonts w:hint="eastAsia" w:ascii="宋体" w:hAnsi="宋体" w:eastAsia="宋体" w:cs="宋体"/>
                <w:bCs/>
                <w:color w:val="auto"/>
                <w:sz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4198" w:type="dxa"/>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温州市现代服务业发展集团有限公司</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（盖章）</w:t>
            </w:r>
          </w:p>
        </w:tc>
        <w:tc>
          <w:tcPr>
            <w:tcW w:w="3968" w:type="dxa"/>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温州市交通运输集团有限公司</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4198" w:type="dxa"/>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温州市工业与能源发展集团有限公司</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（盖章）</w:t>
            </w:r>
          </w:p>
        </w:tc>
        <w:tc>
          <w:tcPr>
            <w:tcW w:w="3968" w:type="dxa"/>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温州市交通发展集团有限公司</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4198" w:type="dxa"/>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温州市铁路与轨道交通投资集团有限公司</w:t>
            </w:r>
            <w:r>
              <w:rPr>
                <w:rFonts w:hint="eastAsia" w:ascii="宋体" w:hAnsi="宋体" w:eastAsia="宋体" w:cs="宋体"/>
                <w:bCs/>
                <w:color w:val="auto"/>
                <w:sz w:val="24"/>
                <w:highlight w:val="none"/>
              </w:rPr>
              <w:t>（盖章）</w:t>
            </w:r>
          </w:p>
        </w:tc>
        <w:tc>
          <w:tcPr>
            <w:tcW w:w="3968" w:type="dxa"/>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温州市国有资本投资运营有限公司</w:t>
            </w:r>
            <w:r>
              <w:rPr>
                <w:rFonts w:hint="eastAsia" w:ascii="宋体" w:hAnsi="宋体" w:eastAsia="宋体" w:cs="宋体"/>
                <w:bCs/>
                <w:color w:val="auto"/>
                <w:sz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4198" w:type="dxa"/>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温州建设集团有限公司</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（盖章）</w:t>
            </w:r>
          </w:p>
        </w:tc>
        <w:tc>
          <w:tcPr>
            <w:tcW w:w="3968" w:type="dxa"/>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温州设计集团有限公司</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4198" w:type="dxa"/>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浙江乐诚工程咨询有限公司</w:t>
            </w:r>
          </w:p>
          <w:p>
            <w:pPr>
              <w:pStyle w:val="2"/>
              <w:ind w:firstLine="240"/>
              <w:jc w:val="center"/>
              <w:rPr>
                <w:rFonts w:hint="eastAsia" w:ascii="宋体" w:hAnsi="宋体" w:eastAsia="宋体" w:cs="宋体"/>
                <w:color w:val="auto"/>
                <w:highlight w:val="none"/>
              </w:rPr>
            </w:pPr>
            <w:r>
              <w:rPr>
                <w:rFonts w:hint="eastAsia" w:ascii="宋体" w:hAnsi="宋体" w:eastAsia="宋体" w:cs="宋体"/>
                <w:color w:val="auto"/>
                <w:highlight w:val="none"/>
              </w:rPr>
              <w:t>（盖章）</w:t>
            </w:r>
          </w:p>
        </w:tc>
        <w:tc>
          <w:tcPr>
            <w:tcW w:w="3968" w:type="dxa"/>
            <w:vAlign w:val="center"/>
          </w:tcPr>
          <w:p>
            <w:pPr>
              <w:spacing w:line="360" w:lineRule="auto"/>
              <w:jc w:val="center"/>
              <w:rPr>
                <w:rFonts w:hint="eastAsia" w:ascii="宋体" w:hAnsi="宋体" w:eastAsia="宋体" w:cs="宋体"/>
                <w:color w:val="auto"/>
                <w:kern w:val="0"/>
                <w:sz w:val="24"/>
                <w:highlight w:val="none"/>
              </w:rPr>
            </w:pPr>
          </w:p>
        </w:tc>
      </w:tr>
    </w:tbl>
    <w:p>
      <w:pPr>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sdt>
      <w:sdtPr>
        <w:rPr>
          <w:rFonts w:hint="eastAsia" w:ascii="宋体" w:hAnsi="宋体" w:eastAsia="宋体" w:cs="宋体"/>
          <w:color w:val="auto"/>
          <w:kern w:val="2"/>
          <w:sz w:val="48"/>
          <w:szCs w:val="48"/>
          <w:highlight w:val="none"/>
          <w:lang w:val="en-US" w:eastAsia="zh-CN" w:bidi="ar-SA"/>
        </w:rPr>
        <w:id w:val="147483565"/>
        <w15:color w:val="DBDBDB"/>
        <w:docPartObj>
          <w:docPartGallery w:val="Table of Contents"/>
          <w:docPartUnique/>
        </w:docPartObj>
      </w:sdtPr>
      <w:sdtEndPr>
        <w:rPr>
          <w:rFonts w:hint="eastAsia" w:ascii="宋体" w:hAnsi="宋体" w:eastAsia="宋体" w:cs="宋体"/>
          <w:b/>
          <w:color w:val="auto"/>
          <w:kern w:val="2"/>
          <w:sz w:val="48"/>
          <w:szCs w:val="4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color w:val="auto"/>
              <w:sz w:val="48"/>
              <w:szCs w:val="48"/>
              <w:highlight w:val="none"/>
            </w:rPr>
          </w:pPr>
          <w:r>
            <w:rPr>
              <w:rFonts w:hint="eastAsia" w:ascii="宋体" w:hAnsi="宋体" w:eastAsia="宋体" w:cs="宋体"/>
              <w:color w:val="auto"/>
              <w:sz w:val="44"/>
              <w:szCs w:val="44"/>
              <w:highlight w:val="none"/>
            </w:rPr>
            <w:t>目录</w:t>
          </w:r>
        </w:p>
        <w:p>
          <w:pPr>
            <w:pStyle w:val="24"/>
            <w:tabs>
              <w:tab w:val="right" w:leader="dot" w:pos="9746"/>
            </w:tabs>
            <w:rPr>
              <w:rFonts w:hint="eastAsia" w:ascii="宋体" w:hAnsi="宋体" w:eastAsia="宋体" w:cs="宋体"/>
              <w:color w:val="auto"/>
              <w:highlight w:val="none"/>
            </w:rPr>
          </w:pPr>
        </w:p>
        <w:p>
          <w:pPr>
            <w:pStyle w:val="2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TOC \o "1-2" \h \u </w:instrText>
          </w:r>
          <w:r>
            <w:rPr>
              <w:rFonts w:hint="eastAsia" w:ascii="宋体" w:hAnsi="宋体" w:eastAsia="宋体" w:cs="宋体"/>
              <w:color w:val="auto"/>
              <w:sz w:val="22"/>
              <w:szCs w:val="22"/>
              <w:highlight w:val="none"/>
            </w:rPr>
            <w:fldChar w:fldCharType="separate"/>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_Toc6896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温州市公用事业发展集团有限公司等10家公司关于市属国有企业评估服务供应商库采购（两年）项目的采购公告</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_Toc6896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4</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2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_Toc19035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温州市公用事业发展集团有限公司等10家公司关于市属国有企业评估服务供应商库采购（两年）项目的征求意见公示</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_Toc19035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8</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2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_Toc15030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kern w:val="2"/>
              <w:sz w:val="22"/>
              <w:szCs w:val="22"/>
              <w:highlight w:val="none"/>
            </w:rPr>
            <w:t>第一部分 投标供应商须知</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_Toc15030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10</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18"/>
            <w:keepNext w:val="0"/>
            <w:keepLines w:val="0"/>
            <w:pageBreakBefore w:val="0"/>
            <w:widowControl w:val="0"/>
            <w:tabs>
              <w:tab w:val="right" w:leader="dot" w:pos="9746"/>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_Toc9982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投标供应商须知前附表</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_Toc9982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10</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18"/>
            <w:keepNext w:val="0"/>
            <w:keepLines w:val="0"/>
            <w:pageBreakBefore w:val="0"/>
            <w:widowControl w:val="0"/>
            <w:tabs>
              <w:tab w:val="right" w:leader="dot" w:pos="9746"/>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_Toc16008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一、说   明</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_Toc16008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16</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18"/>
            <w:keepNext w:val="0"/>
            <w:keepLines w:val="0"/>
            <w:pageBreakBefore w:val="0"/>
            <w:widowControl w:val="0"/>
            <w:tabs>
              <w:tab w:val="right" w:leader="dot" w:pos="9746"/>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_Toc25977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kern w:val="0"/>
              <w:sz w:val="22"/>
              <w:szCs w:val="22"/>
              <w:highlight w:val="none"/>
            </w:rPr>
            <w:t>二、采购文件</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_Toc25977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17</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18"/>
            <w:keepNext w:val="0"/>
            <w:keepLines w:val="0"/>
            <w:pageBreakBefore w:val="0"/>
            <w:widowControl w:val="0"/>
            <w:tabs>
              <w:tab w:val="right" w:leader="dot" w:pos="9746"/>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_Toc24556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kern w:val="0"/>
              <w:sz w:val="22"/>
              <w:szCs w:val="22"/>
              <w:highlight w:val="none"/>
            </w:rPr>
            <w:t>三、投标文件的编制</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_Toc24556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18</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18"/>
            <w:keepNext w:val="0"/>
            <w:keepLines w:val="0"/>
            <w:pageBreakBefore w:val="0"/>
            <w:widowControl w:val="0"/>
            <w:tabs>
              <w:tab w:val="right" w:leader="dot" w:pos="9746"/>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_Toc15082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kern w:val="0"/>
              <w:sz w:val="22"/>
              <w:szCs w:val="22"/>
              <w:highlight w:val="none"/>
            </w:rPr>
            <w:t>四、投标文件的递交</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_Toc15082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21</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18"/>
            <w:keepNext w:val="0"/>
            <w:keepLines w:val="0"/>
            <w:pageBreakBefore w:val="0"/>
            <w:widowControl w:val="0"/>
            <w:tabs>
              <w:tab w:val="right" w:leader="dot" w:pos="9746"/>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_Toc16987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kern w:val="0"/>
              <w:sz w:val="22"/>
              <w:szCs w:val="22"/>
              <w:highlight w:val="none"/>
            </w:rPr>
            <w:t>五、开标和评标</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_Toc16987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22</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18"/>
            <w:keepNext w:val="0"/>
            <w:keepLines w:val="0"/>
            <w:pageBreakBefore w:val="0"/>
            <w:widowControl w:val="0"/>
            <w:tabs>
              <w:tab w:val="right" w:leader="dot" w:pos="9746"/>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_Toc15480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kern w:val="0"/>
              <w:sz w:val="22"/>
              <w:szCs w:val="22"/>
              <w:highlight w:val="none"/>
            </w:rPr>
            <w:t>六、授予合同</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_Toc15480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28</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18"/>
            <w:keepNext w:val="0"/>
            <w:keepLines w:val="0"/>
            <w:pageBreakBefore w:val="0"/>
            <w:widowControl w:val="0"/>
            <w:tabs>
              <w:tab w:val="right" w:leader="dot" w:pos="9746"/>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_Toc20417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kern w:val="0"/>
              <w:sz w:val="22"/>
              <w:szCs w:val="22"/>
              <w:highlight w:val="none"/>
            </w:rPr>
            <w:t>七、可中止电子交易活动的情形</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_Toc20417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30</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2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_Toc14390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第二部分 合同主要条款</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_Toc14390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31</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2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_Toc25177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第三部分 附件</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_Toc25177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41</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2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_Toc6685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第四部分 采购需求</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_Toc6685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65</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2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_Toc28215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第五部分 评标原则及方法</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_Toc28215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69</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18"/>
            <w:keepNext w:val="0"/>
            <w:keepLines w:val="0"/>
            <w:pageBreakBefore w:val="0"/>
            <w:widowControl w:val="0"/>
            <w:tabs>
              <w:tab w:val="right" w:leader="dot" w:pos="9746"/>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_Toc26092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pacing w:val="-8"/>
              <w:sz w:val="22"/>
              <w:szCs w:val="22"/>
              <w:highlight w:val="none"/>
            </w:rPr>
            <w:t>一、总 则</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_Toc26092 \h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69</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18"/>
            <w:keepNext w:val="0"/>
            <w:keepLines w:val="0"/>
            <w:pageBreakBefore w:val="0"/>
            <w:widowControl w:val="0"/>
            <w:tabs>
              <w:tab w:val="right" w:leader="dot" w:pos="9746"/>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_Toc12336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pacing w:val="-8"/>
              <w:sz w:val="22"/>
              <w:szCs w:val="22"/>
              <w:highlight w:val="none"/>
            </w:rPr>
            <w:t>二、评标组织</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_Toc12336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18"/>
            <w:keepNext w:val="0"/>
            <w:keepLines w:val="0"/>
            <w:pageBreakBefore w:val="0"/>
            <w:widowControl w:val="0"/>
            <w:tabs>
              <w:tab w:val="right" w:leader="dot" w:pos="9746"/>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_Toc21741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pacing w:val="-8"/>
              <w:sz w:val="22"/>
              <w:szCs w:val="22"/>
              <w:highlight w:val="none"/>
            </w:rPr>
            <w:t>三、评标程序</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_Toc21741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18"/>
            <w:keepNext w:val="0"/>
            <w:keepLines w:val="0"/>
            <w:pageBreakBefore w:val="0"/>
            <w:widowControl w:val="0"/>
            <w:tabs>
              <w:tab w:val="right" w:leader="dot" w:pos="9746"/>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_Toc21768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pacing w:val="-8"/>
              <w:sz w:val="22"/>
              <w:szCs w:val="22"/>
              <w:highlight w:val="none"/>
            </w:rPr>
            <w:t>四、评标办法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_Toc21768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18"/>
            <w:keepNext w:val="0"/>
            <w:keepLines w:val="0"/>
            <w:pageBreakBefore w:val="0"/>
            <w:widowControl w:val="0"/>
            <w:tabs>
              <w:tab w:val="right" w:leader="dot" w:pos="9746"/>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_Toc24301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pacing w:val="-8"/>
              <w:sz w:val="22"/>
              <w:szCs w:val="22"/>
              <w:highlight w:val="none"/>
            </w:rPr>
            <w:t>五、评分细则</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_Toc24301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18"/>
            <w:keepNext w:val="0"/>
            <w:keepLines w:val="0"/>
            <w:pageBreakBefore w:val="0"/>
            <w:widowControl w:val="0"/>
            <w:tabs>
              <w:tab w:val="right" w:leader="dot" w:pos="9746"/>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_Toc25359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pacing w:val="-8"/>
              <w:sz w:val="22"/>
              <w:szCs w:val="22"/>
              <w:highlight w:val="none"/>
            </w:rPr>
            <w:t>六、投标供应商义务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_Toc25359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73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rPr>
              <w:rFonts w:hint="eastAsia" w:ascii="宋体" w:hAnsi="宋体" w:eastAsia="宋体" w:cs="宋体"/>
              <w:color w:val="auto"/>
              <w:highlight w:val="none"/>
            </w:rPr>
          </w:pPr>
          <w:r>
            <w:rPr>
              <w:rFonts w:hint="eastAsia" w:ascii="宋体" w:hAnsi="宋体" w:eastAsia="宋体" w:cs="宋体"/>
              <w:color w:val="auto"/>
              <w:sz w:val="22"/>
              <w:szCs w:val="22"/>
              <w:highlight w:val="none"/>
            </w:rPr>
            <w:fldChar w:fldCharType="end"/>
          </w:r>
        </w:p>
      </w:sdtContent>
    </w:sdt>
    <w:p>
      <w:pPr>
        <w:pStyle w:val="24"/>
        <w:tabs>
          <w:tab w:val="right" w:leader="dot" w:pos="9639"/>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注：采购文件中加“▲”且加下划线条款，为采购的实质性要求和条件，着重提醒各投标供应商注意，并认真查看采购文件中的每一个条款及要求，因误读采购文件而造成的后果，采购人概不负责。</w:t>
      </w:r>
    </w:p>
    <w:p>
      <w:pPr>
        <w:rPr>
          <w:rFonts w:hint="eastAsia" w:ascii="宋体" w:hAnsi="宋体" w:eastAsia="宋体" w:cs="宋体"/>
          <w:color w:val="auto"/>
          <w:highlight w:val="none"/>
        </w:rPr>
      </w:pPr>
      <w:bookmarkStart w:id="2" w:name="_Hlk124847943"/>
      <w:r>
        <w:rPr>
          <w:rFonts w:hint="eastAsia" w:ascii="宋体" w:hAnsi="宋体" w:eastAsia="宋体" w:cs="宋体"/>
          <w:color w:val="auto"/>
          <w:highlight w:val="none"/>
        </w:rPr>
        <w:br w:type="page"/>
      </w:r>
    </w:p>
    <w:p>
      <w:pPr>
        <w:pStyle w:val="4"/>
        <w:rPr>
          <w:rFonts w:hint="eastAsia" w:ascii="宋体" w:hAnsi="宋体" w:eastAsia="宋体" w:cs="宋体"/>
          <w:color w:val="auto"/>
          <w:kern w:val="0"/>
          <w:sz w:val="32"/>
          <w:szCs w:val="32"/>
          <w:highlight w:val="none"/>
        </w:rPr>
      </w:pPr>
      <w:bookmarkStart w:id="3" w:name="_Toc2138"/>
      <w:bookmarkStart w:id="4" w:name="_Toc4711"/>
      <w:bookmarkStart w:id="5" w:name="_Toc6896"/>
      <w:r>
        <w:rPr>
          <w:rFonts w:hint="eastAsia" w:ascii="宋体" w:hAnsi="宋体" w:eastAsia="宋体" w:cs="宋体"/>
          <w:color w:val="auto"/>
          <w:sz w:val="32"/>
          <w:szCs w:val="32"/>
          <w:highlight w:val="none"/>
        </w:rPr>
        <w:t>温州市公用事业发展集团有限公司等10家公司关于市属国有企业评估服务供应商库采购（两年）项目的采购公告</w:t>
      </w:r>
      <w:bookmarkEnd w:id="3"/>
      <w:bookmarkEnd w:id="4"/>
      <w:bookmarkEnd w:id="5"/>
    </w:p>
    <w:p>
      <w:pPr>
        <w:spacing w:line="360" w:lineRule="auto"/>
        <w:ind w:firstLine="550" w:firstLineChars="250"/>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根据《温州市市属国有企业采购管理办法（试行）》等有关规定，</w:t>
      </w:r>
      <w:r>
        <w:rPr>
          <w:rFonts w:hint="eastAsia" w:ascii="宋体" w:hAnsi="宋体" w:eastAsia="宋体" w:cs="宋体"/>
          <w:color w:val="auto"/>
          <w:sz w:val="22"/>
          <w:szCs w:val="22"/>
          <w:highlight w:val="none"/>
        </w:rPr>
        <w:t>浙江乐诚工程咨询有限公司</w:t>
      </w:r>
      <w:r>
        <w:rPr>
          <w:rFonts w:hint="eastAsia" w:ascii="宋体" w:hAnsi="宋体" w:eastAsia="宋体" w:cs="宋体"/>
          <w:color w:val="auto"/>
          <w:kern w:val="0"/>
          <w:sz w:val="22"/>
          <w:szCs w:val="22"/>
          <w:highlight w:val="none"/>
        </w:rPr>
        <w:t>受</w:t>
      </w:r>
      <w:r>
        <w:rPr>
          <w:rFonts w:hint="eastAsia" w:ascii="宋体" w:hAnsi="宋体" w:eastAsia="宋体" w:cs="宋体"/>
          <w:color w:val="auto"/>
          <w:sz w:val="22"/>
          <w:szCs w:val="22"/>
          <w:highlight w:val="none"/>
          <w:u w:val="single"/>
        </w:rPr>
        <w:t>温州市公用事业发展集团有限公司、温州市城市建设发展集团有限公司、温州市现代服务业发展集团有限公司、温州市交通运输集团有限公司、温州市工业与能源发展集团有限公司、温州市交通发展集团有限公司、温州市铁路与轨道交通投资集团有限公司、温州市国有资本投资运营有限公司、温州建设集团有限公司、温州设计集团有限公司</w:t>
      </w:r>
      <w:r>
        <w:rPr>
          <w:rFonts w:hint="eastAsia" w:ascii="宋体" w:hAnsi="宋体" w:eastAsia="宋体" w:cs="宋体"/>
          <w:color w:val="auto"/>
          <w:kern w:val="0"/>
          <w:sz w:val="22"/>
          <w:szCs w:val="22"/>
          <w:highlight w:val="none"/>
        </w:rPr>
        <w:t>的委托，就</w:t>
      </w:r>
      <w:r>
        <w:rPr>
          <w:rFonts w:hint="eastAsia" w:ascii="宋体" w:hAnsi="宋体" w:eastAsia="宋体" w:cs="宋体"/>
          <w:color w:val="auto"/>
          <w:kern w:val="0"/>
          <w:sz w:val="22"/>
          <w:szCs w:val="22"/>
          <w:highlight w:val="none"/>
          <w:u w:val="single"/>
        </w:rPr>
        <w:t>市属国有企业评估服务供应商库采购（两年）</w:t>
      </w:r>
      <w:r>
        <w:rPr>
          <w:rFonts w:hint="eastAsia" w:ascii="宋体" w:hAnsi="宋体" w:eastAsia="宋体" w:cs="宋体"/>
          <w:color w:val="auto"/>
          <w:kern w:val="0"/>
          <w:sz w:val="22"/>
          <w:szCs w:val="22"/>
          <w:highlight w:val="none"/>
        </w:rPr>
        <w:t>项目以公开招标方式进行采购，欢迎国内合格的供应商前来投标。</w:t>
      </w:r>
    </w:p>
    <w:p>
      <w:pPr>
        <w:widowControl/>
        <w:spacing w:line="360" w:lineRule="auto"/>
        <w:jc w:val="left"/>
        <w:outlineLvl w:val="9"/>
        <w:rPr>
          <w:rFonts w:hint="eastAsia" w:ascii="宋体" w:hAnsi="宋体" w:eastAsia="宋体" w:cs="宋体"/>
          <w:color w:val="auto"/>
          <w:kern w:val="0"/>
          <w:sz w:val="22"/>
          <w:szCs w:val="22"/>
          <w:highlight w:val="none"/>
        </w:rPr>
      </w:pPr>
      <w:bookmarkStart w:id="6" w:name="_Toc30427"/>
      <w:bookmarkStart w:id="7" w:name="_Toc13927"/>
      <w:bookmarkStart w:id="8" w:name="_Toc30236"/>
      <w:bookmarkStart w:id="9" w:name="_Toc1618"/>
      <w:bookmarkStart w:id="10" w:name="_Toc10725"/>
      <w:r>
        <w:rPr>
          <w:rFonts w:hint="eastAsia" w:ascii="宋体" w:hAnsi="宋体" w:eastAsia="宋体" w:cs="宋体"/>
          <w:b/>
          <w:bCs/>
          <w:color w:val="auto"/>
          <w:kern w:val="0"/>
          <w:sz w:val="22"/>
          <w:szCs w:val="22"/>
          <w:highlight w:val="none"/>
        </w:rPr>
        <w:t>一、公告类型：</w:t>
      </w:r>
      <w:r>
        <w:rPr>
          <w:rFonts w:hint="eastAsia" w:ascii="宋体" w:hAnsi="宋体" w:eastAsia="宋体" w:cs="宋体"/>
          <w:color w:val="auto"/>
          <w:kern w:val="0"/>
          <w:sz w:val="22"/>
          <w:szCs w:val="22"/>
          <w:highlight w:val="none"/>
        </w:rPr>
        <w:t>采购公告</w:t>
      </w:r>
      <w:bookmarkEnd w:id="6"/>
      <w:bookmarkEnd w:id="7"/>
      <w:bookmarkEnd w:id="8"/>
      <w:bookmarkEnd w:id="9"/>
      <w:bookmarkEnd w:id="10"/>
    </w:p>
    <w:p>
      <w:pPr>
        <w:widowControl/>
        <w:spacing w:line="360" w:lineRule="auto"/>
        <w:jc w:val="left"/>
        <w:outlineLvl w:val="9"/>
        <w:rPr>
          <w:rFonts w:hint="eastAsia" w:ascii="宋体" w:hAnsi="宋体" w:eastAsia="宋体" w:cs="宋体"/>
          <w:color w:val="auto"/>
          <w:kern w:val="0"/>
          <w:sz w:val="22"/>
          <w:szCs w:val="22"/>
          <w:highlight w:val="none"/>
        </w:rPr>
      </w:pPr>
      <w:bookmarkStart w:id="11" w:name="_Toc24060"/>
      <w:bookmarkStart w:id="12" w:name="_Toc17680"/>
      <w:bookmarkStart w:id="13" w:name="_Toc19754"/>
      <w:bookmarkStart w:id="14" w:name="_Toc9267"/>
      <w:bookmarkStart w:id="15" w:name="_Toc24759"/>
      <w:r>
        <w:rPr>
          <w:rFonts w:hint="eastAsia" w:ascii="宋体" w:hAnsi="宋体" w:eastAsia="宋体" w:cs="宋体"/>
          <w:b/>
          <w:bCs/>
          <w:color w:val="auto"/>
          <w:kern w:val="0"/>
          <w:sz w:val="22"/>
          <w:szCs w:val="22"/>
          <w:highlight w:val="none"/>
        </w:rPr>
        <w:t>二、采购方式：</w:t>
      </w:r>
      <w:r>
        <w:rPr>
          <w:rFonts w:hint="eastAsia" w:ascii="宋体" w:hAnsi="宋体" w:eastAsia="宋体" w:cs="宋体"/>
          <w:color w:val="auto"/>
          <w:kern w:val="0"/>
          <w:sz w:val="22"/>
          <w:szCs w:val="22"/>
          <w:highlight w:val="none"/>
        </w:rPr>
        <w:t>公开招标</w:t>
      </w:r>
      <w:bookmarkEnd w:id="11"/>
      <w:bookmarkEnd w:id="12"/>
      <w:bookmarkEnd w:id="13"/>
      <w:bookmarkEnd w:id="14"/>
      <w:bookmarkEnd w:id="15"/>
    </w:p>
    <w:p>
      <w:pPr>
        <w:widowControl/>
        <w:spacing w:line="360" w:lineRule="auto"/>
        <w:jc w:val="left"/>
        <w:outlineLvl w:val="9"/>
        <w:rPr>
          <w:rFonts w:hint="eastAsia" w:ascii="宋体" w:hAnsi="宋体" w:eastAsia="宋体" w:cs="宋体"/>
          <w:b/>
          <w:bCs/>
          <w:color w:val="auto"/>
          <w:spacing w:val="40"/>
          <w:sz w:val="24"/>
          <w:highlight w:val="none"/>
        </w:rPr>
      </w:pPr>
      <w:bookmarkStart w:id="16" w:name="_Toc9986"/>
      <w:bookmarkStart w:id="17" w:name="_Toc11997"/>
      <w:bookmarkStart w:id="18" w:name="_Toc15594"/>
      <w:bookmarkStart w:id="19" w:name="_Toc22233"/>
      <w:bookmarkStart w:id="20" w:name="_Toc26240"/>
      <w:r>
        <w:rPr>
          <w:rFonts w:hint="eastAsia" w:ascii="宋体" w:hAnsi="宋体" w:eastAsia="宋体" w:cs="宋体"/>
          <w:b/>
          <w:bCs/>
          <w:color w:val="auto"/>
          <w:kern w:val="0"/>
          <w:sz w:val="22"/>
          <w:szCs w:val="22"/>
          <w:highlight w:val="none"/>
        </w:rPr>
        <w:t>三、项目编号：</w:t>
      </w:r>
      <w:bookmarkEnd w:id="16"/>
      <w:bookmarkEnd w:id="17"/>
      <w:bookmarkEnd w:id="18"/>
      <w:bookmarkEnd w:id="19"/>
      <w:bookmarkEnd w:id="20"/>
      <w:bookmarkStart w:id="21" w:name="_Toc24779"/>
      <w:bookmarkStart w:id="22" w:name="_Toc1130"/>
      <w:bookmarkStart w:id="23" w:name="_Toc29004"/>
      <w:bookmarkStart w:id="24" w:name="_Toc12779"/>
      <w:bookmarkStart w:id="25" w:name="_Toc31412"/>
      <w:r>
        <w:rPr>
          <w:rFonts w:hint="eastAsia" w:ascii="宋体" w:hAnsi="宋体" w:eastAsia="宋体" w:cs="宋体"/>
          <w:color w:val="auto"/>
          <w:kern w:val="0"/>
          <w:sz w:val="22"/>
          <w:szCs w:val="22"/>
          <w:highlight w:val="none"/>
        </w:rPr>
        <w:t>WGSS-GYJT-X-2024041</w:t>
      </w:r>
    </w:p>
    <w:p>
      <w:pPr>
        <w:widowControl/>
        <w:spacing w:line="360" w:lineRule="auto"/>
        <w:jc w:val="left"/>
        <w:outlineLvl w:val="9"/>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四、项目性质：</w:t>
      </w:r>
      <w:r>
        <w:rPr>
          <w:rFonts w:hint="eastAsia" w:ascii="宋体" w:hAnsi="宋体" w:eastAsia="宋体" w:cs="宋体"/>
          <w:color w:val="auto"/>
          <w:kern w:val="0"/>
          <w:sz w:val="22"/>
          <w:szCs w:val="22"/>
          <w:highlight w:val="none"/>
        </w:rPr>
        <w:t>国企采购（非政府采购）</w:t>
      </w:r>
      <w:bookmarkEnd w:id="21"/>
      <w:bookmarkEnd w:id="22"/>
      <w:bookmarkEnd w:id="23"/>
      <w:bookmarkEnd w:id="24"/>
      <w:bookmarkEnd w:id="25"/>
    </w:p>
    <w:p>
      <w:pPr>
        <w:widowControl/>
        <w:spacing w:line="360" w:lineRule="auto"/>
        <w:jc w:val="left"/>
        <w:outlineLvl w:val="9"/>
        <w:rPr>
          <w:rFonts w:hint="eastAsia" w:ascii="宋体" w:hAnsi="宋体" w:eastAsia="宋体" w:cs="宋体"/>
          <w:color w:val="auto"/>
          <w:kern w:val="0"/>
          <w:sz w:val="22"/>
          <w:szCs w:val="22"/>
          <w:highlight w:val="none"/>
        </w:rPr>
      </w:pPr>
      <w:bookmarkStart w:id="26" w:name="_Toc18732"/>
      <w:bookmarkStart w:id="27" w:name="_Toc31186"/>
      <w:bookmarkStart w:id="28" w:name="_Toc20539"/>
      <w:bookmarkStart w:id="29" w:name="_Toc2496"/>
      <w:bookmarkStart w:id="30" w:name="_Toc14419"/>
      <w:r>
        <w:rPr>
          <w:rFonts w:hint="eastAsia" w:ascii="宋体" w:hAnsi="宋体" w:eastAsia="宋体" w:cs="宋体"/>
          <w:b/>
          <w:bCs/>
          <w:color w:val="auto"/>
          <w:kern w:val="0"/>
          <w:sz w:val="22"/>
          <w:szCs w:val="22"/>
          <w:highlight w:val="none"/>
        </w:rPr>
        <w:t>五、项目名称：</w:t>
      </w:r>
      <w:bookmarkEnd w:id="26"/>
      <w:bookmarkEnd w:id="27"/>
      <w:bookmarkEnd w:id="28"/>
      <w:bookmarkEnd w:id="29"/>
      <w:bookmarkEnd w:id="30"/>
      <w:r>
        <w:rPr>
          <w:rFonts w:hint="eastAsia" w:ascii="宋体" w:hAnsi="宋体" w:eastAsia="宋体" w:cs="宋体"/>
          <w:color w:val="auto"/>
          <w:kern w:val="0"/>
          <w:sz w:val="22"/>
          <w:szCs w:val="22"/>
          <w:highlight w:val="none"/>
        </w:rPr>
        <w:t>市属国有企业评估服务供应商库采购（两年）</w:t>
      </w:r>
    </w:p>
    <w:p>
      <w:pPr>
        <w:widowControl/>
        <w:spacing w:line="360" w:lineRule="auto"/>
        <w:jc w:val="left"/>
        <w:outlineLvl w:val="9"/>
        <w:rPr>
          <w:rFonts w:hint="eastAsia" w:ascii="宋体" w:hAnsi="宋体" w:eastAsia="宋体" w:cs="宋体"/>
          <w:b/>
          <w:bCs/>
          <w:color w:val="auto"/>
          <w:kern w:val="0"/>
          <w:sz w:val="22"/>
          <w:szCs w:val="22"/>
          <w:highlight w:val="none"/>
        </w:rPr>
      </w:pPr>
      <w:bookmarkStart w:id="31" w:name="_Toc1052"/>
      <w:bookmarkStart w:id="32" w:name="_Toc28626"/>
      <w:bookmarkStart w:id="33" w:name="_Toc6342"/>
      <w:bookmarkStart w:id="34" w:name="_Toc19468"/>
      <w:bookmarkStart w:id="35" w:name="_Toc24333"/>
      <w:r>
        <w:rPr>
          <w:rFonts w:hint="eastAsia" w:ascii="宋体" w:hAnsi="宋体" w:eastAsia="宋体" w:cs="宋体"/>
          <w:b/>
          <w:bCs/>
          <w:color w:val="auto"/>
          <w:kern w:val="0"/>
          <w:sz w:val="22"/>
          <w:szCs w:val="22"/>
          <w:highlight w:val="none"/>
        </w:rPr>
        <w:t>六、</w:t>
      </w:r>
      <w:bookmarkEnd w:id="31"/>
      <w:bookmarkEnd w:id="32"/>
      <w:bookmarkEnd w:id="33"/>
      <w:bookmarkEnd w:id="34"/>
      <w:bookmarkEnd w:id="35"/>
      <w:bookmarkStart w:id="36" w:name="_Toc2321"/>
      <w:bookmarkStart w:id="37" w:name="_Toc8507"/>
      <w:bookmarkStart w:id="38" w:name="_Toc5317"/>
      <w:bookmarkStart w:id="39" w:name="_Toc32670"/>
      <w:bookmarkStart w:id="40" w:name="_Toc14140"/>
      <w:r>
        <w:rPr>
          <w:rFonts w:hint="eastAsia" w:ascii="宋体" w:hAnsi="宋体" w:eastAsia="宋体" w:cs="宋体"/>
          <w:b/>
          <w:bCs/>
          <w:color w:val="auto"/>
          <w:kern w:val="0"/>
          <w:sz w:val="22"/>
          <w:szCs w:val="22"/>
          <w:highlight w:val="none"/>
        </w:rPr>
        <w:t>采购内容（内容、数量、简要技术要求等）：</w:t>
      </w:r>
      <w:bookmarkEnd w:id="36"/>
      <w:bookmarkEnd w:id="37"/>
      <w:bookmarkEnd w:id="38"/>
      <w:bookmarkEnd w:id="39"/>
      <w:bookmarkEnd w:id="40"/>
    </w:p>
    <w:tbl>
      <w:tblPr>
        <w:tblStyle w:val="34"/>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2132"/>
        <w:gridCol w:w="750"/>
        <w:gridCol w:w="717"/>
        <w:gridCol w:w="1650"/>
        <w:gridCol w:w="2917"/>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1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标项名称</w:t>
            </w:r>
          </w:p>
        </w:tc>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预算金额</w:t>
            </w:r>
          </w:p>
        </w:tc>
        <w:tc>
          <w:tcPr>
            <w:tcW w:w="29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简要技术要求、用途</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标项1</w:t>
            </w:r>
          </w:p>
        </w:tc>
        <w:tc>
          <w:tcPr>
            <w:tcW w:w="21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评估服务供应商库（综合评估类）</w:t>
            </w:r>
          </w:p>
        </w:tc>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w:t>
            </w:r>
          </w:p>
        </w:tc>
        <w:tc>
          <w:tcPr>
            <w:tcW w:w="1650" w:type="dxa"/>
            <w:vMerge w:val="restart"/>
            <w:tcBorders>
              <w:top w:val="single" w:color="auto" w:sz="4" w:space="0"/>
              <w:left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4771000.00元</w:t>
            </w:r>
          </w:p>
        </w:tc>
        <w:tc>
          <w:tcPr>
            <w:tcW w:w="29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详见第四部分“采购需求”</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标项2</w:t>
            </w:r>
          </w:p>
        </w:tc>
        <w:tc>
          <w:tcPr>
            <w:tcW w:w="21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评估服务供应商库（房地产评估类）</w:t>
            </w:r>
          </w:p>
        </w:tc>
        <w:tc>
          <w:tcPr>
            <w:tcW w:w="7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w:t>
            </w:r>
          </w:p>
        </w:tc>
        <w:tc>
          <w:tcPr>
            <w:tcW w:w="1650" w:type="dxa"/>
            <w:vMerge w:val="continue"/>
            <w:tcBorders>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详见第四部分“采购需求”</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0" w:firstLineChars="200"/>
              <w:jc w:val="center"/>
              <w:outlineLvl w:val="9"/>
              <w:rPr>
                <w:rFonts w:hint="eastAsia" w:ascii="宋体" w:hAnsi="宋体" w:eastAsia="宋体" w:cs="宋体"/>
                <w:color w:val="auto"/>
                <w:sz w:val="22"/>
                <w:szCs w:val="22"/>
                <w:highlight w:val="none"/>
              </w:rPr>
            </w:pPr>
          </w:p>
        </w:tc>
      </w:tr>
    </w:tbl>
    <w:p>
      <w:pPr>
        <w:widowControl/>
        <w:spacing w:line="360" w:lineRule="auto"/>
        <w:jc w:val="left"/>
        <w:outlineLvl w:val="9"/>
        <w:rPr>
          <w:rFonts w:hint="eastAsia" w:ascii="宋体" w:hAnsi="宋体" w:eastAsia="宋体" w:cs="宋体"/>
          <w:b/>
          <w:color w:val="auto"/>
          <w:kern w:val="0"/>
          <w:sz w:val="22"/>
          <w:szCs w:val="22"/>
          <w:highlight w:val="none"/>
          <w:u w:val="single"/>
          <w:lang w:eastAsia="zh-CN"/>
        </w:rPr>
      </w:pPr>
      <w:bookmarkStart w:id="41" w:name="_Toc23861"/>
      <w:bookmarkStart w:id="42" w:name="_Toc11678"/>
      <w:bookmarkStart w:id="43" w:name="_Toc4592"/>
      <w:bookmarkStart w:id="44" w:name="_Toc11974"/>
      <w:bookmarkStart w:id="45" w:name="_Toc11534"/>
      <w:r>
        <w:rPr>
          <w:rFonts w:hint="eastAsia" w:ascii="宋体" w:hAnsi="宋体" w:eastAsia="宋体" w:cs="宋体"/>
          <w:b/>
          <w:bCs/>
          <w:color w:val="auto"/>
          <w:sz w:val="22"/>
          <w:szCs w:val="22"/>
          <w:highlight w:val="none"/>
          <w:u w:val="single"/>
        </w:rPr>
        <w:t>▲</w:t>
      </w:r>
      <w:r>
        <w:rPr>
          <w:rFonts w:hint="eastAsia" w:ascii="宋体" w:hAnsi="宋体" w:eastAsia="宋体" w:cs="宋体"/>
          <w:b/>
          <w:color w:val="auto"/>
          <w:kern w:val="0"/>
          <w:sz w:val="22"/>
          <w:szCs w:val="22"/>
          <w:highlight w:val="none"/>
          <w:u w:val="single"/>
        </w:rPr>
        <w:t>本项目</w:t>
      </w:r>
      <w:r>
        <w:rPr>
          <w:rFonts w:hint="eastAsia" w:ascii="宋体" w:hAnsi="宋体" w:eastAsia="宋体" w:cs="宋体"/>
          <w:b/>
          <w:color w:val="auto"/>
          <w:kern w:val="0"/>
          <w:sz w:val="22"/>
          <w:szCs w:val="22"/>
          <w:highlight w:val="none"/>
          <w:u w:val="single"/>
          <w:lang w:eastAsia="zh-CN"/>
        </w:rPr>
        <w:t>投标供应商可</w:t>
      </w:r>
      <w:r>
        <w:rPr>
          <w:rFonts w:hint="eastAsia" w:ascii="宋体" w:hAnsi="宋体" w:eastAsia="宋体" w:cs="宋体"/>
          <w:b/>
          <w:bCs/>
          <w:color w:val="auto"/>
          <w:sz w:val="22"/>
          <w:szCs w:val="22"/>
          <w:highlight w:val="none"/>
          <w:u w:val="single"/>
        </w:rPr>
        <w:t>根据</w:t>
      </w:r>
      <w:r>
        <w:rPr>
          <w:rFonts w:hint="eastAsia" w:ascii="宋体" w:hAnsi="宋体" w:eastAsia="宋体" w:cs="宋体"/>
          <w:b/>
          <w:bCs/>
          <w:color w:val="auto"/>
          <w:sz w:val="22"/>
          <w:szCs w:val="22"/>
          <w:highlight w:val="none"/>
          <w:u w:val="single"/>
          <w:lang w:eastAsia="zh-CN"/>
        </w:rPr>
        <w:t>本单位</w:t>
      </w:r>
      <w:r>
        <w:rPr>
          <w:rFonts w:hint="eastAsia" w:ascii="宋体" w:hAnsi="宋体" w:eastAsia="宋体" w:cs="宋体"/>
          <w:b/>
          <w:bCs/>
          <w:color w:val="auto"/>
          <w:sz w:val="22"/>
          <w:szCs w:val="22"/>
          <w:highlight w:val="none"/>
          <w:u w:val="single"/>
        </w:rPr>
        <w:t>的</w:t>
      </w:r>
      <w:r>
        <w:rPr>
          <w:rFonts w:hint="eastAsia" w:ascii="宋体" w:hAnsi="宋体" w:eastAsia="宋体" w:cs="宋体"/>
          <w:b/>
          <w:bCs/>
          <w:color w:val="auto"/>
          <w:sz w:val="22"/>
          <w:szCs w:val="22"/>
          <w:highlight w:val="none"/>
          <w:u w:val="single"/>
          <w:lang w:eastAsia="zh-CN"/>
        </w:rPr>
        <w:t>综合实力</w:t>
      </w:r>
      <w:r>
        <w:rPr>
          <w:rFonts w:hint="eastAsia" w:ascii="宋体" w:hAnsi="宋体" w:eastAsia="宋体" w:cs="宋体"/>
          <w:b/>
          <w:color w:val="auto"/>
          <w:kern w:val="0"/>
          <w:sz w:val="22"/>
          <w:szCs w:val="22"/>
          <w:highlight w:val="none"/>
          <w:u w:val="single"/>
        </w:rPr>
        <w:t>仅能</w:t>
      </w:r>
      <w:r>
        <w:rPr>
          <w:rFonts w:hint="eastAsia" w:ascii="宋体" w:hAnsi="宋体" w:eastAsia="宋体" w:cs="宋体"/>
          <w:b/>
          <w:color w:val="auto"/>
          <w:kern w:val="0"/>
          <w:sz w:val="22"/>
          <w:szCs w:val="22"/>
          <w:highlight w:val="none"/>
          <w:u w:val="single"/>
          <w:lang w:eastAsia="zh-CN"/>
        </w:rPr>
        <w:t>选择</w:t>
      </w:r>
      <w:r>
        <w:rPr>
          <w:rFonts w:hint="eastAsia" w:ascii="宋体" w:hAnsi="宋体" w:eastAsia="宋体" w:cs="宋体"/>
          <w:b/>
          <w:color w:val="auto"/>
          <w:kern w:val="0"/>
          <w:sz w:val="22"/>
          <w:szCs w:val="22"/>
          <w:highlight w:val="none"/>
          <w:u w:val="single"/>
        </w:rPr>
        <w:t>参与其中的</w:t>
      </w:r>
      <w:r>
        <w:rPr>
          <w:rFonts w:hint="eastAsia" w:ascii="宋体" w:hAnsi="宋体" w:eastAsia="宋体" w:cs="宋体"/>
          <w:b/>
          <w:color w:val="auto"/>
          <w:kern w:val="0"/>
          <w:sz w:val="22"/>
          <w:szCs w:val="22"/>
          <w:highlight w:val="none"/>
          <w:u w:val="single"/>
          <w:lang w:eastAsia="zh-CN"/>
        </w:rPr>
        <w:t>任</w:t>
      </w:r>
      <w:r>
        <w:rPr>
          <w:rFonts w:hint="eastAsia" w:ascii="宋体" w:hAnsi="宋体" w:eastAsia="宋体" w:cs="宋体"/>
          <w:b/>
          <w:color w:val="auto"/>
          <w:kern w:val="0"/>
          <w:sz w:val="22"/>
          <w:szCs w:val="22"/>
          <w:highlight w:val="none"/>
          <w:u w:val="single"/>
        </w:rPr>
        <w:t>一个标段的投标</w:t>
      </w:r>
      <w:r>
        <w:rPr>
          <w:rFonts w:hint="eastAsia" w:ascii="宋体" w:hAnsi="宋体" w:eastAsia="宋体" w:cs="宋体"/>
          <w:b/>
          <w:color w:val="auto"/>
          <w:kern w:val="0"/>
          <w:sz w:val="22"/>
          <w:szCs w:val="22"/>
          <w:highlight w:val="none"/>
          <w:u w:val="single"/>
          <w:lang w:eastAsia="zh-CN"/>
        </w:rPr>
        <w:t>。</w:t>
      </w:r>
    </w:p>
    <w:p>
      <w:pPr>
        <w:widowControl/>
        <w:spacing w:line="360" w:lineRule="auto"/>
        <w:jc w:val="left"/>
        <w:outlineLvl w:val="9"/>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七、投标供应商资格要求：</w:t>
      </w:r>
      <w:bookmarkEnd w:id="41"/>
      <w:bookmarkEnd w:id="42"/>
      <w:bookmarkEnd w:id="43"/>
      <w:bookmarkEnd w:id="44"/>
      <w:bookmarkEnd w:id="45"/>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1.符合《温州市市属国有企业采购管理办法（试行）》温国资委〔2020〕125号第十五条对投标供应商的基本资格条件；</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2.本次采购不接受联合体投标；</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3.至本项目投标文件递交截止时间前未列入失信被执行人、重大税收违法案件当事人名单、采购严重违法失信行为记录名单的。[以“信用中国”网站（www.creditchina.gov.cn）、“中国政府采购网”（www.ccgp.gov.cn）]；</w:t>
      </w:r>
    </w:p>
    <w:p>
      <w:pPr>
        <w:widowControl/>
        <w:spacing w:line="360" w:lineRule="auto"/>
        <w:ind w:firstLine="440" w:firstLineChars="200"/>
        <w:jc w:val="left"/>
        <w:outlineLvl w:val="9"/>
        <w:rPr>
          <w:rFonts w:hint="eastAsia" w:ascii="宋体" w:hAnsi="宋体" w:eastAsia="宋体" w:cs="宋体"/>
          <w:b/>
          <w:bCs/>
          <w:snapToGrid w:val="0"/>
          <w:color w:val="auto"/>
          <w:sz w:val="22"/>
          <w:szCs w:val="22"/>
          <w:highlight w:val="none"/>
        </w:rPr>
      </w:pPr>
      <w:bookmarkStart w:id="46" w:name="_Toc18998"/>
      <w:bookmarkStart w:id="47" w:name="_Toc28062"/>
      <w:bookmarkStart w:id="48" w:name="_Toc20086"/>
      <w:bookmarkStart w:id="49" w:name="_Toc25721"/>
      <w:bookmarkStart w:id="50" w:name="_Toc17646"/>
      <w:r>
        <w:rPr>
          <w:rFonts w:hint="eastAsia" w:ascii="宋体" w:hAnsi="宋体" w:eastAsia="宋体" w:cs="宋体"/>
          <w:color w:val="auto"/>
          <w:kern w:val="0"/>
          <w:sz w:val="22"/>
          <w:szCs w:val="22"/>
          <w:highlight w:val="none"/>
        </w:rPr>
        <w:t>4.</w:t>
      </w:r>
      <w:r>
        <w:rPr>
          <w:rFonts w:hint="eastAsia" w:ascii="宋体" w:hAnsi="宋体" w:eastAsia="宋体" w:cs="宋体"/>
          <w:b/>
          <w:bCs/>
          <w:snapToGrid w:val="0"/>
          <w:color w:val="auto"/>
          <w:sz w:val="22"/>
          <w:szCs w:val="22"/>
          <w:highlight w:val="none"/>
        </w:rPr>
        <w:t>本项目特定资格要求：</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4.1单位负责人为同一人或者存在直接控股、管理关系的不同供应商，不得参加同一合同项下的国企采购活动。</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4.2具备法定执业资格，具有与企业评估需求相适应的资质条件、专业人员和专业特长；</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4.3近3年内没有重大违法违规执业记录，在承担国有资产评估工作中未出现重大质量问题或不良记录；</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4.4掌握企业所在行业的经济行为特点和相关市场信息，熟悉与企业及其所在行业相关的法规、政策；</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4.5具备健全、完善的内部质量控制体系，建有国有资产评估报告三级及三级以上审核制度。</w:t>
      </w:r>
    </w:p>
    <w:p>
      <w:pPr>
        <w:widowControl/>
        <w:spacing w:line="360" w:lineRule="auto"/>
        <w:jc w:val="left"/>
        <w:outlineLvl w:val="9"/>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八、报名时间、地点：</w:t>
      </w:r>
      <w:bookmarkEnd w:id="46"/>
      <w:bookmarkEnd w:id="47"/>
      <w:bookmarkEnd w:id="48"/>
      <w:bookmarkEnd w:id="49"/>
      <w:bookmarkEnd w:id="50"/>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1.报名时间：</w:t>
      </w:r>
      <w:r>
        <w:rPr>
          <w:rFonts w:hint="eastAsia" w:ascii="宋体" w:hAnsi="宋体" w:cs="宋体"/>
          <w:color w:val="auto"/>
          <w:kern w:val="0"/>
          <w:sz w:val="22"/>
          <w:szCs w:val="22"/>
          <w:highlight w:val="none"/>
          <w:lang w:eastAsia="zh-CN"/>
        </w:rPr>
        <w:t>2024年05月24日</w:t>
      </w:r>
      <w:r>
        <w:rPr>
          <w:rFonts w:hint="eastAsia" w:ascii="宋体" w:hAnsi="宋体" w:eastAsia="宋体" w:cs="宋体"/>
          <w:color w:val="auto"/>
          <w:kern w:val="0"/>
          <w:sz w:val="22"/>
          <w:szCs w:val="22"/>
          <w:highlight w:val="none"/>
        </w:rPr>
        <w:t>起至截标之前（08:30-12:00，14:00-17:00，节假日除外，截标之前报名有效）。</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2.报名地点：政采云平台线上获取</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注:投标供应商必须先在浙江政府采购网（https://zfcg.czt.zj.gov.cn/）进行登记注册，相关事宜请参照（《浙江政府采购网供应商信息登记办事指南》“浙江政府采购网首页-办事指南-注册-供应商登记”），投标供应商注册账号后在“政采云”平台(https://www.zcygov.cn)上自主报名，报名后请与代理机构确认。</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网上报名后，请将标书购买费汇入代理公司账户（缴纳报名费后将缴费截图、可拷贝的开票信息）等资料发代理机构电子邮箱2812799762@qq.com）并联系采购代理公司审核。</w:t>
      </w:r>
    </w:p>
    <w:p>
      <w:pPr>
        <w:widowControl/>
        <w:spacing w:line="360" w:lineRule="auto"/>
        <w:jc w:val="left"/>
        <w:outlineLvl w:val="9"/>
        <w:rPr>
          <w:rFonts w:hint="eastAsia" w:ascii="宋体" w:hAnsi="宋体" w:eastAsia="宋体" w:cs="宋体"/>
          <w:b/>
          <w:bCs/>
          <w:color w:val="auto"/>
          <w:kern w:val="0"/>
          <w:sz w:val="22"/>
          <w:szCs w:val="22"/>
          <w:highlight w:val="none"/>
        </w:rPr>
      </w:pPr>
      <w:bookmarkStart w:id="51" w:name="_Toc8403"/>
      <w:bookmarkStart w:id="52" w:name="_Toc10944"/>
      <w:bookmarkStart w:id="53" w:name="_Toc4186"/>
      <w:bookmarkStart w:id="54" w:name="_Toc5061"/>
      <w:bookmarkStart w:id="55" w:name="_Toc15063"/>
      <w:r>
        <w:rPr>
          <w:rFonts w:hint="eastAsia" w:ascii="宋体" w:hAnsi="宋体" w:eastAsia="宋体" w:cs="宋体"/>
          <w:b/>
          <w:bCs/>
          <w:color w:val="auto"/>
          <w:kern w:val="0"/>
          <w:sz w:val="22"/>
          <w:szCs w:val="22"/>
          <w:highlight w:val="none"/>
        </w:rPr>
        <w:t>九、采购文件发售时间及地点：</w:t>
      </w:r>
      <w:bookmarkEnd w:id="51"/>
      <w:bookmarkEnd w:id="52"/>
      <w:bookmarkEnd w:id="53"/>
      <w:bookmarkEnd w:id="54"/>
      <w:bookmarkEnd w:id="55"/>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1.采购文件发售时间：</w:t>
      </w:r>
      <w:r>
        <w:rPr>
          <w:rFonts w:hint="eastAsia" w:ascii="宋体" w:hAnsi="宋体" w:cs="宋体"/>
          <w:color w:val="auto"/>
          <w:kern w:val="0"/>
          <w:sz w:val="22"/>
          <w:szCs w:val="22"/>
          <w:highlight w:val="none"/>
          <w:lang w:eastAsia="zh-CN"/>
        </w:rPr>
        <w:t>2024年05月24日</w:t>
      </w:r>
      <w:r>
        <w:rPr>
          <w:rFonts w:hint="eastAsia" w:ascii="宋体" w:hAnsi="宋体" w:eastAsia="宋体" w:cs="宋体"/>
          <w:color w:val="auto"/>
          <w:kern w:val="0"/>
          <w:sz w:val="22"/>
          <w:szCs w:val="22"/>
          <w:highlight w:val="none"/>
        </w:rPr>
        <w:t>起至截标之前（08:30-12:00，14:00-17:00，节假日除外，截标之前报名、购买采购文件有效，未购买采购文件的潜在投标供应商拒绝参加投标）。</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2.采购文件发售地点：政采云平台线上获取</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3.采购文件售价：人民币500元整（售后不退）</w:t>
      </w:r>
    </w:p>
    <w:p>
      <w:pPr>
        <w:widowControl/>
        <w:spacing w:line="360" w:lineRule="auto"/>
        <w:jc w:val="left"/>
        <w:outlineLvl w:val="9"/>
        <w:rPr>
          <w:rFonts w:hint="eastAsia" w:ascii="宋体" w:hAnsi="宋体" w:eastAsia="宋体" w:cs="宋体"/>
          <w:b/>
          <w:bCs/>
          <w:color w:val="auto"/>
          <w:kern w:val="0"/>
          <w:sz w:val="22"/>
          <w:szCs w:val="22"/>
          <w:highlight w:val="none"/>
        </w:rPr>
      </w:pPr>
      <w:bookmarkStart w:id="56" w:name="_Toc1797"/>
      <w:bookmarkStart w:id="57" w:name="_Toc25347"/>
      <w:bookmarkStart w:id="58" w:name="_Toc13678"/>
      <w:bookmarkStart w:id="59" w:name="_Toc21884"/>
      <w:bookmarkStart w:id="60" w:name="_Toc3145"/>
      <w:r>
        <w:rPr>
          <w:rFonts w:hint="eastAsia" w:ascii="宋体" w:hAnsi="宋体" w:eastAsia="宋体" w:cs="宋体"/>
          <w:b/>
          <w:bCs/>
          <w:color w:val="auto"/>
          <w:kern w:val="0"/>
          <w:sz w:val="22"/>
          <w:szCs w:val="22"/>
          <w:highlight w:val="none"/>
        </w:rPr>
        <w:t>十、投标文件递交截止时间、开标时间及地点：</w:t>
      </w:r>
      <w:bookmarkEnd w:id="56"/>
      <w:bookmarkEnd w:id="57"/>
      <w:bookmarkEnd w:id="58"/>
      <w:bookmarkEnd w:id="59"/>
      <w:bookmarkEnd w:id="60"/>
    </w:p>
    <w:p>
      <w:pPr>
        <w:widowControl/>
        <w:spacing w:line="360" w:lineRule="auto"/>
        <w:ind w:firstLine="440" w:firstLineChars="200"/>
        <w:jc w:val="left"/>
        <w:outlineLvl w:val="9"/>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1.投标文件递交截止时间：</w:t>
      </w:r>
      <w:r>
        <w:rPr>
          <w:rFonts w:hint="eastAsia" w:ascii="宋体" w:hAnsi="宋体" w:cs="宋体"/>
          <w:color w:val="auto"/>
          <w:kern w:val="0"/>
          <w:sz w:val="22"/>
          <w:szCs w:val="22"/>
          <w:highlight w:val="none"/>
          <w:lang w:eastAsia="zh-CN"/>
        </w:rPr>
        <w:t>2024年06月14日09:30</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2.递交地点：请登录政采云投标客户端投标</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3.开标时间：</w:t>
      </w:r>
      <w:r>
        <w:rPr>
          <w:rFonts w:hint="eastAsia" w:ascii="宋体" w:hAnsi="宋体" w:cs="宋体"/>
          <w:color w:val="auto"/>
          <w:kern w:val="0"/>
          <w:sz w:val="22"/>
          <w:szCs w:val="22"/>
          <w:highlight w:val="none"/>
          <w:lang w:eastAsia="zh-CN"/>
        </w:rPr>
        <w:t>2024年06月14日09:30</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4.开标地点：浙江省温州市鹿城区温州市民中心A座3楼开标室</w:t>
      </w:r>
    </w:p>
    <w:p>
      <w:pPr>
        <w:widowControl/>
        <w:spacing w:line="360" w:lineRule="auto"/>
        <w:jc w:val="left"/>
        <w:outlineLvl w:val="9"/>
        <w:rPr>
          <w:rFonts w:hint="eastAsia" w:ascii="宋体" w:hAnsi="宋体" w:eastAsia="宋体" w:cs="宋体"/>
          <w:b/>
          <w:bCs/>
          <w:color w:val="auto"/>
          <w:kern w:val="0"/>
          <w:sz w:val="22"/>
          <w:szCs w:val="22"/>
          <w:highlight w:val="none"/>
        </w:rPr>
      </w:pPr>
      <w:bookmarkStart w:id="61" w:name="_Toc30859"/>
      <w:bookmarkStart w:id="62" w:name="_Toc16657"/>
      <w:bookmarkStart w:id="63" w:name="_Toc10661"/>
      <w:bookmarkStart w:id="64" w:name="_Toc30683"/>
      <w:bookmarkStart w:id="65" w:name="_Toc5442"/>
      <w:r>
        <w:rPr>
          <w:rFonts w:hint="eastAsia" w:ascii="宋体" w:hAnsi="宋体" w:eastAsia="宋体" w:cs="宋体"/>
          <w:b/>
          <w:bCs/>
          <w:color w:val="auto"/>
          <w:kern w:val="0"/>
          <w:sz w:val="22"/>
          <w:szCs w:val="22"/>
          <w:highlight w:val="none"/>
        </w:rPr>
        <w:t>十一、联系方式：</w:t>
      </w:r>
      <w:bookmarkEnd w:id="61"/>
      <w:bookmarkEnd w:id="62"/>
      <w:bookmarkEnd w:id="63"/>
      <w:bookmarkEnd w:id="64"/>
      <w:bookmarkEnd w:id="65"/>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采购人（牵头单位）：温州市公用事业发展集团有限公司</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地址：温州市车站大道623号</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联系人：张女士</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联系方式：0577-88100510</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采购代理机构名称：</w:t>
      </w:r>
      <w:r>
        <w:rPr>
          <w:rFonts w:hint="eastAsia" w:ascii="宋体" w:hAnsi="宋体" w:eastAsia="宋体" w:cs="宋体"/>
          <w:color w:val="auto"/>
          <w:sz w:val="22"/>
          <w:szCs w:val="22"/>
          <w:highlight w:val="none"/>
        </w:rPr>
        <w:t>浙江乐诚工程咨询有限公司</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联系人：王纪凤    </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联系方式：18357703076/0577-86077700   传真：0577-86077700 </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地址：温州市瓯海区三垟街道桥头河大桥温州生命健康小镇B03</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监督部门：温州市公用事业发展集团有限公司纪检监察室</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w:t>
      </w:r>
      <w:r>
        <w:rPr>
          <w:rFonts w:hint="eastAsia" w:ascii="宋体" w:hAnsi="宋体" w:eastAsia="宋体" w:cs="宋体"/>
          <w:color w:val="auto"/>
          <w:kern w:val="0"/>
          <w:sz w:val="22"/>
          <w:szCs w:val="22"/>
          <w:highlight w:val="none"/>
        </w:rPr>
        <w:t>0577-88100267</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联</w:t>
      </w:r>
      <w:r>
        <w:rPr>
          <w:rFonts w:hint="eastAsia" w:ascii="宋体" w:hAnsi="宋体" w:eastAsia="宋体" w:cs="宋体"/>
          <w:color w:val="auto"/>
          <w:kern w:val="0"/>
          <w:sz w:val="22"/>
          <w:szCs w:val="22"/>
          <w:highlight w:val="none"/>
        </w:rPr>
        <w:t>系人：</w:t>
      </w:r>
      <w:r>
        <w:rPr>
          <w:rFonts w:hint="eastAsia" w:ascii="宋体" w:hAnsi="宋体" w:eastAsia="宋体" w:cs="宋体"/>
          <w:color w:val="auto"/>
          <w:sz w:val="22"/>
          <w:szCs w:val="22"/>
          <w:highlight w:val="none"/>
        </w:rPr>
        <w:t>王女士</w:t>
      </w:r>
    </w:p>
    <w:p>
      <w:pPr>
        <w:widowControl/>
        <w:spacing w:line="360" w:lineRule="auto"/>
        <w:jc w:val="left"/>
        <w:outlineLvl w:val="9"/>
        <w:rPr>
          <w:rFonts w:hint="eastAsia" w:ascii="宋体" w:hAnsi="宋体" w:eastAsia="宋体" w:cs="宋体"/>
          <w:b/>
          <w:bCs/>
          <w:color w:val="auto"/>
          <w:kern w:val="0"/>
          <w:sz w:val="22"/>
          <w:szCs w:val="22"/>
          <w:highlight w:val="none"/>
        </w:rPr>
      </w:pPr>
      <w:bookmarkStart w:id="66" w:name="_Toc27258"/>
      <w:bookmarkStart w:id="67" w:name="_Toc5658"/>
      <w:bookmarkStart w:id="68" w:name="_Toc29532"/>
      <w:bookmarkStart w:id="69" w:name="_Toc13611"/>
      <w:bookmarkStart w:id="70" w:name="_Toc1379"/>
      <w:r>
        <w:rPr>
          <w:rFonts w:hint="eastAsia" w:ascii="宋体" w:hAnsi="宋体" w:eastAsia="宋体" w:cs="宋体"/>
          <w:b/>
          <w:bCs/>
          <w:color w:val="auto"/>
          <w:kern w:val="0"/>
          <w:sz w:val="22"/>
          <w:szCs w:val="22"/>
          <w:highlight w:val="none"/>
        </w:rPr>
        <w:t>十二、投标保证金：</w:t>
      </w:r>
      <w:bookmarkEnd w:id="66"/>
      <w:bookmarkEnd w:id="67"/>
      <w:bookmarkEnd w:id="68"/>
      <w:bookmarkEnd w:id="69"/>
      <w:bookmarkEnd w:id="70"/>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投标保证金：每个标项人民币30000.00元整；必须在投标截止时间前以电汇或转账方式向招标代理机构提交。</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投标保证金缴纳截止时间：同开标时间</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户名：浙江乐诚工程咨询有限公司</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账号：76060122000323292</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bookmarkStart w:id="71" w:name="_Toc13936"/>
      <w:bookmarkStart w:id="72" w:name="_Toc10430"/>
      <w:r>
        <w:rPr>
          <w:rFonts w:hint="eastAsia" w:ascii="宋体" w:hAnsi="宋体" w:eastAsia="宋体" w:cs="宋体"/>
          <w:color w:val="auto"/>
          <w:kern w:val="0"/>
          <w:sz w:val="22"/>
          <w:szCs w:val="22"/>
          <w:highlight w:val="none"/>
        </w:rPr>
        <w:t>开户银行：</w:t>
      </w:r>
      <w:bookmarkEnd w:id="71"/>
      <w:bookmarkEnd w:id="72"/>
      <w:r>
        <w:rPr>
          <w:rFonts w:hint="eastAsia" w:ascii="宋体" w:hAnsi="宋体" w:eastAsia="宋体" w:cs="宋体"/>
          <w:color w:val="auto"/>
          <w:kern w:val="0"/>
          <w:sz w:val="22"/>
          <w:szCs w:val="22"/>
          <w:highlight w:val="none"/>
        </w:rPr>
        <w:t>宁波银行温州瓯海支行</w:t>
      </w:r>
    </w:p>
    <w:p>
      <w:pPr>
        <w:widowControl/>
        <w:spacing w:line="360" w:lineRule="auto"/>
        <w:jc w:val="left"/>
        <w:outlineLvl w:val="9"/>
        <w:rPr>
          <w:rFonts w:hint="eastAsia" w:ascii="宋体" w:hAnsi="宋体" w:eastAsia="宋体" w:cs="宋体"/>
          <w:b/>
          <w:bCs/>
          <w:color w:val="auto"/>
          <w:kern w:val="0"/>
          <w:sz w:val="22"/>
          <w:szCs w:val="22"/>
          <w:highlight w:val="none"/>
        </w:rPr>
      </w:pPr>
      <w:bookmarkStart w:id="73" w:name="_Toc20011"/>
      <w:bookmarkStart w:id="74" w:name="_Toc20220"/>
      <w:bookmarkStart w:id="75" w:name="_Toc14411"/>
      <w:bookmarkStart w:id="76" w:name="_Toc8006"/>
      <w:bookmarkStart w:id="77" w:name="_Toc11059"/>
      <w:r>
        <w:rPr>
          <w:rFonts w:hint="eastAsia" w:ascii="宋体" w:hAnsi="宋体" w:eastAsia="宋体" w:cs="宋体"/>
          <w:b/>
          <w:bCs/>
          <w:color w:val="auto"/>
          <w:kern w:val="0"/>
          <w:sz w:val="22"/>
          <w:szCs w:val="22"/>
          <w:highlight w:val="none"/>
        </w:rPr>
        <w:t>十三、其他事项：</w:t>
      </w:r>
      <w:bookmarkEnd w:id="73"/>
      <w:bookmarkEnd w:id="74"/>
      <w:bookmarkEnd w:id="75"/>
      <w:bookmarkEnd w:id="76"/>
      <w:bookmarkEnd w:id="77"/>
    </w:p>
    <w:p>
      <w:pPr>
        <w:widowControl/>
        <w:spacing w:line="360" w:lineRule="auto"/>
        <w:ind w:firstLine="440" w:firstLineChars="200"/>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1.获取采购文件须提交以下文件资料（须装订成册）：</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zh-CN"/>
        </w:rPr>
        <w:t>报名表</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通过邮箱报名投标供应商提供</w:t>
      </w:r>
      <w:r>
        <w:rPr>
          <w:rFonts w:hint="eastAsia" w:ascii="宋体" w:hAnsi="宋体" w:eastAsia="宋体" w:cs="宋体"/>
          <w:color w:val="auto"/>
          <w:sz w:val="22"/>
          <w:szCs w:val="22"/>
          <w:highlight w:val="none"/>
        </w:rPr>
        <w:t>word</w:t>
      </w:r>
      <w:r>
        <w:rPr>
          <w:rFonts w:hint="eastAsia" w:ascii="宋体" w:hAnsi="宋体" w:eastAsia="宋体" w:cs="宋体"/>
          <w:color w:val="auto"/>
          <w:sz w:val="22"/>
          <w:szCs w:val="22"/>
          <w:highlight w:val="none"/>
          <w:lang w:val="zh-CN"/>
        </w:rPr>
        <w:t>电子版</w:t>
      </w:r>
      <w:r>
        <w:rPr>
          <w:rFonts w:hint="eastAsia" w:ascii="宋体" w:hAnsi="宋体" w:eastAsia="宋体" w:cs="宋体"/>
          <w:color w:val="auto"/>
          <w:sz w:val="22"/>
          <w:szCs w:val="22"/>
          <w:highlight w:val="none"/>
        </w:rPr>
        <w:t>）；</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1.2投标供应商有效营业执照</w:t>
      </w:r>
      <w:r>
        <w:rPr>
          <w:rFonts w:hint="eastAsia" w:ascii="宋体" w:hAnsi="宋体" w:eastAsia="宋体" w:cs="宋体"/>
          <w:color w:val="auto"/>
          <w:sz w:val="22"/>
          <w:szCs w:val="22"/>
          <w:highlight w:val="none"/>
          <w:lang w:val="zh-CN"/>
        </w:rPr>
        <w:t>；</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1.3法定代表人授权委托书/公司介绍信；</w:t>
      </w:r>
    </w:p>
    <w:p>
      <w:pPr>
        <w:widowControl/>
        <w:spacing w:line="360" w:lineRule="auto"/>
        <w:ind w:firstLine="440" w:firstLineChars="200"/>
        <w:jc w:val="left"/>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1.4 被授权人身份证复印件。</w:t>
      </w:r>
    </w:p>
    <w:p>
      <w:pPr>
        <w:widowControl/>
        <w:spacing w:line="360" w:lineRule="auto"/>
        <w:ind w:firstLine="440" w:firstLineChars="200"/>
        <w:jc w:val="left"/>
        <w:outlineLvl w:val="9"/>
        <w:rPr>
          <w:rFonts w:hint="eastAsia" w:ascii="宋体" w:hAnsi="宋体" w:eastAsia="宋体" w:cs="宋体"/>
          <w:bCs/>
          <w:color w:val="auto"/>
          <w:sz w:val="22"/>
          <w:szCs w:val="22"/>
          <w:highlight w:val="none"/>
          <w:u w:val="single"/>
          <w:lang w:val="zh-CN"/>
        </w:rPr>
      </w:pPr>
      <w:r>
        <w:rPr>
          <w:rFonts w:hint="eastAsia" w:ascii="宋体" w:hAnsi="宋体" w:eastAsia="宋体" w:cs="宋体"/>
          <w:bCs/>
          <w:color w:val="auto"/>
          <w:sz w:val="22"/>
          <w:szCs w:val="22"/>
          <w:highlight w:val="none"/>
          <w:u w:val="single"/>
        </w:rPr>
        <w:t>2.</w:t>
      </w:r>
      <w:r>
        <w:rPr>
          <w:rFonts w:hint="eastAsia" w:ascii="宋体" w:hAnsi="宋体" w:eastAsia="宋体" w:cs="宋体"/>
          <w:bCs/>
          <w:color w:val="auto"/>
          <w:sz w:val="22"/>
          <w:szCs w:val="22"/>
          <w:highlight w:val="none"/>
          <w:u w:val="single"/>
          <w:lang w:val="zh-CN"/>
        </w:rPr>
        <w:t>采购公告期限：5个工作日，从公告发布之日起计算。</w:t>
      </w:r>
    </w:p>
    <w:p>
      <w:pPr>
        <w:widowControl/>
        <w:spacing w:line="360" w:lineRule="auto"/>
        <w:ind w:firstLine="440" w:firstLineChars="200"/>
        <w:jc w:val="left"/>
        <w:outlineLvl w:val="9"/>
        <w:rPr>
          <w:rFonts w:hint="eastAsia" w:ascii="宋体" w:hAnsi="宋体" w:eastAsia="宋体" w:cs="宋体"/>
          <w:bCs/>
          <w:color w:val="auto"/>
          <w:sz w:val="22"/>
          <w:szCs w:val="22"/>
          <w:highlight w:val="none"/>
          <w:u w:val="single"/>
          <w:lang w:val="zh-CN"/>
        </w:rPr>
      </w:pPr>
      <w:bookmarkStart w:id="78" w:name="_Toc3296"/>
      <w:bookmarkStart w:id="79" w:name="_Toc19643"/>
      <w:bookmarkStart w:id="80" w:name="_Toc5712"/>
      <w:bookmarkStart w:id="81" w:name="_Toc5639"/>
      <w:bookmarkStart w:id="82" w:name="_Toc10437"/>
      <w:r>
        <w:rPr>
          <w:rFonts w:hint="eastAsia" w:ascii="宋体" w:hAnsi="宋体" w:eastAsia="宋体" w:cs="宋体"/>
          <w:bCs/>
          <w:color w:val="auto"/>
          <w:sz w:val="22"/>
          <w:szCs w:val="22"/>
          <w:highlight w:val="none"/>
          <w:u w:val="single"/>
        </w:rPr>
        <w:t>3</w:t>
      </w:r>
      <w:r>
        <w:rPr>
          <w:rFonts w:hint="eastAsia" w:ascii="宋体" w:hAnsi="宋体" w:eastAsia="宋体" w:cs="宋体"/>
          <w:bCs/>
          <w:color w:val="auto"/>
          <w:sz w:val="22"/>
          <w:szCs w:val="22"/>
          <w:highlight w:val="none"/>
          <w:u w:val="single"/>
          <w:lang w:val="zh-CN"/>
        </w:rPr>
        <w:t>.供应商认为采购文件使自己的权益受到损害的，可以自收到采购文件之日（采购文件公告期限届满之前收到采购文件的，以完成获取采购文件申请后下载采购文件的时间为准）或者采购公告期限届满之日起7个工作日内，以书面形式向采购人和采购代理机构提出质疑。质疑供应商对采购人、采购代理机构的答复不满意或者采购人、采购代理机构未在规定的时间内作出答复的，可以在答复期满后15个工作日内向采购人（集团）的内设监管职能部门投诉。（详见采购文件）</w:t>
      </w:r>
    </w:p>
    <w:p>
      <w:pPr>
        <w:widowControl/>
        <w:spacing w:line="360" w:lineRule="auto"/>
        <w:ind w:firstLine="440" w:firstLineChars="200"/>
        <w:jc w:val="left"/>
        <w:outlineLvl w:val="9"/>
        <w:rPr>
          <w:rFonts w:hint="eastAsia" w:ascii="宋体" w:hAnsi="宋体" w:eastAsia="宋体" w:cs="宋体"/>
          <w:bCs/>
          <w:color w:val="auto"/>
          <w:sz w:val="22"/>
          <w:szCs w:val="22"/>
          <w:highlight w:val="none"/>
          <w:u w:val="single"/>
          <w:lang w:val="zh-CN"/>
        </w:rPr>
      </w:pPr>
      <w:r>
        <w:rPr>
          <w:rFonts w:hint="eastAsia" w:ascii="宋体" w:hAnsi="宋体" w:eastAsia="宋体" w:cs="宋体"/>
          <w:bCs/>
          <w:color w:val="auto"/>
          <w:sz w:val="22"/>
          <w:szCs w:val="22"/>
          <w:highlight w:val="none"/>
          <w:u w:val="single"/>
        </w:rPr>
        <w:t>4</w:t>
      </w:r>
      <w:r>
        <w:rPr>
          <w:rFonts w:hint="eastAsia" w:ascii="宋体" w:hAnsi="宋体" w:eastAsia="宋体" w:cs="宋体"/>
          <w:bCs/>
          <w:color w:val="auto"/>
          <w:sz w:val="22"/>
          <w:szCs w:val="22"/>
          <w:highlight w:val="none"/>
          <w:u w:val="single"/>
          <w:lang w:val="zh-CN"/>
        </w:rPr>
        <w:t>.温州市公用事业发展集团有限公司负责对投标供应商反映的企业本部及所属企业在采购活动中出现的违法违规问题进行投诉回复。投标供应商认为温州市公用事业发展集团有限公司投诉回复处理结果不合法的，可以采购人或代理机构为对象依法向采购人所在地人民法院提起诉讼。</w:t>
      </w:r>
    </w:p>
    <w:p>
      <w:pPr>
        <w:widowControl/>
        <w:spacing w:line="360" w:lineRule="auto"/>
        <w:ind w:firstLine="440" w:firstLineChars="200"/>
        <w:jc w:val="left"/>
        <w:outlineLvl w:val="9"/>
        <w:rPr>
          <w:rFonts w:hint="eastAsia" w:ascii="宋体" w:hAnsi="宋体" w:eastAsia="宋体" w:cs="宋体"/>
          <w:bCs/>
          <w:color w:val="auto"/>
          <w:sz w:val="22"/>
          <w:szCs w:val="22"/>
          <w:highlight w:val="none"/>
          <w:u w:val="single"/>
          <w:lang w:val="zh-CN"/>
        </w:rPr>
      </w:pPr>
      <w:r>
        <w:rPr>
          <w:rFonts w:hint="eastAsia" w:ascii="宋体" w:hAnsi="宋体" w:eastAsia="宋体" w:cs="宋体"/>
          <w:bCs/>
          <w:color w:val="auto"/>
          <w:sz w:val="22"/>
          <w:szCs w:val="22"/>
          <w:highlight w:val="none"/>
          <w:u w:val="single"/>
        </w:rPr>
        <w:t>5</w:t>
      </w:r>
      <w:r>
        <w:rPr>
          <w:rFonts w:hint="eastAsia" w:ascii="宋体" w:hAnsi="宋体" w:eastAsia="宋体" w:cs="宋体"/>
          <w:bCs/>
          <w:color w:val="auto"/>
          <w:sz w:val="22"/>
          <w:szCs w:val="22"/>
          <w:highlight w:val="none"/>
          <w:u w:val="single"/>
          <w:lang w:val="zh-CN"/>
        </w:rPr>
        <w:t>.采购公告附件的采购文件仅供阅览使用，未按照本公告规定的方式获取采购文件的潜在供应商提起的质疑，采购人及采购组织机构将不予受理、答复。</w:t>
      </w:r>
    </w:p>
    <w:p>
      <w:pPr>
        <w:widowControl/>
        <w:spacing w:line="360" w:lineRule="auto"/>
        <w:ind w:firstLine="440" w:firstLineChars="200"/>
        <w:jc w:val="left"/>
        <w:outlineLvl w:val="9"/>
        <w:rPr>
          <w:rFonts w:hint="eastAsia" w:ascii="宋体" w:hAnsi="宋体" w:eastAsia="宋体" w:cs="宋体"/>
          <w:bCs/>
          <w:color w:val="auto"/>
          <w:sz w:val="22"/>
          <w:szCs w:val="22"/>
          <w:highlight w:val="none"/>
          <w:u w:val="single"/>
          <w:lang w:val="zh-CN"/>
        </w:rPr>
      </w:pPr>
      <w:r>
        <w:rPr>
          <w:rFonts w:hint="eastAsia" w:ascii="宋体" w:hAnsi="宋体" w:eastAsia="宋体" w:cs="宋体"/>
          <w:bCs/>
          <w:color w:val="auto"/>
          <w:sz w:val="22"/>
          <w:szCs w:val="22"/>
          <w:highlight w:val="none"/>
          <w:u w:val="single"/>
        </w:rPr>
        <w:t>6</w:t>
      </w:r>
      <w:r>
        <w:rPr>
          <w:rFonts w:hint="eastAsia" w:ascii="宋体" w:hAnsi="宋体" w:eastAsia="宋体" w:cs="宋体"/>
          <w:bCs/>
          <w:color w:val="auto"/>
          <w:sz w:val="22"/>
          <w:szCs w:val="22"/>
          <w:highlight w:val="none"/>
          <w:u w:val="single"/>
          <w:lang w:val="zh-CN"/>
        </w:rPr>
        <w:t>.供应商如对采购文件有疑问应按采购文件规定的询疑截止时间前提出，逾期提出的，采购组织机构可以不予受理、答复。</w:t>
      </w:r>
    </w:p>
    <w:p>
      <w:pPr>
        <w:widowControl/>
        <w:spacing w:line="360" w:lineRule="auto"/>
        <w:jc w:val="left"/>
        <w:outlineLvl w:val="9"/>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十四、附件：采购文件</w:t>
      </w:r>
      <w:bookmarkEnd w:id="78"/>
      <w:bookmarkEnd w:id="79"/>
      <w:bookmarkEnd w:id="80"/>
      <w:bookmarkEnd w:id="81"/>
      <w:bookmarkEnd w:id="82"/>
    </w:p>
    <w:p>
      <w:pPr>
        <w:widowControl/>
        <w:spacing w:line="360" w:lineRule="auto"/>
        <w:ind w:firstLine="440" w:firstLineChars="200"/>
        <w:jc w:val="right"/>
        <w:outlineLvl w:val="9"/>
        <w:rPr>
          <w:rFonts w:hint="eastAsia" w:ascii="宋体" w:hAnsi="宋体" w:eastAsia="宋体" w:cs="宋体"/>
          <w:color w:val="auto"/>
          <w:sz w:val="22"/>
          <w:szCs w:val="22"/>
          <w:highlight w:val="none"/>
        </w:rPr>
      </w:pPr>
      <w:bookmarkStart w:id="83" w:name="Text42"/>
      <w:r>
        <w:rPr>
          <w:rFonts w:hint="eastAsia" w:ascii="宋体" w:hAnsi="宋体" w:eastAsia="宋体" w:cs="宋体"/>
          <w:color w:val="auto"/>
          <w:sz w:val="22"/>
          <w:szCs w:val="22"/>
          <w:highlight w:val="none"/>
        </w:rPr>
        <w:t>温州市公用事业发展集团有限公司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温州市城市建设发展集团有限公司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温州市现代服务业发展集团有限公司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温州市交通运输集团有限公司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温州市工业与能源发展集团有限公司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温州市交通发展集团有限公司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温州市铁路与轨道交通投资集团有限公司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温州市国有资本投资运营有限公司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温州建设集团有限公司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温州设计集团有限公司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浙江乐诚工程咨询有限公司</w:t>
      </w:r>
    </w:p>
    <w:bookmarkEnd w:id="83"/>
    <w:p>
      <w:pPr>
        <w:widowControl/>
        <w:spacing w:line="360" w:lineRule="auto"/>
        <w:ind w:firstLine="440" w:firstLineChars="200"/>
        <w:jc w:val="right"/>
        <w:outlineLvl w:val="9"/>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2024年05月24日</w:t>
      </w:r>
    </w:p>
    <w:p>
      <w:pPr>
        <w:spacing w:line="360" w:lineRule="auto"/>
        <w:jc w:val="center"/>
        <w:outlineLvl w:val="0"/>
        <w:rPr>
          <w:rFonts w:hint="eastAsia" w:ascii="宋体" w:hAnsi="宋体" w:eastAsia="宋体" w:cs="宋体"/>
          <w:b/>
          <w:bCs/>
          <w:color w:val="auto"/>
          <w:kern w:val="0"/>
          <w:sz w:val="32"/>
          <w:szCs w:val="32"/>
          <w:highlight w:val="none"/>
        </w:rPr>
      </w:pPr>
      <w:r>
        <w:rPr>
          <w:rFonts w:hint="eastAsia" w:ascii="宋体" w:hAnsi="宋体" w:eastAsia="宋体" w:cs="宋体"/>
          <w:b/>
          <w:bCs/>
          <w:color w:val="auto"/>
          <w:sz w:val="32"/>
          <w:szCs w:val="32"/>
          <w:highlight w:val="none"/>
        </w:rPr>
        <w:br w:type="page"/>
      </w:r>
      <w:bookmarkStart w:id="84" w:name="_Toc19035"/>
      <w:r>
        <w:rPr>
          <w:rFonts w:hint="eastAsia" w:ascii="宋体" w:hAnsi="宋体" w:eastAsia="宋体" w:cs="宋体"/>
          <w:b/>
          <w:bCs/>
          <w:color w:val="auto"/>
          <w:sz w:val="32"/>
          <w:szCs w:val="32"/>
          <w:highlight w:val="none"/>
        </w:rPr>
        <w:t>温州市公用事业发展集团有限公司等10家公司关于市属国有企业评估服务供应商库采购（两年）项目的征求意见公示</w:t>
      </w:r>
      <w:bookmarkEnd w:id="84"/>
    </w:p>
    <w:p>
      <w:pPr>
        <w:widowControl/>
        <w:tabs>
          <w:tab w:val="left" w:pos="420"/>
        </w:tabs>
        <w:spacing w:line="360" w:lineRule="auto"/>
        <w:ind w:firstLine="48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浙江乐诚工程咨询有限公司</w:t>
      </w:r>
      <w:r>
        <w:rPr>
          <w:rFonts w:hint="eastAsia" w:ascii="宋体" w:hAnsi="宋体" w:eastAsia="宋体" w:cs="宋体"/>
          <w:color w:val="auto"/>
          <w:kern w:val="0"/>
          <w:sz w:val="22"/>
          <w:szCs w:val="22"/>
          <w:highlight w:val="none"/>
        </w:rPr>
        <w:t>受</w:t>
      </w:r>
      <w:r>
        <w:rPr>
          <w:rFonts w:hint="eastAsia" w:ascii="宋体" w:hAnsi="宋体" w:eastAsia="宋体" w:cs="宋体"/>
          <w:color w:val="auto"/>
          <w:sz w:val="22"/>
          <w:szCs w:val="22"/>
          <w:highlight w:val="none"/>
        </w:rPr>
        <w:t>温州市公用事业发展集团有限公司、温州市城市建设发展集团有限公司、温州市现代服务业发展集团有限公司、温州市交通运输集团有限公司、温州市工业与能源发展集团有限公司、温州市交通发展集团有限公司、温州市铁路与轨道交通投资集团有限公司、温州市国有资本投资运营有限公司、温州建设集团有限公司、温州设计集团有限公司</w:t>
      </w:r>
      <w:r>
        <w:rPr>
          <w:rFonts w:hint="eastAsia" w:ascii="宋体" w:hAnsi="宋体" w:eastAsia="宋体" w:cs="宋体"/>
          <w:color w:val="auto"/>
          <w:kern w:val="0"/>
          <w:sz w:val="22"/>
          <w:szCs w:val="22"/>
          <w:highlight w:val="none"/>
        </w:rPr>
        <w:t>的委托，就</w:t>
      </w:r>
      <w:r>
        <w:rPr>
          <w:rFonts w:hint="eastAsia" w:ascii="宋体" w:hAnsi="宋体" w:eastAsia="宋体" w:cs="宋体"/>
          <w:color w:val="auto"/>
          <w:kern w:val="0"/>
          <w:sz w:val="22"/>
          <w:szCs w:val="22"/>
          <w:highlight w:val="none"/>
          <w:u w:val="single"/>
        </w:rPr>
        <w:t>市属国有企业评估服务供应商库采购（两年）</w:t>
      </w:r>
      <w:r>
        <w:rPr>
          <w:rFonts w:hint="eastAsia" w:ascii="宋体" w:hAnsi="宋体" w:eastAsia="宋体" w:cs="宋体"/>
          <w:color w:val="auto"/>
          <w:kern w:val="0"/>
          <w:sz w:val="22"/>
          <w:szCs w:val="22"/>
          <w:highlight w:val="none"/>
        </w:rPr>
        <w:t>项目以公开招标方式进行采购。现将本项目采购文件公布如下（详见附件），并公开征求供应商及专家意见。</w:t>
      </w:r>
    </w:p>
    <w:p>
      <w:pPr>
        <w:widowControl/>
        <w:spacing w:line="360" w:lineRule="auto"/>
        <w:jc w:val="left"/>
        <w:outlineLvl w:val="9"/>
        <w:rPr>
          <w:rFonts w:hint="eastAsia" w:ascii="宋体" w:hAnsi="宋体" w:eastAsia="宋体" w:cs="宋体"/>
          <w:color w:val="auto"/>
          <w:kern w:val="0"/>
          <w:sz w:val="22"/>
          <w:szCs w:val="22"/>
          <w:highlight w:val="none"/>
        </w:rPr>
      </w:pPr>
      <w:bookmarkStart w:id="85" w:name="_Toc2291"/>
      <w:bookmarkStart w:id="86" w:name="_Toc19502"/>
      <w:bookmarkStart w:id="87" w:name="_Toc30643"/>
      <w:bookmarkStart w:id="88" w:name="_Toc2684"/>
      <w:bookmarkStart w:id="89" w:name="_Toc15587"/>
      <w:r>
        <w:rPr>
          <w:rFonts w:hint="eastAsia" w:ascii="宋体" w:hAnsi="宋体" w:eastAsia="宋体" w:cs="宋体"/>
          <w:b/>
          <w:bCs/>
          <w:color w:val="auto"/>
          <w:kern w:val="0"/>
          <w:sz w:val="22"/>
          <w:szCs w:val="22"/>
          <w:highlight w:val="none"/>
        </w:rPr>
        <w:t>一、征求意见范围</w:t>
      </w:r>
      <w:r>
        <w:rPr>
          <w:rFonts w:hint="eastAsia" w:ascii="宋体" w:hAnsi="宋体" w:eastAsia="宋体" w:cs="宋体"/>
          <w:color w:val="auto"/>
          <w:kern w:val="0"/>
          <w:sz w:val="22"/>
          <w:szCs w:val="22"/>
          <w:highlight w:val="none"/>
        </w:rPr>
        <w:t>：</w:t>
      </w:r>
      <w:bookmarkEnd w:id="85"/>
      <w:bookmarkEnd w:id="86"/>
      <w:bookmarkEnd w:id="87"/>
      <w:bookmarkEnd w:id="88"/>
      <w:bookmarkEnd w:id="89"/>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1.是否出现明显的倾向性意见和特定的性能指标；</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2.供应商资格条件是否具有明显倾向性和歧视性；</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3.影响温州市国有企业采购“公开、公平、公正”原则的其他情况。</w:t>
      </w:r>
    </w:p>
    <w:p>
      <w:pPr>
        <w:widowControl/>
        <w:spacing w:line="360" w:lineRule="auto"/>
        <w:jc w:val="left"/>
        <w:outlineLvl w:val="9"/>
        <w:rPr>
          <w:rFonts w:hint="eastAsia" w:ascii="宋体" w:hAnsi="宋体" w:eastAsia="宋体" w:cs="宋体"/>
          <w:b/>
          <w:bCs/>
          <w:color w:val="auto"/>
          <w:kern w:val="0"/>
          <w:sz w:val="22"/>
          <w:szCs w:val="22"/>
          <w:highlight w:val="none"/>
        </w:rPr>
      </w:pPr>
      <w:bookmarkStart w:id="90" w:name="_Toc20006"/>
      <w:bookmarkStart w:id="91" w:name="_Toc15477"/>
      <w:bookmarkStart w:id="92" w:name="_Toc8156"/>
      <w:bookmarkStart w:id="93" w:name="_Toc4048"/>
      <w:bookmarkStart w:id="94" w:name="_Toc8505"/>
      <w:r>
        <w:rPr>
          <w:rFonts w:hint="eastAsia" w:ascii="宋体" w:hAnsi="宋体" w:eastAsia="宋体" w:cs="宋体"/>
          <w:b/>
          <w:bCs/>
          <w:color w:val="auto"/>
          <w:kern w:val="0"/>
          <w:sz w:val="22"/>
          <w:szCs w:val="22"/>
          <w:highlight w:val="none"/>
        </w:rPr>
        <w:t>二、征求意见的回复：</w:t>
      </w:r>
      <w:bookmarkEnd w:id="90"/>
      <w:bookmarkEnd w:id="91"/>
      <w:bookmarkEnd w:id="92"/>
      <w:bookmarkEnd w:id="93"/>
      <w:bookmarkEnd w:id="94"/>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各供应商及专家提出修改理由和建议，请于</w:t>
      </w:r>
      <w:r>
        <w:rPr>
          <w:rFonts w:hint="eastAsia" w:ascii="宋体" w:hAnsi="宋体" w:cs="宋体"/>
          <w:color w:val="auto"/>
          <w:kern w:val="0"/>
          <w:sz w:val="22"/>
          <w:szCs w:val="22"/>
          <w:highlight w:val="none"/>
          <w:lang w:eastAsia="zh-CN"/>
        </w:rPr>
        <w:t>2024年05月29日</w:t>
      </w:r>
      <w:r>
        <w:rPr>
          <w:rFonts w:hint="eastAsia" w:ascii="宋体" w:hAnsi="宋体" w:eastAsia="宋体" w:cs="宋体"/>
          <w:color w:val="auto"/>
          <w:kern w:val="0"/>
          <w:sz w:val="22"/>
          <w:szCs w:val="22"/>
          <w:highlight w:val="none"/>
        </w:rPr>
        <w:t>16:30前（节假日除外）将书面材料签字（盖章）并密封后送至浙江乐诚工程咨询有限公司，外地可传真送达，传真：0577-86077700，传真件必须签字（盖章）。同时将电子文档发送至以下信箱：2812799762@qq.com或邮寄至我公司。</w:t>
      </w:r>
    </w:p>
    <w:p>
      <w:pPr>
        <w:widowControl/>
        <w:spacing w:line="360" w:lineRule="auto"/>
        <w:jc w:val="left"/>
        <w:outlineLvl w:val="9"/>
        <w:rPr>
          <w:rFonts w:hint="eastAsia" w:ascii="宋体" w:hAnsi="宋体" w:eastAsia="宋体" w:cs="宋体"/>
          <w:b/>
          <w:bCs/>
          <w:color w:val="auto"/>
          <w:kern w:val="0"/>
          <w:sz w:val="22"/>
          <w:szCs w:val="22"/>
          <w:highlight w:val="none"/>
        </w:rPr>
      </w:pPr>
      <w:bookmarkStart w:id="95" w:name="_Toc16011"/>
      <w:bookmarkStart w:id="96" w:name="_Toc20691"/>
      <w:bookmarkStart w:id="97" w:name="_Toc16553"/>
      <w:bookmarkStart w:id="98" w:name="_Toc31909"/>
      <w:bookmarkStart w:id="99" w:name="_Toc7594"/>
      <w:r>
        <w:rPr>
          <w:rFonts w:hint="eastAsia" w:ascii="宋体" w:hAnsi="宋体" w:eastAsia="宋体" w:cs="宋体"/>
          <w:b/>
          <w:bCs/>
          <w:color w:val="auto"/>
          <w:kern w:val="0"/>
          <w:sz w:val="22"/>
          <w:szCs w:val="22"/>
          <w:highlight w:val="none"/>
        </w:rPr>
        <w:t>三、联系方式：</w:t>
      </w:r>
      <w:bookmarkEnd w:id="95"/>
      <w:bookmarkEnd w:id="96"/>
      <w:bookmarkEnd w:id="97"/>
      <w:bookmarkEnd w:id="98"/>
      <w:bookmarkEnd w:id="99"/>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联系人：王纪凤</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联系方式：18357703076</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联系地址：</w:t>
      </w:r>
      <w:r>
        <w:rPr>
          <w:rFonts w:hint="eastAsia" w:ascii="宋体" w:hAnsi="宋体" w:eastAsia="宋体" w:cs="宋体"/>
          <w:color w:val="auto"/>
          <w:sz w:val="22"/>
          <w:szCs w:val="22"/>
          <w:highlight w:val="none"/>
        </w:rPr>
        <w:t>温州市瓯海区三垟街道桥头河大桥温州生命健康小镇B03</w:t>
      </w:r>
    </w:p>
    <w:p>
      <w:pPr>
        <w:widowControl/>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对逾期送达的意见、建议书恕不接受。</w:t>
      </w:r>
    </w:p>
    <w:bookmarkEnd w:id="2"/>
    <w:p>
      <w:pPr>
        <w:widowControl/>
        <w:spacing w:line="360" w:lineRule="auto"/>
        <w:ind w:firstLine="440" w:firstLineChars="200"/>
        <w:jc w:val="right"/>
        <w:outlineLvl w:val="9"/>
        <w:rPr>
          <w:rFonts w:hint="eastAsia" w:ascii="宋体" w:hAnsi="宋体" w:eastAsia="宋体" w:cs="宋体"/>
          <w:color w:val="auto"/>
          <w:sz w:val="22"/>
          <w:szCs w:val="22"/>
          <w:highlight w:val="none"/>
        </w:rPr>
      </w:pP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温州市公用事业发展集团有限公司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温州市城市建设发展集团有限公司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温州市现代服务业发展集团有限公司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温州市交通运输集团有限公司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温州市工业与能源发展集团有限公司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温州市交通发展集团有限公司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温州市铁路与轨道交通投资集团有限公司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温州市国有资本投资运营有限公司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温州建设集团有限公司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温州设计集团有限公司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浙江乐诚工程咨询有限公司</w:t>
      </w:r>
    </w:p>
    <w:p>
      <w:pPr>
        <w:widowControl/>
        <w:spacing w:line="360" w:lineRule="auto"/>
        <w:ind w:firstLine="440" w:firstLineChars="200"/>
        <w:jc w:val="right"/>
        <w:outlineLvl w:val="9"/>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2024年05月24日</w:t>
      </w:r>
    </w:p>
    <w:p>
      <w:pPr>
        <w:spacing w:line="360" w:lineRule="auto"/>
        <w:outlineLvl w:val="9"/>
        <w:rPr>
          <w:rFonts w:hint="eastAsia" w:ascii="宋体" w:hAnsi="宋体" w:eastAsia="宋体" w:cs="宋体"/>
          <w:color w:val="auto"/>
          <w:sz w:val="22"/>
          <w:szCs w:val="22"/>
          <w:highlight w:val="none"/>
        </w:rPr>
      </w:pPr>
    </w:p>
    <w:p>
      <w:pPr>
        <w:widowControl/>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若对项目采购电子交易系统操作有疑问，可登录政采云（https://www.zcygov.cn//），点击右侧咨询小采，获取采小蜜智能服务管家帮助，或拨打政采云服务热线95763获取热线服务帮助。        </w:t>
      </w:r>
    </w:p>
    <w:p>
      <w:pPr>
        <w:widowControl/>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CA问题联系电话（人工）：汇信CA 400-888-4636；天谷CA 400-087-8198。</w:t>
      </w:r>
    </w:p>
    <w:p>
      <w:pPr>
        <w:pStyle w:val="2"/>
        <w:spacing w:line="360" w:lineRule="auto"/>
        <w:ind w:firstLine="220"/>
        <w:outlineLvl w:val="9"/>
        <w:rPr>
          <w:rFonts w:hint="eastAsia" w:ascii="宋体" w:hAnsi="宋体" w:eastAsia="宋体" w:cs="宋体"/>
          <w:color w:val="auto"/>
          <w:sz w:val="22"/>
          <w:szCs w:val="22"/>
          <w:highlight w:val="none"/>
        </w:rPr>
      </w:pPr>
    </w:p>
    <w:p>
      <w:pPr>
        <w:pStyle w:val="29"/>
        <w:rPr>
          <w:rFonts w:hint="eastAsia" w:ascii="宋体" w:hAnsi="宋体" w:eastAsia="宋体" w:cs="宋体"/>
          <w:color w:val="auto"/>
          <w:highlight w:val="none"/>
        </w:rPr>
      </w:pPr>
    </w:p>
    <w:p>
      <w:pPr>
        <w:pStyle w:val="13"/>
        <w:ind w:left="0" w:firstLine="0" w:firstLineChars="0"/>
        <w:jc w:val="center"/>
        <w:outlineLvl w:val="0"/>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bookmarkStart w:id="100" w:name="_Toc22661"/>
      <w:bookmarkStart w:id="101" w:name="_Toc32379"/>
      <w:bookmarkStart w:id="102" w:name="_Toc22404"/>
      <w:bookmarkStart w:id="103" w:name="_Toc24791"/>
      <w:bookmarkStart w:id="104" w:name="_Toc27573"/>
      <w:bookmarkStart w:id="105" w:name="_Toc15030"/>
      <w:bookmarkStart w:id="106" w:name="_Toc22428"/>
      <w:r>
        <w:rPr>
          <w:rFonts w:hint="eastAsia" w:ascii="宋体" w:hAnsi="宋体" w:eastAsia="宋体" w:cs="宋体"/>
          <w:b/>
          <w:bCs/>
          <w:color w:val="auto"/>
          <w:kern w:val="2"/>
          <w:sz w:val="32"/>
          <w:szCs w:val="32"/>
          <w:highlight w:val="none"/>
        </w:rPr>
        <w:t>第一部分 投标供应商须知</w:t>
      </w:r>
      <w:bookmarkEnd w:id="100"/>
      <w:bookmarkEnd w:id="101"/>
      <w:bookmarkEnd w:id="102"/>
      <w:bookmarkEnd w:id="103"/>
      <w:bookmarkEnd w:id="104"/>
      <w:bookmarkEnd w:id="105"/>
      <w:bookmarkEnd w:id="106"/>
    </w:p>
    <w:p>
      <w:pPr>
        <w:pStyle w:val="13"/>
        <w:spacing w:line="360" w:lineRule="auto"/>
        <w:jc w:val="center"/>
        <w:outlineLvl w:val="1"/>
        <w:rPr>
          <w:rFonts w:hint="eastAsia" w:ascii="宋体" w:hAnsi="宋体" w:eastAsia="宋体" w:cs="宋体"/>
          <w:color w:val="auto"/>
          <w:highlight w:val="none"/>
        </w:rPr>
      </w:pPr>
      <w:bookmarkStart w:id="107" w:name="_Toc15870"/>
      <w:bookmarkStart w:id="108" w:name="_Toc9982"/>
      <w:bookmarkStart w:id="109" w:name="_Toc1244"/>
      <w:bookmarkStart w:id="110" w:name="_Toc11310"/>
      <w:bookmarkStart w:id="111" w:name="_Toc157"/>
      <w:bookmarkStart w:id="112" w:name="_Toc27216"/>
      <w:bookmarkStart w:id="113" w:name="_Toc28523"/>
      <w:r>
        <w:rPr>
          <w:rFonts w:hint="eastAsia" w:ascii="宋体" w:hAnsi="宋体" w:eastAsia="宋体" w:cs="宋体"/>
          <w:color w:val="auto"/>
          <w:highlight w:val="none"/>
        </w:rPr>
        <w:t>投标供应商须知前附表</w:t>
      </w:r>
      <w:bookmarkEnd w:id="107"/>
      <w:bookmarkEnd w:id="108"/>
      <w:bookmarkEnd w:id="109"/>
      <w:bookmarkEnd w:id="110"/>
      <w:bookmarkEnd w:id="111"/>
      <w:bookmarkEnd w:id="112"/>
      <w:bookmarkEnd w:id="113"/>
    </w:p>
    <w:tbl>
      <w:tblPr>
        <w:tblStyle w:val="34"/>
        <w:tblW w:w="9711" w:type="dxa"/>
        <w:jc w:val="center"/>
        <w:tblLayout w:type="fixed"/>
        <w:tblCellMar>
          <w:top w:w="0" w:type="dxa"/>
          <w:left w:w="108" w:type="dxa"/>
          <w:bottom w:w="0" w:type="dxa"/>
          <w:right w:w="108" w:type="dxa"/>
        </w:tblCellMar>
      </w:tblPr>
      <w:tblGrid>
        <w:gridCol w:w="721"/>
        <w:gridCol w:w="1691"/>
        <w:gridCol w:w="7299"/>
      </w:tblGrid>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条款名称</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编列内容</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采购人（牵头单位）：</w:t>
            </w:r>
            <w:r>
              <w:rPr>
                <w:rFonts w:hint="eastAsia" w:ascii="宋体" w:hAnsi="宋体" w:eastAsia="宋体" w:cs="宋体"/>
                <w:b/>
                <w:bCs/>
                <w:color w:val="auto"/>
                <w:kern w:val="0"/>
                <w:sz w:val="22"/>
                <w:szCs w:val="22"/>
                <w:highlight w:val="none"/>
              </w:rPr>
              <w:t>温州市公用事业发展集团有限公司</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址：温州市车站大道623号</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联系人：张女士  </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联系电话：0577-88100510</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r>
              <w:rPr>
                <w:rFonts w:hint="eastAsia" w:ascii="宋体" w:hAnsi="宋体" w:eastAsia="宋体" w:cs="宋体"/>
                <w:b/>
                <w:bCs/>
                <w:color w:val="auto"/>
                <w:kern w:val="0"/>
                <w:sz w:val="22"/>
                <w:szCs w:val="22"/>
                <w:highlight w:val="none"/>
              </w:rPr>
              <w:t xml:space="preserve">温州市城市建设发展集团有限公司 </w:t>
            </w:r>
          </w:p>
          <w:p>
            <w:pPr>
              <w:spacing w:line="360" w:lineRule="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  址：</w:t>
            </w:r>
            <w:r>
              <w:rPr>
                <w:rFonts w:hint="eastAsia" w:ascii="宋体" w:hAnsi="宋体" w:cs="宋体"/>
                <w:color w:val="auto"/>
                <w:kern w:val="0"/>
                <w:sz w:val="22"/>
                <w:szCs w:val="22"/>
                <w:highlight w:val="none"/>
                <w:lang w:eastAsia="zh-CN"/>
              </w:rPr>
              <w:t>温州市鹿城区府东路宏国大厦14-17楼</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r>
              <w:rPr>
                <w:rFonts w:hint="eastAsia" w:ascii="宋体" w:hAnsi="宋体" w:eastAsia="宋体" w:cs="宋体"/>
                <w:b/>
                <w:bCs/>
                <w:color w:val="auto"/>
                <w:kern w:val="0"/>
                <w:sz w:val="22"/>
                <w:szCs w:val="22"/>
                <w:highlight w:val="none"/>
              </w:rPr>
              <w:t>温州市现代服务业发展集团有限公司</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址：温州市鹿城区滨江街道瓯江路展银大厦1、2、3、19、20层</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r>
              <w:rPr>
                <w:rFonts w:hint="eastAsia" w:ascii="宋体" w:hAnsi="宋体" w:eastAsia="宋体" w:cs="宋体"/>
                <w:b/>
                <w:bCs/>
                <w:color w:val="auto"/>
                <w:kern w:val="0"/>
                <w:sz w:val="22"/>
                <w:szCs w:val="22"/>
                <w:highlight w:val="none"/>
              </w:rPr>
              <w:t xml:space="preserve">温州市交通运输集团有限公司 </w:t>
            </w:r>
          </w:p>
          <w:p>
            <w:pPr>
              <w:spacing w:line="360" w:lineRule="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  址：</w:t>
            </w:r>
            <w:r>
              <w:rPr>
                <w:rFonts w:hint="eastAsia" w:ascii="宋体" w:hAnsi="宋体" w:cs="宋体"/>
                <w:color w:val="auto"/>
                <w:kern w:val="0"/>
                <w:sz w:val="22"/>
                <w:szCs w:val="22"/>
                <w:highlight w:val="none"/>
                <w:lang w:eastAsia="zh-CN"/>
              </w:rPr>
              <w:t>温州市鹿城区机场大道5052号诚远大厦25-26楼</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r>
              <w:rPr>
                <w:rFonts w:hint="eastAsia" w:ascii="宋体" w:hAnsi="宋体" w:eastAsia="宋体" w:cs="宋体"/>
                <w:b/>
                <w:bCs/>
                <w:color w:val="auto"/>
                <w:kern w:val="0"/>
                <w:sz w:val="22"/>
                <w:szCs w:val="22"/>
                <w:highlight w:val="none"/>
              </w:rPr>
              <w:t>温州市工业与能源发展集团有限公司</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址：温州市鹿城区东龙路50号</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r>
              <w:rPr>
                <w:rFonts w:hint="eastAsia" w:ascii="宋体" w:hAnsi="宋体" w:eastAsia="宋体" w:cs="宋体"/>
                <w:b/>
                <w:bCs/>
                <w:color w:val="auto"/>
                <w:kern w:val="0"/>
                <w:sz w:val="22"/>
                <w:szCs w:val="22"/>
                <w:highlight w:val="none"/>
              </w:rPr>
              <w:t xml:space="preserve">温州市交通发展集团有限公司 </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址：温州市车站大道669号</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r>
              <w:rPr>
                <w:rFonts w:hint="eastAsia" w:ascii="宋体" w:hAnsi="宋体" w:eastAsia="宋体" w:cs="宋体"/>
                <w:b/>
                <w:bCs/>
                <w:color w:val="auto"/>
                <w:kern w:val="0"/>
                <w:sz w:val="22"/>
                <w:szCs w:val="22"/>
                <w:highlight w:val="none"/>
              </w:rPr>
              <w:t xml:space="preserve">温州市铁路与轨道交通投资集团有限公司 </w:t>
            </w:r>
          </w:p>
          <w:p>
            <w:pPr>
              <w:spacing w:line="360" w:lineRule="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  址：</w:t>
            </w:r>
            <w:r>
              <w:rPr>
                <w:rFonts w:hint="eastAsia" w:ascii="宋体" w:hAnsi="宋体" w:cs="宋体"/>
                <w:color w:val="auto"/>
                <w:kern w:val="0"/>
                <w:sz w:val="22"/>
                <w:szCs w:val="22"/>
                <w:highlight w:val="none"/>
                <w:lang w:eastAsia="zh-CN"/>
              </w:rPr>
              <w:t>浙江省温州市鹿城区温州大道2305号温州市轨道交通控制中心15楼</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r>
              <w:rPr>
                <w:rFonts w:hint="eastAsia" w:ascii="宋体" w:hAnsi="宋体" w:eastAsia="宋体" w:cs="宋体"/>
                <w:b/>
                <w:bCs/>
                <w:color w:val="auto"/>
                <w:kern w:val="0"/>
                <w:sz w:val="22"/>
                <w:szCs w:val="22"/>
                <w:highlight w:val="none"/>
              </w:rPr>
              <w:t>温州市国有资本投资运营有限公司</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址：浙江省温州市海事路17号</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r>
              <w:rPr>
                <w:rFonts w:hint="eastAsia" w:ascii="宋体" w:hAnsi="宋体" w:eastAsia="宋体" w:cs="宋体"/>
                <w:b/>
                <w:bCs/>
                <w:color w:val="auto"/>
                <w:kern w:val="0"/>
                <w:sz w:val="22"/>
                <w:szCs w:val="22"/>
                <w:highlight w:val="none"/>
              </w:rPr>
              <w:t>温州建设集团有限公司</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址：温州市鹿城区惠民路666号汇富大厦13-15层</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r>
              <w:rPr>
                <w:rFonts w:hint="eastAsia" w:ascii="宋体" w:hAnsi="宋体" w:eastAsia="宋体" w:cs="宋体"/>
                <w:b/>
                <w:bCs/>
                <w:color w:val="auto"/>
                <w:kern w:val="0"/>
                <w:sz w:val="22"/>
                <w:szCs w:val="22"/>
                <w:highlight w:val="none"/>
              </w:rPr>
              <w:t>温州设计集团有限公司</w:t>
            </w:r>
          </w:p>
          <w:p>
            <w:pPr>
              <w:spacing w:line="360" w:lineRule="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  址：</w:t>
            </w:r>
            <w:r>
              <w:rPr>
                <w:rFonts w:hint="eastAsia" w:ascii="宋体" w:hAnsi="宋体" w:cs="宋体"/>
                <w:color w:val="auto"/>
                <w:kern w:val="0"/>
                <w:sz w:val="22"/>
                <w:szCs w:val="22"/>
                <w:highlight w:val="none"/>
                <w:lang w:eastAsia="zh-CN"/>
              </w:rPr>
              <w:t>浙江省温州市鹿城区香源路58号展鑫大厦13楼</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采购代理机构</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代理机构名称：浙江乐诚工程咨询有限公司</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代理机构地址：温州市瓯海区三垟街道桥头河大桥温州生命健康小镇B03</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联系人：王纪凤</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联系方式：18357703076</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项目名称及项目编号</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采购项目名称：市属国有企业评估服务供应商库采购（两年）</w:t>
            </w:r>
          </w:p>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项目编号：WGSS-GYJT-X-2024041</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偏离情况</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偏差允许幅度及其处理方法：允许细微偏差，不允许重大偏差。由评审小组判断，细微偏差要求投标供应商在评标结束前予以澄清、说明或补正，不按要求进行的，评审小组有权做投标无效处理，详见投标供应商须知“8.投标文件的澄清。”</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相关公告发布媒介</w:t>
            </w:r>
          </w:p>
        </w:tc>
        <w:tc>
          <w:tcPr>
            <w:tcW w:w="7299" w:type="dxa"/>
            <w:tcBorders>
              <w:top w:val="single" w:color="auto" w:sz="4" w:space="0"/>
              <w:left w:val="single" w:color="auto" w:sz="4" w:space="0"/>
              <w:bottom w:val="single" w:color="auto" w:sz="4" w:space="0"/>
              <w:right w:val="single" w:color="auto" w:sz="4" w:space="0"/>
            </w:tcBorders>
            <w:vAlign w:val="center"/>
          </w:tcPr>
          <w:p>
            <w:pPr>
              <w:pStyle w:val="65"/>
              <w:spacing w:line="360" w:lineRule="auto"/>
              <w:ind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公用事业发展集团有限公司网、温州市城市建设发展集团有限公司、温州市现代服务业发展集团有限公司、温州市交通运输集团有限公司、温州市工业与能源发展集团有限公司、温州市交通发展集团有限公司、温州市铁路与轨道交通投资集团有限公司、温州市国有资本投资运营有限公司、温州建设集团有限公司、温州设计集团有限公司、温州国企采购平台及浙江政府采购网</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合格投标供应商</w:t>
            </w:r>
          </w:p>
        </w:tc>
        <w:tc>
          <w:tcPr>
            <w:tcW w:w="72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详见采购公告规定</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是否接受联合体投标</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详见采购公告规定</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踏勘现场</w:t>
            </w:r>
          </w:p>
        </w:tc>
        <w:tc>
          <w:tcPr>
            <w:tcW w:w="72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不</w:t>
            </w:r>
            <w:r>
              <w:rPr>
                <w:rFonts w:hint="eastAsia" w:ascii="宋体" w:hAnsi="宋体" w:eastAsia="宋体" w:cs="宋体"/>
                <w:color w:val="auto"/>
                <w:kern w:val="0"/>
                <w:sz w:val="22"/>
                <w:szCs w:val="22"/>
                <w:highlight w:val="none"/>
              </w:rPr>
              <w:t>组织</w:t>
            </w:r>
          </w:p>
          <w:p>
            <w:pPr>
              <w:autoSpaceDE w:val="0"/>
              <w:autoSpaceDN w:val="0"/>
              <w:adjustRightInd w:val="0"/>
              <w:spacing w:line="360"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如有需要投标供应商</w:t>
            </w:r>
            <w:r>
              <w:rPr>
                <w:rFonts w:hint="eastAsia" w:ascii="宋体" w:hAnsi="宋体" w:eastAsia="宋体" w:cs="宋体"/>
                <w:color w:val="auto"/>
                <w:kern w:val="0"/>
                <w:sz w:val="22"/>
                <w:szCs w:val="22"/>
                <w:highlight w:val="none"/>
                <w:lang w:val="zh-CN"/>
              </w:rPr>
              <w:t>自行前往项目现场进行踏勘，</w:t>
            </w:r>
            <w:r>
              <w:rPr>
                <w:rFonts w:hint="eastAsia" w:ascii="宋体" w:hAnsi="宋体" w:eastAsia="宋体" w:cs="宋体"/>
                <w:color w:val="auto"/>
                <w:kern w:val="0"/>
                <w:sz w:val="22"/>
                <w:szCs w:val="22"/>
                <w:highlight w:val="none"/>
              </w:rPr>
              <w:t>投标供应商</w:t>
            </w:r>
            <w:r>
              <w:rPr>
                <w:rFonts w:hint="eastAsia" w:ascii="宋体" w:hAnsi="宋体" w:eastAsia="宋体" w:cs="宋体"/>
                <w:color w:val="auto"/>
                <w:kern w:val="0"/>
                <w:sz w:val="22"/>
                <w:szCs w:val="22"/>
                <w:highlight w:val="none"/>
                <w:lang w:val="zh-CN"/>
              </w:rPr>
              <w:t>因现场踏勘影响投标报价、方案编制的，由</w:t>
            </w:r>
            <w:r>
              <w:rPr>
                <w:rFonts w:hint="eastAsia" w:ascii="宋体" w:hAnsi="宋体" w:eastAsia="宋体" w:cs="宋体"/>
                <w:color w:val="auto"/>
                <w:kern w:val="0"/>
                <w:sz w:val="22"/>
                <w:szCs w:val="22"/>
                <w:highlight w:val="none"/>
              </w:rPr>
              <w:t>投标供应商</w:t>
            </w:r>
            <w:r>
              <w:rPr>
                <w:rFonts w:hint="eastAsia" w:ascii="宋体" w:hAnsi="宋体" w:eastAsia="宋体" w:cs="宋体"/>
                <w:color w:val="auto"/>
                <w:kern w:val="0"/>
                <w:sz w:val="22"/>
                <w:szCs w:val="22"/>
                <w:highlight w:val="none"/>
                <w:lang w:val="zh-CN"/>
              </w:rPr>
              <w:t>自行承担，因</w:t>
            </w:r>
            <w:r>
              <w:rPr>
                <w:rFonts w:hint="eastAsia" w:ascii="宋体" w:hAnsi="宋体" w:eastAsia="宋体" w:cs="宋体"/>
                <w:color w:val="auto"/>
                <w:kern w:val="0"/>
                <w:sz w:val="22"/>
                <w:szCs w:val="22"/>
                <w:highlight w:val="none"/>
              </w:rPr>
              <w:t>投标供应商</w:t>
            </w:r>
            <w:r>
              <w:rPr>
                <w:rFonts w:hint="eastAsia" w:ascii="宋体" w:hAnsi="宋体" w:eastAsia="宋体" w:cs="宋体"/>
                <w:color w:val="auto"/>
                <w:kern w:val="0"/>
                <w:sz w:val="22"/>
                <w:szCs w:val="22"/>
                <w:highlight w:val="none"/>
                <w:lang w:val="zh-CN"/>
              </w:rPr>
              <w:t>自身不能参加现场勘察或现场踏勘不全面的，</w:t>
            </w:r>
            <w:r>
              <w:rPr>
                <w:rFonts w:hint="eastAsia" w:ascii="宋体" w:hAnsi="宋体" w:eastAsia="宋体" w:cs="宋体"/>
                <w:color w:val="auto"/>
                <w:kern w:val="0"/>
                <w:sz w:val="22"/>
                <w:szCs w:val="22"/>
                <w:highlight w:val="none"/>
              </w:rPr>
              <w:t>投标供应商</w:t>
            </w:r>
            <w:r>
              <w:rPr>
                <w:rFonts w:hint="eastAsia" w:ascii="宋体" w:hAnsi="宋体" w:eastAsia="宋体" w:cs="宋体"/>
                <w:color w:val="auto"/>
                <w:kern w:val="0"/>
                <w:sz w:val="22"/>
                <w:szCs w:val="22"/>
                <w:highlight w:val="none"/>
                <w:lang w:val="zh-CN"/>
              </w:rPr>
              <w:t>不得因此提出修改投标报价或提出索赔等要求。</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样品</w:t>
            </w:r>
          </w:p>
        </w:tc>
        <w:tc>
          <w:tcPr>
            <w:tcW w:w="729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不需要</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投标预备会</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不召开</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分包和转包</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不允许</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投标有效期</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投标文件自投标截止时间起生效，有效期90天</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13</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投标保证金</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金额详见采购公告规定</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14</w:t>
            </w:r>
          </w:p>
        </w:tc>
        <w:tc>
          <w:tcPr>
            <w:tcW w:w="16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投标文件形式、制作及组成</w:t>
            </w:r>
          </w:p>
        </w:tc>
        <w:tc>
          <w:tcPr>
            <w:tcW w:w="7299" w:type="dxa"/>
            <w:tcBorders>
              <w:top w:val="single" w:color="auto" w:sz="4" w:space="0"/>
              <w:left w:val="single" w:color="auto" w:sz="4" w:space="0"/>
              <w:bottom w:val="single" w:color="auto" w:sz="4" w:space="0"/>
              <w:right w:val="single" w:color="auto" w:sz="4" w:space="0"/>
            </w:tcBorders>
            <w:vAlign w:val="center"/>
          </w:tcPr>
          <w:p>
            <w:pPr>
              <w:pStyle w:val="17"/>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本项目实行网上电子投标。</w:t>
            </w:r>
          </w:p>
          <w:p>
            <w:pPr>
              <w:pStyle w:val="17"/>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投标供应商应准备电子投标文件、以介质存储的数据电文形式的备份投标文件二类：</w:t>
            </w:r>
          </w:p>
          <w:p>
            <w:pPr>
              <w:pStyle w:val="17"/>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（1）电子投标文件：通过政采云电子交易客户端（政采云投标客户端）完成投标文件编制后生成并加密的数据电文形式的投标文件（文件扩展名为.jmbs）1份</w:t>
            </w:r>
            <w:r>
              <w:rPr>
                <w:rFonts w:hint="eastAsia" w:ascii="宋体" w:hAnsi="宋体" w:eastAsia="宋体" w:cs="宋体"/>
                <w:b/>
                <w:bCs/>
                <w:color w:val="auto"/>
                <w:sz w:val="22"/>
                <w:szCs w:val="22"/>
                <w:highlight w:val="none"/>
                <w:lang w:val="zh-CN"/>
              </w:rPr>
              <w:t>。</w:t>
            </w:r>
          </w:p>
          <w:p>
            <w:pPr>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（2）以介质存储的数据电文形式的备份投标文件（如有）：</w:t>
            </w:r>
            <w:r>
              <w:rPr>
                <w:rStyle w:val="37"/>
                <w:rFonts w:hint="eastAsia" w:ascii="宋体" w:hAnsi="宋体" w:eastAsia="宋体" w:cs="宋体"/>
                <w:bCs/>
                <w:color w:val="auto"/>
                <w:sz w:val="22"/>
                <w:szCs w:val="22"/>
                <w:highlight w:val="none"/>
              </w:rPr>
              <w:t>与“电子投标文件”同时生成的数据电文形式的备份投标文件(文件扩展名为.bfbs）</w:t>
            </w:r>
            <w:r>
              <w:rPr>
                <w:rFonts w:hint="eastAsia" w:ascii="宋体" w:hAnsi="宋体" w:eastAsia="宋体" w:cs="宋体"/>
                <w:b/>
                <w:bCs/>
                <w:color w:val="auto"/>
                <w:sz w:val="22"/>
                <w:szCs w:val="22"/>
                <w:highlight w:val="none"/>
              </w:rPr>
              <w:t>，投标文件提交截止时间前以</w:t>
            </w:r>
            <w:r>
              <w:rPr>
                <w:rFonts w:hint="eastAsia" w:ascii="宋体" w:hAnsi="宋体" w:eastAsia="宋体" w:cs="宋体"/>
                <w:b/>
                <w:bCs/>
                <w:color w:val="auto"/>
                <w:sz w:val="22"/>
                <w:szCs w:val="22"/>
                <w:highlight w:val="none"/>
                <w:lang w:val="zh-CN"/>
              </w:rPr>
              <w:t>电子邮件方式传送至浙江乐诚工程咨询有限公司电子邮箱</w:t>
            </w:r>
            <w:r>
              <w:rPr>
                <w:rFonts w:hint="eastAsia" w:ascii="宋体" w:hAnsi="宋体" w:eastAsia="宋体" w:cs="宋体"/>
                <w:b/>
                <w:bCs/>
                <w:color w:val="auto"/>
                <w:sz w:val="22"/>
                <w:szCs w:val="22"/>
                <w:highlight w:val="none"/>
              </w:rPr>
              <w:t>2812799762@qq.com，</w:t>
            </w:r>
            <w:r>
              <w:rPr>
                <w:rFonts w:hint="eastAsia" w:ascii="宋体" w:hAnsi="宋体" w:eastAsia="宋体" w:cs="宋体"/>
                <w:b/>
                <w:bCs/>
                <w:color w:val="auto"/>
                <w:sz w:val="22"/>
                <w:szCs w:val="22"/>
                <w:highlight w:val="none"/>
                <w:lang w:val="zh-CN"/>
              </w:rPr>
              <w:t>递交</w:t>
            </w:r>
            <w:r>
              <w:rPr>
                <w:rFonts w:hint="eastAsia" w:ascii="宋体" w:hAnsi="宋体" w:eastAsia="宋体" w:cs="宋体"/>
                <w:b/>
                <w:bCs/>
                <w:color w:val="auto"/>
                <w:sz w:val="22"/>
                <w:szCs w:val="22"/>
                <w:highlight w:val="none"/>
              </w:rPr>
              <w:t>1</w:t>
            </w:r>
            <w:r>
              <w:rPr>
                <w:rFonts w:hint="eastAsia" w:ascii="宋体" w:hAnsi="宋体" w:eastAsia="宋体" w:cs="宋体"/>
                <w:b/>
                <w:bCs/>
                <w:color w:val="auto"/>
                <w:sz w:val="22"/>
                <w:szCs w:val="22"/>
                <w:highlight w:val="none"/>
                <w:lang w:val="zh-CN"/>
              </w:rPr>
              <w:t>份</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zh-CN"/>
              </w:rPr>
              <w:t>传送的备份投标文件需打包压缩并加密</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zh-CN"/>
              </w:rPr>
              <w:t>加密密码由投标供应商自行保管</w:t>
            </w:r>
            <w:r>
              <w:rPr>
                <w:rFonts w:hint="eastAsia" w:ascii="宋体" w:hAnsi="宋体" w:eastAsia="宋体" w:cs="宋体"/>
                <w:b/>
                <w:bCs/>
                <w:color w:val="auto"/>
                <w:sz w:val="22"/>
                <w:szCs w:val="22"/>
                <w:highlight w:val="none"/>
              </w:rPr>
              <w:t>，未加密导致投标信息泄露的风险由投标供应商自行承担</w:t>
            </w:r>
            <w:r>
              <w:rPr>
                <w:rStyle w:val="37"/>
                <w:rFonts w:hint="eastAsia" w:ascii="宋体" w:hAnsi="宋体" w:eastAsia="宋体" w:cs="宋体"/>
                <w:bCs/>
                <w:color w:val="auto"/>
                <w:sz w:val="22"/>
                <w:szCs w:val="22"/>
                <w:highlight w:val="none"/>
              </w:rPr>
              <w:t>。</w:t>
            </w:r>
          </w:p>
          <w:p>
            <w:pPr>
              <w:pStyle w:val="17"/>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投标文件由报价文件、资格文件、商务和技术文件三部分组成。</w:t>
            </w:r>
          </w:p>
          <w:p>
            <w:pPr>
              <w:pStyle w:val="17"/>
              <w:snapToGrid w:val="0"/>
              <w:spacing w:line="360" w:lineRule="auto"/>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rPr>
              <w:t>注：确定为入围中标供应商的单位在领取</w:t>
            </w:r>
            <w:r>
              <w:rPr>
                <w:rFonts w:hint="eastAsia" w:ascii="宋体" w:hAnsi="宋体" w:eastAsia="宋体" w:cs="宋体"/>
                <w:b/>
                <w:bCs/>
                <w:color w:val="auto"/>
                <w:sz w:val="22"/>
                <w:szCs w:val="22"/>
                <w:highlight w:val="none"/>
                <w:lang w:eastAsia="zh-CN"/>
              </w:rPr>
              <w:t>中标通知书</w:t>
            </w:r>
            <w:r>
              <w:rPr>
                <w:rFonts w:hint="eastAsia" w:ascii="宋体" w:hAnsi="宋体" w:eastAsia="宋体" w:cs="宋体"/>
                <w:b/>
                <w:bCs/>
                <w:color w:val="auto"/>
                <w:sz w:val="22"/>
                <w:szCs w:val="22"/>
                <w:highlight w:val="none"/>
              </w:rPr>
              <w:t>时按采购人要求提供全套纸质投标文件12份，与电子投标文件内容一致的承诺书给采购组织机构留底以作项目验收存档使用。</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15</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 w:val="22"/>
                <w:szCs w:val="22"/>
                <w:highlight w:val="none"/>
              </w:rPr>
              <w:t>电子招投标特殊情况处理方式</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本项目原则上采用政采云电子招投标开标及评审程序，但有以下情形之一的，按以下情况处理：</w:t>
            </w:r>
          </w:p>
          <w:p>
            <w:pPr>
              <w:spacing w:line="360" w:lineRule="auto"/>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rPr>
              <w:t>若投标供应商在规定时间内无法解密或解密失败，采购代理机构将开启所有投标供应商递交的以介质存储的数据电文形式的备份投标文件，上传至政采云平台项目采购模块，以完成开标，电子投标文件自动失效。</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16</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投标截止时间</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同投标文件递交截止时间</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17</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递交投标文件地点</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详见采购公告规定</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18</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开标时间和地点</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开标时间：同投标文件递交截止时间</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开标地点：</w:t>
            </w:r>
            <w:r>
              <w:rPr>
                <w:rFonts w:hint="eastAsia" w:ascii="宋体" w:hAnsi="宋体" w:eastAsia="宋体" w:cs="宋体"/>
                <w:color w:val="auto"/>
                <w:sz w:val="22"/>
                <w:szCs w:val="22"/>
                <w:highlight w:val="none"/>
              </w:rPr>
              <w:t>详见采购公告规定</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19</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评审小组的组建</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评审小组成员由采购人代表和有关技术、经济等方面的专家组成，有关技术、经济等方面的专家成员人数为7人</w:t>
            </w:r>
            <w:r>
              <w:rPr>
                <w:rFonts w:hint="eastAsia" w:ascii="宋体" w:hAnsi="宋体" w:eastAsia="宋体" w:cs="宋体"/>
                <w:color w:val="auto"/>
                <w:kern w:val="0"/>
                <w:sz w:val="22"/>
                <w:szCs w:val="22"/>
                <w:highlight w:val="none"/>
              </w:rPr>
              <w:t>(含)</w:t>
            </w:r>
            <w:r>
              <w:rPr>
                <w:rFonts w:hint="eastAsia" w:ascii="宋体" w:hAnsi="宋体" w:eastAsia="宋体" w:cs="宋体"/>
                <w:color w:val="auto"/>
                <w:kern w:val="0"/>
                <w:sz w:val="22"/>
                <w:szCs w:val="22"/>
                <w:highlight w:val="none"/>
                <w:lang w:val="zh-CN"/>
              </w:rPr>
              <w:t>及以上单数，除采购人代表外的专家将按有关规定随机抽取产生。</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b/>
                <w:bCs/>
                <w:snapToGrid w:val="0"/>
                <w:color w:val="auto"/>
                <w:sz w:val="22"/>
                <w:szCs w:val="22"/>
                <w:highlight w:val="none"/>
              </w:rPr>
              <w:t>资格审查证明材料</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b/>
                <w:bCs/>
                <w:snapToGrid w:val="0"/>
                <w:color w:val="auto"/>
                <w:sz w:val="22"/>
                <w:szCs w:val="22"/>
                <w:highlight w:val="none"/>
              </w:rPr>
            </w:pPr>
            <w:r>
              <w:rPr>
                <w:rFonts w:hint="eastAsia" w:ascii="宋体" w:hAnsi="宋体" w:eastAsia="宋体" w:cs="宋体"/>
                <w:b/>
                <w:bCs/>
                <w:snapToGrid w:val="0"/>
                <w:color w:val="auto"/>
                <w:sz w:val="22"/>
                <w:szCs w:val="22"/>
                <w:highlight w:val="none"/>
              </w:rPr>
              <w:t>1.法定代表人资格证明书/法定代表人授权书</w:t>
            </w:r>
          </w:p>
          <w:p>
            <w:pPr>
              <w:spacing w:line="360" w:lineRule="auto"/>
              <w:jc w:val="left"/>
              <w:rPr>
                <w:rFonts w:hint="eastAsia" w:ascii="宋体" w:hAnsi="宋体" w:eastAsia="宋体" w:cs="宋体"/>
                <w:b/>
                <w:bCs/>
                <w:snapToGrid w:val="0"/>
                <w:color w:val="auto"/>
                <w:sz w:val="22"/>
                <w:szCs w:val="22"/>
                <w:highlight w:val="none"/>
              </w:rPr>
            </w:pPr>
            <w:r>
              <w:rPr>
                <w:rFonts w:hint="eastAsia" w:ascii="宋体" w:hAnsi="宋体" w:eastAsia="宋体" w:cs="宋体"/>
                <w:b/>
                <w:bCs/>
                <w:snapToGrid w:val="0"/>
                <w:color w:val="auto"/>
                <w:sz w:val="22"/>
                <w:szCs w:val="22"/>
                <w:highlight w:val="none"/>
              </w:rPr>
              <w:t>2.有效的法人或者其他组织的营业执照等证明文件，自然人的身份证明（复印件加盖投标供应商电子签章或公章）</w:t>
            </w:r>
          </w:p>
          <w:p>
            <w:pPr>
              <w:spacing w:line="360" w:lineRule="auto"/>
              <w:jc w:val="left"/>
              <w:rPr>
                <w:rFonts w:hint="eastAsia" w:ascii="宋体" w:hAnsi="宋体" w:eastAsia="宋体" w:cs="宋体"/>
                <w:b/>
                <w:bCs/>
                <w:snapToGrid w:val="0"/>
                <w:color w:val="auto"/>
                <w:sz w:val="22"/>
                <w:szCs w:val="22"/>
                <w:highlight w:val="none"/>
              </w:rPr>
            </w:pPr>
            <w:r>
              <w:rPr>
                <w:rFonts w:hint="eastAsia" w:ascii="宋体" w:hAnsi="宋体" w:eastAsia="宋体" w:cs="宋体"/>
                <w:b/>
                <w:bCs/>
                <w:snapToGrid w:val="0"/>
                <w:color w:val="auto"/>
                <w:sz w:val="22"/>
                <w:szCs w:val="22"/>
                <w:highlight w:val="none"/>
              </w:rPr>
              <w:t>3.符合《温州市市属国有企业采购管理办法（试行）》温国资委〔2020〕125号第十五条对投标供应商的基本资格条件承诺函</w:t>
            </w:r>
          </w:p>
          <w:p>
            <w:pPr>
              <w:spacing w:line="360" w:lineRule="auto"/>
              <w:jc w:val="left"/>
              <w:rPr>
                <w:rFonts w:hint="eastAsia" w:ascii="宋体" w:hAnsi="宋体" w:eastAsia="宋体" w:cs="宋体"/>
                <w:b/>
                <w:bCs/>
                <w:snapToGrid w:val="0"/>
                <w:color w:val="auto"/>
                <w:sz w:val="22"/>
                <w:szCs w:val="22"/>
                <w:highlight w:val="none"/>
              </w:rPr>
            </w:pPr>
            <w:r>
              <w:rPr>
                <w:rFonts w:hint="eastAsia" w:ascii="宋体" w:hAnsi="宋体" w:eastAsia="宋体" w:cs="宋体"/>
                <w:b/>
                <w:bCs/>
                <w:snapToGrid w:val="0"/>
                <w:color w:val="auto"/>
                <w:sz w:val="22"/>
                <w:szCs w:val="22"/>
                <w:highlight w:val="none"/>
              </w:rPr>
              <w:t>4.本项目特定资格要求证明材料</w:t>
            </w:r>
          </w:p>
          <w:p>
            <w:pPr>
              <w:spacing w:line="360" w:lineRule="auto"/>
              <w:jc w:val="left"/>
              <w:rPr>
                <w:rFonts w:hint="eastAsia" w:ascii="宋体" w:hAnsi="宋体" w:eastAsia="宋体" w:cs="宋体"/>
                <w:b/>
                <w:bCs/>
                <w:snapToGrid w:val="0"/>
                <w:color w:val="auto"/>
                <w:sz w:val="22"/>
                <w:szCs w:val="22"/>
                <w:highlight w:val="none"/>
              </w:rPr>
            </w:pPr>
            <w:r>
              <w:rPr>
                <w:rFonts w:hint="eastAsia" w:ascii="宋体" w:hAnsi="宋体" w:eastAsia="宋体" w:cs="宋体"/>
                <w:b/>
                <w:bCs/>
                <w:snapToGrid w:val="0"/>
                <w:color w:val="auto"/>
                <w:sz w:val="22"/>
                <w:szCs w:val="22"/>
                <w:highlight w:val="none"/>
              </w:rPr>
              <w:t>5.投标保证金缴纳到账凭证</w:t>
            </w:r>
          </w:p>
          <w:p>
            <w:pP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b/>
                <w:bCs/>
                <w:snapToGrid w:val="0"/>
                <w:color w:val="auto"/>
                <w:sz w:val="22"/>
                <w:szCs w:val="22"/>
                <w:highlight w:val="none"/>
              </w:rPr>
              <w:t>6.信用（此项</w:t>
            </w:r>
            <w:r>
              <w:rPr>
                <w:rFonts w:hint="eastAsia" w:ascii="宋体" w:hAnsi="宋体" w:eastAsia="宋体" w:cs="宋体"/>
                <w:b/>
                <w:bCs/>
                <w:snapToGrid w:val="0"/>
                <w:color w:val="auto"/>
                <w:sz w:val="22"/>
                <w:szCs w:val="22"/>
                <w:highlight w:val="none"/>
                <w:lang w:val="zh-CN"/>
              </w:rPr>
              <w:t>由</w:t>
            </w:r>
            <w:r>
              <w:rPr>
                <w:rFonts w:hint="eastAsia" w:ascii="宋体" w:hAnsi="宋体" w:eastAsia="宋体" w:cs="宋体"/>
                <w:b/>
                <w:bCs/>
                <w:snapToGrid w:val="0"/>
                <w:color w:val="auto"/>
                <w:sz w:val="22"/>
                <w:szCs w:val="22"/>
                <w:highlight w:val="none"/>
              </w:rPr>
              <w:t>采购</w:t>
            </w:r>
            <w:r>
              <w:rPr>
                <w:rFonts w:hint="eastAsia" w:ascii="宋体" w:hAnsi="宋体" w:eastAsia="宋体" w:cs="宋体"/>
                <w:b/>
                <w:bCs/>
                <w:snapToGrid w:val="0"/>
                <w:color w:val="auto"/>
                <w:sz w:val="22"/>
                <w:szCs w:val="22"/>
                <w:highlight w:val="none"/>
                <w:lang w:val="zh-CN"/>
              </w:rPr>
              <w:t>人或</w:t>
            </w:r>
            <w:r>
              <w:rPr>
                <w:rFonts w:hint="eastAsia" w:ascii="宋体" w:hAnsi="宋体" w:eastAsia="宋体" w:cs="宋体"/>
                <w:b/>
                <w:bCs/>
                <w:snapToGrid w:val="0"/>
                <w:color w:val="auto"/>
                <w:sz w:val="22"/>
                <w:szCs w:val="22"/>
                <w:highlight w:val="none"/>
              </w:rPr>
              <w:t>采购</w:t>
            </w:r>
            <w:r>
              <w:rPr>
                <w:rFonts w:hint="eastAsia" w:ascii="宋体" w:hAnsi="宋体" w:eastAsia="宋体" w:cs="宋体"/>
                <w:b/>
                <w:bCs/>
                <w:snapToGrid w:val="0"/>
                <w:color w:val="auto"/>
                <w:sz w:val="22"/>
                <w:szCs w:val="22"/>
                <w:highlight w:val="none"/>
                <w:lang w:val="zh-CN"/>
              </w:rPr>
              <w:t>代理机构以开标当日网页查询记录为准</w:t>
            </w:r>
            <w:r>
              <w:rPr>
                <w:rFonts w:hint="eastAsia" w:ascii="宋体" w:hAnsi="宋体" w:eastAsia="宋体" w:cs="宋体"/>
                <w:b/>
                <w:bCs/>
                <w:snapToGrid w:val="0"/>
                <w:color w:val="auto"/>
                <w:sz w:val="22"/>
                <w:szCs w:val="22"/>
                <w:highlight w:val="none"/>
              </w:rPr>
              <w:t>）</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21</w:t>
            </w:r>
          </w:p>
        </w:tc>
        <w:tc>
          <w:tcPr>
            <w:tcW w:w="16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snapToGrid w:val="0"/>
                <w:color w:val="auto"/>
                <w:sz w:val="22"/>
                <w:szCs w:val="22"/>
                <w:highlight w:val="none"/>
              </w:rPr>
              <w:t>信用</w:t>
            </w:r>
          </w:p>
        </w:tc>
        <w:tc>
          <w:tcPr>
            <w:tcW w:w="72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采购代理机构会对投标供应商信用记录进行查询并甄别。</w:t>
            </w:r>
          </w:p>
          <w:p>
            <w:pPr>
              <w:adjustRightInd w:val="0"/>
              <w:snapToGrid w:val="0"/>
              <w:spacing w:line="360" w:lineRule="auto"/>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1.信用信息查询的截止时点</w:t>
            </w:r>
            <w:r>
              <w:rPr>
                <w:rFonts w:hint="eastAsia" w:ascii="宋体" w:hAnsi="宋体" w:eastAsia="宋体" w:cs="宋体"/>
                <w:color w:val="auto"/>
                <w:sz w:val="22"/>
                <w:szCs w:val="22"/>
                <w:highlight w:val="none"/>
              </w:rPr>
              <w:t>为从本项目投标截止日往前追溯三年</w:t>
            </w:r>
            <w:r>
              <w:rPr>
                <w:rFonts w:hint="eastAsia" w:ascii="宋体" w:hAnsi="宋体" w:eastAsia="宋体" w:cs="宋体"/>
                <w:snapToGrid w:val="0"/>
                <w:color w:val="auto"/>
                <w:sz w:val="22"/>
                <w:szCs w:val="22"/>
                <w:highlight w:val="none"/>
              </w:rPr>
              <w:t>；</w:t>
            </w:r>
          </w:p>
          <w:p>
            <w:pPr>
              <w:adjustRightInd w:val="0"/>
              <w:snapToGrid w:val="0"/>
              <w:spacing w:line="360" w:lineRule="auto"/>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2.查询渠道：“信用中国”（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2"/>
                <w:szCs w:val="22"/>
                <w:highlight w:val="none"/>
              </w:rPr>
              <w:t>www.creditchina.gov.cn</w:t>
            </w:r>
            <w:r>
              <w:rPr>
                <w:rFonts w:hint="eastAsia" w:ascii="宋体" w:hAnsi="宋体" w:eastAsia="宋体" w:cs="宋体"/>
                <w:snapToGrid w:val="0"/>
                <w:color w:val="auto"/>
                <w:sz w:val="22"/>
                <w:szCs w:val="22"/>
                <w:highlight w:val="none"/>
              </w:rPr>
              <w:fldChar w:fldCharType="end"/>
            </w:r>
            <w:r>
              <w:rPr>
                <w:rFonts w:hint="eastAsia" w:ascii="宋体" w:hAnsi="宋体" w:eastAsia="宋体" w:cs="宋体"/>
                <w:snapToGrid w:val="0"/>
                <w:color w:val="auto"/>
                <w:sz w:val="22"/>
                <w:szCs w:val="22"/>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2"/>
                <w:szCs w:val="22"/>
                <w:highlight w:val="none"/>
              </w:rPr>
              <w:t>www.ccgp.gov.cn</w:t>
            </w:r>
            <w:r>
              <w:rPr>
                <w:rFonts w:hint="eastAsia" w:ascii="宋体" w:hAnsi="宋体" w:eastAsia="宋体" w:cs="宋体"/>
                <w:snapToGrid w:val="0"/>
                <w:color w:val="auto"/>
                <w:sz w:val="22"/>
                <w:szCs w:val="22"/>
                <w:highlight w:val="none"/>
              </w:rPr>
              <w:fldChar w:fldCharType="end"/>
            </w:r>
            <w:r>
              <w:rPr>
                <w:rFonts w:hint="eastAsia" w:ascii="宋体" w:hAnsi="宋体" w:eastAsia="宋体" w:cs="宋体"/>
                <w:snapToGrid w:val="0"/>
                <w:color w:val="auto"/>
                <w:sz w:val="22"/>
                <w:szCs w:val="22"/>
                <w:highlight w:val="none"/>
              </w:rPr>
              <w:t>）；</w:t>
            </w:r>
          </w:p>
          <w:p>
            <w:pPr>
              <w:adjustRightInd w:val="0"/>
              <w:snapToGrid w:val="0"/>
              <w:spacing w:line="360" w:lineRule="auto"/>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3.信用信息查询记录和证据留存具体方式：采购代理机构经办人或监督人员将查询网页打印与其他采购文件一并保存；</w:t>
            </w:r>
          </w:p>
          <w:p>
            <w:pPr>
              <w:adjustRightInd w:val="0"/>
              <w:snapToGrid w:val="0"/>
              <w:spacing w:line="360" w:lineRule="auto"/>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4.信用信息的使用规则：</w:t>
            </w:r>
            <w:r>
              <w:rPr>
                <w:rFonts w:hint="eastAsia" w:ascii="宋体" w:hAnsi="宋体" w:eastAsia="宋体" w:cs="宋体"/>
                <w:b/>
                <w:bCs/>
                <w:snapToGrid w:val="0"/>
                <w:color w:val="auto"/>
                <w:sz w:val="22"/>
                <w:szCs w:val="22"/>
                <w:highlight w:val="none"/>
              </w:rPr>
              <w:t>投标供应商存在不良信用记录的，其投标将被作为无效投标被拒绝</w:t>
            </w:r>
            <w:r>
              <w:rPr>
                <w:rFonts w:hint="eastAsia" w:ascii="宋体" w:hAnsi="宋体" w:eastAsia="宋体" w:cs="宋体"/>
                <w:snapToGrid w:val="0"/>
                <w:color w:val="auto"/>
                <w:sz w:val="22"/>
                <w:szCs w:val="22"/>
                <w:highlight w:val="none"/>
              </w:rPr>
              <w:t>。</w:t>
            </w:r>
          </w:p>
          <w:p>
            <w:pPr>
              <w:adjustRightInd w:val="0"/>
              <w:snapToGrid w:val="0"/>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snapToGrid w:val="0"/>
                <w:color w:val="auto"/>
                <w:sz w:val="22"/>
                <w:szCs w:val="22"/>
                <w:highlight w:val="none"/>
              </w:rPr>
              <w:t>不良信用记录指：被列入失信被执行人、重大税收违法案件当事人名单、采购严重违法失信行为记录名单。</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w:t>
            </w:r>
          </w:p>
        </w:tc>
        <w:tc>
          <w:tcPr>
            <w:tcW w:w="16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解释顺序</w:t>
            </w:r>
          </w:p>
        </w:tc>
        <w:tc>
          <w:tcPr>
            <w:tcW w:w="72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1.如投标供应商须知与投标供应商须知前附表内容不一致的，以投标供应商须知前附表为准。</w:t>
            </w:r>
          </w:p>
          <w:p>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2.发布采购公告的媒介网站供下载的采购文件与纸质采购文件不一致的，以上传至网站的采购文件为准。</w:t>
            </w:r>
          </w:p>
          <w:p>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构成本采购文件的各个组成文件应互为解释，互为说明；如有不明确或不一致，构成合同文件组成内容的，以合同主要条款约定内容为准，且以合同主要条款约定的合同文件优先顺序解释；在采购投标阶段，按采购公告、投标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23</w:t>
            </w:r>
          </w:p>
        </w:tc>
        <w:tc>
          <w:tcPr>
            <w:tcW w:w="16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采购代理服务费</w:t>
            </w:r>
          </w:p>
        </w:tc>
        <w:tc>
          <w:tcPr>
            <w:tcW w:w="729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采购代理服务费由</w:t>
            </w:r>
            <w:r>
              <w:rPr>
                <w:rFonts w:hint="eastAsia" w:ascii="宋体" w:hAnsi="宋体" w:cs="宋体"/>
                <w:color w:val="auto"/>
                <w:sz w:val="22"/>
                <w:szCs w:val="22"/>
                <w:highlight w:val="none"/>
                <w:lang w:val="en-US" w:eastAsia="zh-CN"/>
              </w:rPr>
              <w:t>各</w:t>
            </w:r>
            <w:r>
              <w:rPr>
                <w:rFonts w:hint="eastAsia" w:ascii="宋体" w:hAnsi="宋体" w:eastAsia="宋体" w:cs="宋体"/>
                <w:color w:val="auto"/>
                <w:sz w:val="22"/>
                <w:szCs w:val="22"/>
                <w:highlight w:val="none"/>
              </w:rPr>
              <w:t>中标供应商支付，在报价中不单列，按每个标项每家中标供应商固定金额人民币2000.00元收取，由中标供应商在领取</w:t>
            </w:r>
            <w:r>
              <w:rPr>
                <w:rFonts w:hint="eastAsia" w:ascii="宋体" w:hAnsi="宋体" w:eastAsia="宋体" w:cs="宋体"/>
                <w:color w:val="auto"/>
                <w:sz w:val="22"/>
                <w:szCs w:val="22"/>
                <w:highlight w:val="none"/>
                <w:lang w:eastAsia="zh-CN"/>
              </w:rPr>
              <w:t>中标通知书</w:t>
            </w:r>
            <w:r>
              <w:rPr>
                <w:rFonts w:hint="eastAsia" w:ascii="宋体" w:hAnsi="宋体" w:eastAsia="宋体" w:cs="宋体"/>
                <w:color w:val="auto"/>
                <w:sz w:val="22"/>
                <w:szCs w:val="22"/>
                <w:highlight w:val="none"/>
              </w:rPr>
              <w:t>之前支付给采购代理机构。</w:t>
            </w:r>
          </w:p>
          <w:p>
            <w:pPr>
              <w:snapToGrid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采购代理服务费可以是现金、支票或汇票。</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24</w:t>
            </w:r>
          </w:p>
        </w:tc>
        <w:tc>
          <w:tcPr>
            <w:tcW w:w="16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乐采云技术服务费</w:t>
            </w:r>
          </w:p>
        </w:tc>
        <w:tc>
          <w:tcPr>
            <w:tcW w:w="729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乐采云技术服务费由</w:t>
            </w:r>
            <w:r>
              <w:rPr>
                <w:rFonts w:hint="eastAsia" w:ascii="宋体" w:hAnsi="宋体" w:cs="宋体"/>
                <w:color w:val="auto"/>
                <w:sz w:val="22"/>
                <w:szCs w:val="22"/>
                <w:highlight w:val="none"/>
                <w:lang w:val="en-US" w:eastAsia="zh-CN"/>
              </w:rPr>
              <w:t>各</w:t>
            </w:r>
            <w:r>
              <w:rPr>
                <w:rFonts w:hint="eastAsia" w:ascii="宋体" w:hAnsi="宋体" w:eastAsia="宋体" w:cs="宋体"/>
                <w:color w:val="auto"/>
                <w:sz w:val="22"/>
                <w:szCs w:val="22"/>
                <w:highlight w:val="none"/>
              </w:rPr>
              <w:t>中标供应商于本项目中标结果公示后通过政采云平台线上支付，在报价中不单列。收费标准如下：</w:t>
            </w:r>
          </w:p>
          <w:p>
            <w:pPr>
              <w:snapToGrid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(一）不涉及具体金额的采购项目，技术服务费800元/件；</w:t>
            </w:r>
          </w:p>
          <w:p>
            <w:pPr>
              <w:snapToGrid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(二）涉及具体金额的采购项目，根据标的额，按照以下比例收取技术服务费：</w:t>
            </w:r>
          </w:p>
          <w:p>
            <w:pPr>
              <w:snapToGrid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中标价80万元以下(含80万元的)：按800元收取；</w:t>
            </w:r>
          </w:p>
          <w:p>
            <w:pPr>
              <w:snapToGrid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中标价超过80万元的：中标价的千分之一(0.1%)，以30000元封顶。</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25</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电子投标注意事项</w:t>
            </w:r>
          </w:p>
        </w:tc>
        <w:tc>
          <w:tcPr>
            <w:tcW w:w="7299" w:type="dxa"/>
            <w:tcBorders>
              <w:top w:val="single" w:color="auto" w:sz="4" w:space="0"/>
              <w:left w:val="single" w:color="auto" w:sz="4" w:space="0"/>
              <w:bottom w:val="single" w:color="auto" w:sz="4" w:space="0"/>
              <w:right w:val="single" w:color="auto" w:sz="4" w:space="0"/>
            </w:tcBorders>
            <w:vAlign w:val="center"/>
          </w:tcPr>
          <w:p>
            <w:pPr>
              <w:pStyle w:val="83"/>
              <w:numPr>
                <w:ilvl w:val="0"/>
                <w:numId w:val="1"/>
              </w:num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供应商必须先在政府采购云平台进行登记注册，相关事宜请参照（《供应商网上注册操作指南》“浙江政府采购网首页-办事指南-注册-投标供应商注册申请”），登录政府采购云平台后台依法进行网上自主下载。</w:t>
            </w:r>
          </w:p>
          <w:p>
            <w:pPr>
              <w:pStyle w:val="83"/>
              <w:numPr>
                <w:ilvl w:val="0"/>
                <w:numId w:val="1"/>
              </w:num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实行电子投标，应按照本项目采购文件和政采云平台的要求编制、加密并递交投标文件。投标供应商在使用系统进行投标的过程中遇到涉及平台使用的任何问题，可致电政采云平台技术支持热线咨询，联系方式：95763。</w:t>
            </w:r>
          </w:p>
          <w:p>
            <w:pPr>
              <w:pStyle w:val="83"/>
              <w:numPr>
                <w:ilvl w:val="0"/>
                <w:numId w:val="1"/>
              </w:num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供应商应在开标前完成CA数字证书办理。完成CA数字证书办理预计一周左右，建议各投标供应商抓紧时间办理。【（目前“政采云”平台仅支持浙江汇信或天谷CA锁，个体工商户投标仅支持浙江汇信CA锁）申领操作流程”】。因未注册入库、未办理CA数字证书等原因造成无法投标或投标失败等后果由投标供应商自行承担。《CA驱动和申领流程》：zfcg.czt.zj.gov.cn/bidClientTemplate/2019-05-27/12945.html。《CA管理操作指南》：</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"https://service.zcygov.cn/" \l "/knowledges/cm2eqWwBFdiHxlNd_otq/lwV6GXABiyELHE-oVMj3?keyword。"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sz w:val="22"/>
                <w:highlight w:val="none"/>
              </w:rPr>
              <w:t>https://service.zcygov.cn/#/knowledges/cm2eqWwBFdiHxlNd_otq/lwV6GXABiyELHE-oVMj3?keyword。</w:t>
            </w:r>
            <w:r>
              <w:rPr>
                <w:rStyle w:val="41"/>
                <w:rFonts w:hint="eastAsia" w:ascii="宋体" w:hAnsi="宋体" w:eastAsia="宋体" w:cs="宋体"/>
                <w:color w:val="auto"/>
                <w:sz w:val="22"/>
                <w:highlight w:val="none"/>
              </w:rPr>
              <w:fldChar w:fldCharType="end"/>
            </w:r>
          </w:p>
          <w:p>
            <w:pPr>
              <w:pStyle w:val="83"/>
              <w:numPr>
                <w:ilvl w:val="0"/>
                <w:numId w:val="1"/>
              </w:numPr>
              <w:spacing w:line="360" w:lineRule="auto"/>
              <w:rPr>
                <w:rFonts w:hint="eastAsia" w:ascii="宋体" w:hAnsi="宋体" w:eastAsia="宋体" w:cs="宋体"/>
                <w:color w:val="auto"/>
                <w:sz w:val="22"/>
                <w:highlight w:val="none"/>
                <w:lang w:val="en-US"/>
              </w:rPr>
            </w:pPr>
            <w:r>
              <w:rPr>
                <w:rFonts w:hint="eastAsia" w:ascii="宋体" w:hAnsi="宋体" w:eastAsia="宋体" w:cs="宋体"/>
                <w:color w:val="auto"/>
                <w:sz w:val="22"/>
                <w:highlight w:val="none"/>
              </w:rPr>
              <w:t>投标供应商通过政采云平台电子投标工具制作投标文件，电子投标工具请投标供应商自行前往浙江省政府采购网下载并安装，（电子交易客户端下载地址：zfcg.czt.zj.gov.cn/bidClientTemplate/2019-09-24/12975.html），电子投标操作指南详见：“https://edu.zcygov.cn/luban/e-biding”。</w:t>
            </w:r>
          </w:p>
          <w:p>
            <w:pPr>
              <w:pStyle w:val="83"/>
              <w:numPr>
                <w:ilvl w:val="0"/>
                <w:numId w:val="1"/>
              </w:numPr>
              <w:spacing w:line="360" w:lineRule="auto"/>
              <w:rPr>
                <w:rFonts w:hint="eastAsia" w:ascii="宋体" w:hAnsi="宋体" w:eastAsia="宋体" w:cs="宋体"/>
                <w:b/>
                <w:color w:val="auto"/>
                <w:sz w:val="22"/>
                <w:highlight w:val="none"/>
                <w:lang w:val="en-US"/>
              </w:rPr>
            </w:pPr>
            <w:r>
              <w:rPr>
                <w:rFonts w:hint="eastAsia" w:ascii="宋体" w:hAnsi="宋体" w:eastAsia="宋体" w:cs="宋体"/>
                <w:color w:val="auto"/>
                <w:sz w:val="22"/>
                <w:highlight w:val="none"/>
              </w:rPr>
              <w:t>投标供应商可通过浙江省</w:t>
            </w:r>
            <w:r>
              <w:rPr>
                <w:rFonts w:hint="eastAsia" w:ascii="宋体" w:hAnsi="宋体" w:eastAsia="宋体" w:cs="宋体"/>
                <w:color w:val="auto"/>
                <w:sz w:val="22"/>
                <w:highlight w:val="none"/>
                <w:lang w:val="en-US"/>
              </w:rPr>
              <w:t>“</w:t>
            </w:r>
            <w:r>
              <w:rPr>
                <w:rFonts w:hint="eastAsia" w:ascii="宋体" w:hAnsi="宋体" w:eastAsia="宋体" w:cs="宋体"/>
                <w:color w:val="auto"/>
                <w:sz w:val="22"/>
                <w:highlight w:val="none"/>
              </w:rPr>
              <w:t>电子交易</w:t>
            </w:r>
            <w:r>
              <w:rPr>
                <w:rFonts w:hint="eastAsia" w:ascii="宋体" w:hAnsi="宋体" w:eastAsia="宋体" w:cs="宋体"/>
                <w:color w:val="auto"/>
                <w:sz w:val="22"/>
                <w:highlight w:val="none"/>
                <w:lang w:val="en-US"/>
              </w:rPr>
              <w:t>/</w:t>
            </w:r>
            <w:r>
              <w:rPr>
                <w:rFonts w:hint="eastAsia" w:ascii="宋体" w:hAnsi="宋体" w:eastAsia="宋体" w:cs="宋体"/>
                <w:color w:val="auto"/>
                <w:sz w:val="22"/>
                <w:highlight w:val="none"/>
              </w:rPr>
              <w:t>不见面开评标</w:t>
            </w:r>
            <w:r>
              <w:rPr>
                <w:rFonts w:hint="eastAsia" w:ascii="宋体" w:hAnsi="宋体" w:eastAsia="宋体" w:cs="宋体"/>
                <w:color w:val="auto"/>
                <w:sz w:val="22"/>
                <w:highlight w:val="none"/>
                <w:lang w:val="en-US"/>
              </w:rPr>
              <w:t>”</w:t>
            </w:r>
            <w:r>
              <w:rPr>
                <w:rFonts w:hint="eastAsia" w:ascii="宋体" w:hAnsi="宋体" w:eastAsia="宋体" w:cs="宋体"/>
                <w:color w:val="auto"/>
                <w:sz w:val="22"/>
                <w:highlight w:val="none"/>
              </w:rPr>
              <w:t>学习专题提前进行专题学习</w:t>
            </w:r>
            <w:r>
              <w:rPr>
                <w:rFonts w:hint="eastAsia" w:ascii="宋体" w:hAnsi="宋体" w:eastAsia="宋体" w:cs="宋体"/>
                <w:color w:val="auto"/>
                <w:sz w:val="22"/>
                <w:highlight w:val="none"/>
                <w:lang w:val="en-US"/>
              </w:rPr>
              <w:t>，</w:t>
            </w:r>
            <w:r>
              <w:rPr>
                <w:rFonts w:hint="eastAsia" w:ascii="宋体" w:hAnsi="宋体" w:eastAsia="宋体" w:cs="宋体"/>
                <w:color w:val="auto"/>
                <w:sz w:val="22"/>
                <w:highlight w:val="none"/>
              </w:rPr>
              <w:t>熟悉操作</w:t>
            </w:r>
            <w:r>
              <w:rPr>
                <w:rFonts w:hint="eastAsia" w:ascii="宋体" w:hAnsi="宋体" w:eastAsia="宋体" w:cs="宋体"/>
                <w:color w:val="auto"/>
                <w:sz w:val="22"/>
                <w:highlight w:val="none"/>
                <w:lang w:val="en-US"/>
              </w:rPr>
              <w:t>，</w:t>
            </w:r>
            <w:r>
              <w:rPr>
                <w:rFonts w:hint="eastAsia" w:ascii="宋体" w:hAnsi="宋体" w:eastAsia="宋体" w:cs="宋体"/>
                <w:color w:val="auto"/>
                <w:sz w:val="22"/>
                <w:highlight w:val="none"/>
              </w:rPr>
              <w:t>避免影响采购活动</w:t>
            </w:r>
            <w:r>
              <w:rPr>
                <w:rFonts w:hint="eastAsia" w:ascii="宋体" w:hAnsi="宋体" w:eastAsia="宋体" w:cs="宋体"/>
                <w:color w:val="auto"/>
                <w:sz w:val="22"/>
                <w:highlight w:val="none"/>
                <w:lang w:val="en-US"/>
              </w:rPr>
              <w:t>（https://edu.zcygov.cn/luban/e-biding）</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rPr>
              <w:t> </w:t>
            </w:r>
          </w:p>
        </w:tc>
      </w:tr>
      <w:tr>
        <w:tblPrEx>
          <w:tblCellMar>
            <w:top w:w="0" w:type="dxa"/>
            <w:left w:w="108" w:type="dxa"/>
            <w:bottom w:w="0" w:type="dxa"/>
            <w:right w:w="108" w:type="dxa"/>
          </w:tblCellMar>
        </w:tblPrEx>
        <w:trPr>
          <w:trHeight w:val="39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26</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其它</w:t>
            </w:r>
          </w:p>
        </w:tc>
        <w:tc>
          <w:tcPr>
            <w:tcW w:w="729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1.公开招标公告属于本采购文件的一部分</w:t>
            </w:r>
          </w:p>
          <w:p>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2.请务必确保投标文件制作客户端为最新版本，旧版本可能导致投标文件解密失败。</w:t>
            </w:r>
            <w:bookmarkStart w:id="317" w:name="_GoBack"/>
            <w:bookmarkEnd w:id="317"/>
          </w:p>
          <w:p>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3.请务必确保投标文件制作时所用的 CA 锁与投标文件解密时的 CA 锁为同一把，否则可能导致投标文件解密失败。</w:t>
            </w:r>
          </w:p>
          <w:p>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4.在投标文件解密前，请务必检验 CA 锁与所用电脑的兼容性，部分电脑因 CA 驱动未正常安装、USB 接口兼容性差等原因可能造成投标文件解密失败。</w:t>
            </w:r>
          </w:p>
          <w:p>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5.投标供应商未按采购文件规定及提醒操作的，引起的一切后果由投标供应商自行负责。</w:t>
            </w:r>
          </w:p>
          <w:p>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6.客户端填写的内容与以pdf格式上传文件中不一致的，应以Pdf格式上传文件中的内容为准。</w:t>
            </w:r>
          </w:p>
          <w:p>
            <w:pPr>
              <w:pStyle w:val="83"/>
              <w:spacing w:line="360" w:lineRule="auto"/>
              <w:rPr>
                <w:rStyle w:val="37"/>
                <w:rFonts w:hint="eastAsia" w:ascii="宋体" w:hAnsi="宋体" w:eastAsia="宋体" w:cs="宋体"/>
                <w:color w:val="auto"/>
                <w:sz w:val="22"/>
                <w:highlight w:val="none"/>
              </w:rPr>
            </w:pPr>
            <w:r>
              <w:rPr>
                <w:rFonts w:hint="eastAsia" w:ascii="宋体" w:hAnsi="宋体" w:eastAsia="宋体" w:cs="宋体"/>
                <w:b/>
                <w:color w:val="auto"/>
                <w:sz w:val="22"/>
                <w:highlight w:val="none"/>
                <w:lang w:val="en-US"/>
              </w:rPr>
              <w:t>7.投标截止时间同</w:t>
            </w:r>
            <w:r>
              <w:rPr>
                <w:rStyle w:val="37"/>
                <w:rFonts w:hint="eastAsia" w:ascii="宋体" w:hAnsi="宋体" w:eastAsia="宋体" w:cs="宋体"/>
                <w:color w:val="auto"/>
                <w:sz w:val="22"/>
                <w:highlight w:val="none"/>
              </w:rPr>
              <w:t>提交投标文件截止时间。</w:t>
            </w:r>
          </w:p>
          <w:p>
            <w:pPr>
              <w:pStyle w:val="83"/>
              <w:spacing w:line="360" w:lineRule="auto"/>
              <w:rPr>
                <w:rStyle w:val="37"/>
                <w:rFonts w:hint="default" w:ascii="宋体" w:hAnsi="宋体" w:eastAsia="宋体" w:cs="宋体"/>
                <w:color w:val="auto"/>
                <w:sz w:val="22"/>
                <w:highlight w:val="none"/>
                <w:lang w:val="en-US" w:eastAsia="zh-CN"/>
              </w:rPr>
            </w:pPr>
            <w:r>
              <w:rPr>
                <w:rStyle w:val="37"/>
                <w:rFonts w:hint="eastAsia" w:cs="宋体"/>
                <w:color w:val="auto"/>
                <w:sz w:val="22"/>
                <w:highlight w:val="none"/>
                <w:lang w:val="en-US" w:eastAsia="zh-CN"/>
              </w:rPr>
              <w:t>8.各投标供应商按标项分别制作投标文件、分别通过政采云平台在线提交投标文件。</w:t>
            </w:r>
          </w:p>
        </w:tc>
      </w:tr>
    </w:tbl>
    <w:p>
      <w:pPr>
        <w:pStyle w:val="13"/>
        <w:ind w:left="522" w:hanging="522"/>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26"/>
          <w:szCs w:val="26"/>
          <w:highlight w:val="none"/>
        </w:rPr>
        <w:br w:type="page"/>
      </w:r>
      <w:bookmarkStart w:id="114" w:name="_Toc12687"/>
      <w:bookmarkStart w:id="115" w:name="_Toc14416"/>
      <w:bookmarkStart w:id="116" w:name="_Toc13745"/>
      <w:bookmarkStart w:id="117" w:name="_Toc31569"/>
      <w:bookmarkStart w:id="118" w:name="_Toc30701"/>
      <w:bookmarkStart w:id="119" w:name="_Toc12565"/>
      <w:bookmarkStart w:id="120" w:name="_Toc16008"/>
      <w:r>
        <w:rPr>
          <w:rFonts w:hint="eastAsia" w:ascii="宋体" w:hAnsi="宋体" w:eastAsia="宋体" w:cs="宋体"/>
          <w:b/>
          <w:bCs/>
          <w:color w:val="auto"/>
          <w:sz w:val="26"/>
          <w:szCs w:val="26"/>
          <w:highlight w:val="none"/>
        </w:rPr>
        <w:t>一、说   明</w:t>
      </w:r>
      <w:bookmarkEnd w:id="114"/>
      <w:bookmarkEnd w:id="115"/>
      <w:bookmarkEnd w:id="116"/>
      <w:bookmarkEnd w:id="117"/>
      <w:bookmarkEnd w:id="118"/>
      <w:bookmarkEnd w:id="119"/>
      <w:bookmarkEnd w:id="120"/>
    </w:p>
    <w:p>
      <w:pPr>
        <w:tabs>
          <w:tab w:val="left" w:pos="360"/>
        </w:tabs>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highlight w:val="none"/>
        </w:rPr>
        <w:t>本次采购是根据《温州市市属国有企业采购管理办法（试行）》的相关规定组织实施。</w:t>
      </w:r>
    </w:p>
    <w:p>
      <w:pPr>
        <w:tabs>
          <w:tab w:val="left" w:pos="360"/>
        </w:tabs>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color w:val="auto"/>
          <w:sz w:val="22"/>
          <w:highlight w:val="none"/>
        </w:rPr>
        <w:t>定义</w:t>
      </w:r>
    </w:p>
    <w:p>
      <w:pPr>
        <w:numPr>
          <w:ilvl w:val="0"/>
          <w:numId w:val="2"/>
        </w:numPr>
        <w:tabs>
          <w:tab w:val="left" w:pos="360"/>
        </w:tabs>
        <w:spacing w:line="360" w:lineRule="auto"/>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系指温州市公用事业发展集团有限公司、温州市城市建设发展集团有限公司、温州市现代服务业发展集团有限公司、温州市交通运输集团有限公司、温州市工业与能源发展集团有限公司、温州市交通发展集团有限公司、温州市铁路与轨道交通投资集团有限公司、温州市国有资本投资运营有限公司、温州建设集团有限公司、温州设计集团有限公司</w:t>
      </w:r>
      <w:r>
        <w:rPr>
          <w:rFonts w:hint="eastAsia" w:ascii="宋体" w:hAnsi="宋体" w:cs="宋体"/>
          <w:color w:val="auto"/>
          <w:sz w:val="22"/>
          <w:highlight w:val="none"/>
          <w:lang w:eastAsia="zh-CN"/>
        </w:rPr>
        <w:t>。</w:t>
      </w:r>
    </w:p>
    <w:p>
      <w:pPr>
        <w:numPr>
          <w:ilvl w:val="0"/>
          <w:numId w:val="2"/>
        </w:numPr>
        <w:tabs>
          <w:tab w:val="left" w:pos="360"/>
        </w:tabs>
        <w:spacing w:line="360" w:lineRule="auto"/>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“采购代理机构”系指组织本次招标的浙江乐诚工程咨询有限公司</w:t>
      </w:r>
      <w:r>
        <w:rPr>
          <w:rFonts w:hint="eastAsia" w:ascii="宋体" w:hAnsi="宋体" w:cs="宋体"/>
          <w:color w:val="auto"/>
          <w:sz w:val="22"/>
          <w:highlight w:val="none"/>
          <w:lang w:eastAsia="zh-CN"/>
        </w:rPr>
        <w:t>。</w:t>
      </w:r>
    </w:p>
    <w:p>
      <w:pPr>
        <w:numPr>
          <w:ilvl w:val="0"/>
          <w:numId w:val="2"/>
        </w:numPr>
        <w:tabs>
          <w:tab w:val="left" w:pos="360"/>
        </w:tabs>
        <w:spacing w:line="360" w:lineRule="auto"/>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“投标供应商”系指响应招标、参加投标竞争的法人、其他组织或者自然人</w:t>
      </w:r>
      <w:r>
        <w:rPr>
          <w:rFonts w:hint="eastAsia" w:ascii="宋体" w:hAnsi="宋体" w:cs="宋体"/>
          <w:color w:val="auto"/>
          <w:sz w:val="22"/>
          <w:highlight w:val="none"/>
          <w:lang w:eastAsia="zh-CN"/>
        </w:rPr>
        <w:t>。</w:t>
      </w:r>
    </w:p>
    <w:p>
      <w:pPr>
        <w:numPr>
          <w:ilvl w:val="0"/>
          <w:numId w:val="2"/>
        </w:numPr>
        <w:tabs>
          <w:tab w:val="left" w:pos="360"/>
        </w:tabs>
        <w:spacing w:line="360" w:lineRule="auto"/>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“书面形式”包括合同书、信件和数据电文(包括电报、电传、传真、电子数据交换和电子邮件）等可以有形地表现所载内容的形式</w:t>
      </w:r>
      <w:r>
        <w:rPr>
          <w:rFonts w:hint="eastAsia" w:ascii="宋体" w:hAnsi="宋体" w:cs="宋体"/>
          <w:color w:val="auto"/>
          <w:sz w:val="22"/>
          <w:highlight w:val="none"/>
          <w:lang w:eastAsia="zh-CN"/>
        </w:rPr>
        <w:t>。</w:t>
      </w:r>
    </w:p>
    <w:p>
      <w:pPr>
        <w:numPr>
          <w:ilvl w:val="0"/>
          <w:numId w:val="2"/>
        </w:numPr>
        <w:tabs>
          <w:tab w:val="left" w:pos="360"/>
        </w:tabs>
        <w:spacing w:line="360" w:lineRule="auto"/>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r>
        <w:rPr>
          <w:rFonts w:hint="eastAsia" w:ascii="宋体" w:hAnsi="宋体" w:cs="宋体"/>
          <w:color w:val="auto"/>
          <w:sz w:val="22"/>
          <w:highlight w:val="none"/>
          <w:lang w:eastAsia="zh-CN"/>
        </w:rPr>
        <w:t>。</w:t>
      </w:r>
    </w:p>
    <w:p>
      <w:pPr>
        <w:numPr>
          <w:ilvl w:val="0"/>
          <w:numId w:val="2"/>
        </w:numPr>
        <w:tabs>
          <w:tab w:val="left" w:pos="360"/>
        </w:tabs>
        <w:spacing w:line="360" w:lineRule="auto"/>
        <w:ind w:left="0" w:firstLine="440" w:firstLineChars="200"/>
        <w:rPr>
          <w:rFonts w:hint="eastAsia" w:ascii="宋体" w:hAnsi="宋体" w:eastAsia="宋体" w:cs="宋体"/>
          <w:color w:val="auto"/>
          <w:sz w:val="22"/>
          <w:highlight w:val="none"/>
        </w:rPr>
      </w:pPr>
      <w:bookmarkStart w:id="121" w:name="_Hlk96327615"/>
      <w:r>
        <w:rPr>
          <w:rFonts w:hint="eastAsia" w:ascii="宋体" w:hAnsi="宋体" w:eastAsia="宋体" w:cs="宋体"/>
          <w:color w:val="auto"/>
          <w:sz w:val="22"/>
          <w:highlight w:val="none"/>
        </w:rPr>
        <w:t>“电子签章”系指数据电文中以电子形式所含、所附用于识别签名人身份并表明签名人认可其中内容的数据；“公章”系指单位法定名称章。</w:t>
      </w:r>
    </w:p>
    <w:p>
      <w:pPr>
        <w:numPr>
          <w:ilvl w:val="0"/>
          <w:numId w:val="2"/>
        </w:numPr>
        <w:tabs>
          <w:tab w:val="left" w:pos="360"/>
        </w:tabs>
        <w:spacing w:line="360" w:lineRule="auto"/>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采购文件对投标文件签署、盖章的要求适用于电子签章或公章。</w:t>
      </w:r>
    </w:p>
    <w:bookmarkEnd w:id="121"/>
    <w:p>
      <w:pPr>
        <w:numPr>
          <w:ilvl w:val="0"/>
          <w:numId w:val="2"/>
        </w:numPr>
        <w:tabs>
          <w:tab w:val="left" w:pos="360"/>
        </w:tabs>
        <w:spacing w:line="360" w:lineRule="auto"/>
        <w:ind w:left="0"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rPr>
        <w:t>“▲且加下划线”系指实质性要求条款，投标供应商应当做出实质性响应。</w:t>
      </w:r>
    </w:p>
    <w:p>
      <w:pPr>
        <w:tabs>
          <w:tab w:val="left" w:pos="360"/>
        </w:tabs>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3．合格投标供应商：</w:t>
      </w:r>
      <w:r>
        <w:rPr>
          <w:rFonts w:hint="eastAsia" w:ascii="宋体" w:hAnsi="宋体" w:eastAsia="宋体" w:cs="宋体"/>
          <w:color w:val="auto"/>
          <w:sz w:val="22"/>
          <w:highlight w:val="none"/>
        </w:rPr>
        <w:t>详见投标供应商须知前附表。</w:t>
      </w:r>
    </w:p>
    <w:p>
      <w:pPr>
        <w:tabs>
          <w:tab w:val="left" w:pos="360"/>
        </w:tabs>
        <w:spacing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4．投标供应商代表</w:t>
      </w:r>
    </w:p>
    <w:p>
      <w:pPr>
        <w:tabs>
          <w:tab w:val="left" w:pos="360"/>
        </w:tabs>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4.1指全权代表投标供应商参加投标活动并签署投标文件的人，如果投标供应商代表不是法定代表人，须持有《法定代表人授权书》（见附件）。</w:t>
      </w:r>
    </w:p>
    <w:p>
      <w:pPr>
        <w:tabs>
          <w:tab w:val="left" w:pos="360"/>
        </w:tabs>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根据《温州市市属国有企业采购管理办法（试行）》规定并满足采购文件规定资格条件的区域性分支机构、个体工商户、个人独资企业、合伙企业参加本项目投标并由单位负责人签署的相关投标资料与本采购文件规定由法定代表人签署的的文件材料具有同等效力。</w:t>
      </w:r>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5．投标费用</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投标供应商应承担所有与准备和参加投标有关费用，不论投标的结果如何，采购人或采购代理机构均无义务和责任承担这些费用。</w:t>
      </w:r>
    </w:p>
    <w:p>
      <w:pPr>
        <w:spacing w:line="360" w:lineRule="auto"/>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6．特别说明</w:t>
      </w:r>
    </w:p>
    <w:p>
      <w:pPr>
        <w:spacing w:line="360" w:lineRule="auto"/>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6.1投标供应商应仔细阅读采购文件的所有内容，按照采购文件的要求提交投标文件，并对所提供的全部资料的真实性承担法律责任。</w:t>
      </w:r>
    </w:p>
    <w:p>
      <w:pPr>
        <w:spacing w:line="360" w:lineRule="auto"/>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6.2</w:t>
      </w:r>
      <w:r>
        <w:rPr>
          <w:rFonts w:hint="eastAsia" w:ascii="宋体" w:hAnsi="宋体" w:eastAsia="宋体" w:cs="宋体"/>
          <w:b/>
          <w:bCs/>
          <w:color w:val="auto"/>
          <w:spacing w:val="6"/>
          <w:sz w:val="22"/>
          <w:highlight w:val="none"/>
        </w:rPr>
        <w:t>单位负责人为同一人或者存在直接控股、管理关系的不同投标供应商，不得参加同一合同项下的采购活动。</w:t>
      </w:r>
    </w:p>
    <w:p>
      <w:pPr>
        <w:spacing w:line="360" w:lineRule="auto"/>
        <w:ind w:firstLine="466" w:firstLineChars="200"/>
        <w:rPr>
          <w:rFonts w:hint="eastAsia" w:ascii="宋体" w:hAnsi="宋体" w:eastAsia="宋体" w:cs="宋体"/>
          <w:b/>
          <w:bCs/>
          <w:color w:val="auto"/>
          <w:spacing w:val="6"/>
          <w:sz w:val="22"/>
          <w:highlight w:val="none"/>
        </w:rPr>
      </w:pPr>
      <w:r>
        <w:rPr>
          <w:rFonts w:hint="eastAsia" w:ascii="宋体" w:hAnsi="宋体" w:cs="宋体"/>
          <w:b/>
          <w:bCs/>
          <w:color w:val="auto"/>
          <w:spacing w:val="6"/>
          <w:sz w:val="22"/>
          <w:highlight w:val="none"/>
          <w:lang w:val="en-US" w:eastAsia="zh-CN"/>
        </w:rPr>
        <w:t>6.3</w:t>
      </w:r>
      <w:r>
        <w:rPr>
          <w:rFonts w:hint="eastAsia" w:ascii="宋体" w:hAnsi="宋体" w:eastAsia="宋体" w:cs="宋体"/>
          <w:b/>
          <w:bCs/>
          <w:color w:val="auto"/>
          <w:spacing w:val="6"/>
          <w:sz w:val="22"/>
          <w:highlight w:val="none"/>
        </w:rPr>
        <w:t>投标供应商在投标活动中提供任何虚假材料，其投标无效，并报监管部门查处；中标后发现的，中标供应商须依照《中华人民共和国消费者权益保护法》第55条之规定三倍赔偿采购人，且民事赔偿并不免除违法投标供应商的行政与刑事责任。</w:t>
      </w:r>
    </w:p>
    <w:p>
      <w:pPr>
        <w:spacing w:line="360" w:lineRule="auto"/>
        <w:jc w:val="center"/>
        <w:outlineLvl w:val="1"/>
        <w:rPr>
          <w:rFonts w:hint="eastAsia" w:ascii="宋体" w:hAnsi="宋体" w:eastAsia="宋体" w:cs="宋体"/>
          <w:b/>
          <w:bCs/>
          <w:color w:val="auto"/>
          <w:kern w:val="0"/>
          <w:sz w:val="26"/>
          <w:szCs w:val="26"/>
          <w:highlight w:val="none"/>
        </w:rPr>
      </w:pPr>
      <w:bookmarkStart w:id="122" w:name="_Toc10882"/>
      <w:bookmarkStart w:id="123" w:name="_Toc25977"/>
      <w:bookmarkStart w:id="124" w:name="_Toc12612"/>
      <w:bookmarkStart w:id="125" w:name="_Toc30331"/>
      <w:bookmarkStart w:id="126" w:name="_Toc20225"/>
      <w:bookmarkStart w:id="127" w:name="_Toc1981"/>
      <w:bookmarkStart w:id="128" w:name="_Toc7971"/>
      <w:r>
        <w:rPr>
          <w:rFonts w:hint="eastAsia" w:ascii="宋体" w:hAnsi="宋体" w:eastAsia="宋体" w:cs="宋体"/>
          <w:b/>
          <w:bCs/>
          <w:color w:val="auto"/>
          <w:kern w:val="0"/>
          <w:sz w:val="26"/>
          <w:szCs w:val="26"/>
          <w:highlight w:val="none"/>
        </w:rPr>
        <w:t>二、采购文件</w:t>
      </w:r>
      <w:bookmarkEnd w:id="122"/>
      <w:bookmarkEnd w:id="123"/>
      <w:bookmarkEnd w:id="124"/>
      <w:bookmarkEnd w:id="125"/>
      <w:bookmarkEnd w:id="126"/>
      <w:bookmarkEnd w:id="127"/>
      <w:bookmarkEnd w:id="128"/>
    </w:p>
    <w:p>
      <w:pPr>
        <w:tabs>
          <w:tab w:val="left" w:pos="360"/>
        </w:tabs>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1．采购文件由采购文件目录所列内容及相关资料组成。</w:t>
      </w:r>
    </w:p>
    <w:p>
      <w:pPr>
        <w:tabs>
          <w:tab w:val="left" w:pos="360"/>
        </w:tabs>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2．采购文件的澄清</w:t>
      </w:r>
    </w:p>
    <w:p>
      <w:pPr>
        <w:tabs>
          <w:tab w:val="left" w:pos="360"/>
        </w:tabs>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任何要求对采购文件进行澄清的投标供应商，均应以书面形式通知，但该通知在知道或应知道其权益受到损害之日起七个工作日内以使采购人或采购代理机构收到，采购人或采购代理机构将以书面形式予以答复。如有必要，可将不说明问题来源的答复发给各投标文件收受人或召开答疑会。如果采购文件澄清期内未收到有关澄清要求，视为投标供应商完全同意采购文件所有条款，且对于采购文件有关表述以及未尽事宜如有异议，以采购人或采购代理机构解释为准。</w:t>
      </w:r>
    </w:p>
    <w:p>
      <w:pPr>
        <w:tabs>
          <w:tab w:val="left" w:pos="360"/>
        </w:tabs>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3．采购文件的修改</w:t>
      </w:r>
    </w:p>
    <w:p>
      <w:pPr>
        <w:spacing w:line="360" w:lineRule="auto"/>
        <w:ind w:firstLine="440" w:firstLineChars="200"/>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3.1采购人或采购代理机构对已发出的采购文件进行必要的澄清或者修改的，</w:t>
      </w:r>
      <w:r>
        <w:rPr>
          <w:rFonts w:hint="eastAsia" w:ascii="宋体" w:hAnsi="宋体" w:eastAsia="宋体" w:cs="宋体"/>
          <w:color w:val="auto"/>
          <w:sz w:val="22"/>
          <w:szCs w:val="22"/>
          <w:highlight w:val="none"/>
        </w:rPr>
        <w:t>且澄清或者修改的内容可能影响投标文件编制的，</w:t>
      </w:r>
      <w:r>
        <w:rPr>
          <w:rFonts w:hint="eastAsia" w:ascii="宋体" w:hAnsi="宋体" w:eastAsia="宋体" w:cs="宋体"/>
          <w:color w:val="auto"/>
          <w:sz w:val="22"/>
          <w:highlight w:val="none"/>
        </w:rPr>
        <w:t>应当在采购文件要求递交投标文件截止时间十五日前（</w:t>
      </w:r>
      <w:r>
        <w:rPr>
          <w:rFonts w:hint="eastAsia" w:ascii="宋体" w:hAnsi="宋体" w:eastAsia="宋体" w:cs="宋体"/>
          <w:color w:val="auto"/>
          <w:spacing w:val="6"/>
          <w:sz w:val="22"/>
          <w:highlight w:val="none"/>
        </w:rPr>
        <w:t>不足15日的，采购人或者采购代理机构应当顺延提交投标文件的截止时间。</w:t>
      </w:r>
      <w:r>
        <w:rPr>
          <w:rFonts w:hint="eastAsia" w:ascii="宋体" w:hAnsi="宋体" w:eastAsia="宋体" w:cs="宋体"/>
          <w:color w:val="auto"/>
          <w:sz w:val="22"/>
          <w:highlight w:val="none"/>
        </w:rPr>
        <w:t>），</w:t>
      </w:r>
      <w:r>
        <w:rPr>
          <w:rFonts w:hint="eastAsia" w:ascii="宋体" w:hAnsi="宋体" w:eastAsia="宋体" w:cs="宋体"/>
          <w:color w:val="auto"/>
          <w:sz w:val="22"/>
          <w:szCs w:val="22"/>
          <w:highlight w:val="none"/>
        </w:rPr>
        <w:t>在</w:t>
      </w:r>
      <w:r>
        <w:rPr>
          <w:rFonts w:hint="eastAsia" w:ascii="宋体" w:hAnsi="宋体" w:eastAsia="宋体" w:cs="宋体"/>
          <w:color w:val="auto"/>
          <w:kern w:val="0"/>
          <w:sz w:val="22"/>
          <w:szCs w:val="22"/>
          <w:highlight w:val="none"/>
        </w:rPr>
        <w:t>温州市公用事业发展集团有限公司网、温州市城市建设发展集团有限公司、温州市现代服务业发展集团有限公司、温州市交通运输集团有限公司、温州市工业与能源发展集团有限公司、温州市交通发展集团有限公司、温州市铁路与轨道交通投资集团有限公司、温州市国有资本投资运营有限公司、温州建设集团有限公司、温州设计集团有限公司、温州国企采购平台及浙江政府采购网</w:t>
      </w:r>
      <w:r>
        <w:rPr>
          <w:rFonts w:hint="eastAsia" w:ascii="宋体" w:hAnsi="宋体" w:eastAsia="宋体" w:cs="宋体"/>
          <w:color w:val="auto"/>
          <w:sz w:val="22"/>
          <w:highlight w:val="none"/>
        </w:rPr>
        <w:t>上发布更正公告，</w:t>
      </w:r>
      <w:r>
        <w:rPr>
          <w:rStyle w:val="37"/>
          <w:rFonts w:hint="eastAsia" w:ascii="宋体" w:hAnsi="宋体" w:eastAsia="宋体" w:cs="宋体"/>
          <w:b w:val="0"/>
          <w:color w:val="auto"/>
          <w:sz w:val="22"/>
          <w:highlight w:val="none"/>
        </w:rPr>
        <w:t>同时政采云系统会向所有已按采购文件规定方式获取采购文件的潜在投标供应商发送更正提醒信息，潜在投标供应商请自行到浙江省政府采购网上下载公告附件，潜在投标供应商在收到该公告附件后应于1日内，以书面或传真形式（签署意见并加盖电子签章或公章）向采购代理机构回函给予确认。过期未回复的，视为默认接受</w:t>
      </w:r>
      <w:r>
        <w:rPr>
          <w:rFonts w:hint="eastAsia" w:ascii="宋体" w:hAnsi="宋体" w:eastAsia="宋体" w:cs="宋体"/>
          <w:color w:val="auto"/>
          <w:spacing w:val="6"/>
          <w:sz w:val="22"/>
          <w:highlight w:val="none"/>
        </w:rPr>
        <w:t>，并受其约束。</w:t>
      </w:r>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rPr>
        <w:t>3.2采购人、采购代</w:t>
      </w:r>
      <w:r>
        <w:rPr>
          <w:rFonts w:hint="eastAsia" w:ascii="宋体" w:hAnsi="宋体" w:eastAsia="宋体" w:cs="宋体"/>
          <w:color w:val="auto"/>
          <w:sz w:val="22"/>
          <w:szCs w:val="22"/>
          <w:highlight w:val="none"/>
        </w:rPr>
        <w:t>理机构可以视采购的具体情况决定是否延长投标文件递交截止时间和开标时间，并在采购文件要求递交投标文件的截止时间三日前，将变更时间书面通知所有采购文件收受人，同时在温州市公用事业发展集团有限公司网、温州市城市建设发展集团有限公司、温州市现代服务业发展集团有限公司、温州市交通运输集团有限公司、温州市工业与能源发展集团有限公司、温州市交通发展集团有限公司、温州市铁路与轨道交通投资集团有限公司、温州市国有资本投资运营有限公司、温州建设集团有限公司、温州设计集团有限公司、温州国企采购平台及浙江政府采购网</w:t>
      </w:r>
      <w:r>
        <w:rPr>
          <w:rFonts w:hint="eastAsia" w:ascii="宋体" w:hAnsi="宋体" w:eastAsia="宋体" w:cs="宋体"/>
          <w:color w:val="auto"/>
          <w:sz w:val="22"/>
          <w:highlight w:val="none"/>
        </w:rPr>
        <w:t>上发布变更公告。</w:t>
      </w:r>
      <w:r>
        <w:rPr>
          <w:rStyle w:val="37"/>
          <w:rFonts w:hint="eastAsia" w:ascii="宋体" w:hAnsi="宋体" w:eastAsia="宋体" w:cs="宋体"/>
          <w:b w:val="0"/>
          <w:color w:val="auto"/>
          <w:sz w:val="22"/>
          <w:highlight w:val="none"/>
        </w:rPr>
        <w:t>同时政采云系统会向所有已按采购文件规定方式获取采购文件的潜在投标供应商发送更正提醒信息，潜在投标供应商请自行到浙江省政府采购网上下载公告附件，潜在投标供应商在收到该公告附件后应于1日内，以书面或传真形式（签署意见并加盖电子签章或公章）向采购代理机构回函给予确认。过期未回复的，视为默认接受</w:t>
      </w:r>
      <w:r>
        <w:rPr>
          <w:rFonts w:hint="eastAsia" w:ascii="宋体" w:hAnsi="宋体" w:eastAsia="宋体" w:cs="宋体"/>
          <w:color w:val="auto"/>
          <w:spacing w:val="6"/>
          <w:sz w:val="22"/>
          <w:highlight w:val="none"/>
        </w:rPr>
        <w:t>，并受其约束。</w:t>
      </w:r>
    </w:p>
    <w:p>
      <w:pPr>
        <w:spacing w:line="360" w:lineRule="auto"/>
        <w:jc w:val="center"/>
        <w:outlineLvl w:val="1"/>
        <w:rPr>
          <w:rFonts w:hint="eastAsia" w:ascii="宋体" w:hAnsi="宋体" w:eastAsia="宋体" w:cs="宋体"/>
          <w:b/>
          <w:bCs/>
          <w:color w:val="auto"/>
          <w:kern w:val="0"/>
          <w:sz w:val="26"/>
          <w:szCs w:val="26"/>
          <w:highlight w:val="none"/>
        </w:rPr>
      </w:pPr>
      <w:bookmarkStart w:id="129" w:name="_Toc24556"/>
      <w:bookmarkStart w:id="130" w:name="_Toc8694"/>
      <w:bookmarkStart w:id="131" w:name="_Toc7268"/>
      <w:bookmarkStart w:id="132" w:name="_Toc1177"/>
      <w:bookmarkStart w:id="133" w:name="_Toc22094"/>
      <w:bookmarkStart w:id="134" w:name="_Toc10836"/>
      <w:bookmarkStart w:id="135" w:name="_Toc18284"/>
      <w:r>
        <w:rPr>
          <w:rFonts w:hint="eastAsia" w:ascii="宋体" w:hAnsi="宋体" w:eastAsia="宋体" w:cs="宋体"/>
          <w:b/>
          <w:bCs/>
          <w:color w:val="auto"/>
          <w:kern w:val="0"/>
          <w:sz w:val="26"/>
          <w:szCs w:val="26"/>
          <w:highlight w:val="none"/>
        </w:rPr>
        <w:t>三、投标文件的编制</w:t>
      </w:r>
      <w:bookmarkEnd w:id="129"/>
      <w:bookmarkEnd w:id="130"/>
      <w:bookmarkEnd w:id="131"/>
      <w:bookmarkEnd w:id="132"/>
      <w:bookmarkEnd w:id="133"/>
      <w:bookmarkEnd w:id="134"/>
      <w:bookmarkEnd w:id="135"/>
    </w:p>
    <w:p>
      <w:pPr>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 投标文件的形式</w:t>
      </w:r>
    </w:p>
    <w:p>
      <w:pPr>
        <w:pStyle w:val="17"/>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投标文件分为电子投标文件以及备份投标文件，备份投标文件为以介质存储的数据电文形式的备份投标文件。</w:t>
      </w:r>
    </w:p>
    <w:p>
      <w:pPr>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1.1电子投标文件，通过政采云电子交易客户端（政采云投标客户端）完成投标文件编制后生成并加密的数据电文形式的投标文件（文件扩展名为.jmbs）</w:t>
      </w:r>
      <w:r>
        <w:rPr>
          <w:rFonts w:hint="eastAsia" w:ascii="宋体" w:hAnsi="宋体" w:eastAsia="宋体" w:cs="宋体"/>
          <w:color w:val="auto"/>
          <w:kern w:val="0"/>
          <w:sz w:val="22"/>
          <w:szCs w:val="22"/>
          <w:highlight w:val="none"/>
        </w:rPr>
        <w:t>。</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1.2以介质存储的数据电文形式的备份投标文件：</w:t>
      </w:r>
      <w:r>
        <w:rPr>
          <w:rStyle w:val="37"/>
          <w:rFonts w:hint="eastAsia" w:ascii="宋体" w:hAnsi="宋体" w:eastAsia="宋体" w:cs="宋体"/>
          <w:b w:val="0"/>
          <w:color w:val="auto"/>
          <w:sz w:val="22"/>
          <w:szCs w:val="22"/>
          <w:highlight w:val="none"/>
        </w:rPr>
        <w:t>与“电子投标文件”同时生成的数据电文形式的备份投标文件</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文件扩展名为</w:t>
      </w:r>
      <w:r>
        <w:rPr>
          <w:rFonts w:hint="eastAsia" w:ascii="宋体" w:hAnsi="宋体" w:eastAsia="宋体" w:cs="宋体"/>
          <w:color w:val="auto"/>
          <w:sz w:val="22"/>
          <w:szCs w:val="22"/>
          <w:highlight w:val="none"/>
        </w:rPr>
        <w:t>.bfbs），</w:t>
      </w:r>
      <w:r>
        <w:rPr>
          <w:rFonts w:hint="eastAsia" w:ascii="宋体" w:hAnsi="宋体" w:eastAsia="宋体" w:cs="宋体"/>
          <w:color w:val="auto"/>
          <w:sz w:val="22"/>
          <w:szCs w:val="22"/>
          <w:highlight w:val="none"/>
          <w:lang w:val="zh-CN"/>
        </w:rPr>
        <w:t>投标文件提交截止时间前以电子邮件方式传送至浙江乐诚工程咨询有限公司电子邮箱</w:t>
      </w:r>
      <w:r>
        <w:rPr>
          <w:rFonts w:hint="eastAsia" w:ascii="宋体" w:hAnsi="宋体" w:eastAsia="宋体" w:cs="宋体"/>
          <w:color w:val="auto"/>
          <w:sz w:val="22"/>
          <w:szCs w:val="22"/>
          <w:highlight w:val="none"/>
        </w:rPr>
        <w:t>2812799762@qq.com，</w:t>
      </w:r>
      <w:r>
        <w:rPr>
          <w:rFonts w:hint="eastAsia" w:ascii="宋体" w:hAnsi="宋体" w:eastAsia="宋体" w:cs="宋体"/>
          <w:color w:val="auto"/>
          <w:sz w:val="22"/>
          <w:szCs w:val="22"/>
          <w:highlight w:val="none"/>
          <w:lang w:val="zh-CN"/>
        </w:rPr>
        <w:t>递交</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份</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传送的备份投标文件需打包压缩并加密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加密密码由投标供应商自行保管</w:t>
      </w:r>
      <w:r>
        <w:rPr>
          <w:rFonts w:hint="eastAsia" w:ascii="宋体" w:hAnsi="宋体" w:eastAsia="宋体" w:cs="宋体"/>
          <w:color w:val="auto"/>
          <w:sz w:val="22"/>
          <w:szCs w:val="22"/>
          <w:highlight w:val="none"/>
        </w:rPr>
        <w:t>，未加密导致投标信息泄露的风险由投标供应商自行承担</w:t>
      </w:r>
      <w:r>
        <w:rPr>
          <w:rStyle w:val="37"/>
          <w:rFonts w:hint="eastAsia" w:ascii="宋体" w:hAnsi="宋体" w:eastAsia="宋体" w:cs="宋体"/>
          <w:b w:val="0"/>
          <w:color w:val="auto"/>
          <w:sz w:val="22"/>
          <w:szCs w:val="22"/>
          <w:highlight w:val="none"/>
        </w:rPr>
        <w:t>。</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 投标文件的效力</w:t>
      </w:r>
    </w:p>
    <w:p>
      <w:pPr>
        <w:spacing w:line="36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投标文件的启用，按先后顺位分别为电子投标文件、以介质存储的数据电文形式的备份投标文件。在下一顺位的投标文件启用时，前一顺位的投标文件自动失效。</w:t>
      </w:r>
    </w:p>
    <w:p>
      <w:pPr>
        <w:numPr>
          <w:ilvl w:val="0"/>
          <w:numId w:val="3"/>
        </w:numPr>
        <w:tabs>
          <w:tab w:val="left" w:pos="36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投标供应商应认真阅读采购文件中所有事项、格式、条款和技术规范等。</w:t>
      </w:r>
      <w:r>
        <w:rPr>
          <w:rFonts w:hint="eastAsia" w:ascii="宋体" w:hAnsi="宋体" w:eastAsia="宋体" w:cs="宋体"/>
          <w:b/>
          <w:color w:val="auto"/>
          <w:sz w:val="22"/>
          <w:szCs w:val="22"/>
          <w:highlight w:val="none"/>
        </w:rPr>
        <w:t>投标供应商没有按照采购文件要求提交全部资料，或者没有对采购文件各个方面做出实质性响应，导致投标被否决的风险由投标供应商自行承担。</w:t>
      </w:r>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 投标供应商应保证所提供文件资料的真实性，所有文件资料必须是针对本次投标的。如发现投标供应商提供了虚假文件资料，其投标将被否决，并自行承担相应的法律责任。</w:t>
      </w:r>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4. </w:t>
      </w:r>
      <w:r>
        <w:rPr>
          <w:rFonts w:hint="eastAsia" w:ascii="宋体" w:hAnsi="宋体" w:eastAsia="宋体" w:cs="宋体"/>
          <w:b/>
          <w:bCs/>
          <w:color w:val="auto"/>
          <w:sz w:val="22"/>
          <w:szCs w:val="22"/>
          <w:highlight w:val="none"/>
        </w:rPr>
        <w:t>投标文件的构成</w:t>
      </w:r>
    </w:p>
    <w:p>
      <w:pPr>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投标文件由“报价文件”、“资格文件”和“商务和技术文件”三部分组成，以下的“附件”，指的是第四部分 附件中的表格，其中电子投标文件中所须加盖电子签章部分均可采用CA签章。</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（一）报价文件</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658"/>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6"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7658"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内容</w:t>
            </w:r>
          </w:p>
        </w:tc>
        <w:tc>
          <w:tcPr>
            <w:tcW w:w="975"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56"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7658" w:type="dxa"/>
            <w:vAlign w:val="center"/>
          </w:tcPr>
          <w:p>
            <w:p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zh-CN"/>
              </w:rPr>
              <w:t>开标一览表</w:t>
            </w:r>
          </w:p>
        </w:tc>
        <w:tc>
          <w:tcPr>
            <w:tcW w:w="975"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附件1</w:t>
            </w:r>
          </w:p>
        </w:tc>
      </w:tr>
    </w:tbl>
    <w:p>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（二）资格文件</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658"/>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6"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7658"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内容</w:t>
            </w:r>
          </w:p>
        </w:tc>
        <w:tc>
          <w:tcPr>
            <w:tcW w:w="975"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56"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7658" w:type="dxa"/>
            <w:vAlign w:val="center"/>
          </w:tcPr>
          <w:p>
            <w:p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法定代表人资格证明书/法定代表人授权书</w:t>
            </w:r>
          </w:p>
        </w:tc>
        <w:tc>
          <w:tcPr>
            <w:tcW w:w="975"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56"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p>
        </w:tc>
        <w:tc>
          <w:tcPr>
            <w:tcW w:w="7658" w:type="dxa"/>
            <w:vAlign w:val="center"/>
          </w:tcPr>
          <w:p>
            <w:pPr>
              <w:spacing w:line="360" w:lineRule="auto"/>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rPr>
              <w:t>有效的法人或者其他组织的营业执照等证明文件，自然人的身份证明（复印件加盖投标供应商电子签章或公章）</w:t>
            </w:r>
          </w:p>
        </w:tc>
        <w:tc>
          <w:tcPr>
            <w:tcW w:w="975"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56"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p>
        </w:tc>
        <w:tc>
          <w:tcPr>
            <w:tcW w:w="7658" w:type="dxa"/>
            <w:vAlign w:val="center"/>
          </w:tcPr>
          <w:p>
            <w:pPr>
              <w:spacing w:line="360" w:lineRule="auto"/>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rPr>
              <w:t>符合《温州市市属国有企业采购管理办法（试行）》温国资委〔2020〕125号第十五条对投标供应商的基本资格条件承诺函</w:t>
            </w:r>
          </w:p>
        </w:tc>
        <w:tc>
          <w:tcPr>
            <w:tcW w:w="975"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56"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p>
        </w:tc>
        <w:tc>
          <w:tcPr>
            <w:tcW w:w="7658" w:type="dxa"/>
            <w:vAlign w:val="center"/>
          </w:tcPr>
          <w:p>
            <w:pPr>
              <w:spacing w:line="360" w:lineRule="auto"/>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rPr>
              <w:t>本项目特定资格要求证明材料</w:t>
            </w:r>
          </w:p>
        </w:tc>
        <w:tc>
          <w:tcPr>
            <w:tcW w:w="975"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56"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p>
        </w:tc>
        <w:tc>
          <w:tcPr>
            <w:tcW w:w="7658" w:type="dxa"/>
            <w:vAlign w:val="center"/>
          </w:tcPr>
          <w:p>
            <w:pPr>
              <w:spacing w:line="360" w:lineRule="auto"/>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rPr>
              <w:t>投标保证金缴纳到账凭证</w:t>
            </w:r>
          </w:p>
        </w:tc>
        <w:tc>
          <w:tcPr>
            <w:tcW w:w="975"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附件6</w:t>
            </w:r>
          </w:p>
        </w:tc>
      </w:tr>
    </w:tbl>
    <w:p>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（三）商务和技术文件</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26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7263"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内容</w:t>
            </w:r>
          </w:p>
        </w:tc>
        <w:tc>
          <w:tcPr>
            <w:tcW w:w="1322"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7263" w:type="dxa"/>
            <w:vAlign w:val="center"/>
          </w:tcPr>
          <w:p>
            <w:pPr>
              <w:spacing w:line="360" w:lineRule="auto"/>
              <w:outlineLvl w:val="2"/>
              <w:rPr>
                <w:rFonts w:hint="eastAsia" w:ascii="宋体" w:hAnsi="宋体" w:eastAsia="宋体" w:cs="宋体"/>
                <w:bCs/>
                <w:color w:val="auto"/>
                <w:sz w:val="22"/>
                <w:szCs w:val="22"/>
                <w:highlight w:val="none"/>
                <w:lang w:val="zh-CN"/>
              </w:rPr>
            </w:pPr>
            <w:bookmarkStart w:id="136" w:name="_Toc8751"/>
            <w:r>
              <w:rPr>
                <w:rFonts w:hint="eastAsia" w:ascii="宋体" w:hAnsi="宋体" w:eastAsia="宋体" w:cs="宋体"/>
                <w:bCs/>
                <w:color w:val="auto"/>
                <w:sz w:val="22"/>
                <w:szCs w:val="22"/>
                <w:highlight w:val="none"/>
                <w:lang w:val="zh-CN"/>
              </w:rPr>
              <w:t>评分索引表</w:t>
            </w:r>
            <w:bookmarkEnd w:id="136"/>
          </w:p>
        </w:tc>
        <w:tc>
          <w:tcPr>
            <w:tcW w:w="1322"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p>
        </w:tc>
        <w:tc>
          <w:tcPr>
            <w:tcW w:w="7263" w:type="dxa"/>
            <w:vAlign w:val="center"/>
          </w:tcPr>
          <w:p>
            <w:pPr>
              <w:spacing w:line="360" w:lineRule="auto"/>
              <w:outlineLvl w:val="2"/>
              <w:rPr>
                <w:rFonts w:hint="eastAsia" w:ascii="宋体" w:hAnsi="宋体" w:eastAsia="宋体" w:cs="宋体"/>
                <w:bCs/>
                <w:color w:val="auto"/>
                <w:sz w:val="22"/>
                <w:szCs w:val="22"/>
                <w:highlight w:val="none"/>
                <w:lang w:val="zh-CN"/>
              </w:rPr>
            </w:pPr>
            <w:bookmarkStart w:id="137" w:name="_Toc6498"/>
            <w:r>
              <w:rPr>
                <w:rFonts w:hint="eastAsia" w:ascii="宋体" w:hAnsi="宋体" w:eastAsia="宋体" w:cs="宋体"/>
                <w:bCs/>
                <w:color w:val="auto"/>
                <w:sz w:val="22"/>
                <w:szCs w:val="22"/>
                <w:highlight w:val="none"/>
                <w:lang w:val="zh-CN"/>
              </w:rPr>
              <w:t>投标函</w:t>
            </w:r>
            <w:bookmarkEnd w:id="137"/>
          </w:p>
        </w:tc>
        <w:tc>
          <w:tcPr>
            <w:tcW w:w="1322"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p>
        </w:tc>
        <w:tc>
          <w:tcPr>
            <w:tcW w:w="7263" w:type="dxa"/>
            <w:vAlign w:val="center"/>
          </w:tcPr>
          <w:p>
            <w:pPr>
              <w:spacing w:line="360" w:lineRule="auto"/>
              <w:outlineLvl w:val="2"/>
              <w:rPr>
                <w:rFonts w:hint="eastAsia" w:ascii="宋体" w:hAnsi="宋体" w:eastAsia="宋体" w:cs="宋体"/>
                <w:bCs/>
                <w:color w:val="auto"/>
                <w:sz w:val="22"/>
                <w:szCs w:val="22"/>
                <w:highlight w:val="none"/>
                <w:lang w:val="zh-CN"/>
              </w:rPr>
            </w:pPr>
            <w:bookmarkStart w:id="138" w:name="_Toc24190"/>
            <w:r>
              <w:rPr>
                <w:rFonts w:hint="eastAsia" w:ascii="宋体" w:hAnsi="宋体" w:eastAsia="宋体" w:cs="宋体"/>
                <w:bCs/>
                <w:color w:val="auto"/>
                <w:sz w:val="22"/>
                <w:szCs w:val="22"/>
                <w:highlight w:val="none"/>
                <w:lang w:val="zh-CN"/>
              </w:rPr>
              <w:t>投标供应商综合实力</w:t>
            </w:r>
            <w:bookmarkEnd w:id="138"/>
          </w:p>
        </w:tc>
        <w:tc>
          <w:tcPr>
            <w:tcW w:w="1322"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p>
        </w:tc>
        <w:tc>
          <w:tcPr>
            <w:tcW w:w="7263" w:type="dxa"/>
            <w:vAlign w:val="center"/>
          </w:tcPr>
          <w:p>
            <w:p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投标声明书</w:t>
            </w:r>
          </w:p>
        </w:tc>
        <w:tc>
          <w:tcPr>
            <w:tcW w:w="1322"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p>
        </w:tc>
        <w:tc>
          <w:tcPr>
            <w:tcW w:w="7263" w:type="dxa"/>
            <w:vAlign w:val="center"/>
          </w:tcPr>
          <w:p>
            <w:pPr>
              <w:spacing w:line="360" w:lineRule="auto"/>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rPr>
              <w:t>采购需求偏离表</w:t>
            </w:r>
          </w:p>
        </w:tc>
        <w:tc>
          <w:tcPr>
            <w:tcW w:w="1322"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w:t>
            </w:r>
          </w:p>
        </w:tc>
        <w:tc>
          <w:tcPr>
            <w:tcW w:w="7263" w:type="dxa"/>
            <w:vAlign w:val="center"/>
          </w:tcPr>
          <w:p>
            <w:pPr>
              <w:widowControl/>
              <w:spacing w:line="360" w:lineRule="auto"/>
              <w:jc w:val="left"/>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rPr>
              <w:t>同类项目业绩一览表</w:t>
            </w:r>
          </w:p>
        </w:tc>
        <w:tc>
          <w:tcPr>
            <w:tcW w:w="1322"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w:t>
            </w:r>
          </w:p>
        </w:tc>
        <w:tc>
          <w:tcPr>
            <w:tcW w:w="7263" w:type="dxa"/>
            <w:vAlign w:val="center"/>
          </w:tcPr>
          <w:p>
            <w:pPr>
              <w:widowControl/>
              <w:spacing w:line="360" w:lineRule="auto"/>
              <w:jc w:val="left"/>
              <w:rPr>
                <w:rFonts w:hint="eastAsia" w:ascii="宋体" w:hAnsi="宋体" w:eastAsia="宋体" w:cs="宋体"/>
                <w:bCs/>
                <w:color w:val="auto"/>
                <w:sz w:val="22"/>
                <w:szCs w:val="22"/>
                <w:highlight w:val="none"/>
                <w:lang w:val="zh-CN"/>
              </w:rPr>
            </w:pPr>
            <w:r>
              <w:rPr>
                <w:rFonts w:hint="eastAsia" w:ascii="宋体" w:hAnsi="宋体" w:eastAsia="宋体" w:cs="宋体"/>
                <w:color w:val="auto"/>
                <w:sz w:val="22"/>
                <w:szCs w:val="22"/>
                <w:highlight w:val="none"/>
              </w:rPr>
              <w:t>项目负责人情况表</w:t>
            </w:r>
          </w:p>
        </w:tc>
        <w:tc>
          <w:tcPr>
            <w:tcW w:w="1322"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w:t>
            </w:r>
          </w:p>
        </w:tc>
        <w:tc>
          <w:tcPr>
            <w:tcW w:w="7263" w:type="dxa"/>
            <w:vAlign w:val="center"/>
          </w:tcPr>
          <w:p>
            <w:pPr>
              <w:widowControl/>
              <w:spacing w:line="360" w:lineRule="auto"/>
              <w:jc w:val="lef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项目团队人员情况表</w:t>
            </w:r>
          </w:p>
        </w:tc>
        <w:tc>
          <w:tcPr>
            <w:tcW w:w="1322"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w:t>
            </w:r>
          </w:p>
        </w:tc>
        <w:tc>
          <w:tcPr>
            <w:tcW w:w="7263" w:type="dxa"/>
            <w:vAlign w:val="center"/>
          </w:tcPr>
          <w:p>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国企采购供应商廉洁自律承诺书</w:t>
            </w:r>
          </w:p>
        </w:tc>
        <w:tc>
          <w:tcPr>
            <w:tcW w:w="1322"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w:t>
            </w:r>
          </w:p>
        </w:tc>
        <w:tc>
          <w:tcPr>
            <w:tcW w:w="7263" w:type="dxa"/>
            <w:vAlign w:val="center"/>
          </w:tcPr>
          <w:p>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评估服务承诺</w:t>
            </w:r>
          </w:p>
        </w:tc>
        <w:tc>
          <w:tcPr>
            <w:tcW w:w="1322"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widowControl/>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7263" w:type="dxa"/>
            <w:vAlign w:val="center"/>
          </w:tcPr>
          <w:p>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国企采购活动现场确认声明书</w:t>
            </w:r>
          </w:p>
        </w:tc>
        <w:tc>
          <w:tcPr>
            <w:tcW w:w="1322" w:type="dxa"/>
            <w:vAlign w:val="center"/>
          </w:tcPr>
          <w:p>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widowControl/>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7263" w:type="dxa"/>
            <w:vAlign w:val="center"/>
          </w:tcPr>
          <w:p>
            <w:pPr>
              <w:widowControl/>
              <w:spacing w:line="360" w:lineRule="auto"/>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投标供应商需要说明的其他文件和说明</w:t>
            </w:r>
          </w:p>
        </w:tc>
        <w:tc>
          <w:tcPr>
            <w:tcW w:w="1322" w:type="dxa"/>
            <w:vAlign w:val="center"/>
          </w:tcPr>
          <w:p>
            <w:pPr>
              <w:spacing w:line="360" w:lineRule="auto"/>
              <w:jc w:val="center"/>
              <w:rPr>
                <w:rFonts w:hint="eastAsia" w:ascii="宋体" w:hAnsi="宋体" w:eastAsia="宋体" w:cs="宋体"/>
                <w:bCs/>
                <w:color w:val="auto"/>
                <w:sz w:val="22"/>
                <w:szCs w:val="22"/>
                <w:highlight w:val="none"/>
              </w:rPr>
            </w:pPr>
          </w:p>
        </w:tc>
      </w:tr>
    </w:tbl>
    <w:p>
      <w:pPr>
        <w:spacing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以上内容按照采购文件第三部分附件所附格式填写，相关证书、报告等</w:t>
      </w:r>
      <w:r>
        <w:rPr>
          <w:rFonts w:hint="eastAsia" w:ascii="宋体" w:hAnsi="宋体" w:eastAsia="宋体" w:cs="宋体"/>
          <w:b/>
          <w:bCs/>
          <w:color w:val="auto"/>
          <w:spacing w:val="-6"/>
          <w:sz w:val="22"/>
          <w:szCs w:val="22"/>
          <w:highlight w:val="none"/>
        </w:rPr>
        <w:t>如遇年检或换证等特殊情况须提供相应的证明材料</w:t>
      </w:r>
      <w:r>
        <w:rPr>
          <w:rFonts w:hint="eastAsia" w:ascii="宋体" w:hAnsi="宋体" w:eastAsia="宋体" w:cs="宋体"/>
          <w:b/>
          <w:bCs/>
          <w:color w:val="auto"/>
          <w:sz w:val="22"/>
          <w:szCs w:val="22"/>
          <w:highlight w:val="none"/>
        </w:rPr>
        <w:t>。没有提供格式的，投标供应商根据实际情况自行编制。</w:t>
      </w:r>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5. 投标文件格式</w:t>
      </w:r>
    </w:p>
    <w:p>
      <w:pPr>
        <w:tabs>
          <w:tab w:val="left" w:pos="-180"/>
          <w:tab w:val="left" w:pos="180"/>
          <w:tab w:val="left" w:pos="36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5.1投标文件须包括本须知第4条中规定的全部内容，投标供应商不按采购文件的要求提供的投标文件和资料将视为没有对采购文件作实质性响应，其投标将被拒绝，其风险由投标供应商自行承担。</w:t>
      </w:r>
    </w:p>
    <w:p>
      <w:pPr>
        <w:tabs>
          <w:tab w:val="left" w:pos="-180"/>
          <w:tab w:val="left" w:pos="180"/>
          <w:tab w:val="left" w:pos="36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投标供应商提交的投标文件应当使用采购文件所提供的投标文件格式，表格格式在不改变格式内容的情况下可自行制作。在所提供表格格式之外，投标供应商可以增加自行设计的表格及内容，以便更细致全面的说明其能力。</w:t>
      </w:r>
    </w:p>
    <w:p>
      <w:pPr>
        <w:pStyle w:val="17"/>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6.投标文件编制要求</w:t>
      </w:r>
    </w:p>
    <w:p>
      <w:pPr>
        <w:tabs>
          <w:tab w:val="left" w:pos="-180"/>
          <w:tab w:val="left" w:pos="180"/>
          <w:tab w:val="left" w:pos="36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w:t>
      </w:r>
      <w:r>
        <w:rPr>
          <w:rFonts w:hint="eastAsia" w:ascii="宋体" w:hAnsi="宋体" w:eastAsia="宋体" w:cs="宋体"/>
          <w:b/>
          <w:bCs/>
          <w:color w:val="auto"/>
          <w:sz w:val="22"/>
          <w:szCs w:val="22"/>
          <w:highlight w:val="none"/>
        </w:rPr>
        <w:t>投标供应商应根据电子投标操作指南按本采购文件规定的格式和顺序编制电子投标文件并进行关联定位</w:t>
      </w:r>
      <w:r>
        <w:rPr>
          <w:rFonts w:hint="eastAsia" w:ascii="宋体" w:hAnsi="宋体" w:eastAsia="宋体" w:cs="宋体"/>
          <w:color w:val="auto"/>
          <w:sz w:val="22"/>
          <w:szCs w:val="22"/>
          <w:highlight w:val="none"/>
        </w:rPr>
        <w:t>。</w:t>
      </w:r>
    </w:p>
    <w:p>
      <w:pPr>
        <w:tabs>
          <w:tab w:val="left" w:pos="-180"/>
          <w:tab w:val="left" w:pos="180"/>
          <w:tab w:val="left" w:pos="36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6.2由于未按采购文件的规定要求编制投标文件，导致评审小组作出的对投标供应商的误判，责任由投标供应商自己承担。</w:t>
      </w:r>
    </w:p>
    <w:p>
      <w:pPr>
        <w:spacing w:line="360" w:lineRule="auto"/>
        <w:ind w:firstLine="440" w:firstLineChars="2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7．</w:t>
      </w:r>
      <w:r>
        <w:rPr>
          <w:rFonts w:hint="eastAsia" w:ascii="宋体" w:hAnsi="宋体" w:eastAsia="宋体" w:cs="宋体"/>
          <w:b/>
          <w:bCs/>
          <w:color w:val="auto"/>
          <w:sz w:val="22"/>
          <w:szCs w:val="22"/>
          <w:highlight w:val="none"/>
        </w:rPr>
        <w:t>投标报价</w:t>
      </w:r>
    </w:p>
    <w:p>
      <w:pPr>
        <w:spacing w:line="360" w:lineRule="auto"/>
        <w:ind w:firstLine="440" w:firstLineChars="200"/>
        <w:rPr>
          <w:rFonts w:hint="eastAsia" w:ascii="宋体" w:hAnsi="宋体" w:eastAsia="宋体" w:cs="宋体"/>
          <w:b/>
          <w:bCs/>
          <w:color w:val="auto"/>
          <w:sz w:val="22"/>
          <w:szCs w:val="22"/>
          <w:highlight w:val="none"/>
          <w:u w:val="single"/>
        </w:rPr>
      </w:pPr>
      <w:r>
        <w:rPr>
          <w:rFonts w:hint="eastAsia" w:ascii="宋体" w:hAnsi="宋体" w:eastAsia="宋体" w:cs="宋体"/>
          <w:color w:val="auto"/>
          <w:sz w:val="22"/>
          <w:szCs w:val="22"/>
          <w:highlight w:val="none"/>
        </w:rPr>
        <w:t>7.1</w:t>
      </w:r>
      <w:r>
        <w:rPr>
          <w:rFonts w:hint="eastAsia" w:ascii="宋体" w:hAnsi="宋体" w:eastAsia="宋体" w:cs="宋体"/>
          <w:b/>
          <w:color w:val="auto"/>
          <w:sz w:val="22"/>
          <w:szCs w:val="22"/>
          <w:highlight w:val="none"/>
          <w:u w:val="single"/>
        </w:rPr>
        <w:t>▲投标报价是指供应商在正确地完全履行合同义务后采购人应支付给乙方所有的服务价款，应包括工作人员工资福利、各种社会保险、食宿与交通、办公费、利润、税金、评估成果打印复印费用、采购代理服务费、技术服务费等及其他不可预见费用，投标供应商按采购文件要求提供的所有服务均应包含在投标报价中，投标供应商对本项目的风险和责任应充分理解，对所有风险因素的报价都应包含在报价中</w:t>
      </w:r>
      <w:r>
        <w:rPr>
          <w:rFonts w:hint="eastAsia" w:ascii="宋体" w:hAnsi="宋体" w:eastAsia="宋体" w:cs="宋体"/>
          <w:b/>
          <w:bCs/>
          <w:color w:val="auto"/>
          <w:sz w:val="22"/>
          <w:szCs w:val="22"/>
          <w:highlight w:val="none"/>
          <w:u w:val="single"/>
        </w:rPr>
        <w:t>。</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7.2投标供应商必须按附件中的投标报价一览表、投标分项报价表（均统一格式）内容填写单价、合价和总价，并由法定代表人或投标供应商代表签署。</w:t>
      </w:r>
    </w:p>
    <w:p>
      <w:pPr>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7.3采用折扣率进行报价。</w:t>
      </w:r>
    </w:p>
    <w:p>
      <w:pPr>
        <w:tabs>
          <w:tab w:val="left" w:pos="-180"/>
          <w:tab w:val="left" w:pos="180"/>
          <w:tab w:val="left" w:pos="360"/>
        </w:tabs>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▲7.4采购人不接受任何选择报价，本次投标每项货物或服务只允许一个报价。</w:t>
      </w:r>
    </w:p>
    <w:p>
      <w:pPr>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7.5</w:t>
      </w:r>
      <w:r>
        <w:rPr>
          <w:rFonts w:hint="eastAsia" w:ascii="宋体" w:hAnsi="宋体" w:eastAsia="宋体" w:cs="宋体"/>
          <w:bCs/>
          <w:color w:val="auto"/>
          <w:kern w:val="0"/>
          <w:sz w:val="22"/>
          <w:szCs w:val="22"/>
          <w:highlight w:val="none"/>
          <w:lang w:val="zh-CN"/>
        </w:rPr>
        <w:t>投标供应商所报的投标价</w:t>
      </w:r>
      <w:r>
        <w:rPr>
          <w:rFonts w:hint="eastAsia" w:ascii="宋体" w:hAnsi="宋体" w:eastAsia="宋体" w:cs="宋体"/>
          <w:bCs/>
          <w:color w:val="auto"/>
          <w:kern w:val="0"/>
          <w:sz w:val="22"/>
          <w:szCs w:val="22"/>
          <w:highlight w:val="none"/>
        </w:rPr>
        <w:t>在投标时仅作为报价评审的依据，</w:t>
      </w:r>
      <w:r>
        <w:rPr>
          <w:rFonts w:hint="eastAsia" w:ascii="宋体" w:hAnsi="宋体" w:eastAsia="宋体" w:cs="宋体"/>
          <w:bCs/>
          <w:color w:val="auto"/>
          <w:kern w:val="0"/>
          <w:sz w:val="22"/>
          <w:szCs w:val="22"/>
          <w:highlight w:val="none"/>
          <w:lang w:val="zh-CN"/>
        </w:rPr>
        <w:t>合同执行过程</w:t>
      </w:r>
      <w:r>
        <w:rPr>
          <w:rFonts w:hint="eastAsia" w:ascii="宋体" w:hAnsi="宋体" w:eastAsia="宋体" w:cs="宋体"/>
          <w:bCs/>
          <w:color w:val="auto"/>
          <w:kern w:val="0"/>
          <w:sz w:val="22"/>
          <w:szCs w:val="22"/>
          <w:highlight w:val="none"/>
        </w:rPr>
        <w:t>的价格以不高于</w:t>
      </w:r>
      <w:r>
        <w:rPr>
          <w:rFonts w:hint="eastAsia" w:ascii="宋体" w:hAnsi="宋体" w:eastAsia="宋体" w:cs="宋体"/>
          <w:bCs/>
          <w:color w:val="auto"/>
          <w:kern w:val="0"/>
          <w:sz w:val="22"/>
          <w:szCs w:val="22"/>
          <w:highlight w:val="none"/>
          <w:lang w:val="zh-CN"/>
        </w:rPr>
        <w:t>所报的投标价</w:t>
      </w:r>
      <w:r>
        <w:rPr>
          <w:rFonts w:hint="eastAsia" w:ascii="宋体" w:hAnsi="宋体" w:eastAsia="宋体" w:cs="宋体"/>
          <w:bCs/>
          <w:color w:val="auto"/>
          <w:kern w:val="0"/>
          <w:sz w:val="22"/>
          <w:szCs w:val="22"/>
          <w:highlight w:val="none"/>
        </w:rPr>
        <w:t>执行，具体详见合同</w:t>
      </w:r>
      <w:r>
        <w:rPr>
          <w:rFonts w:hint="eastAsia" w:ascii="宋体" w:hAnsi="宋体" w:eastAsia="宋体" w:cs="宋体"/>
          <w:bCs/>
          <w:color w:val="auto"/>
          <w:kern w:val="0"/>
          <w:sz w:val="22"/>
          <w:szCs w:val="22"/>
          <w:highlight w:val="none"/>
          <w:lang w:val="zh-CN"/>
        </w:rPr>
        <w:t>。任何包含价格调整的要求，将被认为是非实质性响应投标而予以拒绝。</w:t>
      </w:r>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7.6采购人和采购代理机构要求分类报价是为了方便评标，但在任何情况下不限制采购人以其认为最合适的条款、条件签</w:t>
      </w:r>
      <w:r>
        <w:rPr>
          <w:rFonts w:hint="eastAsia" w:ascii="宋体" w:hAnsi="宋体" w:eastAsia="宋体" w:cs="宋体"/>
          <w:color w:val="auto"/>
          <w:sz w:val="22"/>
          <w:szCs w:val="22"/>
          <w:highlight w:val="none"/>
        </w:rPr>
        <w:t>订合同的权利。</w:t>
      </w:r>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7.7最低报价不能作为中标的保证。</w:t>
      </w:r>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8．投标保证金</w:t>
      </w:r>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8.1</w:t>
      </w:r>
      <w:r>
        <w:rPr>
          <w:rFonts w:hint="eastAsia" w:ascii="宋体" w:hAnsi="宋体" w:eastAsia="宋体" w:cs="宋体"/>
          <w:bCs/>
          <w:color w:val="auto"/>
          <w:sz w:val="22"/>
          <w:szCs w:val="22"/>
          <w:highlight w:val="none"/>
        </w:rPr>
        <w:t>投标供应商须提供由投标供应商单位汇出的投标保证</w:t>
      </w:r>
      <w:r>
        <w:rPr>
          <w:rFonts w:hint="eastAsia" w:ascii="宋体" w:hAnsi="宋体" w:eastAsia="宋体" w:cs="宋体"/>
          <w:color w:val="auto"/>
          <w:sz w:val="22"/>
          <w:szCs w:val="22"/>
          <w:highlight w:val="none"/>
        </w:rPr>
        <w:t>金</w:t>
      </w:r>
      <w:bookmarkStart w:id="139" w:name="_Hlk107852611"/>
      <w:r>
        <w:rPr>
          <w:rFonts w:hint="eastAsia" w:ascii="宋体" w:hAnsi="宋体" w:eastAsia="宋体" w:cs="宋体"/>
          <w:b/>
          <w:color w:val="auto"/>
          <w:sz w:val="22"/>
          <w:szCs w:val="22"/>
          <w:highlight w:val="none"/>
        </w:rPr>
        <w:t>（金额详见《投标供应商须知前附表》）</w:t>
      </w:r>
      <w:bookmarkEnd w:id="139"/>
      <w:r>
        <w:rPr>
          <w:rFonts w:hint="eastAsia" w:ascii="宋体" w:hAnsi="宋体" w:eastAsia="宋体" w:cs="宋体"/>
          <w:b/>
          <w:color w:val="auto"/>
          <w:sz w:val="22"/>
          <w:szCs w:val="22"/>
          <w:highlight w:val="none"/>
        </w:rPr>
        <w:t>，否则采购人将不接受其投标</w:t>
      </w:r>
      <w:r>
        <w:rPr>
          <w:rFonts w:hint="eastAsia" w:ascii="宋体" w:hAnsi="宋体" w:eastAsia="宋体" w:cs="宋体"/>
          <w:bCs/>
          <w:color w:val="auto"/>
          <w:sz w:val="22"/>
          <w:szCs w:val="22"/>
          <w:highlight w:val="none"/>
        </w:rPr>
        <w:t>。</w:t>
      </w:r>
    </w:p>
    <w:p>
      <w:pPr>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 xml:space="preserve">8.2 </w:t>
      </w:r>
      <w:r>
        <w:rPr>
          <w:rFonts w:hint="eastAsia" w:ascii="宋体" w:hAnsi="宋体" w:eastAsia="宋体" w:cs="宋体"/>
          <w:bCs/>
          <w:color w:val="auto"/>
          <w:sz w:val="22"/>
          <w:szCs w:val="22"/>
          <w:highlight w:val="none"/>
        </w:rPr>
        <w:t>投标供应商的投标保证金在中标供应商与采购人签订了供货合同后</w:t>
      </w:r>
      <w:r>
        <w:rPr>
          <w:rFonts w:hint="eastAsia" w:ascii="宋体" w:hAnsi="宋体" w:eastAsia="宋体" w:cs="宋体"/>
          <w:color w:val="auto"/>
          <w:sz w:val="22"/>
          <w:szCs w:val="22"/>
          <w:highlight w:val="none"/>
        </w:rPr>
        <w:t>并合同经备案后5个工作日内无息退还，未中标投标供应商的投标保证金将在确定中标供应商后5个工作日内无息退还。</w:t>
      </w:r>
    </w:p>
    <w:p>
      <w:pPr>
        <w:spacing w:line="360" w:lineRule="auto"/>
        <w:ind w:firstLine="440" w:firstLineChars="2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8.3</w:t>
      </w:r>
      <w:r>
        <w:rPr>
          <w:rFonts w:hint="eastAsia" w:ascii="宋体" w:hAnsi="宋体" w:eastAsia="宋体" w:cs="宋体"/>
          <w:b/>
          <w:bCs/>
          <w:color w:val="auto"/>
          <w:sz w:val="22"/>
          <w:szCs w:val="22"/>
          <w:highlight w:val="none"/>
        </w:rPr>
        <w:t>如发生下列情况之一，投标保证金将不予退还：</w:t>
      </w:r>
    </w:p>
    <w:p>
      <w:pPr>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（1）投标供应商在采购文件规定的投标有效期内撤回投标；</w:t>
      </w:r>
    </w:p>
    <w:p>
      <w:pPr>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（2）中标供应商未按</w:t>
      </w:r>
      <w:r>
        <w:rPr>
          <w:rFonts w:hint="eastAsia" w:ascii="宋体" w:hAnsi="宋体" w:eastAsia="宋体" w:cs="宋体"/>
          <w:b/>
          <w:bCs/>
          <w:color w:val="auto"/>
          <w:sz w:val="22"/>
          <w:szCs w:val="22"/>
          <w:highlight w:val="none"/>
          <w:lang w:eastAsia="zh-CN"/>
        </w:rPr>
        <w:t>中标通知书</w:t>
      </w:r>
      <w:r>
        <w:rPr>
          <w:rFonts w:hint="eastAsia" w:ascii="宋体" w:hAnsi="宋体" w:eastAsia="宋体" w:cs="宋体"/>
          <w:b/>
          <w:bCs/>
          <w:color w:val="auto"/>
          <w:sz w:val="22"/>
          <w:szCs w:val="22"/>
          <w:highlight w:val="none"/>
        </w:rPr>
        <w:t>中规定的时间与采购人签订合同；</w:t>
      </w:r>
    </w:p>
    <w:p>
      <w:pPr>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（3）投标供应商在采购文件中提供虚假材料或在投标时提供虚假承诺，经评审小组确认属实或在开标后经采购人确认属实的；</w:t>
      </w:r>
    </w:p>
    <w:p>
      <w:pPr>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（4）经采购监督管理部门审查认定投标供应商有违反《温州市市属国有企业采购管理办法（试行）》的相关规定行为。</w:t>
      </w:r>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9．投标有效期</w:t>
      </w:r>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9.1自</w:t>
      </w:r>
      <w:bookmarkStart w:id="140" w:name="_Hlk107852784"/>
      <w:r>
        <w:rPr>
          <w:rFonts w:hint="eastAsia" w:ascii="宋体" w:hAnsi="宋体" w:eastAsia="宋体" w:cs="宋体"/>
          <w:b/>
          <w:color w:val="auto"/>
          <w:sz w:val="22"/>
          <w:szCs w:val="22"/>
          <w:highlight w:val="none"/>
        </w:rPr>
        <w:t>投标截止时间</w:t>
      </w:r>
      <w:bookmarkEnd w:id="140"/>
      <w:r>
        <w:rPr>
          <w:rFonts w:hint="eastAsia" w:ascii="宋体" w:hAnsi="宋体" w:eastAsia="宋体" w:cs="宋体"/>
          <w:b/>
          <w:color w:val="auto"/>
          <w:sz w:val="22"/>
          <w:szCs w:val="22"/>
          <w:highlight w:val="none"/>
        </w:rPr>
        <w:t>起</w:t>
      </w:r>
      <w:r>
        <w:rPr>
          <w:rFonts w:hint="eastAsia" w:ascii="宋体" w:hAnsi="宋体" w:eastAsia="宋体" w:cs="宋体"/>
          <w:b/>
          <w:bCs/>
          <w:color w:val="auto"/>
          <w:sz w:val="22"/>
          <w:szCs w:val="22"/>
          <w:highlight w:val="none"/>
        </w:rPr>
        <w:t>90</w:t>
      </w:r>
      <w:r>
        <w:rPr>
          <w:rFonts w:hint="eastAsia" w:ascii="宋体" w:hAnsi="宋体" w:eastAsia="宋体" w:cs="宋体"/>
          <w:b/>
          <w:color w:val="auto"/>
          <w:sz w:val="22"/>
          <w:szCs w:val="22"/>
          <w:highlight w:val="none"/>
        </w:rPr>
        <w:t>天内投标应保持有效。</w:t>
      </w:r>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9.2特殊情况下，在原投标有效期截止前，采购人、采购代理机构可与投标供应商协商延长投标有效期，这种要求和答复均以书面形式进行。投标供应商可拒绝接受延期要求，而不会导致投标保证金不予退还。同意延长投标有效期的投标供应商不得修改投标文件。有关退还不予退还投标保证金的规定在投标有效期的延长期内继续有效。</w:t>
      </w:r>
    </w:p>
    <w:p>
      <w:pPr>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10．投标文件的签署和规定</w:t>
      </w:r>
    </w:p>
    <w:p>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投标供应商应按照采购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供应商的责任。</w:t>
      </w:r>
      <w:r>
        <w:rPr>
          <w:rFonts w:hint="eastAsia" w:ascii="宋体" w:hAnsi="宋体" w:eastAsia="宋体" w:cs="宋体"/>
          <w:b/>
          <w:bCs/>
          <w:color w:val="auto"/>
          <w:spacing w:val="-6"/>
          <w:sz w:val="22"/>
          <w:szCs w:val="22"/>
          <w:highlight w:val="none"/>
        </w:rPr>
        <w:t>其中资格文件、商务和技术文件中不得出现投标报价，如因投标供应商原因提前泄露投标报价，是投标供应商的责任。</w:t>
      </w:r>
    </w:p>
    <w:p>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10.2投标文件须由投标供应商在规定位置加盖电子签章或公章并由投标供应商代表签署，投标供应商应写全称。</w:t>
      </w:r>
    </w:p>
    <w:p>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10.3投标文件不得涂改，若有修改错漏处，须由投标供应商代表签字并加盖电子签章或公章。投标文件因字迹潦草或表达不清所引起的后果由投标供应商负责。</w:t>
      </w:r>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10.4</w:t>
      </w:r>
      <w:r>
        <w:rPr>
          <w:rFonts w:hint="eastAsia" w:ascii="宋体" w:hAnsi="宋体" w:eastAsia="宋体" w:cs="宋体"/>
          <w:b/>
          <w:bCs/>
          <w:color w:val="auto"/>
          <w:sz w:val="22"/>
          <w:szCs w:val="22"/>
          <w:highlight w:val="none"/>
        </w:rPr>
        <w:t>投标文件字迹模糊或在关键的技术、商务条款上表述不清楚，将可能导致其投标被拒绝。</w:t>
      </w:r>
      <w:bookmarkStart w:id="141" w:name="_Hlk107852879"/>
    </w:p>
    <w:bookmarkEnd w:id="141"/>
    <w:p>
      <w:pPr>
        <w:spacing w:line="360" w:lineRule="auto"/>
        <w:jc w:val="center"/>
        <w:outlineLvl w:val="1"/>
        <w:rPr>
          <w:rFonts w:hint="eastAsia" w:ascii="宋体" w:hAnsi="宋体" w:eastAsia="宋体" w:cs="宋体"/>
          <w:b/>
          <w:bCs/>
          <w:color w:val="auto"/>
          <w:kern w:val="0"/>
          <w:sz w:val="26"/>
          <w:szCs w:val="26"/>
          <w:highlight w:val="none"/>
        </w:rPr>
      </w:pPr>
      <w:bookmarkStart w:id="142" w:name="_Toc15082"/>
      <w:bookmarkStart w:id="143" w:name="_Toc13553"/>
      <w:bookmarkStart w:id="144" w:name="_Toc27018"/>
      <w:bookmarkStart w:id="145" w:name="_Toc29536"/>
      <w:bookmarkStart w:id="146" w:name="_Toc25793"/>
      <w:bookmarkStart w:id="147" w:name="_Toc9579"/>
      <w:bookmarkStart w:id="148" w:name="_Toc2943"/>
      <w:r>
        <w:rPr>
          <w:rFonts w:hint="eastAsia" w:ascii="宋体" w:hAnsi="宋体" w:eastAsia="宋体" w:cs="宋体"/>
          <w:b/>
          <w:bCs/>
          <w:color w:val="auto"/>
          <w:kern w:val="0"/>
          <w:sz w:val="26"/>
          <w:szCs w:val="26"/>
          <w:highlight w:val="none"/>
        </w:rPr>
        <w:t>四、投标文件的递交</w:t>
      </w:r>
      <w:bookmarkEnd w:id="142"/>
      <w:bookmarkEnd w:id="143"/>
      <w:bookmarkEnd w:id="144"/>
      <w:bookmarkEnd w:id="145"/>
      <w:bookmarkEnd w:id="146"/>
      <w:bookmarkEnd w:id="147"/>
      <w:bookmarkEnd w:id="148"/>
    </w:p>
    <w:p>
      <w:pPr>
        <w:spacing w:line="360" w:lineRule="auto"/>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1.电子投标文件的加密、递交</w:t>
      </w:r>
    </w:p>
    <w:p>
      <w:pPr>
        <w:spacing w:line="360" w:lineRule="auto"/>
        <w:ind w:firstLine="440" w:firstLineChars="200"/>
        <w:jc w:val="left"/>
        <w:rPr>
          <w:rFonts w:hint="eastAsia" w:ascii="宋体" w:hAnsi="宋体" w:eastAsia="宋体" w:cs="宋体"/>
          <w:b/>
          <w:bCs/>
          <w:color w:val="auto"/>
          <w:sz w:val="22"/>
          <w:szCs w:val="22"/>
          <w:highlight w:val="none"/>
        </w:rPr>
      </w:pPr>
      <w:r>
        <w:rPr>
          <w:rFonts w:hint="eastAsia" w:ascii="宋体" w:hAnsi="宋体" w:eastAsia="宋体" w:cs="宋体"/>
          <w:color w:val="auto"/>
          <w:kern w:val="0"/>
          <w:sz w:val="22"/>
          <w:szCs w:val="22"/>
          <w:highlight w:val="none"/>
        </w:rPr>
        <w:t>投标供应商</w:t>
      </w:r>
      <w:r>
        <w:rPr>
          <w:rFonts w:hint="eastAsia" w:ascii="宋体" w:hAnsi="宋体" w:eastAsia="宋体" w:cs="宋体"/>
          <w:color w:val="auto"/>
          <w:spacing w:val="-6"/>
          <w:sz w:val="22"/>
          <w:szCs w:val="22"/>
          <w:highlight w:val="none"/>
        </w:rPr>
        <w:t>于投标文件提交截止时间前按照电子投标要求将加密电子投标文件上传到“政采云”平台，逾期或未上传成功的将被政府采购云平台拒收</w:t>
      </w:r>
      <w:r>
        <w:rPr>
          <w:rFonts w:hint="eastAsia" w:ascii="宋体" w:hAnsi="宋体" w:eastAsia="宋体" w:cs="宋体"/>
          <w:color w:val="auto"/>
          <w:kern w:val="0"/>
          <w:sz w:val="22"/>
          <w:szCs w:val="22"/>
          <w:highlight w:val="none"/>
        </w:rPr>
        <w:t>。</w:t>
      </w:r>
    </w:p>
    <w:p>
      <w:pPr>
        <w:spacing w:line="360" w:lineRule="auto"/>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w:t>
      </w:r>
      <w:r>
        <w:rPr>
          <w:rFonts w:hint="eastAsia" w:ascii="宋体" w:hAnsi="宋体" w:eastAsia="宋体" w:cs="宋体"/>
          <w:b/>
          <w:color w:val="auto"/>
          <w:sz w:val="22"/>
          <w:szCs w:val="22"/>
          <w:highlight w:val="none"/>
        </w:rPr>
        <w:t>备份投标文件的加密、递交（如有）</w:t>
      </w:r>
    </w:p>
    <w:p>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为</w:t>
      </w:r>
      <w:r>
        <w:rPr>
          <w:rFonts w:hint="eastAsia" w:ascii="宋体" w:hAnsi="宋体" w:eastAsia="宋体" w:cs="宋体"/>
          <w:color w:val="auto"/>
          <w:kern w:val="0"/>
          <w:sz w:val="22"/>
          <w:szCs w:val="22"/>
          <w:highlight w:val="none"/>
        </w:rPr>
        <w:t>确保采购项目顺利实施，避免因政采云上电子投标文件解密失败导致投标供应商投标无效，</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2"/>
          <w:szCs w:val="22"/>
          <w:highlight w:val="none"/>
        </w:rPr>
        <w:t>投标供应商在政府采购云平台完成加密电子投标文件的上传后投标文件提交截止时间前将</w:t>
      </w:r>
      <w:r>
        <w:rPr>
          <w:rFonts w:hint="eastAsia" w:ascii="宋体" w:hAnsi="宋体" w:eastAsia="宋体" w:cs="宋体"/>
          <w:b/>
          <w:bCs/>
          <w:color w:val="auto"/>
          <w:sz w:val="22"/>
          <w:szCs w:val="22"/>
          <w:highlight w:val="none"/>
        </w:rPr>
        <w:t>以介质存储的数据电文形式的备份投标文件按“</w:t>
      </w:r>
      <w:r>
        <w:rPr>
          <w:rFonts w:hint="eastAsia" w:ascii="宋体" w:hAnsi="宋体" w:eastAsia="宋体" w:cs="宋体"/>
          <w:b/>
          <w:bCs/>
          <w:color w:val="auto"/>
          <w:sz w:val="22"/>
          <w:szCs w:val="22"/>
          <w:highlight w:val="none"/>
          <w:lang w:val="zh-CN"/>
        </w:rPr>
        <w:t>投标供应商须知前附表</w:t>
      </w:r>
      <w:r>
        <w:rPr>
          <w:rFonts w:hint="eastAsia" w:ascii="宋体" w:hAnsi="宋体" w:eastAsia="宋体" w:cs="宋体"/>
          <w:b/>
          <w:bCs/>
          <w:color w:val="auto"/>
          <w:sz w:val="22"/>
          <w:szCs w:val="22"/>
          <w:highlight w:val="none"/>
        </w:rPr>
        <w:t>”要求</w:t>
      </w:r>
      <w:r>
        <w:rPr>
          <w:rFonts w:hint="eastAsia" w:ascii="宋体" w:hAnsi="宋体" w:eastAsia="宋体" w:cs="宋体"/>
          <w:b/>
          <w:bCs/>
          <w:color w:val="auto"/>
          <w:sz w:val="22"/>
          <w:szCs w:val="22"/>
          <w:highlight w:val="none"/>
        </w:rPr>
        <w:fldChar w:fldCharType="end"/>
      </w:r>
      <w:r>
        <w:rPr>
          <w:rFonts w:hint="eastAsia" w:ascii="宋体" w:hAnsi="宋体" w:eastAsia="宋体" w:cs="宋体"/>
          <w:color w:val="auto"/>
          <w:kern w:val="0"/>
          <w:sz w:val="22"/>
          <w:szCs w:val="22"/>
          <w:highlight w:val="none"/>
        </w:rPr>
        <w:t>加密、递交。</w:t>
      </w:r>
    </w:p>
    <w:p>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本项目由采购代理机构做好“</w:t>
      </w:r>
      <w:r>
        <w:rPr>
          <w:rFonts w:hint="eastAsia" w:ascii="宋体" w:hAnsi="宋体" w:eastAsia="宋体" w:cs="宋体"/>
          <w:b/>
          <w:bCs/>
          <w:color w:val="auto"/>
          <w:sz w:val="22"/>
          <w:szCs w:val="22"/>
          <w:highlight w:val="none"/>
        </w:rPr>
        <w:t>介质存储的数据电文形式的备份投标文件</w:t>
      </w:r>
      <w:r>
        <w:rPr>
          <w:rFonts w:hint="eastAsia" w:ascii="宋体" w:hAnsi="宋体" w:eastAsia="宋体" w:cs="宋体"/>
          <w:color w:val="auto"/>
          <w:sz w:val="22"/>
          <w:szCs w:val="22"/>
          <w:highlight w:val="none"/>
        </w:rPr>
        <w:t>”的签收工作后，与投标资料一并归档。投标供应商授权代表不参加现场开标活动，由相关人员进行现场监督。采购代理机构将记录所有投标文件的开封过程的有关内容，并由相关人员签字确认。</w:t>
      </w:r>
    </w:p>
    <w:p>
      <w:pPr>
        <w:spacing w:line="360" w:lineRule="auto"/>
        <w:ind w:firstLine="440" w:firstLineChars="200"/>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▲投标供应商递交的介质存储的数据电文形式的备份投标文件时，如出现下列情况之一的，视为无效备份投标文件：</w:t>
      </w:r>
    </w:p>
    <w:p>
      <w:pPr>
        <w:numPr>
          <w:ilvl w:val="0"/>
          <w:numId w:val="4"/>
        </w:numPr>
        <w:spacing w:line="360" w:lineRule="auto"/>
        <w:ind w:firstLine="440" w:firstLineChars="200"/>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超过投标文件提交截止时间送达的；</w:t>
      </w:r>
    </w:p>
    <w:p>
      <w:pPr>
        <w:numPr>
          <w:ilvl w:val="0"/>
          <w:numId w:val="4"/>
        </w:numPr>
        <w:spacing w:line="360" w:lineRule="auto"/>
        <w:ind w:firstLine="440" w:firstLineChars="200"/>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未在政采云平台获取采购文件的。</w:t>
      </w:r>
    </w:p>
    <w:p>
      <w:pPr>
        <w:numPr>
          <w:ilvl w:val="0"/>
          <w:numId w:val="3"/>
        </w:num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投标文件的修改、撤回和撤销</w:t>
      </w:r>
    </w:p>
    <w:p>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投标供应商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采云平台拒收。</w:t>
      </w:r>
    </w:p>
    <w:p>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3.2在投标文件提交截止时间之后，投标供应商不得对其投标做任何修改。</w:t>
      </w:r>
    </w:p>
    <w:p>
      <w:pPr>
        <w:spacing w:line="360" w:lineRule="auto"/>
        <w:ind w:firstLine="440" w:firstLineChars="200"/>
        <w:jc w:val="left"/>
        <w:rPr>
          <w:rFonts w:hint="eastAsia" w:ascii="宋体" w:hAnsi="宋体" w:eastAsia="宋体" w:cs="宋体"/>
          <w:color w:val="auto"/>
          <w:spacing w:val="-20"/>
          <w:kern w:val="0"/>
          <w:sz w:val="22"/>
          <w:szCs w:val="22"/>
          <w:highlight w:val="none"/>
        </w:rPr>
      </w:pPr>
      <w:r>
        <w:rPr>
          <w:rFonts w:hint="eastAsia" w:ascii="宋体" w:hAnsi="宋体" w:eastAsia="宋体" w:cs="宋体"/>
          <w:color w:val="auto"/>
          <w:sz w:val="22"/>
          <w:szCs w:val="22"/>
          <w:highlight w:val="none"/>
        </w:rPr>
        <w:t>3.3</w:t>
      </w:r>
      <w:r>
        <w:rPr>
          <w:rFonts w:hint="eastAsia" w:ascii="宋体" w:hAnsi="宋体" w:eastAsia="宋体" w:cs="宋体"/>
          <w:color w:val="auto"/>
          <w:spacing w:val="-20"/>
          <w:kern w:val="0"/>
          <w:sz w:val="22"/>
          <w:szCs w:val="22"/>
          <w:highlight w:val="none"/>
        </w:rPr>
        <w:t>在投标(响应）截止时间起至投标（响应）有效期届满，投标供应商投标文件不可撤销。</w:t>
      </w:r>
    </w:p>
    <w:p>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3.4投标供应商撤销（撤回）投标不得损害国家利益、社会公共利益、采购人利益、代理机构利益、其他投标供应商利益，否则，投标供应商撤销（撤回）投标无效。</w:t>
      </w:r>
    </w:p>
    <w:p>
      <w:pPr>
        <w:spacing w:line="360" w:lineRule="auto"/>
        <w:jc w:val="center"/>
        <w:outlineLvl w:val="1"/>
        <w:rPr>
          <w:rFonts w:hint="eastAsia" w:ascii="宋体" w:hAnsi="宋体" w:eastAsia="宋体" w:cs="宋体"/>
          <w:b/>
          <w:bCs/>
          <w:color w:val="auto"/>
          <w:kern w:val="0"/>
          <w:sz w:val="26"/>
          <w:szCs w:val="26"/>
          <w:highlight w:val="none"/>
        </w:rPr>
      </w:pPr>
      <w:bookmarkStart w:id="149" w:name="_Toc23091"/>
      <w:bookmarkStart w:id="150" w:name="_Toc12453"/>
      <w:bookmarkStart w:id="151" w:name="_Toc27970"/>
      <w:bookmarkStart w:id="152" w:name="_Toc27523"/>
      <w:bookmarkStart w:id="153" w:name="_Toc22608"/>
      <w:bookmarkStart w:id="154" w:name="_Toc16987"/>
      <w:bookmarkStart w:id="155" w:name="_Toc30244"/>
      <w:r>
        <w:rPr>
          <w:rFonts w:hint="eastAsia" w:ascii="宋体" w:hAnsi="宋体" w:eastAsia="宋体" w:cs="宋体"/>
          <w:b/>
          <w:bCs/>
          <w:color w:val="auto"/>
          <w:kern w:val="0"/>
          <w:sz w:val="26"/>
          <w:szCs w:val="26"/>
          <w:highlight w:val="none"/>
        </w:rPr>
        <w:t>五、开标和评标</w:t>
      </w:r>
      <w:bookmarkEnd w:id="149"/>
      <w:bookmarkEnd w:id="150"/>
      <w:bookmarkEnd w:id="151"/>
      <w:bookmarkEnd w:id="152"/>
      <w:bookmarkEnd w:id="153"/>
      <w:bookmarkEnd w:id="154"/>
      <w:bookmarkEnd w:id="155"/>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1.评审小组</w:t>
      </w:r>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1.1采购人和采购代理机构组建评审小组。评审小组的成员在评标过程中必须严格遵守《温州市市属国有企业采购管理办法（试行）》规定。</w:t>
      </w:r>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2.评标过程的保密性</w:t>
      </w:r>
    </w:p>
    <w:p>
      <w:pPr>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2.1开标后直至向中标供应商授予合同时止，凡与评审有关的资料均不得向投标供应商及与评标无关人员透露。如果投标供应商在评标过程中试图向采购人和采购代理机构施加影响，其投标将被拒绝。</w:t>
      </w:r>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3.开标</w:t>
      </w:r>
    </w:p>
    <w:p>
      <w:pPr>
        <w:pStyle w:val="69"/>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本项目实行电子开评标，投标供应商无需前往开评标现场，只需在规定时间内在“政采云”平台上上传电子投标文件。</w:t>
      </w:r>
    </w:p>
    <w:p>
      <w:pPr>
        <w:pStyle w:val="13"/>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采购代理机构按照采购文件规定的时间、地点和程序组织开标，具体按以下程序进行：</w:t>
      </w:r>
    </w:p>
    <w:p>
      <w:pPr>
        <w:pStyle w:val="13"/>
        <w:spacing w:line="360" w:lineRule="auto"/>
        <w:ind w:left="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（1）开启开标场地的录音录像采集设备，并确保其正常运行。</w:t>
      </w:r>
    </w:p>
    <w:p>
      <w:pPr>
        <w:pStyle w:val="31"/>
        <w:spacing w:before="0" w:beforeAutospacing="0" w:after="0" w:afterAutospacing="0" w:line="360" w:lineRule="auto"/>
        <w:ind w:firstLine="440" w:firstLineChars="200"/>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（2）解密</w:t>
      </w:r>
    </w:p>
    <w:p>
      <w:pPr>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投标文件提交截止时间止采购代理机构向各投标供应商发出电子投标文件开始解密通知，由投标供应商在</w:t>
      </w:r>
      <w:r>
        <w:rPr>
          <w:rFonts w:hint="eastAsia" w:ascii="宋体" w:hAnsi="宋体" w:eastAsia="宋体" w:cs="宋体"/>
          <w:b/>
          <w:bCs/>
          <w:snapToGrid w:val="0"/>
          <w:color w:val="auto"/>
          <w:sz w:val="22"/>
          <w:szCs w:val="22"/>
          <w:highlight w:val="none"/>
        </w:rPr>
        <w:t>政采云平台</w:t>
      </w:r>
      <w:r>
        <w:rPr>
          <w:rFonts w:hint="eastAsia" w:ascii="宋体" w:hAnsi="宋体" w:eastAsia="宋体" w:cs="宋体"/>
          <w:b/>
          <w:bCs/>
          <w:color w:val="auto"/>
          <w:sz w:val="22"/>
          <w:szCs w:val="22"/>
          <w:highlight w:val="none"/>
        </w:rPr>
        <w:t>规定时间（不少于30分钟）内自行进行投标文件解密（</w:t>
      </w:r>
      <w:r>
        <w:rPr>
          <w:rFonts w:hint="eastAsia" w:ascii="宋体" w:hAnsi="宋体" w:eastAsia="宋体" w:cs="宋体"/>
          <w:b/>
          <w:bCs/>
          <w:color w:val="auto"/>
          <w:kern w:val="0"/>
          <w:sz w:val="22"/>
          <w:szCs w:val="22"/>
          <w:highlight w:val="none"/>
        </w:rPr>
        <w:t>投标供应商无需在开标当天到达开标现场对电子投标进行解密，可在公司办公场地在</w:t>
      </w:r>
      <w:r>
        <w:rPr>
          <w:rFonts w:hint="eastAsia" w:ascii="宋体" w:hAnsi="宋体" w:eastAsia="宋体" w:cs="宋体"/>
          <w:b/>
          <w:bCs/>
          <w:snapToGrid w:val="0"/>
          <w:color w:val="auto"/>
          <w:sz w:val="22"/>
          <w:szCs w:val="22"/>
          <w:highlight w:val="none"/>
        </w:rPr>
        <w:t>政采云平台</w:t>
      </w:r>
      <w:r>
        <w:rPr>
          <w:rFonts w:hint="eastAsia" w:ascii="宋体" w:hAnsi="宋体" w:eastAsia="宋体" w:cs="宋体"/>
          <w:b/>
          <w:bCs/>
          <w:color w:val="auto"/>
          <w:kern w:val="0"/>
          <w:sz w:val="22"/>
          <w:szCs w:val="22"/>
          <w:highlight w:val="none"/>
        </w:rPr>
        <w:t>规定时间内</w:t>
      </w:r>
      <w:r>
        <w:rPr>
          <w:rFonts w:hint="eastAsia" w:ascii="宋体" w:hAnsi="宋体" w:eastAsia="宋体" w:cs="宋体"/>
          <w:b/>
          <w:bCs/>
          <w:color w:val="auto"/>
          <w:sz w:val="22"/>
          <w:szCs w:val="22"/>
          <w:highlight w:val="none"/>
        </w:rPr>
        <w:t>通过制作电子投标文件的CA锁用“项目采购-开标评标”功能</w:t>
      </w:r>
      <w:r>
        <w:rPr>
          <w:rFonts w:hint="eastAsia" w:ascii="宋体" w:hAnsi="宋体" w:eastAsia="宋体" w:cs="宋体"/>
          <w:b/>
          <w:bCs/>
          <w:color w:val="auto"/>
          <w:kern w:val="0"/>
          <w:sz w:val="22"/>
          <w:szCs w:val="22"/>
          <w:highlight w:val="none"/>
        </w:rPr>
        <w:t>对电子投标文件进行解密。</w:t>
      </w:r>
      <w:r>
        <w:rPr>
          <w:rFonts w:hint="eastAsia" w:ascii="宋体" w:hAnsi="宋体" w:eastAsia="宋体" w:cs="宋体"/>
          <w:b/>
          <w:bCs/>
          <w:color w:val="auto"/>
          <w:sz w:val="22"/>
          <w:szCs w:val="22"/>
          <w:highlight w:val="none"/>
        </w:rPr>
        <w:t>）。</w:t>
      </w:r>
    </w:p>
    <w:p>
      <w:pPr>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本项目原则上采用政采云电子招投标开标及评审程序，但有以下情形的，按以下情况处理：</w:t>
      </w:r>
    </w:p>
    <w:p>
      <w:pPr>
        <w:spacing w:line="360" w:lineRule="auto"/>
        <w:ind w:firstLine="420" w:firstLineChars="200"/>
        <w:rPr>
          <w:rFonts w:hint="eastAsia" w:ascii="宋体" w:hAnsi="宋体" w:eastAsia="宋体" w:cs="宋体"/>
          <w:b/>
          <w:bCs/>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投标供应商在政采云规定时间内无法解密或解密失败的，如已按规定递交以介质存储的数据电文形式的备份投标文件的，采购代理机构将按照投标供应商自身意愿确认是否同意提供加密密码解密传送至浙江乐诚工程咨询有限公司电子邮箱（2812799762@qq.com）的以介质存储的数据电文形式的备份投标文件，并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 </w:instrText>
      </w:r>
      <w:r>
        <w:rPr>
          <w:rFonts w:hint="eastAsia" w:ascii="宋体" w:hAnsi="宋体" w:eastAsia="宋体" w:cs="宋体"/>
          <w:color w:val="auto"/>
          <w:highlight w:val="none"/>
        </w:rPr>
        <w:fldChar w:fldCharType="separate"/>
      </w:r>
      <w:r>
        <w:rPr>
          <w:rStyle w:val="41"/>
          <w:rFonts w:hint="eastAsia" w:ascii="宋体" w:hAnsi="宋体" w:eastAsia="宋体" w:cs="宋体"/>
          <w:b/>
          <w:bCs/>
          <w:color w:val="auto"/>
          <w:sz w:val="22"/>
          <w:szCs w:val="22"/>
          <w:highlight w:val="none"/>
        </w:rPr>
        <w:t>投标供应商在政采云规定时间内无法解密或解密失败的，如已按规定递交以介质存储的数据电文形式的备份投标文件的，采购代理机构将按照投标供应商自身意愿确认是否同意提供加密密码解密传送至浙江乐诚工程咨询有限公司电子邮箱（2812799762@qq.com）的以介质存储的数据电文形式的备份投标文件，并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t>
      </w:r>
      <w:r>
        <w:rPr>
          <w:rStyle w:val="41"/>
          <w:rFonts w:hint="eastAsia" w:ascii="宋体" w:hAnsi="宋体" w:eastAsia="宋体" w:cs="宋体"/>
          <w:b/>
          <w:bCs/>
          <w:color w:val="auto"/>
          <w:sz w:val="22"/>
          <w:szCs w:val="22"/>
          <w:highlight w:val="none"/>
        </w:rPr>
        <w:fldChar w:fldCharType="end"/>
      </w:r>
    </w:p>
    <w:p>
      <w:pPr>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请各投标供应商务必在规定时间内完成电子投标文件的解密工作，在电子开评标期间，投标供应商（授权代表）需确保在各自所在的区域具备上网的技术条件并保持网络及联系方式畅通，联系方式为获取采购文件时留的联系方式，无法保持联系方式畅通的一切后果由投标供应商自行承担，同时为避免出现意外，建议全程由一台电脑进行操作（包括标书制作、上传、解密等），中途不要更换电脑。投标供应商因未在线参加开标而导致投标文件无法按时解密等一切后果由投标供应商自行承担。</w:t>
      </w:r>
    </w:p>
    <w:p>
      <w:pPr>
        <w:pStyle w:val="13"/>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投标供应商不足3家的，不得开标。</w:t>
      </w:r>
    </w:p>
    <w:p>
      <w:pPr>
        <w:pStyle w:val="13"/>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（3）投标文件解密结束，组织投标供应商签署《国企采购活动现场确认声明书》，格式详见附件。</w:t>
      </w:r>
    </w:p>
    <w:p>
      <w:pPr>
        <w:pStyle w:val="17"/>
        <w:widowControl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（4）采购代理机构对资格进行审查。</w:t>
      </w:r>
    </w:p>
    <w:p>
      <w:pPr>
        <w:pStyle w:val="17"/>
        <w:widowControl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（5）</w:t>
      </w:r>
      <w:r>
        <w:rPr>
          <w:rFonts w:hint="eastAsia" w:ascii="宋体" w:hAnsi="宋体" w:eastAsia="宋体" w:cs="宋体"/>
          <w:color w:val="auto"/>
          <w:sz w:val="22"/>
          <w:szCs w:val="22"/>
          <w:highlight w:val="none"/>
        </w:rPr>
        <w:t>评审小组对商务技术文件进行评审。</w:t>
      </w:r>
    </w:p>
    <w:p>
      <w:pPr>
        <w:pStyle w:val="17"/>
        <w:widowControl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（6）评审小组对报价情况进行评审。</w:t>
      </w:r>
    </w:p>
    <w:p>
      <w:pPr>
        <w:pStyle w:val="17"/>
        <w:widowControl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（7）在系统上公布评审结果。</w:t>
      </w:r>
    </w:p>
    <w:p>
      <w:pPr>
        <w:pStyle w:val="17"/>
        <w:widowControl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特别说明：政采云公司如对电子化开标及评审程序有调整的，按调整后的程序操作。</w:t>
      </w:r>
    </w:p>
    <w:p>
      <w:pPr>
        <w:pStyle w:val="13"/>
        <w:spacing w:line="360" w:lineRule="auto"/>
        <w:ind w:left="0"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4.评标</w:t>
      </w:r>
    </w:p>
    <w:p>
      <w:pPr>
        <w:pStyle w:val="13"/>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4.1组建评审小组</w:t>
      </w:r>
    </w:p>
    <w:p>
      <w:pPr>
        <w:pStyle w:val="13"/>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zh-CN"/>
        </w:rPr>
        <w:t>评审小组成员由采购人代表和有关技术、经济等方面的专家组成，有关技术、经济等方面的专家成员人数为7人</w:t>
      </w:r>
      <w:r>
        <w:rPr>
          <w:rFonts w:hint="eastAsia" w:ascii="宋体" w:hAnsi="宋体" w:eastAsia="宋体" w:cs="宋体"/>
          <w:color w:val="auto"/>
          <w:kern w:val="0"/>
          <w:sz w:val="22"/>
          <w:szCs w:val="22"/>
          <w:highlight w:val="none"/>
        </w:rPr>
        <w:t>(含)</w:t>
      </w:r>
      <w:r>
        <w:rPr>
          <w:rFonts w:hint="eastAsia" w:ascii="宋体" w:hAnsi="宋体" w:eastAsia="宋体" w:cs="宋体"/>
          <w:color w:val="auto"/>
          <w:kern w:val="0"/>
          <w:sz w:val="22"/>
          <w:szCs w:val="22"/>
          <w:highlight w:val="none"/>
          <w:lang w:val="zh-CN"/>
        </w:rPr>
        <w:t>及以上单数，除采购人代表外的专家将按有关规定随机抽取产生</w:t>
      </w:r>
      <w:r>
        <w:rPr>
          <w:rFonts w:hint="eastAsia" w:ascii="宋体" w:hAnsi="宋体" w:eastAsia="宋体" w:cs="宋体"/>
          <w:color w:val="auto"/>
          <w:sz w:val="22"/>
          <w:szCs w:val="22"/>
          <w:highlight w:val="none"/>
        </w:rPr>
        <w:t>。</w:t>
      </w:r>
    </w:p>
    <w:p>
      <w:pPr>
        <w:pStyle w:val="13"/>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4.2评标的方式</w:t>
      </w:r>
    </w:p>
    <w:p>
      <w:pPr>
        <w:pStyle w:val="13"/>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本项目采用不公开方式评标，评标的依据为采购文件和投标文件。</w:t>
      </w:r>
    </w:p>
    <w:p>
      <w:pPr>
        <w:pStyle w:val="13"/>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4.3评标程序</w:t>
      </w:r>
    </w:p>
    <w:p>
      <w:pPr>
        <w:pStyle w:val="13"/>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采购代理机构按照采购文件规定的时间、地点及程序组织评审。评审活动一般应按以下程序组织开展：</w:t>
      </w:r>
    </w:p>
    <w:p>
      <w:pPr>
        <w:pStyle w:val="13"/>
        <w:spacing w:line="360" w:lineRule="auto"/>
        <w:ind w:left="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（1）开启评审场地的录音录像采集设备，并确保其正常运行。</w:t>
      </w:r>
    </w:p>
    <w:p>
      <w:pPr>
        <w:pStyle w:val="13"/>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（2）核验出席评审活动现场的评审小组各成员身份，并要求其分别登记、签到，按规定统一收缴、保存其通讯工具，无关人员一律拒绝其进入评审现场。</w:t>
      </w:r>
    </w:p>
    <w:p>
      <w:pPr>
        <w:pStyle w:val="13"/>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（3）介绍评审现场的人员情况，宣布评审工作纪律，告知评审小组应当回避情形；组织推选评审小组组长。</w:t>
      </w:r>
    </w:p>
    <w:p>
      <w:pPr>
        <w:pStyle w:val="13"/>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（4）通报报名参加本项目采购的投标供应商名单及资格预审情况（如有），宣读最终提交投标文件且通过资格审查的投标供应商名单，组织评审小组各位成员签订《国企采购评审人员廉洁自律承诺书》。</w:t>
      </w:r>
    </w:p>
    <w:p>
      <w:pPr>
        <w:pStyle w:val="13"/>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根据需要简要介绍采购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采购文件、投标文件的问题进行必要的说明、解释或讨论。</w:t>
      </w:r>
    </w:p>
    <w:p>
      <w:pPr>
        <w:pStyle w:val="13"/>
        <w:spacing w:line="360" w:lineRule="auto"/>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审小组组长组织评审小组独立评审。评审小组对拟认定为投标文件无效的，应组织相关投标供应商代表进行陈述、澄清或申辩；采购代理机构可协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pPr>
        <w:pStyle w:val="13"/>
        <w:spacing w:line="360" w:lineRule="auto"/>
        <w:ind w:left="0"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（7）做好评审现场相关记录，协助评审小组组长做好评审报告起草、有关内容电脑文字录入等工作，并要求评审小组各成员签字确认。</w:t>
      </w:r>
    </w:p>
    <w:p>
      <w:pPr>
        <w:pStyle w:val="13"/>
        <w:spacing w:line="360" w:lineRule="auto"/>
        <w:ind w:left="0" w:firstLine="0" w:firstLineChars="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（8）评审结束后，采购代理机构交还评审人员及其他现场相关人员的通讯工具。</w:t>
      </w:r>
    </w:p>
    <w:p>
      <w:pPr>
        <w:spacing w:line="360" w:lineRule="auto"/>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bCs/>
          <w:color w:val="auto"/>
          <w:sz w:val="22"/>
          <w:szCs w:val="22"/>
          <w:highlight w:val="none"/>
          <w:u w:val="single"/>
        </w:rPr>
        <w:t>5.投标供应商</w:t>
      </w:r>
      <w:r>
        <w:rPr>
          <w:rFonts w:hint="eastAsia" w:ascii="宋体" w:hAnsi="宋体" w:eastAsia="宋体" w:cs="宋体"/>
          <w:b/>
          <w:color w:val="auto"/>
          <w:sz w:val="22"/>
          <w:szCs w:val="22"/>
          <w:highlight w:val="none"/>
          <w:u w:val="single"/>
        </w:rPr>
        <w:t>存在下列情况之一的，投标无效：</w:t>
      </w:r>
    </w:p>
    <w:p>
      <w:pPr>
        <w:pStyle w:val="17"/>
        <w:adjustRightInd/>
        <w:spacing w:line="360" w:lineRule="auto"/>
        <w:ind w:firstLine="416" w:firstLineChars="200"/>
        <w:textAlignment w:val="auto"/>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▲5.1、有下列情形之一的，将不予受理投标文件：</w:t>
      </w:r>
    </w:p>
    <w:p>
      <w:pPr>
        <w:pStyle w:val="17"/>
        <w:adjustRightInd/>
        <w:spacing w:line="360" w:lineRule="auto"/>
        <w:ind w:firstLine="416" w:firstLineChars="200"/>
        <w:textAlignment w:val="auto"/>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（1）逾期上传电子档投标文件至“政采云”平台的；</w:t>
      </w:r>
    </w:p>
    <w:p>
      <w:pPr>
        <w:pStyle w:val="17"/>
        <w:adjustRightInd/>
        <w:spacing w:line="360" w:lineRule="auto"/>
        <w:ind w:firstLine="416" w:firstLineChars="200"/>
        <w:textAlignment w:val="auto"/>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（2）仅递交备份电子投标文件的；</w:t>
      </w:r>
    </w:p>
    <w:p>
      <w:pPr>
        <w:pStyle w:val="17"/>
        <w:adjustRightInd/>
        <w:spacing w:line="360" w:lineRule="auto"/>
        <w:ind w:firstLine="416" w:firstLineChars="200"/>
        <w:textAlignment w:val="auto"/>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（3）</w:t>
      </w:r>
      <w:r>
        <w:rPr>
          <w:rFonts w:hint="eastAsia" w:ascii="宋体" w:hAnsi="宋体" w:eastAsia="宋体" w:cs="宋体"/>
          <w:color w:val="auto"/>
          <w:sz w:val="22"/>
          <w:szCs w:val="22"/>
          <w:highlight w:val="none"/>
          <w:u w:val="single"/>
        </w:rPr>
        <w:t>电子投标文件解密失败的，且未在规定时间内提交备份投标文件的视为投标无效。</w:t>
      </w:r>
    </w:p>
    <w:p>
      <w:pPr>
        <w:widowControl/>
        <w:spacing w:line="360" w:lineRule="auto"/>
        <w:ind w:firstLine="440" w:firstLineChars="200"/>
        <w:jc w:val="left"/>
        <w:rPr>
          <w:rFonts w:hint="eastAsia" w:ascii="宋体" w:hAnsi="宋体" w:eastAsia="宋体" w:cs="宋体"/>
          <w:b/>
          <w:color w:val="auto"/>
          <w:spacing w:val="-6"/>
          <w:sz w:val="22"/>
          <w:szCs w:val="22"/>
          <w:highlight w:val="none"/>
          <w:u w:val="single"/>
        </w:rPr>
      </w:pPr>
      <w:r>
        <w:rPr>
          <w:rFonts w:hint="eastAsia" w:ascii="宋体" w:hAnsi="宋体" w:eastAsia="宋体" w:cs="宋体"/>
          <w:color w:val="auto"/>
          <w:sz w:val="22"/>
          <w:szCs w:val="22"/>
          <w:highlight w:val="none"/>
          <w:u w:val="single"/>
        </w:rPr>
        <w:t>▲</w:t>
      </w:r>
      <w:r>
        <w:rPr>
          <w:rFonts w:hint="eastAsia" w:ascii="宋体" w:hAnsi="宋体" w:eastAsia="宋体" w:cs="宋体"/>
          <w:b/>
          <w:color w:val="auto"/>
          <w:spacing w:val="-6"/>
          <w:sz w:val="22"/>
          <w:szCs w:val="22"/>
          <w:highlight w:val="none"/>
          <w:u w:val="single"/>
        </w:rPr>
        <w:t>5.2在资格审查时，如发现下列情形之一的，投标无效：</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（1）资格证明材料不全的，或者不符合采购文件要求的；</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（2）</w:t>
      </w:r>
      <w:r>
        <w:rPr>
          <w:rFonts w:hint="eastAsia" w:ascii="宋体" w:hAnsi="宋体" w:eastAsia="宋体" w:cs="宋体"/>
          <w:color w:val="auto"/>
          <w:sz w:val="22"/>
          <w:szCs w:val="22"/>
          <w:highlight w:val="none"/>
          <w:u w:val="single"/>
        </w:rPr>
        <w:t>资格审查材料未按采购文件要求签署、盖章的</w:t>
      </w:r>
      <w:r>
        <w:rPr>
          <w:rFonts w:hint="eastAsia" w:ascii="宋体" w:hAnsi="宋体" w:eastAsia="宋体" w:cs="宋体"/>
          <w:color w:val="auto"/>
          <w:spacing w:val="-6"/>
          <w:sz w:val="22"/>
          <w:szCs w:val="22"/>
          <w:highlight w:val="none"/>
          <w:u w:val="single"/>
        </w:rPr>
        <w:t>；</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（3）</w:t>
      </w:r>
      <w:r>
        <w:rPr>
          <w:rFonts w:hint="eastAsia" w:ascii="宋体" w:hAnsi="宋体" w:eastAsia="宋体" w:cs="宋体"/>
          <w:bCs/>
          <w:color w:val="auto"/>
          <w:sz w:val="22"/>
          <w:szCs w:val="22"/>
          <w:highlight w:val="none"/>
          <w:u w:val="single"/>
        </w:rPr>
        <w:t>未按照采购文件的规定提交投标保证金的；</w:t>
      </w:r>
    </w:p>
    <w:p>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（4）未提供合法、有效有效法定代表人授权委托书；</w:t>
      </w:r>
    </w:p>
    <w:p>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（5）经查询存在不良信用记录的。</w:t>
      </w:r>
    </w:p>
    <w:p>
      <w:pPr>
        <w:spacing w:line="360" w:lineRule="auto"/>
        <w:ind w:firstLine="416" w:firstLineChars="200"/>
        <w:rPr>
          <w:rFonts w:hint="eastAsia" w:ascii="宋体" w:hAnsi="宋体" w:eastAsia="宋体" w:cs="宋体"/>
          <w:b/>
          <w:color w:val="auto"/>
          <w:spacing w:val="-6"/>
          <w:sz w:val="22"/>
          <w:szCs w:val="22"/>
          <w:highlight w:val="none"/>
          <w:u w:val="single"/>
        </w:rPr>
      </w:pPr>
      <w:r>
        <w:rPr>
          <w:rFonts w:hint="eastAsia" w:ascii="宋体" w:hAnsi="宋体" w:eastAsia="宋体" w:cs="宋体"/>
          <w:color w:val="auto"/>
          <w:spacing w:val="-6"/>
          <w:sz w:val="22"/>
          <w:szCs w:val="22"/>
          <w:highlight w:val="none"/>
          <w:u w:val="single"/>
        </w:rPr>
        <w:t>▲</w:t>
      </w:r>
      <w:r>
        <w:rPr>
          <w:rFonts w:hint="eastAsia" w:ascii="宋体" w:hAnsi="宋体" w:eastAsia="宋体" w:cs="宋体"/>
          <w:b/>
          <w:color w:val="auto"/>
          <w:spacing w:val="-6"/>
          <w:sz w:val="22"/>
          <w:szCs w:val="22"/>
          <w:highlight w:val="none"/>
          <w:u w:val="single"/>
        </w:rPr>
        <w:t>5.3在符合性审查、技术评审时，如发现下列情形之一的，投标无效：</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（1）商务和技术文件未按要求签署、盖章的；</w:t>
      </w:r>
    </w:p>
    <w:p>
      <w:pPr>
        <w:spacing w:line="360" w:lineRule="auto"/>
        <w:ind w:firstLine="416"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pacing w:val="-6"/>
          <w:sz w:val="22"/>
          <w:szCs w:val="22"/>
          <w:highlight w:val="none"/>
          <w:u w:val="single"/>
        </w:rPr>
        <w:t>（2）未提供采购需求偏离表的；</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（3）明显不符合采购文件要求，或者与采购文件中标“▲加下划线”的项目发生实质性偏离的；</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（4）</w:t>
      </w:r>
      <w:r>
        <w:rPr>
          <w:rFonts w:hint="eastAsia" w:ascii="宋体" w:hAnsi="宋体" w:eastAsia="宋体" w:cs="宋体"/>
          <w:color w:val="auto"/>
          <w:sz w:val="22"/>
          <w:szCs w:val="22"/>
          <w:highlight w:val="none"/>
          <w:u w:val="single"/>
        </w:rPr>
        <w:t>投标文件中承诺的投标有效期少于采购文件中载明的投标有效期的；</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（5）</w:t>
      </w:r>
      <w:r>
        <w:rPr>
          <w:rFonts w:hint="eastAsia" w:ascii="宋体" w:hAnsi="宋体" w:eastAsia="宋体" w:cs="宋体"/>
          <w:color w:val="auto"/>
          <w:sz w:val="22"/>
          <w:szCs w:val="22"/>
          <w:highlight w:val="none"/>
          <w:u w:val="single"/>
        </w:rPr>
        <w:t>投标供应商提供虚假材料投标的</w:t>
      </w:r>
      <w:r>
        <w:rPr>
          <w:rFonts w:hint="eastAsia" w:ascii="宋体" w:hAnsi="宋体" w:eastAsia="宋体" w:cs="宋体"/>
          <w:color w:val="auto"/>
          <w:spacing w:val="-6"/>
          <w:sz w:val="22"/>
          <w:szCs w:val="22"/>
          <w:highlight w:val="none"/>
          <w:u w:val="single"/>
        </w:rPr>
        <w:t>；</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（6）投标技术方案不明确，存在一个或一个以上备选（替代）投标方案的；</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（7）投标供应商有恶意串通、妨碍其他投标供应商的竞争行为、损害采购人或者其他投标供应商的合法权益情形的；</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（8）在“资格文件”或“商务和技术文件”中出现投标报价的；</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（9）投标文件含有采购人不能接受的附加条件的；</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（10）投标供应商递交两份或两份以上内容不同的投标文件，未声明哪一份有效的；</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（11）投标文件不满足采购文件的其它实质性要求的</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（12）法律、法规和采购文件规定的其他无效情形。</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▲5.4在商务评审时，如发现下列情形之一的，投标无效：</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（1）报价文件未按要求签署、盖章的；</w:t>
      </w:r>
    </w:p>
    <w:p>
      <w:pPr>
        <w:spacing w:line="360" w:lineRule="auto"/>
        <w:ind w:firstLine="416"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pacing w:val="-6"/>
          <w:sz w:val="22"/>
          <w:szCs w:val="22"/>
          <w:highlight w:val="none"/>
          <w:u w:val="single"/>
        </w:rPr>
        <w:t>（2）</w:t>
      </w:r>
      <w:r>
        <w:rPr>
          <w:rFonts w:hint="eastAsia" w:ascii="宋体" w:hAnsi="宋体" w:eastAsia="宋体" w:cs="宋体"/>
          <w:color w:val="auto"/>
          <w:sz w:val="22"/>
          <w:szCs w:val="22"/>
          <w:highlight w:val="none"/>
          <w:u w:val="single"/>
        </w:rPr>
        <w:t>未按照采购文件标明的币种报价的；</w:t>
      </w:r>
    </w:p>
    <w:p>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（3）报价明细有缺漏项，或者与采购文件要求不一致的；</w:t>
      </w:r>
    </w:p>
    <w:p>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（4）报价超过采购文件中规定的预算金额或最高限价的；</w:t>
      </w:r>
    </w:p>
    <w:p>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（5）投标报价具有选择性，或者开标价格与投标文件承诺的优惠（折扣）价格不一致的；</w:t>
      </w:r>
    </w:p>
    <w:p>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（6）投标供应商对根据修正原则修正后的报价不确认的；</w:t>
      </w:r>
    </w:p>
    <w:p>
      <w:pPr>
        <w:spacing w:line="360" w:lineRule="auto"/>
        <w:ind w:firstLine="416" w:firstLineChars="200"/>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u w:val="single"/>
        </w:rPr>
        <w:t>（7）</w:t>
      </w:r>
      <w:r>
        <w:rPr>
          <w:rFonts w:hint="eastAsia" w:ascii="宋体" w:hAnsi="宋体" w:eastAsia="宋体" w:cs="宋体"/>
          <w:color w:val="auto"/>
          <w:sz w:val="22"/>
          <w:szCs w:val="22"/>
          <w:highlight w:val="none"/>
          <w:u w:val="single"/>
        </w:rPr>
        <w:t>评审小组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审小组应当将其作为无效投标处理。</w:t>
      </w:r>
    </w:p>
    <w:p>
      <w:pPr>
        <w:spacing w:line="360" w:lineRule="auto"/>
        <w:ind w:firstLine="416" w:firstLineChars="200"/>
        <w:rPr>
          <w:rFonts w:hint="eastAsia" w:ascii="宋体" w:hAnsi="宋体" w:eastAsia="宋体" w:cs="宋体"/>
          <w:b/>
          <w:bCs/>
          <w:color w:val="auto"/>
          <w:sz w:val="22"/>
          <w:szCs w:val="22"/>
          <w:highlight w:val="none"/>
          <w:u w:val="single"/>
        </w:rPr>
      </w:pPr>
      <w:r>
        <w:rPr>
          <w:rFonts w:hint="eastAsia" w:ascii="宋体" w:hAnsi="宋体" w:eastAsia="宋体" w:cs="宋体"/>
          <w:color w:val="auto"/>
          <w:spacing w:val="-6"/>
          <w:sz w:val="22"/>
          <w:szCs w:val="22"/>
          <w:highlight w:val="none"/>
          <w:u w:val="single"/>
        </w:rPr>
        <w:t>▲</w:t>
      </w:r>
      <w:r>
        <w:rPr>
          <w:rFonts w:hint="eastAsia" w:ascii="宋体" w:hAnsi="宋体" w:eastAsia="宋体" w:cs="宋体"/>
          <w:b/>
          <w:bCs/>
          <w:color w:val="auto"/>
          <w:sz w:val="22"/>
          <w:szCs w:val="22"/>
          <w:highlight w:val="none"/>
          <w:u w:val="single"/>
        </w:rPr>
        <w:t>6.有下列情形之一的，视为投标供应商串通投标，其投标无效：</w:t>
      </w:r>
    </w:p>
    <w:p>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（1）不同投标供应商的投标文件由同一单位或者个人编制；</w:t>
      </w:r>
    </w:p>
    <w:p>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（2）不同投标供应商委托同一单位或者个人办理投标事宜；</w:t>
      </w:r>
    </w:p>
    <w:p>
      <w:pPr>
        <w:spacing w:line="360" w:lineRule="auto"/>
        <w:ind w:firstLine="440" w:firstLineChars="200"/>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（3）不同投标供应商的投标文件载明的项目管理成员或者联系人员为同一人；</w:t>
      </w:r>
    </w:p>
    <w:p>
      <w:pPr>
        <w:spacing w:line="360" w:lineRule="auto"/>
        <w:ind w:firstLine="440" w:firstLineChars="200"/>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（4）不同投标供应商的投标文件异常一致或者投标报价呈规律性差异；</w:t>
      </w:r>
    </w:p>
    <w:p>
      <w:pPr>
        <w:spacing w:line="360" w:lineRule="auto"/>
        <w:ind w:firstLine="440" w:firstLineChars="200"/>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（5）不同投标供应商的投标文件相互混装；</w:t>
      </w:r>
    </w:p>
    <w:p>
      <w:pPr>
        <w:spacing w:line="360" w:lineRule="auto"/>
        <w:ind w:firstLine="440" w:firstLineChars="200"/>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（6）不同投标供应商的投标保证金从同一单位或者个人的账户转出。</w:t>
      </w:r>
    </w:p>
    <w:p>
      <w:pPr>
        <w:spacing w:line="360" w:lineRule="auto"/>
        <w:ind w:firstLine="541" w:firstLineChars="245"/>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7.投标文件报价出现前后不一致的，按照下列规定修正：</w:t>
      </w:r>
    </w:p>
    <w:p>
      <w:pPr>
        <w:spacing w:line="360" w:lineRule="auto"/>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（1）投标文件中开标一览表（报价表）内容与投标文件中相应内容不一致的，以开标一览表（报价表）为准；</w:t>
      </w:r>
    </w:p>
    <w:p>
      <w:pPr>
        <w:spacing w:line="360" w:lineRule="auto"/>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（2）大写金额和小写金额不一致的，以大写金额为准；</w:t>
      </w:r>
    </w:p>
    <w:p>
      <w:pPr>
        <w:spacing w:line="360" w:lineRule="auto"/>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（3）单价金额小数点或者百分比有明显错位的，以开标一览表的总价为准，并修改单价；</w:t>
      </w:r>
    </w:p>
    <w:p>
      <w:pPr>
        <w:spacing w:line="360" w:lineRule="auto"/>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（4）总价金额与按单价汇总金额不一致的，以单价金额计算结果为准。</w:t>
      </w:r>
    </w:p>
    <w:p>
      <w:pPr>
        <w:spacing w:line="360" w:lineRule="auto"/>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（5）客户端填写的报价与以pdf格式上传文件中的报价不一致的，应以Pdf格式上传文件中的报价为准。</w:t>
      </w:r>
    </w:p>
    <w:p>
      <w:pPr>
        <w:spacing w:line="360" w:lineRule="auto"/>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同时出现两种以上不一致的，按照前款规定的顺序修正。修正后的报价按照第8.1条第二款的规定经投标供应商确认后产生约束力，投标供应商不确认的，其投标无效。</w:t>
      </w:r>
    </w:p>
    <w:p>
      <w:pPr>
        <w:spacing w:line="360"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8.投标文件的澄清</w:t>
      </w:r>
    </w:p>
    <w:p>
      <w:pPr>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8.1 为有助于投标文件的审查、评价，评审小组可以在“政采云”平台在线询标或其他有效形式要求投标供应商对同一份投标文件含义不明确或同类问题表述不一致的内容（采购文件其它地方有规定处理方法的除外）作必要的澄清或说明，投标供应商应采用在线回复或其他有效形式在询标规定时间内进行澄清或说明（需盖电子签章或公章），但不得超出投标文件的范围或改变投标文件的实质性内容。根据上述第7条规定，凡属于评审小组在评标中发现的计算错误并进行核实的修改不在此列。</w:t>
      </w:r>
    </w:p>
    <w:p>
      <w:pPr>
        <w:pStyle w:val="17"/>
        <w:tabs>
          <w:tab w:val="left" w:pos="0"/>
        </w:tabs>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8.2 如果投标供应商代表拒绝按评审小组要求在“政采云”平台作出在线回复且无其他有效回复方式的，评审小组可以对其作出投标无效处理。</w:t>
      </w:r>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 xml:space="preserve">8.3 </w:t>
      </w:r>
      <w:r>
        <w:rPr>
          <w:rFonts w:hint="eastAsia" w:ascii="宋体" w:hAnsi="宋体" w:eastAsia="宋体" w:cs="宋体"/>
          <w:b/>
          <w:color w:val="auto"/>
          <w:sz w:val="22"/>
          <w:szCs w:val="22"/>
          <w:highlight w:val="none"/>
        </w:rPr>
        <w:t>经澄清后，若偏差仍存在，且不可接受，投标供应商则被认为是“没有实质性响应采购文件要求”，其投标将被拒绝。</w:t>
      </w:r>
    </w:p>
    <w:p>
      <w:pPr>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9.评标原则和评标办法</w:t>
      </w:r>
    </w:p>
    <w:p>
      <w:pPr>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9.1 评审小组成员应当按照客观、公正、审慎的原则，根据采购文件规定的评标程序、评标方法和评标标准进行独立评审。采购文件内容违反国家有关强制性规定的，评审小组应当停止评标并向采购人或者采购代理机构说明情况。</w:t>
      </w:r>
    </w:p>
    <w:p>
      <w:pPr>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9.2 评标中因评审小组成员缺席、回避或者健康等特殊原因导致评审小组组成不符合规定的，依法补足后继续评标。被更换的评审小组成员所作出的评标意见无效。</w:t>
      </w:r>
    </w:p>
    <w:p>
      <w:pPr>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9.3 评审小组成员对需要共同认定的事项存在争议的，应当按照少数服从多数的原则作出结论。持不同意见的评审小组成员应当在评标报告上签署不同意见及理由，否则视为同意评标报告。</w:t>
      </w:r>
    </w:p>
    <w:p>
      <w:pPr>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9.4 评标办法。本项目评标办法是综合评分法，具体评标内容及评分标准等详见《第五部分：</w:t>
      </w:r>
      <w:r>
        <w:rPr>
          <w:rFonts w:hint="eastAsia" w:ascii="宋体" w:hAnsi="宋体" w:eastAsia="宋体" w:cs="宋体"/>
          <w:color w:val="auto"/>
          <w:sz w:val="22"/>
          <w:szCs w:val="22"/>
          <w:highlight w:val="none"/>
        </w:rPr>
        <w:t>评标原则及方法</w:t>
      </w:r>
      <w:r>
        <w:rPr>
          <w:rFonts w:hint="eastAsia" w:ascii="宋体" w:hAnsi="宋体" w:eastAsia="宋体" w:cs="宋体"/>
          <w:bCs/>
          <w:color w:val="auto"/>
          <w:sz w:val="22"/>
          <w:szCs w:val="22"/>
          <w:highlight w:val="none"/>
        </w:rPr>
        <w:t>》。</w:t>
      </w:r>
    </w:p>
    <w:p>
      <w:pPr>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w:t>
      </w:r>
      <w:r>
        <w:rPr>
          <w:rFonts w:hint="eastAsia" w:ascii="宋体" w:hAnsi="宋体" w:eastAsia="宋体" w:cs="宋体"/>
          <w:b/>
          <w:color w:val="auto"/>
          <w:sz w:val="22"/>
          <w:szCs w:val="22"/>
          <w:highlight w:val="none"/>
          <w:u w:val="single"/>
        </w:rPr>
        <w:t>9.5 在采购中，符合专业条件的投标供应商或者对采购文件作实质响应的投标供应商不足3家的，</w:t>
      </w:r>
      <w:r>
        <w:rPr>
          <w:rFonts w:hint="eastAsia" w:ascii="宋体" w:hAnsi="宋体" w:eastAsia="宋体" w:cs="宋体"/>
          <w:b/>
          <w:color w:val="auto"/>
          <w:sz w:val="22"/>
          <w:szCs w:val="22"/>
          <w:highlight w:val="none"/>
          <w:u w:val="single"/>
          <w:lang w:val="en-US" w:eastAsia="zh-CN"/>
        </w:rPr>
        <w:t>该</w:t>
      </w:r>
      <w:r>
        <w:rPr>
          <w:rFonts w:hint="eastAsia" w:ascii="宋体" w:hAnsi="宋体" w:eastAsia="宋体" w:cs="宋体"/>
          <w:b/>
          <w:color w:val="auto"/>
          <w:sz w:val="22"/>
          <w:szCs w:val="22"/>
          <w:highlight w:val="none"/>
          <w:u w:val="single"/>
        </w:rPr>
        <w:t>标项废标，应重新组织采购。</w:t>
      </w:r>
    </w:p>
    <w:p>
      <w:pPr>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10.确定中标候选供应商</w:t>
      </w:r>
    </w:p>
    <w:p>
      <w:pPr>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10.1 由评审小组确定中标候选供应商。</w:t>
      </w:r>
    </w:p>
    <w:p>
      <w:pPr>
        <w:tabs>
          <w:tab w:val="left" w:pos="1365"/>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 xml:space="preserve">10.2 </w:t>
      </w:r>
      <w:r>
        <w:rPr>
          <w:rFonts w:hint="eastAsia" w:ascii="宋体" w:hAnsi="宋体" w:eastAsia="宋体" w:cs="宋体"/>
          <w:color w:val="auto"/>
          <w:sz w:val="22"/>
          <w:szCs w:val="22"/>
          <w:highlight w:val="none"/>
        </w:rPr>
        <w:t>本项目采用综合评分法，评标结果按评审后得分由高到低顺序排列推荐中标候选供应商</w:t>
      </w:r>
      <w:r>
        <w:rPr>
          <w:rFonts w:hint="eastAsia" w:ascii="宋体" w:hAnsi="宋体" w:eastAsia="宋体" w:cs="宋体"/>
          <w:b/>
          <w:bCs/>
          <w:color w:val="auto"/>
          <w:sz w:val="22"/>
          <w:szCs w:val="22"/>
          <w:highlight w:val="none"/>
        </w:rPr>
        <w:t>（标项1（综合评估类）前10家、标项2（房地产评估类）前8家为中标候选供应商确定为中标候选供应商（得分相同投标报价所报折扣率低的排序第一；得分且投标报价相同折扣率的，按照评审因素的量化指标评审得分排序第一，如果均相同，则由评审小组组长抽签决定）。如有效投标供应商标项1（综合评估类）不足10家、标项2（房地产评估类）不足8家，除各标项综合得分最低的1家投标供应商外，其余投标供应商全部确定为中标候选供应商。每个标项再根据排列选取不多于3家的备选供应商。）</w:t>
      </w:r>
      <w:r>
        <w:rPr>
          <w:rFonts w:hint="eastAsia" w:ascii="宋体" w:hAnsi="宋体" w:eastAsia="宋体" w:cs="宋体"/>
          <w:color w:val="auto"/>
          <w:sz w:val="22"/>
          <w:szCs w:val="22"/>
          <w:highlight w:val="none"/>
        </w:rPr>
        <w:t>，并编写评审报告。</w:t>
      </w:r>
    </w:p>
    <w:p>
      <w:pPr>
        <w:pStyle w:val="17"/>
        <w:snapToGrid w:val="0"/>
        <w:spacing w:line="360" w:lineRule="auto"/>
        <w:ind w:firstLine="431" w:firstLineChars="196"/>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11.定标</w:t>
      </w:r>
    </w:p>
    <w:p>
      <w:pPr>
        <w:pStyle w:val="17"/>
        <w:snapToGrid w:val="0"/>
        <w:spacing w:line="360" w:lineRule="auto"/>
        <w:ind w:firstLine="431" w:firstLineChars="196"/>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确定中标供应商。本项目由采购人确定中标供应商</w:t>
      </w:r>
      <w:r>
        <w:rPr>
          <w:rFonts w:hint="eastAsia" w:ascii="宋体" w:hAnsi="宋体" w:eastAsia="宋体" w:cs="宋体"/>
          <w:b/>
          <w:bCs/>
          <w:color w:val="auto"/>
          <w:sz w:val="22"/>
          <w:szCs w:val="22"/>
          <w:highlight w:val="none"/>
        </w:rPr>
        <w:t>（标项1（综合评估类）入围10家中标供应商、标项2（房地产评估类）入围8家中标供应商。如有效投标供应商标项1（综合评估类）不足10家、标项2（房地产评估类）不足8家，除各标项综合得分最低的1家投标供应商外，其余投标供应商全部确定为入围中标供应商。）</w:t>
      </w:r>
      <w:r>
        <w:rPr>
          <w:rFonts w:hint="eastAsia" w:ascii="宋体" w:hAnsi="宋体" w:eastAsia="宋体" w:cs="宋体"/>
          <w:bCs/>
          <w:color w:val="auto"/>
          <w:sz w:val="22"/>
          <w:szCs w:val="22"/>
          <w:highlight w:val="none"/>
        </w:rPr>
        <w:t>。</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11.1 </w:t>
      </w:r>
      <w:r>
        <w:rPr>
          <w:rFonts w:hint="eastAsia" w:ascii="宋体" w:hAnsi="宋体" w:eastAsia="宋体" w:cs="宋体"/>
          <w:color w:val="auto"/>
          <w:kern w:val="0"/>
          <w:sz w:val="22"/>
          <w:szCs w:val="22"/>
          <w:highlight w:val="none"/>
        </w:rPr>
        <w:t>采购代理机构</w:t>
      </w:r>
      <w:r>
        <w:rPr>
          <w:rFonts w:hint="eastAsia" w:ascii="宋体" w:hAnsi="宋体" w:eastAsia="宋体" w:cs="宋体"/>
          <w:color w:val="auto"/>
          <w:sz w:val="22"/>
          <w:szCs w:val="22"/>
          <w:highlight w:val="none"/>
        </w:rPr>
        <w:t>自评审结束之日起2个工作日内将评审报告送交采购人。采购人收到评审报告之日起5个工作日内在评审报告推荐的中标候选供应商中按照排序由高到低的原则确定中标供应商。采购人逾期未确定中标供应商且不提出异议的，视为确定评审报告提出排序的投标供应商为中标供应商。</w:t>
      </w:r>
    </w:p>
    <w:p>
      <w:pPr>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 xml:space="preserve">11.2 </w:t>
      </w:r>
      <w:r>
        <w:rPr>
          <w:rFonts w:hint="eastAsia" w:ascii="宋体" w:hAnsi="宋体" w:eastAsia="宋体" w:cs="宋体"/>
          <w:color w:val="auto"/>
          <w:kern w:val="0"/>
          <w:sz w:val="22"/>
          <w:szCs w:val="22"/>
          <w:highlight w:val="none"/>
        </w:rPr>
        <w:t>采购代理机构</w:t>
      </w:r>
      <w:r>
        <w:rPr>
          <w:rFonts w:hint="eastAsia" w:ascii="宋体" w:hAnsi="宋体" w:eastAsia="宋体" w:cs="宋体"/>
          <w:color w:val="auto"/>
          <w:sz w:val="22"/>
          <w:szCs w:val="22"/>
          <w:highlight w:val="none"/>
        </w:rPr>
        <w:t>自中标供应商确定之日起2个工作日内在温州市公用事业发展集团有限公司网、温州市城市建设发展集团有限公司、温州市现代服务业发展集团有限公司、温州市交通运输集团有限公司、温州市工业与能源发展集团有限公司、温州市交通发展集团有限公司、温州市铁路与轨道交通投资集团有限公司、温州市国有资本投资运营有限公司、温州建设集团有限公司、温州设计集团有限公司、温州国企采购平台及浙江政府采购网上发布中标公告，</w:t>
      </w:r>
      <w:r>
        <w:rPr>
          <w:rFonts w:hint="eastAsia" w:ascii="宋体" w:hAnsi="宋体" w:eastAsia="宋体" w:cs="宋体"/>
          <w:color w:val="auto"/>
          <w:kern w:val="0"/>
          <w:sz w:val="22"/>
          <w:szCs w:val="22"/>
          <w:highlight w:val="none"/>
        </w:rPr>
        <w:t>中标公告期限为1个工作日。在公告中标结果的同时，采购人向中标供应商发出</w:t>
      </w:r>
      <w:r>
        <w:rPr>
          <w:rFonts w:hint="eastAsia" w:ascii="宋体" w:hAnsi="宋体" w:eastAsia="宋体" w:cs="宋体"/>
          <w:color w:val="auto"/>
          <w:kern w:val="0"/>
          <w:sz w:val="22"/>
          <w:szCs w:val="22"/>
          <w:highlight w:val="none"/>
          <w:lang w:eastAsia="zh-CN"/>
        </w:rPr>
        <w:t>中标通知书</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采购人与中标供应商按照采购文件和中标供应商投标文件的约定签订合同。</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各投标供应商对评标结果如有异议，可在中标结果公示之日起7个工作日内以书面形式向采购人进行署名投诉或提出质疑，但需对投诉或质疑内容的真实性承担法律责任。</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11.3 如中标供应商放弃中标；</w:t>
      </w:r>
      <w:r>
        <w:rPr>
          <w:rFonts w:hint="eastAsia" w:ascii="宋体" w:hAnsi="宋体" w:eastAsia="宋体" w:cs="宋体"/>
          <w:b/>
          <w:bCs/>
          <w:color w:val="auto"/>
          <w:sz w:val="22"/>
          <w:szCs w:val="22"/>
          <w:highlight w:val="none"/>
        </w:rPr>
        <w:t>因不可抗力或经提出不能履行合同的</w:t>
      </w:r>
      <w:r>
        <w:rPr>
          <w:rFonts w:hint="eastAsia" w:ascii="宋体" w:hAnsi="宋体" w:eastAsia="宋体" w:cs="宋体"/>
          <w:color w:val="auto"/>
          <w:sz w:val="22"/>
          <w:szCs w:val="22"/>
          <w:highlight w:val="none"/>
        </w:rPr>
        <w:t>；或未能在规定时间内与采购人签订合同的；或者经质疑，采购人审查后，确因排名入围的中标候选供应商在本次公开遴选活动中存在违法违规行为或其他原因使质疑成立的，取消中标资格</w:t>
      </w:r>
      <w:r>
        <w:rPr>
          <w:rFonts w:hint="eastAsia" w:ascii="宋体" w:hAnsi="宋体" w:eastAsia="宋体" w:cs="宋体"/>
          <w:color w:val="auto"/>
          <w:sz w:val="22"/>
          <w:szCs w:val="22"/>
          <w:highlight w:val="none"/>
          <w:lang w:val="en-US" w:eastAsia="zh-CN"/>
        </w:rPr>
        <w:t>或服务期内合同终止的</w:t>
      </w:r>
      <w:r>
        <w:rPr>
          <w:rFonts w:hint="eastAsia" w:ascii="宋体" w:hAnsi="宋体" w:eastAsia="宋体" w:cs="宋体"/>
          <w:color w:val="auto"/>
          <w:sz w:val="22"/>
          <w:szCs w:val="22"/>
          <w:highlight w:val="none"/>
        </w:rPr>
        <w:t>采购人有权在备选供应商中根据排列进行递补，也可重新组织招标。</w:t>
      </w:r>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 xml:space="preserve">11.4 </w:t>
      </w:r>
      <w:r>
        <w:rPr>
          <w:rFonts w:hint="eastAsia" w:ascii="宋体" w:hAnsi="宋体" w:eastAsia="宋体" w:cs="宋体"/>
          <w:b/>
          <w:color w:val="auto"/>
          <w:sz w:val="22"/>
          <w:szCs w:val="22"/>
          <w:highlight w:val="none"/>
        </w:rPr>
        <w:t>采购人对决标结果不做任何解释，也不保证最低价中标。</w:t>
      </w:r>
    </w:p>
    <w:p>
      <w:pPr>
        <w:spacing w:line="360" w:lineRule="auto"/>
        <w:jc w:val="center"/>
        <w:outlineLvl w:val="1"/>
        <w:rPr>
          <w:rFonts w:hint="eastAsia" w:ascii="宋体" w:hAnsi="宋体" w:eastAsia="宋体" w:cs="宋体"/>
          <w:b/>
          <w:bCs/>
          <w:color w:val="auto"/>
          <w:kern w:val="0"/>
          <w:sz w:val="26"/>
          <w:szCs w:val="26"/>
          <w:highlight w:val="none"/>
        </w:rPr>
      </w:pPr>
      <w:bookmarkStart w:id="156" w:name="_Toc19682"/>
      <w:bookmarkStart w:id="157" w:name="_Toc29313"/>
      <w:bookmarkStart w:id="158" w:name="_Toc7910"/>
      <w:bookmarkStart w:id="159" w:name="_Toc15480"/>
      <w:bookmarkStart w:id="160" w:name="_Toc225"/>
      <w:bookmarkStart w:id="161" w:name="_Toc10617"/>
      <w:bookmarkStart w:id="162" w:name="_Toc6019"/>
      <w:r>
        <w:rPr>
          <w:rFonts w:hint="eastAsia" w:ascii="宋体" w:hAnsi="宋体" w:eastAsia="宋体" w:cs="宋体"/>
          <w:b/>
          <w:bCs/>
          <w:color w:val="auto"/>
          <w:kern w:val="0"/>
          <w:sz w:val="26"/>
          <w:szCs w:val="26"/>
          <w:highlight w:val="none"/>
        </w:rPr>
        <w:t>六、授予合同</w:t>
      </w:r>
      <w:bookmarkEnd w:id="156"/>
      <w:bookmarkEnd w:id="157"/>
      <w:bookmarkEnd w:id="158"/>
      <w:bookmarkEnd w:id="159"/>
      <w:bookmarkEnd w:id="160"/>
      <w:bookmarkEnd w:id="161"/>
      <w:bookmarkEnd w:id="162"/>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1.签订合同</w:t>
      </w:r>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1.1 中标供应商应按</w:t>
      </w:r>
      <w:r>
        <w:rPr>
          <w:rFonts w:hint="eastAsia" w:ascii="宋体" w:hAnsi="宋体" w:eastAsia="宋体" w:cs="宋体"/>
          <w:bCs/>
          <w:color w:val="auto"/>
          <w:sz w:val="22"/>
          <w:szCs w:val="22"/>
          <w:highlight w:val="none"/>
          <w:lang w:eastAsia="zh-CN"/>
        </w:rPr>
        <w:t>中标通知书</w:t>
      </w:r>
      <w:r>
        <w:rPr>
          <w:rFonts w:hint="eastAsia" w:ascii="宋体" w:hAnsi="宋体" w:eastAsia="宋体" w:cs="宋体"/>
          <w:bCs/>
          <w:color w:val="auto"/>
          <w:sz w:val="22"/>
          <w:szCs w:val="22"/>
          <w:highlight w:val="none"/>
        </w:rPr>
        <w:t>规定的时间、地点与采购人签订合同。</w:t>
      </w:r>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1.2 采购文件、中标供应商的投标文件、投标修改文件、评标过程中有关澄清文件及经投标供应商和评委双方签字的询标纪要和</w:t>
      </w:r>
      <w:r>
        <w:rPr>
          <w:rFonts w:hint="eastAsia" w:ascii="宋体" w:hAnsi="宋体" w:eastAsia="宋体" w:cs="宋体"/>
          <w:color w:val="auto"/>
          <w:sz w:val="22"/>
          <w:szCs w:val="22"/>
          <w:highlight w:val="none"/>
          <w:lang w:eastAsia="zh-CN"/>
        </w:rPr>
        <w:t>中标通知书</w:t>
      </w:r>
      <w:r>
        <w:rPr>
          <w:rFonts w:hint="eastAsia" w:ascii="宋体" w:hAnsi="宋体" w:eastAsia="宋体" w:cs="宋体"/>
          <w:color w:val="auto"/>
          <w:sz w:val="22"/>
          <w:szCs w:val="22"/>
          <w:highlight w:val="none"/>
        </w:rPr>
        <w:t>均作为合同附件。</w:t>
      </w:r>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1.3 拒签合同的违约责任</w:t>
      </w:r>
    </w:p>
    <w:p>
      <w:pPr>
        <w:spacing w:line="360" w:lineRule="auto"/>
        <w:ind w:firstLine="466" w:firstLineChars="200"/>
        <w:rPr>
          <w:rFonts w:hint="eastAsia" w:ascii="宋体" w:hAnsi="宋体" w:eastAsia="宋体" w:cs="宋体"/>
          <w:b/>
          <w:color w:val="auto"/>
          <w:sz w:val="22"/>
          <w:szCs w:val="22"/>
          <w:highlight w:val="none"/>
        </w:rPr>
      </w:pPr>
      <w:r>
        <w:rPr>
          <w:rFonts w:hint="eastAsia" w:ascii="宋体" w:hAnsi="宋体" w:eastAsia="宋体" w:cs="宋体"/>
          <w:b/>
          <w:color w:val="auto"/>
          <w:spacing w:val="6"/>
          <w:sz w:val="22"/>
          <w:szCs w:val="22"/>
          <w:highlight w:val="none"/>
        </w:rPr>
        <w:t>中标供应商接到</w:t>
      </w:r>
      <w:r>
        <w:rPr>
          <w:rFonts w:hint="eastAsia" w:ascii="宋体" w:hAnsi="宋体" w:eastAsia="宋体" w:cs="宋体"/>
          <w:b/>
          <w:color w:val="auto"/>
          <w:spacing w:val="6"/>
          <w:sz w:val="22"/>
          <w:szCs w:val="22"/>
          <w:highlight w:val="none"/>
          <w:lang w:eastAsia="zh-CN"/>
        </w:rPr>
        <w:t>中标通知书</w:t>
      </w:r>
      <w:r>
        <w:rPr>
          <w:rFonts w:hint="eastAsia" w:ascii="宋体" w:hAnsi="宋体" w:eastAsia="宋体" w:cs="宋体"/>
          <w:b/>
          <w:color w:val="auto"/>
          <w:spacing w:val="6"/>
          <w:sz w:val="22"/>
          <w:szCs w:val="22"/>
          <w:highlight w:val="none"/>
        </w:rPr>
        <w:t>后，在规定时间内借故否认已经承诺的条件而拒签合同的，以违约处理，其投标保证金将不予退还。</w:t>
      </w:r>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2.质疑与投诉</w:t>
      </w:r>
    </w:p>
    <w:p>
      <w:pPr>
        <w:spacing w:line="360" w:lineRule="auto"/>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color w:val="auto"/>
          <w:sz w:val="22"/>
          <w:szCs w:val="22"/>
          <w:highlight w:val="none"/>
        </w:rPr>
        <w:t xml:space="preserve">2.1 </w:t>
      </w:r>
      <w:r>
        <w:rPr>
          <w:rFonts w:hint="eastAsia" w:ascii="宋体" w:hAnsi="宋体" w:eastAsia="宋体" w:cs="宋体"/>
          <w:bCs/>
          <w:color w:val="auto"/>
          <w:sz w:val="22"/>
          <w:szCs w:val="22"/>
          <w:highlight w:val="none"/>
          <w:lang w:val="zh-CN"/>
        </w:rPr>
        <w:t>供应商质疑</w:t>
      </w:r>
    </w:p>
    <w:p>
      <w:pPr>
        <w:spacing w:line="360" w:lineRule="auto"/>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color w:val="auto"/>
          <w:sz w:val="22"/>
          <w:szCs w:val="22"/>
          <w:highlight w:val="none"/>
        </w:rPr>
        <w:t>2.</w:t>
      </w:r>
      <w:r>
        <w:rPr>
          <w:rFonts w:hint="eastAsia" w:ascii="宋体" w:hAnsi="宋体" w:eastAsia="宋体" w:cs="宋体"/>
          <w:bCs/>
          <w:color w:val="auto"/>
          <w:sz w:val="22"/>
          <w:szCs w:val="22"/>
          <w:highlight w:val="none"/>
        </w:rPr>
        <w:t xml:space="preserve">1.1 </w:t>
      </w:r>
      <w:r>
        <w:rPr>
          <w:rFonts w:hint="eastAsia" w:ascii="宋体" w:hAnsi="宋体" w:eastAsia="宋体" w:cs="宋体"/>
          <w:bCs/>
          <w:color w:val="auto"/>
          <w:sz w:val="22"/>
          <w:szCs w:val="22"/>
          <w:highlight w:val="none"/>
          <w:lang w:val="zh-CN"/>
        </w:rPr>
        <w:t>提出质疑的供应商应当是参与所质疑项目采购活动的供应商。潜在供应商已依法获取其可质疑的采购文件的，可以对该文件提出质疑。</w:t>
      </w:r>
    </w:p>
    <w:p>
      <w:pPr>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Cs/>
          <w:color w:val="auto"/>
          <w:sz w:val="22"/>
          <w:szCs w:val="22"/>
          <w:highlight w:val="none"/>
        </w:rPr>
        <w:t>1.2 投标供应商对中标公告有质疑的，可以在规定时间内以书面形式向采购人的招标办（0577-88100510）和采购代理机构提出质疑，但需对质疑内容的真实性承担责任。</w:t>
      </w:r>
    </w:p>
    <w:p>
      <w:pPr>
        <w:spacing w:line="360" w:lineRule="auto"/>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color w:val="auto"/>
          <w:sz w:val="22"/>
          <w:szCs w:val="22"/>
          <w:highlight w:val="none"/>
        </w:rPr>
        <w:t>2.</w:t>
      </w:r>
      <w:r>
        <w:rPr>
          <w:rFonts w:hint="eastAsia" w:ascii="宋体" w:hAnsi="宋体" w:eastAsia="宋体" w:cs="宋体"/>
          <w:bCs/>
          <w:color w:val="auto"/>
          <w:sz w:val="22"/>
          <w:szCs w:val="22"/>
          <w:highlight w:val="none"/>
        </w:rPr>
        <w:t xml:space="preserve">1.3 </w:t>
      </w:r>
      <w:r>
        <w:rPr>
          <w:rFonts w:hint="eastAsia" w:ascii="宋体" w:hAnsi="宋体" w:eastAsia="宋体" w:cs="宋体"/>
          <w:bCs/>
          <w:color w:val="auto"/>
          <w:sz w:val="22"/>
          <w:szCs w:val="22"/>
          <w:highlight w:val="none"/>
          <w:lang w:val="zh-CN"/>
        </w:rPr>
        <w:t>供应商认为采购文件、采购过程和中标结果使自己的权益受到损害的，可以在知道或者应知其权益受到损害之日起七个工作日内，以书面形式向采购人或者采购代理机构提出质疑，否则，采购人或者采购代理机构不予受理：</w:t>
      </w:r>
    </w:p>
    <w:p>
      <w:pPr>
        <w:spacing w:line="360" w:lineRule="auto"/>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1)对采购文件提出质疑的，采购文件公告期限届满之日（公告发布后的第6个工作日）前收到采购文件的，收到采购文件之日视为受损日；采购文件公告期限届满之后收到采购文件的，采购文件公告期限届满之日视为受损日。</w:t>
      </w:r>
    </w:p>
    <w:p>
      <w:pPr>
        <w:spacing w:line="360" w:lineRule="auto"/>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2)对采购过程提出质疑的，各采购程序环节结束之日视为受损日。</w:t>
      </w:r>
    </w:p>
    <w:p>
      <w:pPr>
        <w:spacing w:line="360" w:lineRule="auto"/>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3)对采购结果提出质疑的，结果公告发布之日视为受损日。</w:t>
      </w:r>
    </w:p>
    <w:p>
      <w:pPr>
        <w:spacing w:line="360" w:lineRule="auto"/>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2.1.4 供应商提出质疑应当提交质疑函和必要的证明材料。质疑函应当包括下列内容：</w:t>
      </w:r>
    </w:p>
    <w:p>
      <w:pPr>
        <w:spacing w:line="360" w:lineRule="auto"/>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1)供应商的姓名或者名称、地址、邮编、联系人及联系电话；</w:t>
      </w:r>
    </w:p>
    <w:p>
      <w:pPr>
        <w:spacing w:line="360" w:lineRule="auto"/>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2)质疑项目的名称、编号；</w:t>
      </w:r>
    </w:p>
    <w:p>
      <w:pPr>
        <w:spacing w:line="360" w:lineRule="auto"/>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3)具体、明确的质疑事项和与质疑事项相关的请求；</w:t>
      </w:r>
    </w:p>
    <w:p>
      <w:pPr>
        <w:spacing w:line="360" w:lineRule="auto"/>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4)事实依据；</w:t>
      </w:r>
    </w:p>
    <w:p>
      <w:pPr>
        <w:spacing w:line="360" w:lineRule="auto"/>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5)必要的法律依据；</w:t>
      </w:r>
    </w:p>
    <w:p>
      <w:pPr>
        <w:spacing w:line="360" w:lineRule="auto"/>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6)提出质疑的日期。</w:t>
      </w:r>
    </w:p>
    <w:p>
      <w:pPr>
        <w:spacing w:line="360" w:lineRule="auto"/>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如有发现不实的质疑投诉（包括但不限于未提供证据、证据与质疑内容无关联、虚假证据等），采购人有权视其为不实的质疑投诉，并有权将该供应商纳入公司黑名单，同时在开标之日起三年内拒绝该供应商的投标，同时保留对外公布的权利。</w:t>
      </w:r>
    </w:p>
    <w:p>
      <w:pPr>
        <w:spacing w:line="360" w:lineRule="auto"/>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供应商提交的质疑应当署名</w:t>
      </w:r>
      <w:r>
        <w:rPr>
          <w:rFonts w:hint="eastAsia" w:ascii="宋体" w:hAnsi="宋体" w:eastAsia="宋体" w:cs="宋体"/>
          <w:color w:val="auto"/>
          <w:kern w:val="0"/>
          <w:sz w:val="22"/>
          <w:szCs w:val="22"/>
          <w:highlight w:val="none"/>
        </w:rPr>
        <w:t>。</w:t>
      </w:r>
      <w:r>
        <w:rPr>
          <w:rFonts w:hint="eastAsia" w:ascii="宋体" w:hAnsi="宋体" w:eastAsia="宋体" w:cs="宋体"/>
          <w:bCs/>
          <w:color w:val="auto"/>
          <w:sz w:val="22"/>
          <w:szCs w:val="22"/>
          <w:highlight w:val="none"/>
          <w:lang w:val="zh-CN"/>
        </w:rPr>
        <w:t>供应商为自然人的，应当由本人签字；供应商为法人或者其他组织的，应当由法定代表人、主要负责人，或者其授权代表签字或者盖章，并加盖电子签章或公章。</w:t>
      </w:r>
    </w:p>
    <w:p>
      <w:pPr>
        <w:spacing w:line="360" w:lineRule="auto"/>
        <w:ind w:firstLine="442" w:firstLineChars="200"/>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lang w:val="zh-CN"/>
        </w:rPr>
        <w:t>2.1.5对同一采购程序环节的质疑，供应商须在法定质疑期内一次性提出，已经提出过质疑的投标供应商在质疑期内不能提出新的质疑。</w:t>
      </w:r>
    </w:p>
    <w:p>
      <w:pPr>
        <w:spacing w:line="36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2.1.6 </w:t>
      </w:r>
      <w:r>
        <w:rPr>
          <w:rFonts w:hint="eastAsia" w:ascii="宋体" w:hAnsi="宋体" w:eastAsia="宋体" w:cs="宋体"/>
          <w:color w:val="auto"/>
          <w:sz w:val="22"/>
          <w:szCs w:val="22"/>
          <w:highlight w:val="none"/>
          <w:lang w:val="zh-CN"/>
        </w:rPr>
        <w:t>采购人负责供应商质疑答复。采购人可委托采购代理机构对质疑事项作出答复。</w:t>
      </w:r>
    </w:p>
    <w:p>
      <w:pPr>
        <w:spacing w:line="36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2.1.7 </w:t>
      </w:r>
      <w:r>
        <w:rPr>
          <w:rFonts w:hint="eastAsia" w:ascii="宋体" w:hAnsi="宋体" w:eastAsia="宋体" w:cs="宋体"/>
          <w:color w:val="auto"/>
          <w:sz w:val="22"/>
          <w:szCs w:val="22"/>
          <w:highlight w:val="none"/>
          <w:lang w:val="zh-CN"/>
        </w:rPr>
        <w:t>采购人或者采购代理机构应当在收到供应商的书面质疑后七个工作日内作出答复，但答复的内容涉及商业秘密的除外。</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2.1.8 投标供应商认为投诉回复处理结果不合法的，可以依法向采购人所在地人民法院提起诉讼。</w:t>
      </w:r>
    </w:p>
    <w:p>
      <w:pPr>
        <w:spacing w:line="36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2.2 </w:t>
      </w:r>
      <w:r>
        <w:rPr>
          <w:rFonts w:hint="eastAsia" w:ascii="宋体" w:hAnsi="宋体" w:eastAsia="宋体" w:cs="宋体"/>
          <w:color w:val="auto"/>
          <w:sz w:val="22"/>
          <w:szCs w:val="22"/>
          <w:highlight w:val="none"/>
          <w:lang w:val="zh-CN"/>
        </w:rPr>
        <w:t>供应商投诉</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 投标供应商对采购人、采购代理机构的答复不满意或者采购人、采购代理机构未在规定的时间内作出答复的，可以在答复期满后15个工作日内向（集团）的内设监管职能部门（王女士/0577-88100267）投诉。</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 供应商投诉的事项不得超出已质疑事项的范围，基于质疑答复内容提出的投诉事项除外。</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 供应商投诉应当有明确的请求和必要的证明材料。</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 以联合体形式参加采购活动的，其投诉应当由组成联合体的所有供应商共同提出。</w:t>
      </w:r>
    </w:p>
    <w:p>
      <w:pPr>
        <w:spacing w:line="360" w:lineRule="auto"/>
        <w:jc w:val="center"/>
        <w:outlineLvl w:val="1"/>
        <w:rPr>
          <w:rFonts w:hint="eastAsia" w:ascii="宋体" w:hAnsi="宋体" w:eastAsia="宋体" w:cs="宋体"/>
          <w:b/>
          <w:bCs/>
          <w:color w:val="auto"/>
          <w:kern w:val="0"/>
          <w:sz w:val="26"/>
          <w:szCs w:val="26"/>
          <w:highlight w:val="none"/>
        </w:rPr>
      </w:pPr>
      <w:bookmarkStart w:id="163" w:name="_Toc13500"/>
      <w:bookmarkStart w:id="164" w:name="_Toc12720"/>
      <w:bookmarkStart w:id="165" w:name="_Toc20417"/>
      <w:bookmarkStart w:id="166" w:name="_Toc13699"/>
      <w:bookmarkStart w:id="167" w:name="_Toc448307050"/>
      <w:bookmarkStart w:id="168" w:name="_Toc230773782"/>
      <w:bookmarkStart w:id="169" w:name="_Toc26795"/>
      <w:r>
        <w:rPr>
          <w:rFonts w:hint="eastAsia" w:ascii="宋体" w:hAnsi="宋体" w:eastAsia="宋体" w:cs="宋体"/>
          <w:b/>
          <w:bCs/>
          <w:color w:val="auto"/>
          <w:kern w:val="0"/>
          <w:sz w:val="26"/>
          <w:szCs w:val="26"/>
          <w:highlight w:val="none"/>
        </w:rPr>
        <w:t>七、可中止电子交易活动的情形</w:t>
      </w:r>
      <w:bookmarkEnd w:id="163"/>
      <w:bookmarkEnd w:id="164"/>
      <w:bookmarkEnd w:id="165"/>
      <w:bookmarkEnd w:id="166"/>
    </w:p>
    <w:p>
      <w:pPr>
        <w:spacing w:line="36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采购过程中出现以下情形，导致电子交易平台无法正常运行，或者无法保证电子交易的公平、公正和安全时，采购组织机构可中止电子交易活动：</w:t>
      </w:r>
    </w:p>
    <w:p>
      <w:pPr>
        <w:spacing w:line="36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（一）电子交易平台发生故障而无法登录访问的； </w:t>
      </w:r>
    </w:p>
    <w:p>
      <w:pPr>
        <w:spacing w:line="36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（二）电子交易平台应用或数据库出现错误，不能进行正常操作的；</w:t>
      </w:r>
    </w:p>
    <w:p>
      <w:pPr>
        <w:spacing w:line="36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（三）电子交易平台发现严重安全漏洞，有潜在泄密危险的；</w:t>
      </w:r>
    </w:p>
    <w:p>
      <w:pPr>
        <w:spacing w:line="36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（四）病毒发作导致不能进行正常操作的； </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（五）其他无法保证电子交易的公平、公正和安全的情况。</w:t>
      </w:r>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出现前款规定情形，不影响采购公平、公正性的，采购代理机构可以待上述情形消除后继续组织电子交易活动，也可以决定某些环节以纸质形式进行；影响或可能影响采购公平、公正性的，重新采购。</w:t>
      </w:r>
    </w:p>
    <w:p>
      <w:pPr>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170" w:name="_Toc30945"/>
      <w:bookmarkStart w:id="171" w:name="_Toc30885"/>
      <w:bookmarkStart w:id="172" w:name="_Toc14390"/>
      <w:bookmarkStart w:id="173" w:name="_Toc2459"/>
      <w:bookmarkStart w:id="174" w:name="_Toc26512"/>
      <w:bookmarkStart w:id="175" w:name="_Toc21639"/>
      <w:bookmarkStart w:id="176" w:name="_Toc31092"/>
      <w:r>
        <w:rPr>
          <w:rFonts w:hint="eastAsia" w:ascii="宋体" w:hAnsi="宋体" w:eastAsia="宋体" w:cs="宋体"/>
          <w:b/>
          <w:bCs/>
          <w:color w:val="auto"/>
          <w:sz w:val="32"/>
          <w:szCs w:val="32"/>
          <w:highlight w:val="none"/>
        </w:rPr>
        <w:t>第二部分 合同主要条款</w:t>
      </w:r>
      <w:bookmarkEnd w:id="170"/>
      <w:bookmarkEnd w:id="171"/>
      <w:bookmarkEnd w:id="172"/>
      <w:bookmarkEnd w:id="173"/>
      <w:bookmarkEnd w:id="174"/>
      <w:bookmarkEnd w:id="175"/>
      <w:bookmarkEnd w:id="176"/>
    </w:p>
    <w:p>
      <w:pPr>
        <w:spacing w:line="36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(本合同作为示范文本，具体以中标供应商与采购人所签</w:t>
      </w:r>
      <w:r>
        <w:rPr>
          <w:rFonts w:hint="eastAsia" w:ascii="宋体" w:hAnsi="宋体" w:eastAsia="宋体" w:cs="宋体"/>
          <w:b/>
          <w:color w:val="auto"/>
          <w:sz w:val="22"/>
          <w:szCs w:val="22"/>
          <w:highlight w:val="none"/>
          <w:lang w:val="en-US" w:eastAsia="zh-CN"/>
        </w:rPr>
        <w:t>订</w:t>
      </w:r>
      <w:r>
        <w:rPr>
          <w:rFonts w:hint="eastAsia" w:ascii="宋体" w:hAnsi="宋体" w:eastAsia="宋体" w:cs="宋体"/>
          <w:b/>
          <w:color w:val="auto"/>
          <w:sz w:val="22"/>
          <w:szCs w:val="22"/>
          <w:highlight w:val="none"/>
        </w:rPr>
        <w:t>正式合同为准)</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温州市公用事业发展集团有限公司、温州市城市建设发展集团有限公司、温州市现代服务业发展集团有限公司、温州市交通运输集团有限公司、温州市工业与能源发展集团有限公司、温州市交通发展集团有限公司、温州市铁路与轨道交通投资集团有限公司、温州市国有资本投资运营有限公司、温州建设集团有限公司、温州设计集团有限公司</w:t>
      </w:r>
    </w:p>
    <w:p>
      <w:pPr>
        <w:widowControl/>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乙方：（入围中标供应商）</w:t>
      </w:r>
    </w:p>
    <w:p>
      <w:pPr>
        <w:widowControl/>
        <w:spacing w:line="360" w:lineRule="auto"/>
        <w:ind w:firstLine="660" w:firstLineChars="3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根据《中华人民共和国民法典》等有关法律法规的规定，为明确双方的权利和义务，经甲乙双方友好协商，订立本合同，双方必须共同遵守。</w:t>
      </w:r>
    </w:p>
    <w:p>
      <w:pPr>
        <w:widowControl/>
        <w:spacing w:line="360" w:lineRule="auto"/>
        <w:jc w:val="left"/>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第一条  合同价格</w:t>
      </w:r>
    </w:p>
    <w:p>
      <w:pPr>
        <w:widowControl/>
        <w:tabs>
          <w:tab w:val="left" w:pos="720"/>
        </w:tabs>
        <w:spacing w:line="360" w:lineRule="auto"/>
        <w:ind w:firstLine="376" w:firstLineChars="171"/>
        <w:jc w:val="left"/>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在合同服务期限内甲方(含甲方控制分子公司)委托的评估业务根据委托项目的具体情况，以库内二次竞价方式确定承接该业务的评估机构，</w:t>
      </w:r>
      <w:r>
        <w:rPr>
          <w:rFonts w:hint="eastAsia" w:ascii="宋体" w:hAnsi="宋体" w:eastAsia="宋体" w:cs="宋体"/>
          <w:bCs/>
          <w:color w:val="auto"/>
          <w:sz w:val="22"/>
          <w:szCs w:val="22"/>
          <w:highlight w:val="none"/>
          <w:lang w:val="en-US" w:eastAsia="zh-CN"/>
        </w:rPr>
        <w:t>甲</w:t>
      </w:r>
      <w:r>
        <w:rPr>
          <w:rFonts w:hint="eastAsia" w:ascii="宋体" w:hAnsi="宋体" w:eastAsia="宋体" w:cs="宋体"/>
          <w:bCs/>
          <w:color w:val="auto"/>
          <w:sz w:val="22"/>
          <w:szCs w:val="22"/>
          <w:highlight w:val="none"/>
        </w:rPr>
        <w:t>(含</w:t>
      </w:r>
      <w:r>
        <w:rPr>
          <w:rFonts w:hint="eastAsia" w:ascii="宋体" w:hAnsi="宋体" w:eastAsia="宋体" w:cs="宋体"/>
          <w:bCs/>
          <w:color w:val="auto"/>
          <w:sz w:val="22"/>
          <w:szCs w:val="22"/>
          <w:highlight w:val="none"/>
          <w:lang w:val="en-US" w:eastAsia="zh-CN"/>
        </w:rPr>
        <w:t>甲</w:t>
      </w:r>
      <w:r>
        <w:rPr>
          <w:rFonts w:hint="eastAsia" w:ascii="宋体" w:hAnsi="宋体" w:eastAsia="宋体" w:cs="宋体"/>
          <w:bCs/>
          <w:color w:val="auto"/>
          <w:sz w:val="22"/>
          <w:szCs w:val="22"/>
          <w:highlight w:val="none"/>
        </w:rPr>
        <w:t>方控制分子公司)乙双方协商付款方式，并就该业务另行签订委托评估合同。评估费用的报价折扣率不得高于投标报价时的折扣率。</w:t>
      </w:r>
    </w:p>
    <w:p>
      <w:pPr>
        <w:widowControl/>
        <w:tabs>
          <w:tab w:val="left" w:pos="720"/>
        </w:tabs>
        <w:spacing w:line="360" w:lineRule="auto"/>
        <w:ind w:firstLine="376" w:firstLineChars="171"/>
        <w:jc w:val="left"/>
        <w:outlineLvl w:val="9"/>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评估费用</w:t>
      </w:r>
      <w:r>
        <w:rPr>
          <w:rFonts w:hint="eastAsia" w:ascii="宋体" w:hAnsi="宋体" w:eastAsia="宋体" w:cs="宋体"/>
          <w:bCs/>
          <w:color w:val="auto"/>
          <w:sz w:val="22"/>
          <w:szCs w:val="22"/>
          <w:highlight w:val="none"/>
        </w:rPr>
        <w:t>=《浙江省物价局关于制定资产评估收费标准的通知》（浙价服【2011】90号）文件规定的收费标准×（中标折扣率</w:t>
      </w:r>
      <w:r>
        <w:rPr>
          <w:rFonts w:hint="eastAsia" w:ascii="宋体" w:hAnsi="宋体" w:eastAsia="宋体" w:cs="宋体"/>
          <w:bCs/>
          <w:color w:val="auto"/>
          <w:sz w:val="22"/>
          <w:szCs w:val="22"/>
          <w:highlight w:val="none"/>
          <w:u w:val="single"/>
        </w:rPr>
        <w:t xml:space="preserve">  ［详见下表中标人的折扣率］  </w:t>
      </w:r>
      <w:r>
        <w:rPr>
          <w:rFonts w:hint="eastAsia" w:ascii="宋体" w:hAnsi="宋体" w:eastAsia="宋体" w:cs="宋体"/>
          <w:bCs/>
          <w:color w:val="auto"/>
          <w:sz w:val="22"/>
          <w:szCs w:val="22"/>
          <w:highlight w:val="none"/>
        </w:rPr>
        <w:t>%）。</w:t>
      </w:r>
    </w:p>
    <w:p>
      <w:pPr>
        <w:widowControl/>
        <w:tabs>
          <w:tab w:val="left" w:pos="720"/>
        </w:tabs>
        <w:spacing w:line="360" w:lineRule="auto"/>
        <w:ind w:firstLine="378" w:firstLineChars="171"/>
        <w:jc w:val="left"/>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标项一：评估服务供应商库（综合评估类）</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730"/>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pPr>
              <w:widowControl/>
              <w:tabs>
                <w:tab w:val="left" w:pos="720"/>
              </w:tabs>
              <w:spacing w:line="360" w:lineRule="auto"/>
              <w:jc w:val="center"/>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3730" w:type="dxa"/>
          </w:tcPr>
          <w:p>
            <w:pPr>
              <w:widowControl/>
              <w:tabs>
                <w:tab w:val="left" w:pos="720"/>
              </w:tabs>
              <w:spacing w:line="360" w:lineRule="auto"/>
              <w:jc w:val="center"/>
              <w:outlineLvl w:val="9"/>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入围供应商</w:t>
            </w:r>
          </w:p>
        </w:tc>
        <w:tc>
          <w:tcPr>
            <w:tcW w:w="2393" w:type="dxa"/>
          </w:tcPr>
          <w:p>
            <w:pPr>
              <w:widowControl/>
              <w:tabs>
                <w:tab w:val="left" w:pos="720"/>
              </w:tabs>
              <w:spacing w:line="360" w:lineRule="auto"/>
              <w:jc w:val="center"/>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中标折扣率  %</w:t>
            </w:r>
          </w:p>
        </w:tc>
        <w:tc>
          <w:tcPr>
            <w:tcW w:w="2393" w:type="dxa"/>
          </w:tcPr>
          <w:p>
            <w:pPr>
              <w:widowControl/>
              <w:tabs>
                <w:tab w:val="left" w:pos="720"/>
              </w:tabs>
              <w:spacing w:line="360" w:lineRule="auto"/>
              <w:jc w:val="center"/>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pPr>
              <w:widowControl/>
              <w:tabs>
                <w:tab w:val="left" w:pos="720"/>
              </w:tabs>
              <w:spacing w:line="360" w:lineRule="auto"/>
              <w:jc w:val="center"/>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3730" w:type="dxa"/>
          </w:tcPr>
          <w:p>
            <w:pPr>
              <w:widowControl/>
              <w:tabs>
                <w:tab w:val="left" w:pos="720"/>
              </w:tabs>
              <w:spacing w:line="360" w:lineRule="auto"/>
              <w:jc w:val="left"/>
              <w:outlineLvl w:val="9"/>
              <w:rPr>
                <w:rFonts w:hint="eastAsia" w:ascii="宋体" w:hAnsi="宋体" w:eastAsia="宋体" w:cs="宋体"/>
                <w:bCs/>
                <w:color w:val="auto"/>
                <w:sz w:val="22"/>
                <w:szCs w:val="22"/>
                <w:highlight w:val="none"/>
              </w:rPr>
            </w:pPr>
          </w:p>
        </w:tc>
        <w:tc>
          <w:tcPr>
            <w:tcW w:w="2393" w:type="dxa"/>
          </w:tcPr>
          <w:p>
            <w:pPr>
              <w:widowControl/>
              <w:tabs>
                <w:tab w:val="left" w:pos="720"/>
              </w:tabs>
              <w:spacing w:line="360" w:lineRule="auto"/>
              <w:jc w:val="left"/>
              <w:outlineLvl w:val="9"/>
              <w:rPr>
                <w:rFonts w:hint="eastAsia" w:ascii="宋体" w:hAnsi="宋体" w:eastAsia="宋体" w:cs="宋体"/>
                <w:bCs/>
                <w:color w:val="auto"/>
                <w:sz w:val="22"/>
                <w:szCs w:val="22"/>
                <w:highlight w:val="none"/>
              </w:rPr>
            </w:pPr>
          </w:p>
        </w:tc>
        <w:tc>
          <w:tcPr>
            <w:tcW w:w="2393" w:type="dxa"/>
          </w:tcPr>
          <w:p>
            <w:pPr>
              <w:widowControl/>
              <w:tabs>
                <w:tab w:val="left" w:pos="720"/>
              </w:tabs>
              <w:spacing w:line="360" w:lineRule="auto"/>
              <w:jc w:val="left"/>
              <w:outlineLvl w:val="9"/>
              <w:rPr>
                <w:rFonts w:hint="eastAsia" w:ascii="宋体" w:hAnsi="宋体" w:eastAsia="宋体" w:cs="宋体"/>
                <w:bCs/>
                <w:color w:val="auto"/>
                <w:sz w:val="22"/>
                <w:szCs w:val="22"/>
                <w:highlight w:val="none"/>
              </w:rPr>
            </w:pPr>
          </w:p>
        </w:tc>
      </w:tr>
    </w:tbl>
    <w:p>
      <w:pPr>
        <w:widowControl/>
        <w:tabs>
          <w:tab w:val="left" w:pos="720"/>
        </w:tabs>
        <w:spacing w:line="360" w:lineRule="auto"/>
        <w:ind w:firstLine="378" w:firstLineChars="171"/>
        <w:jc w:val="left"/>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标项二：评估服务供应商库（房地产评估类）</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730"/>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pPr>
              <w:widowControl/>
              <w:tabs>
                <w:tab w:val="left" w:pos="720"/>
              </w:tabs>
              <w:spacing w:line="360" w:lineRule="auto"/>
              <w:jc w:val="center"/>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3730" w:type="dxa"/>
          </w:tcPr>
          <w:p>
            <w:pPr>
              <w:widowControl/>
              <w:tabs>
                <w:tab w:val="left" w:pos="720"/>
              </w:tabs>
              <w:spacing w:line="360" w:lineRule="auto"/>
              <w:jc w:val="center"/>
              <w:outlineLvl w:val="9"/>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入围供应商</w:t>
            </w:r>
          </w:p>
        </w:tc>
        <w:tc>
          <w:tcPr>
            <w:tcW w:w="2393" w:type="dxa"/>
          </w:tcPr>
          <w:p>
            <w:pPr>
              <w:widowControl/>
              <w:tabs>
                <w:tab w:val="left" w:pos="720"/>
              </w:tabs>
              <w:spacing w:line="360" w:lineRule="auto"/>
              <w:jc w:val="center"/>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中标折扣率  %</w:t>
            </w:r>
          </w:p>
        </w:tc>
        <w:tc>
          <w:tcPr>
            <w:tcW w:w="2393" w:type="dxa"/>
          </w:tcPr>
          <w:p>
            <w:pPr>
              <w:widowControl/>
              <w:tabs>
                <w:tab w:val="left" w:pos="720"/>
              </w:tabs>
              <w:spacing w:line="360" w:lineRule="auto"/>
              <w:jc w:val="center"/>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pPr>
              <w:widowControl/>
              <w:tabs>
                <w:tab w:val="left" w:pos="720"/>
              </w:tabs>
              <w:spacing w:line="360" w:lineRule="auto"/>
              <w:jc w:val="center"/>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3730" w:type="dxa"/>
          </w:tcPr>
          <w:p>
            <w:pPr>
              <w:widowControl/>
              <w:tabs>
                <w:tab w:val="left" w:pos="720"/>
              </w:tabs>
              <w:spacing w:line="360" w:lineRule="auto"/>
              <w:jc w:val="left"/>
              <w:outlineLvl w:val="9"/>
              <w:rPr>
                <w:rFonts w:hint="eastAsia" w:ascii="宋体" w:hAnsi="宋体" w:eastAsia="宋体" w:cs="宋体"/>
                <w:bCs/>
                <w:color w:val="auto"/>
                <w:sz w:val="22"/>
                <w:szCs w:val="22"/>
                <w:highlight w:val="none"/>
              </w:rPr>
            </w:pPr>
          </w:p>
        </w:tc>
        <w:tc>
          <w:tcPr>
            <w:tcW w:w="2393" w:type="dxa"/>
          </w:tcPr>
          <w:p>
            <w:pPr>
              <w:widowControl/>
              <w:tabs>
                <w:tab w:val="left" w:pos="720"/>
              </w:tabs>
              <w:spacing w:line="360" w:lineRule="auto"/>
              <w:jc w:val="left"/>
              <w:outlineLvl w:val="9"/>
              <w:rPr>
                <w:rFonts w:hint="eastAsia" w:ascii="宋体" w:hAnsi="宋体" w:eastAsia="宋体" w:cs="宋体"/>
                <w:bCs/>
                <w:color w:val="auto"/>
                <w:sz w:val="22"/>
                <w:szCs w:val="22"/>
                <w:highlight w:val="none"/>
              </w:rPr>
            </w:pPr>
          </w:p>
        </w:tc>
        <w:tc>
          <w:tcPr>
            <w:tcW w:w="2393" w:type="dxa"/>
          </w:tcPr>
          <w:p>
            <w:pPr>
              <w:widowControl/>
              <w:tabs>
                <w:tab w:val="left" w:pos="720"/>
              </w:tabs>
              <w:spacing w:line="360" w:lineRule="auto"/>
              <w:jc w:val="left"/>
              <w:outlineLvl w:val="9"/>
              <w:rPr>
                <w:rFonts w:hint="eastAsia" w:ascii="宋体" w:hAnsi="宋体" w:eastAsia="宋体" w:cs="宋体"/>
                <w:bCs/>
                <w:color w:val="auto"/>
                <w:sz w:val="22"/>
                <w:szCs w:val="22"/>
                <w:highlight w:val="none"/>
              </w:rPr>
            </w:pPr>
          </w:p>
        </w:tc>
      </w:tr>
    </w:tbl>
    <w:p>
      <w:pPr>
        <w:widowControl/>
        <w:tabs>
          <w:tab w:val="left" w:pos="720"/>
        </w:tabs>
        <w:spacing w:line="360" w:lineRule="auto"/>
        <w:jc w:val="left"/>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第二条  服务期限</w:t>
      </w:r>
    </w:p>
    <w:p>
      <w:pPr>
        <w:widowControl/>
        <w:spacing w:line="360" w:lineRule="auto"/>
        <w:ind w:firstLine="42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本项目服务期限为2年（202  年  月  日至202  年  月  日）</w:t>
      </w:r>
    </w:p>
    <w:p>
      <w:pPr>
        <w:widowControl/>
        <w:numPr>
          <w:ilvl w:val="0"/>
          <w:numId w:val="5"/>
        </w:numPr>
        <w:spacing w:line="360" w:lineRule="auto"/>
        <w:jc w:val="left"/>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签约双方的权利和义务</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（一）甲方的权利和义务：</w:t>
      </w:r>
    </w:p>
    <w:p>
      <w:pPr>
        <w:pStyle w:val="84"/>
        <w:numPr>
          <w:ilvl w:val="0"/>
          <w:numId w:val="6"/>
        </w:numPr>
        <w:spacing w:line="360" w:lineRule="auto"/>
        <w:ind w:left="0" w:firstLine="444" w:firstLineChars="202"/>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甲方有权要求乙方按合同约定提供资产评估服务。</w:t>
      </w:r>
    </w:p>
    <w:p>
      <w:pPr>
        <w:pStyle w:val="84"/>
        <w:numPr>
          <w:ilvl w:val="0"/>
          <w:numId w:val="6"/>
        </w:numPr>
        <w:spacing w:line="360" w:lineRule="auto"/>
        <w:ind w:left="0" w:firstLine="444" w:firstLineChars="202"/>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甲方必须严格依约向乙方支付评估费用。</w:t>
      </w:r>
    </w:p>
    <w:p>
      <w:pPr>
        <w:pStyle w:val="84"/>
        <w:numPr>
          <w:ilvl w:val="0"/>
          <w:numId w:val="6"/>
        </w:numPr>
        <w:spacing w:line="360" w:lineRule="auto"/>
        <w:ind w:left="0" w:firstLine="444" w:firstLineChars="202"/>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每个工作阶段，甲方应根据项目需要及时向乙方提供真实、全面、准确的信息及公司资料，且应保证相关资料及信息来源的合法性。如甲方未能及时提供前述资料的，乙方提交工作成果的时间相应顺延。</w:t>
      </w:r>
    </w:p>
    <w:p>
      <w:pPr>
        <w:pStyle w:val="84"/>
        <w:numPr>
          <w:ilvl w:val="0"/>
          <w:numId w:val="6"/>
        </w:numPr>
        <w:spacing w:line="360" w:lineRule="auto"/>
        <w:ind w:left="0" w:firstLine="444" w:firstLineChars="202"/>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甲方提出收回有关其曾提供的资料时，乙方应将有关资料及其复制件交还甲方。</w:t>
      </w:r>
    </w:p>
    <w:p>
      <w:pPr>
        <w:pStyle w:val="84"/>
        <w:numPr>
          <w:ilvl w:val="0"/>
          <w:numId w:val="6"/>
        </w:numPr>
        <w:spacing w:line="360" w:lineRule="auto"/>
        <w:ind w:left="0" w:firstLine="444" w:firstLineChars="202"/>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甲方及所属公司有权按照不高于本合同内的价格计算方式与乙方签订委托评估</w:t>
      </w:r>
      <w:r>
        <w:rPr>
          <w:rFonts w:hint="eastAsia" w:ascii="宋体" w:hAnsi="宋体" w:eastAsia="宋体" w:cs="宋体"/>
          <w:color w:val="auto"/>
          <w:sz w:val="22"/>
          <w:szCs w:val="22"/>
          <w:highlight w:val="none"/>
          <w:lang w:val="en-US" w:eastAsia="zh-CN"/>
        </w:rPr>
        <w:t>合同</w:t>
      </w:r>
      <w:r>
        <w:rPr>
          <w:rFonts w:hint="eastAsia" w:ascii="宋体" w:hAnsi="宋体" w:eastAsia="宋体" w:cs="宋体"/>
          <w:color w:val="auto"/>
          <w:sz w:val="22"/>
          <w:szCs w:val="22"/>
          <w:highlight w:val="none"/>
        </w:rPr>
        <w:t>。</w:t>
      </w:r>
    </w:p>
    <w:p>
      <w:pPr>
        <w:pStyle w:val="84"/>
        <w:numPr>
          <w:ilvl w:val="0"/>
          <w:numId w:val="0"/>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（二）乙方的权利和义务：</w:t>
      </w:r>
    </w:p>
    <w:p>
      <w:pPr>
        <w:numPr>
          <w:ilvl w:val="0"/>
          <w:numId w:val="7"/>
        </w:numPr>
        <w:tabs>
          <w:tab w:val="left" w:pos="426"/>
        </w:tabs>
        <w:spacing w:line="360" w:lineRule="auto"/>
        <w:ind w:left="0" w:firstLine="426"/>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乙方按照本合同及附件约定开展评估服务工作。</w:t>
      </w:r>
    </w:p>
    <w:p>
      <w:pPr>
        <w:keepNext w:val="0"/>
        <w:keepLines w:val="0"/>
        <w:pageBreakBefore w:val="0"/>
        <w:numPr>
          <w:ilvl w:val="0"/>
          <w:numId w:val="7"/>
        </w:numPr>
        <w:tabs>
          <w:tab w:val="left" w:pos="426"/>
        </w:tabs>
        <w:kinsoku/>
        <w:wordWrap/>
        <w:overflowPunct/>
        <w:topLinePunct w:val="0"/>
        <w:autoSpaceDE/>
        <w:autoSpaceDN/>
        <w:bidi w:val="0"/>
        <w:adjustRightInd/>
        <w:snapToGrid/>
        <w:spacing w:line="360" w:lineRule="auto"/>
        <w:ind w:left="0" w:firstLine="426"/>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为完成合同约定的评估服务工作，乙方有接受甲方提供的技术资料、数据及工作条件的权利。</w:t>
      </w:r>
    </w:p>
    <w:p>
      <w:pPr>
        <w:keepNext w:val="0"/>
        <w:keepLines w:val="0"/>
        <w:pageBreakBefore w:val="0"/>
        <w:numPr>
          <w:ilvl w:val="0"/>
          <w:numId w:val="7"/>
        </w:numPr>
        <w:tabs>
          <w:tab w:val="left" w:pos="426"/>
        </w:tabs>
        <w:kinsoku/>
        <w:wordWrap/>
        <w:overflowPunct/>
        <w:topLinePunct w:val="0"/>
        <w:autoSpaceDE/>
        <w:autoSpaceDN/>
        <w:bidi w:val="0"/>
        <w:adjustRightInd/>
        <w:snapToGrid/>
        <w:spacing w:line="360" w:lineRule="auto"/>
        <w:ind w:left="0" w:firstLine="426"/>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乙方应根据甲方的要求，及时委派或撤换工作人员。</w:t>
      </w:r>
    </w:p>
    <w:p>
      <w:pPr>
        <w:keepNext w:val="0"/>
        <w:keepLines w:val="0"/>
        <w:pageBreakBefore w:val="0"/>
        <w:numPr>
          <w:ilvl w:val="0"/>
          <w:numId w:val="7"/>
        </w:numPr>
        <w:tabs>
          <w:tab w:val="left" w:pos="426"/>
        </w:tabs>
        <w:kinsoku/>
        <w:wordWrap/>
        <w:overflowPunct/>
        <w:topLinePunct w:val="0"/>
        <w:autoSpaceDE/>
        <w:autoSpaceDN/>
        <w:bidi w:val="0"/>
        <w:adjustRightInd/>
        <w:snapToGrid/>
        <w:spacing w:line="360" w:lineRule="auto"/>
        <w:ind w:left="0" w:firstLine="426"/>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未经甲方允许，乙方不得向第三方透露通过本次评估服务在甲方公司了解和知悉的商业秘密。</w:t>
      </w:r>
    </w:p>
    <w:p>
      <w:pPr>
        <w:keepNext w:val="0"/>
        <w:keepLines w:val="0"/>
        <w:pageBreakBefore w:val="0"/>
        <w:numPr>
          <w:ilvl w:val="0"/>
          <w:numId w:val="7"/>
        </w:numPr>
        <w:tabs>
          <w:tab w:val="left" w:pos="426"/>
        </w:tabs>
        <w:kinsoku/>
        <w:wordWrap/>
        <w:overflowPunct/>
        <w:topLinePunct w:val="0"/>
        <w:autoSpaceDE/>
        <w:autoSpaceDN/>
        <w:bidi w:val="0"/>
        <w:adjustRightInd/>
        <w:snapToGrid/>
        <w:spacing w:line="360" w:lineRule="auto"/>
        <w:ind w:left="0" w:firstLine="426"/>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乙方人员在甲方公司内活动时，需听从有关人员的安排和引导，未经允许不得进入有禁止非工作人员进入的机房、办公室等工作环境。</w:t>
      </w:r>
    </w:p>
    <w:p>
      <w:pPr>
        <w:keepNext w:val="0"/>
        <w:keepLines w:val="0"/>
        <w:pageBreakBefore w:val="0"/>
        <w:numPr>
          <w:ilvl w:val="0"/>
          <w:numId w:val="7"/>
        </w:numPr>
        <w:tabs>
          <w:tab w:val="left" w:pos="426"/>
        </w:tabs>
        <w:kinsoku/>
        <w:wordWrap/>
        <w:overflowPunct/>
        <w:topLinePunct w:val="0"/>
        <w:autoSpaceDE/>
        <w:autoSpaceDN/>
        <w:bidi w:val="0"/>
        <w:adjustRightInd/>
        <w:snapToGrid/>
        <w:spacing w:line="360" w:lineRule="auto"/>
        <w:ind w:left="0" w:firstLine="426"/>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对项目服务的准确性、完整性和及时性负责。但如果甲方对乙方的工作不予配合或者提供的资料不真实、不准确、不全面导致乙方的工作报告结论错误、成果提交延迟等影响项目的质量和验收，乙方对此不承担责任。</w:t>
      </w:r>
    </w:p>
    <w:p>
      <w:pPr>
        <w:keepNext w:val="0"/>
        <w:keepLines w:val="0"/>
        <w:pageBreakBefore w:val="0"/>
        <w:numPr>
          <w:ilvl w:val="0"/>
          <w:numId w:val="7"/>
        </w:numPr>
        <w:tabs>
          <w:tab w:val="left" w:pos="426"/>
        </w:tabs>
        <w:kinsoku/>
        <w:wordWrap/>
        <w:overflowPunct/>
        <w:topLinePunct w:val="0"/>
        <w:autoSpaceDE/>
        <w:autoSpaceDN/>
        <w:bidi w:val="0"/>
        <w:adjustRightInd/>
        <w:snapToGrid/>
        <w:spacing w:line="360" w:lineRule="auto"/>
        <w:ind w:left="0" w:firstLine="426"/>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乙方须在合同期内接受甲方的评估年度质量评价及评价结果处理（</w:t>
      </w:r>
      <w:r>
        <w:rPr>
          <w:rFonts w:hint="eastAsia" w:ascii="宋体" w:hAnsi="宋体" w:eastAsia="宋体" w:cs="宋体"/>
          <w:color w:val="auto"/>
          <w:sz w:val="22"/>
          <w:szCs w:val="22"/>
          <w:highlight w:val="none"/>
          <w:lang w:eastAsia="zh-CN"/>
        </w:rPr>
        <w:t>《温州市市属国有企业评估中介机构质量评价及机构调整规程》（温国资委〔2018〕99号）</w:t>
      </w:r>
      <w:r>
        <w:rPr>
          <w:rFonts w:hint="eastAsia" w:ascii="宋体" w:hAnsi="宋体" w:eastAsia="宋体" w:cs="宋体"/>
          <w:color w:val="auto"/>
          <w:sz w:val="22"/>
          <w:szCs w:val="22"/>
          <w:highlight w:val="none"/>
        </w:rPr>
        <w:t>），考核不合格的</w:t>
      </w:r>
      <w:r>
        <w:rPr>
          <w:rFonts w:hint="eastAsia" w:ascii="宋体" w:hAnsi="宋体" w:eastAsia="宋体" w:cs="宋体"/>
          <w:color w:val="auto"/>
          <w:sz w:val="22"/>
          <w:szCs w:val="22"/>
          <w:highlight w:val="none"/>
          <w:lang w:eastAsia="zh-CN"/>
        </w:rPr>
        <w:t>入围供应商</w:t>
      </w:r>
      <w:r>
        <w:rPr>
          <w:rFonts w:hint="eastAsia" w:ascii="宋体" w:hAnsi="宋体" w:eastAsia="宋体" w:cs="宋体"/>
          <w:color w:val="auto"/>
          <w:sz w:val="22"/>
          <w:szCs w:val="22"/>
          <w:highlight w:val="none"/>
        </w:rPr>
        <w:t>，甲方有权剔除入围评估单位的评估资格；评估服务供应商的评估年度质量评价及评价结果，由甲方根据管理办法进行评价。</w:t>
      </w:r>
    </w:p>
    <w:p>
      <w:pPr>
        <w:keepNext w:val="0"/>
        <w:keepLines w:val="0"/>
        <w:pageBreakBefore w:val="0"/>
        <w:numPr>
          <w:ilvl w:val="0"/>
          <w:numId w:val="7"/>
        </w:numPr>
        <w:tabs>
          <w:tab w:val="left" w:pos="426"/>
        </w:tabs>
        <w:kinsoku/>
        <w:wordWrap/>
        <w:overflowPunct/>
        <w:topLinePunct w:val="0"/>
        <w:autoSpaceDE/>
        <w:autoSpaceDN/>
        <w:bidi w:val="0"/>
        <w:adjustRightInd/>
        <w:snapToGrid/>
        <w:spacing w:line="360" w:lineRule="auto"/>
        <w:ind w:left="0" w:firstLine="426"/>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乙方应对本合同项下的评估报告及其内容保密，且不得挪作本合同约定用途外使用，否则因此导致的一切不利后果及损害赔偿责任概由乙方负责。</w:t>
      </w:r>
    </w:p>
    <w:p>
      <w:pPr>
        <w:keepNext w:val="0"/>
        <w:keepLines w:val="0"/>
        <w:pageBreakBefore w:val="0"/>
        <w:numPr>
          <w:ilvl w:val="0"/>
          <w:numId w:val="7"/>
        </w:numPr>
        <w:tabs>
          <w:tab w:val="left" w:pos="426"/>
        </w:tabs>
        <w:kinsoku/>
        <w:wordWrap/>
        <w:overflowPunct/>
        <w:topLinePunct w:val="0"/>
        <w:autoSpaceDE/>
        <w:autoSpaceDN/>
        <w:bidi w:val="0"/>
        <w:adjustRightInd/>
        <w:snapToGrid/>
        <w:spacing w:line="360" w:lineRule="auto"/>
        <w:ind w:left="0" w:firstLine="426"/>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在合同有效期内，按照约定的折扣率承接评估业务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确保在合理时间内对</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提出的评估业务请求作出响应，并不得无故拒绝承接业务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如</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未能按照合同约定承接业务或提供服务，甲方有权根据乙方违约的严重程度要求</w:t>
      </w:r>
      <w:r>
        <w:rPr>
          <w:rFonts w:hint="eastAsia" w:ascii="宋体" w:hAnsi="宋体" w:eastAsia="宋体" w:cs="宋体"/>
          <w:color w:val="auto"/>
          <w:sz w:val="22"/>
          <w:szCs w:val="22"/>
          <w:highlight w:val="none"/>
          <w:lang w:val="en-US" w:eastAsia="zh-CN"/>
        </w:rPr>
        <w:t>其</w:t>
      </w:r>
      <w:r>
        <w:rPr>
          <w:rFonts w:hint="eastAsia" w:ascii="宋体" w:hAnsi="宋体" w:eastAsia="宋体" w:cs="宋体"/>
          <w:color w:val="auto"/>
          <w:sz w:val="22"/>
          <w:szCs w:val="22"/>
          <w:highlight w:val="none"/>
        </w:rPr>
        <w:t>支付2000至30000元不等</w:t>
      </w:r>
      <w:r>
        <w:rPr>
          <w:rFonts w:hint="eastAsia" w:ascii="宋体" w:hAnsi="宋体" w:eastAsia="宋体" w:cs="宋体"/>
          <w:color w:val="auto"/>
          <w:sz w:val="22"/>
          <w:szCs w:val="22"/>
          <w:highlight w:val="none"/>
          <w:lang w:val="en-US" w:eastAsia="zh-CN"/>
        </w:rPr>
        <w:t>的违约金，情节非常严重的甲方有权单方面终止合同</w:t>
      </w:r>
      <w:r>
        <w:rPr>
          <w:rFonts w:hint="eastAsia" w:ascii="宋体" w:hAnsi="宋体" w:eastAsia="宋体" w:cs="宋体"/>
          <w:color w:val="auto"/>
          <w:sz w:val="22"/>
          <w:szCs w:val="22"/>
          <w:highlight w:val="none"/>
        </w:rPr>
        <w:t>。</w:t>
      </w:r>
    </w:p>
    <w:p>
      <w:pPr>
        <w:keepNext w:val="0"/>
        <w:keepLines w:val="0"/>
        <w:pageBreakBefore w:val="0"/>
        <w:numPr>
          <w:ilvl w:val="0"/>
          <w:numId w:val="7"/>
        </w:numPr>
        <w:tabs>
          <w:tab w:val="left" w:pos="426"/>
        </w:tabs>
        <w:kinsoku/>
        <w:wordWrap/>
        <w:overflowPunct/>
        <w:topLinePunct w:val="0"/>
        <w:autoSpaceDE/>
        <w:autoSpaceDN/>
        <w:bidi w:val="0"/>
        <w:adjustRightInd/>
        <w:snapToGrid/>
        <w:spacing w:line="360" w:lineRule="auto"/>
        <w:ind w:left="0" w:firstLine="426"/>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入围市属国有企业选聘入库评估机构，单个项目由各采购人分别和确定的入围中标供应商签订合同。入围评估机构在库期间出现违法违规执业情形的，评估机构如因违法违规执业等受到行政处罚或者行业协会惩戒,必须在收到处罚或惩戒决定后5个工作日内主动告知市属国有企业。其中，受到行政处罚及行业协会公开谴责（含)以上惩戒的，应当解除评估服务合同；受到其他惩戒的，整改完成前不得承担国有资产评估项目。</w:t>
      </w:r>
    </w:p>
    <w:p>
      <w:pPr>
        <w:numPr>
          <w:ilvl w:val="0"/>
          <w:numId w:val="7"/>
        </w:numPr>
        <w:tabs>
          <w:tab w:val="left" w:pos="426"/>
        </w:tabs>
        <w:spacing w:line="360" w:lineRule="auto"/>
        <w:ind w:left="0" w:firstLine="426"/>
        <w:outlineLvl w:val="9"/>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甲方提出收回有关其管提供的资料时，乙方应将有关资料及其复制件交还甲方。</w:t>
      </w:r>
    </w:p>
    <w:p>
      <w:pPr>
        <w:numPr>
          <w:ilvl w:val="0"/>
          <w:numId w:val="0"/>
        </w:numPr>
        <w:tabs>
          <w:tab w:val="left" w:pos="426"/>
        </w:tabs>
        <w:spacing w:line="360" w:lineRule="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第四条  付款方式</w:t>
      </w:r>
    </w:p>
    <w:p>
      <w:pPr>
        <w:widowControl/>
        <w:tabs>
          <w:tab w:val="left" w:pos="720"/>
        </w:tabs>
        <w:spacing w:line="360" w:lineRule="auto"/>
        <w:ind w:firstLine="376" w:firstLineChars="171"/>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按双方协商约定的评估费用及付款方式支付相应费用。</w:t>
      </w:r>
    </w:p>
    <w:p>
      <w:pPr>
        <w:pStyle w:val="17"/>
        <w:snapToGrid w:val="0"/>
        <w:spacing w:line="360" w:lineRule="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第五条  违约责任</w:t>
      </w:r>
    </w:p>
    <w:p>
      <w:pPr>
        <w:pStyle w:val="17"/>
        <w:numPr>
          <w:ilvl w:val="0"/>
          <w:numId w:val="8"/>
        </w:numPr>
        <w:snapToGrid w:val="0"/>
        <w:spacing w:line="360" w:lineRule="auto"/>
        <w:ind w:left="20" w:leftChars="0" w:firstLineChars="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甲方未按本合同规定支付评估费用的，乙方有权终止评估工作。</w:t>
      </w:r>
    </w:p>
    <w:p>
      <w:pPr>
        <w:pStyle w:val="17"/>
        <w:numPr>
          <w:ilvl w:val="0"/>
          <w:numId w:val="8"/>
        </w:numPr>
        <w:snapToGrid w:val="0"/>
        <w:spacing w:line="360" w:lineRule="auto"/>
        <w:ind w:left="20" w:leftChars="0" w:firstLineChars="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乙方未按合同规定进行的，甲方可视具体情况拒付部分或全部费用。</w:t>
      </w:r>
    </w:p>
    <w:p>
      <w:pPr>
        <w:pStyle w:val="17"/>
        <w:numPr>
          <w:ilvl w:val="0"/>
          <w:numId w:val="8"/>
        </w:numPr>
        <w:snapToGrid w:val="0"/>
        <w:spacing w:line="360" w:lineRule="auto"/>
        <w:ind w:left="20" w:leftChars="0" w:firstLineChars="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乙方应审慎出具评估报告，并对评估结果的合理性等质量负责。如乙方出具的评估报告存在虚假、错误或重大遗漏等问题，甲方有权单方解除本合同，并要求乙方承担因此导致的一切不利后果和损害赔偿责任。</w:t>
      </w:r>
    </w:p>
    <w:p>
      <w:pPr>
        <w:numPr>
          <w:ilvl w:val="0"/>
          <w:numId w:val="8"/>
        </w:numPr>
        <w:spacing w:line="360" w:lineRule="auto"/>
        <w:ind w:left="20" w:leftChars="0" w:firstLineChars="0"/>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DFDFE"/>
        </w:rPr>
        <w:t>若乙方在单年度内承接的评估业务</w:t>
      </w:r>
      <w:r>
        <w:rPr>
          <w:rFonts w:hint="eastAsia" w:ascii="宋体" w:hAnsi="宋体" w:eastAsia="宋体" w:cs="宋体"/>
          <w:i w:val="0"/>
          <w:iCs w:val="0"/>
          <w:caps w:val="0"/>
          <w:color w:val="auto"/>
          <w:spacing w:val="0"/>
          <w:sz w:val="22"/>
          <w:szCs w:val="22"/>
          <w:highlight w:val="none"/>
          <w:shd w:val="clear" w:fill="FDFDFE"/>
          <w:lang w:val="en-US" w:eastAsia="zh-CN"/>
        </w:rPr>
        <w:t>不足3单的</w:t>
      </w:r>
      <w:r>
        <w:rPr>
          <w:rFonts w:hint="eastAsia" w:ascii="宋体" w:hAnsi="宋体" w:eastAsia="宋体" w:cs="宋体"/>
          <w:i w:val="0"/>
          <w:iCs w:val="0"/>
          <w:caps w:val="0"/>
          <w:color w:val="auto"/>
          <w:spacing w:val="0"/>
          <w:sz w:val="22"/>
          <w:szCs w:val="22"/>
          <w:highlight w:val="none"/>
          <w:shd w:val="clear" w:fill="FDFDFE"/>
        </w:rPr>
        <w:t>，甲方有权单方面终止本合同且无需承担任何违约责任。</w:t>
      </w:r>
    </w:p>
    <w:p>
      <w:pPr>
        <w:numPr>
          <w:ilvl w:val="0"/>
          <w:numId w:val="8"/>
        </w:numPr>
        <w:spacing w:line="360" w:lineRule="auto"/>
        <w:ind w:left="20" w:leftChars="0" w:firstLineChars="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未经甲方书面同意，乙方不得在任何时期擅自更换项目负责人，否则甲方有权单方面终止合同，同时向甲方支付10000元违约金。</w:t>
      </w:r>
    </w:p>
    <w:p>
      <w:pPr>
        <w:numPr>
          <w:ilvl w:val="0"/>
          <w:numId w:val="8"/>
        </w:numPr>
        <w:spacing w:line="360" w:lineRule="auto"/>
        <w:ind w:left="20" w:leftChars="0" w:firstLineChars="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未经甲方书面同意，乙方不得在任何时期擅自更换服务人员（除项目负责人外），否则甲方有权单方面终止合同，同时每更换一人向甲方支付5000元违约金。</w:t>
      </w:r>
    </w:p>
    <w:p>
      <w:pPr>
        <w:spacing w:line="360" w:lineRule="auto"/>
        <w:outlineLvl w:val="9"/>
        <w:rPr>
          <w:rFonts w:hint="eastAsia" w:ascii="宋体" w:hAnsi="宋体" w:eastAsia="宋体" w:cs="宋体"/>
          <w:b/>
          <w:color w:val="auto"/>
          <w:sz w:val="22"/>
          <w:szCs w:val="22"/>
          <w:highlight w:val="none"/>
        </w:rPr>
      </w:pPr>
      <w:bookmarkStart w:id="177" w:name="_Toc23289"/>
      <w:bookmarkStart w:id="178" w:name="_Toc31402"/>
      <w:bookmarkStart w:id="179" w:name="_Toc19539"/>
      <w:bookmarkStart w:id="180" w:name="_Toc3769"/>
      <w:bookmarkStart w:id="181" w:name="_Toc16752"/>
      <w:r>
        <w:rPr>
          <w:rFonts w:hint="eastAsia" w:ascii="宋体" w:hAnsi="宋体" w:eastAsia="宋体" w:cs="宋体"/>
          <w:b/>
          <w:color w:val="auto"/>
          <w:sz w:val="22"/>
          <w:szCs w:val="22"/>
          <w:highlight w:val="none"/>
        </w:rPr>
        <w:t>第六条  技术规范</w:t>
      </w:r>
      <w:bookmarkEnd w:id="177"/>
      <w:bookmarkEnd w:id="178"/>
      <w:bookmarkEnd w:id="179"/>
      <w:bookmarkEnd w:id="180"/>
      <w:bookmarkEnd w:id="181"/>
    </w:p>
    <w:p>
      <w:pP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outlineLvl w:val="9"/>
        <w:rPr>
          <w:rFonts w:hint="eastAsia" w:ascii="宋体" w:hAnsi="宋体" w:eastAsia="宋体" w:cs="宋体"/>
          <w:b/>
          <w:color w:val="auto"/>
          <w:sz w:val="22"/>
          <w:szCs w:val="22"/>
          <w:highlight w:val="none"/>
        </w:rPr>
      </w:pPr>
      <w:bookmarkStart w:id="182" w:name="_Toc4133"/>
      <w:bookmarkStart w:id="183" w:name="_Toc13673"/>
      <w:bookmarkStart w:id="184" w:name="_Toc12412"/>
      <w:bookmarkStart w:id="185" w:name="_Toc27945"/>
      <w:bookmarkStart w:id="186" w:name="_Toc9161"/>
      <w:r>
        <w:rPr>
          <w:rFonts w:hint="eastAsia" w:ascii="宋体" w:hAnsi="宋体" w:eastAsia="宋体" w:cs="宋体"/>
          <w:b/>
          <w:color w:val="auto"/>
          <w:sz w:val="22"/>
          <w:szCs w:val="22"/>
          <w:highlight w:val="none"/>
        </w:rPr>
        <w:t>第七条  知识产权</w:t>
      </w:r>
      <w:bookmarkEnd w:id="182"/>
      <w:bookmarkEnd w:id="183"/>
      <w:bookmarkEnd w:id="184"/>
      <w:bookmarkEnd w:id="185"/>
      <w:bookmarkEnd w:id="186"/>
    </w:p>
    <w:p>
      <w:pP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spacing w:line="360" w:lineRule="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第八条  履约检查和问题反馈</w:t>
      </w:r>
    </w:p>
    <w:p>
      <w:pPr>
        <w:numPr>
          <w:ilvl w:val="0"/>
          <w:numId w:val="9"/>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numPr>
          <w:ilvl w:val="0"/>
          <w:numId w:val="9"/>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合同履行期间，甲方有权将履行过程中出现的问题反馈给乙方，双方当事人应以书面形式约定需要完善和改进的内容。</w:t>
      </w:r>
    </w:p>
    <w:p>
      <w:pPr>
        <w:spacing w:line="360" w:lineRule="auto"/>
        <w:outlineLvl w:val="9"/>
        <w:rPr>
          <w:rFonts w:hint="eastAsia" w:ascii="宋体" w:hAnsi="宋体" w:eastAsia="宋体" w:cs="宋体"/>
          <w:b/>
          <w:color w:val="auto"/>
          <w:sz w:val="22"/>
          <w:szCs w:val="22"/>
          <w:highlight w:val="none"/>
        </w:rPr>
      </w:pPr>
      <w:bookmarkStart w:id="187" w:name="_Toc16163"/>
      <w:bookmarkStart w:id="188" w:name="_Toc13467"/>
      <w:bookmarkStart w:id="189" w:name="_Toc18990"/>
      <w:bookmarkStart w:id="190" w:name="_Toc13154"/>
      <w:bookmarkStart w:id="191" w:name="_Toc30507"/>
      <w:r>
        <w:rPr>
          <w:rFonts w:hint="eastAsia" w:ascii="宋体" w:hAnsi="宋体" w:eastAsia="宋体" w:cs="宋体"/>
          <w:b/>
          <w:color w:val="auto"/>
          <w:sz w:val="22"/>
          <w:szCs w:val="22"/>
          <w:highlight w:val="none"/>
        </w:rPr>
        <w:t>第九条  技术资料和保密义务</w:t>
      </w:r>
      <w:bookmarkEnd w:id="187"/>
      <w:bookmarkEnd w:id="188"/>
      <w:bookmarkEnd w:id="189"/>
      <w:bookmarkEnd w:id="190"/>
      <w:bookmarkEnd w:id="191"/>
    </w:p>
    <w:p>
      <w:pPr>
        <w:numPr>
          <w:ilvl w:val="0"/>
          <w:numId w:val="10"/>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乙方有权依据合同约定和项目需要，向甲方了解有关情况，调阅有关资料等，甲方应予积极配合；</w:t>
      </w:r>
    </w:p>
    <w:p>
      <w:pPr>
        <w:numPr>
          <w:ilvl w:val="0"/>
          <w:numId w:val="10"/>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乙方有义务妥善保管和保护由甲方提供的前款信息和资料等；</w:t>
      </w:r>
    </w:p>
    <w:p>
      <w:pPr>
        <w:numPr>
          <w:ilvl w:val="0"/>
          <w:numId w:val="10"/>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outlineLvl w:val="9"/>
        <w:rPr>
          <w:rFonts w:hint="eastAsia" w:ascii="宋体" w:hAnsi="宋体" w:eastAsia="宋体" w:cs="宋体"/>
          <w:b/>
          <w:color w:val="auto"/>
          <w:sz w:val="22"/>
          <w:szCs w:val="22"/>
          <w:highlight w:val="none"/>
        </w:rPr>
      </w:pPr>
      <w:bookmarkStart w:id="192" w:name="_Toc19069"/>
      <w:r>
        <w:rPr>
          <w:rFonts w:hint="eastAsia" w:ascii="宋体" w:hAnsi="宋体" w:eastAsia="宋体" w:cs="宋体"/>
          <w:b/>
          <w:color w:val="auto"/>
          <w:sz w:val="22"/>
          <w:szCs w:val="22"/>
          <w:highlight w:val="none"/>
        </w:rPr>
        <w:t>第十条  质量保证</w:t>
      </w:r>
      <w:bookmarkEnd w:id="192"/>
    </w:p>
    <w:p>
      <w:pPr>
        <w:numPr>
          <w:ilvl w:val="0"/>
          <w:numId w:val="11"/>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乙方应建立和完善履行合同的内部质量保证体系，并提供相关内部规章制度给甲方，以便甲方进行监督检查；</w:t>
      </w:r>
    </w:p>
    <w:p>
      <w:pPr>
        <w:numPr>
          <w:ilvl w:val="0"/>
          <w:numId w:val="11"/>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乙方应保证履行合同的人员数量和素质、软件和硬件设备的配置、场地、环境和设施等满足全面履行合同的要求，并应接受甲方的监督检查。</w:t>
      </w:r>
    </w:p>
    <w:p>
      <w:pPr>
        <w:spacing w:line="360" w:lineRule="auto"/>
        <w:outlineLvl w:val="9"/>
        <w:rPr>
          <w:rFonts w:hint="eastAsia" w:ascii="宋体" w:hAnsi="宋体" w:eastAsia="宋体" w:cs="宋体"/>
          <w:b/>
          <w:color w:val="auto"/>
          <w:sz w:val="22"/>
          <w:szCs w:val="22"/>
          <w:highlight w:val="none"/>
        </w:rPr>
      </w:pPr>
      <w:bookmarkStart w:id="193" w:name="_Toc10663"/>
      <w:bookmarkStart w:id="194" w:name="_Toc42"/>
      <w:bookmarkStart w:id="195" w:name="_Toc21830"/>
      <w:bookmarkStart w:id="196" w:name="_Toc23368"/>
      <w:bookmarkStart w:id="197" w:name="_Toc26689"/>
      <w:r>
        <w:rPr>
          <w:rFonts w:hint="eastAsia" w:ascii="宋体" w:hAnsi="宋体" w:eastAsia="宋体" w:cs="宋体"/>
          <w:b/>
          <w:color w:val="auto"/>
          <w:sz w:val="22"/>
          <w:szCs w:val="22"/>
          <w:highlight w:val="none"/>
        </w:rPr>
        <w:t>第十一条  合同转包和分包</w:t>
      </w:r>
      <w:bookmarkEnd w:id="193"/>
      <w:bookmarkEnd w:id="194"/>
      <w:bookmarkEnd w:id="195"/>
      <w:bookmarkEnd w:id="196"/>
      <w:bookmarkEnd w:id="197"/>
    </w:p>
    <w:p>
      <w:pP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乙方不得将本合同项下权利义务转包和分包，否则甲方有权单方面解除合司，</w:t>
      </w:r>
      <w:r>
        <w:rPr>
          <w:rFonts w:hint="eastAsia" w:ascii="宋体" w:hAnsi="宋体" w:eastAsia="宋体" w:cs="宋体"/>
          <w:color w:val="auto"/>
          <w:sz w:val="22"/>
          <w:szCs w:val="22"/>
          <w:highlight w:val="none"/>
          <w:lang w:val="en-US" w:eastAsia="zh-CN"/>
        </w:rPr>
        <w:t>同时乙</w:t>
      </w:r>
      <w:r>
        <w:rPr>
          <w:rFonts w:hint="eastAsia" w:ascii="宋体" w:hAnsi="宋体" w:eastAsia="宋体" w:cs="宋体"/>
          <w:color w:val="auto"/>
          <w:sz w:val="22"/>
          <w:szCs w:val="22"/>
          <w:highlight w:val="none"/>
        </w:rPr>
        <w:t>方应向</w:t>
      </w:r>
      <w:r>
        <w:rPr>
          <w:rFonts w:hint="eastAsia" w:ascii="宋体" w:hAnsi="宋体" w:eastAsia="宋体" w:cs="宋体"/>
          <w:color w:val="auto"/>
          <w:sz w:val="22"/>
          <w:szCs w:val="22"/>
          <w:highlight w:val="none"/>
          <w:lang w:val="en-US" w:eastAsia="zh-CN"/>
        </w:rPr>
        <w:t>甲</w:t>
      </w:r>
      <w:r>
        <w:rPr>
          <w:rFonts w:hint="eastAsia" w:ascii="宋体" w:hAnsi="宋体" w:eastAsia="宋体" w:cs="宋体"/>
          <w:color w:val="auto"/>
          <w:sz w:val="22"/>
          <w:szCs w:val="22"/>
          <w:highlight w:val="none"/>
        </w:rPr>
        <w:t>方支付30000元违约金。</w:t>
      </w:r>
    </w:p>
    <w:p>
      <w:pPr>
        <w:spacing w:line="360" w:lineRule="auto"/>
        <w:outlineLvl w:val="9"/>
        <w:rPr>
          <w:rFonts w:hint="eastAsia" w:ascii="宋体" w:hAnsi="宋体" w:eastAsia="宋体" w:cs="宋体"/>
          <w:b/>
          <w:color w:val="auto"/>
          <w:sz w:val="22"/>
          <w:szCs w:val="22"/>
          <w:highlight w:val="none"/>
        </w:rPr>
      </w:pPr>
      <w:bookmarkStart w:id="198" w:name="_Toc25571"/>
      <w:bookmarkStart w:id="199" w:name="_Toc26633"/>
      <w:bookmarkStart w:id="200" w:name="_Toc32494"/>
      <w:bookmarkStart w:id="201" w:name="_Toc14371"/>
      <w:bookmarkStart w:id="202" w:name="_Toc4720"/>
      <w:r>
        <w:rPr>
          <w:rFonts w:hint="eastAsia" w:ascii="宋体" w:hAnsi="宋体" w:eastAsia="宋体" w:cs="宋体"/>
          <w:b/>
          <w:color w:val="auto"/>
          <w:sz w:val="22"/>
          <w:szCs w:val="22"/>
          <w:highlight w:val="none"/>
        </w:rPr>
        <w:t>第十二条  不可抗力</w:t>
      </w:r>
      <w:bookmarkEnd w:id="198"/>
      <w:bookmarkEnd w:id="199"/>
      <w:bookmarkEnd w:id="200"/>
      <w:bookmarkEnd w:id="201"/>
      <w:bookmarkEnd w:id="202"/>
    </w:p>
    <w:p>
      <w:pPr>
        <w:numPr>
          <w:ilvl w:val="0"/>
          <w:numId w:val="12"/>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如果任何一方遭遇法律规定的不可抗力，致使合同履行受阻时，履行合同的期限应予延长，延长的期限应相当于不可抗力所影响的时间；</w:t>
      </w:r>
    </w:p>
    <w:p>
      <w:pPr>
        <w:numPr>
          <w:ilvl w:val="0"/>
          <w:numId w:val="12"/>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因不可抗力致使不能实现合同目的的，当事人可以解除合同；</w:t>
      </w:r>
    </w:p>
    <w:p>
      <w:pPr>
        <w:numPr>
          <w:ilvl w:val="0"/>
          <w:numId w:val="12"/>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因不可抗力致使合同有变更必要的，双方当事人应在</w:t>
      </w:r>
      <w:r>
        <w:rPr>
          <w:rFonts w:hint="eastAsia" w:ascii="宋体" w:hAnsi="宋体" w:eastAsia="宋体" w:cs="宋体"/>
          <w:b/>
          <w:bCs/>
          <w:color w:val="auto"/>
          <w:sz w:val="22"/>
          <w:szCs w:val="22"/>
          <w:highlight w:val="none"/>
          <w:u w:val="single"/>
        </w:rPr>
        <w:t>10个工作日内</w:t>
      </w:r>
      <w:r>
        <w:rPr>
          <w:rFonts w:hint="eastAsia" w:ascii="宋体" w:hAnsi="宋体" w:eastAsia="宋体" w:cs="宋体"/>
          <w:color w:val="auto"/>
          <w:sz w:val="22"/>
          <w:szCs w:val="22"/>
          <w:highlight w:val="none"/>
        </w:rPr>
        <w:t>约定时间内以书面形式变更合同；</w:t>
      </w:r>
    </w:p>
    <w:p>
      <w:pPr>
        <w:numPr>
          <w:ilvl w:val="0"/>
          <w:numId w:val="12"/>
        </w:numPr>
        <w:spacing w:line="360" w:lineRule="auto"/>
        <w:outlineLvl w:val="9"/>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受不可抗力影响的一方在不可抗力发生后，应在</w:t>
      </w:r>
      <w:r>
        <w:rPr>
          <w:rFonts w:hint="eastAsia" w:ascii="宋体" w:hAnsi="宋体" w:eastAsia="宋体" w:cs="宋体"/>
          <w:b/>
          <w:iCs/>
          <w:color w:val="auto"/>
          <w:sz w:val="22"/>
          <w:szCs w:val="22"/>
          <w:highlight w:val="none"/>
          <w:u w:val="single"/>
        </w:rPr>
        <w:t>5个工作日内</w:t>
      </w:r>
      <w:r>
        <w:rPr>
          <w:rFonts w:hint="eastAsia" w:ascii="宋体" w:hAnsi="宋体" w:eastAsia="宋体" w:cs="宋体"/>
          <w:iCs/>
          <w:color w:val="auto"/>
          <w:sz w:val="22"/>
          <w:szCs w:val="22"/>
          <w:highlight w:val="none"/>
        </w:rPr>
        <w:t>约定时间</w:t>
      </w:r>
      <w:r>
        <w:rPr>
          <w:rFonts w:hint="eastAsia" w:ascii="宋体" w:hAnsi="宋体" w:eastAsia="宋体" w:cs="宋体"/>
          <w:color w:val="auto"/>
          <w:sz w:val="22"/>
          <w:szCs w:val="22"/>
          <w:highlight w:val="none"/>
        </w:rPr>
        <w:t>内以书面形式通知对方当事人，并在</w:t>
      </w:r>
      <w:r>
        <w:rPr>
          <w:rFonts w:hint="eastAsia" w:ascii="宋体" w:hAnsi="宋体" w:eastAsia="宋体" w:cs="宋体"/>
          <w:b/>
          <w:bCs/>
          <w:color w:val="auto"/>
          <w:sz w:val="22"/>
          <w:szCs w:val="22"/>
          <w:highlight w:val="none"/>
          <w:u w:val="single"/>
        </w:rPr>
        <w:t>事故发生后10个工作日</w:t>
      </w:r>
      <w:r>
        <w:rPr>
          <w:rFonts w:hint="eastAsia" w:ascii="宋体" w:hAnsi="宋体" w:eastAsia="宋体" w:cs="宋体"/>
          <w:color w:val="auto"/>
          <w:sz w:val="22"/>
          <w:szCs w:val="22"/>
          <w:highlight w:val="none"/>
        </w:rPr>
        <w:t>约定时间内，将有关部门出具的证明文件送达对方当事人。</w:t>
      </w:r>
    </w:p>
    <w:p>
      <w:pPr>
        <w:spacing w:line="360" w:lineRule="auto"/>
        <w:outlineLvl w:val="9"/>
        <w:rPr>
          <w:rFonts w:hint="eastAsia" w:ascii="宋体" w:hAnsi="宋体" w:eastAsia="宋体" w:cs="宋体"/>
          <w:b/>
          <w:color w:val="auto"/>
          <w:sz w:val="22"/>
          <w:szCs w:val="22"/>
          <w:highlight w:val="none"/>
        </w:rPr>
      </w:pPr>
      <w:bookmarkStart w:id="203" w:name="_Toc24465"/>
      <w:bookmarkStart w:id="204" w:name="_Toc25783"/>
      <w:bookmarkStart w:id="205" w:name="_Toc14115"/>
      <w:bookmarkStart w:id="206" w:name="_Toc23854"/>
      <w:bookmarkStart w:id="207" w:name="_Toc3638"/>
      <w:r>
        <w:rPr>
          <w:rFonts w:hint="eastAsia" w:ascii="宋体" w:hAnsi="宋体" w:eastAsia="宋体" w:cs="宋体"/>
          <w:b/>
          <w:color w:val="auto"/>
          <w:sz w:val="22"/>
          <w:szCs w:val="22"/>
          <w:highlight w:val="none"/>
        </w:rPr>
        <w:t>第十三条  税费</w:t>
      </w:r>
      <w:bookmarkEnd w:id="203"/>
      <w:bookmarkEnd w:id="204"/>
      <w:bookmarkEnd w:id="205"/>
      <w:bookmarkEnd w:id="206"/>
      <w:bookmarkEnd w:id="207"/>
    </w:p>
    <w:p>
      <w:pP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与合同有关的一切税费，均按照中华人民共和国法律的相关规定缴纳。</w:t>
      </w:r>
    </w:p>
    <w:p>
      <w:pPr>
        <w:spacing w:line="360" w:lineRule="auto"/>
        <w:outlineLvl w:val="9"/>
        <w:rPr>
          <w:rFonts w:hint="eastAsia" w:ascii="宋体" w:hAnsi="宋体" w:eastAsia="宋体" w:cs="宋体"/>
          <w:b/>
          <w:color w:val="auto"/>
          <w:sz w:val="22"/>
          <w:szCs w:val="22"/>
          <w:highlight w:val="none"/>
        </w:rPr>
      </w:pPr>
      <w:bookmarkStart w:id="208" w:name="_Toc25525"/>
      <w:bookmarkStart w:id="209" w:name="_Toc7315"/>
      <w:bookmarkStart w:id="210" w:name="_Toc30105"/>
      <w:bookmarkStart w:id="211" w:name="_Toc14814"/>
      <w:bookmarkStart w:id="212" w:name="_Toc26883"/>
      <w:r>
        <w:rPr>
          <w:rFonts w:hint="eastAsia" w:ascii="宋体" w:hAnsi="宋体" w:eastAsia="宋体" w:cs="宋体"/>
          <w:b/>
          <w:color w:val="auto"/>
          <w:sz w:val="22"/>
          <w:szCs w:val="22"/>
          <w:highlight w:val="none"/>
        </w:rPr>
        <w:t>第十四条  乙方破产</w:t>
      </w:r>
      <w:bookmarkEnd w:id="208"/>
      <w:bookmarkEnd w:id="209"/>
      <w:bookmarkEnd w:id="210"/>
      <w:bookmarkEnd w:id="211"/>
      <w:bookmarkEnd w:id="212"/>
    </w:p>
    <w:p>
      <w:pP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outlineLvl w:val="9"/>
        <w:rPr>
          <w:rFonts w:hint="eastAsia" w:ascii="宋体" w:hAnsi="宋体" w:eastAsia="宋体" w:cs="宋体"/>
          <w:b/>
          <w:color w:val="auto"/>
          <w:sz w:val="22"/>
          <w:szCs w:val="22"/>
          <w:highlight w:val="none"/>
        </w:rPr>
      </w:pPr>
      <w:bookmarkStart w:id="213" w:name="_Toc2016"/>
      <w:bookmarkStart w:id="214" w:name="_Toc23323"/>
      <w:bookmarkStart w:id="215" w:name="_Toc1123"/>
      <w:r>
        <w:rPr>
          <w:rFonts w:hint="eastAsia" w:ascii="宋体" w:hAnsi="宋体" w:eastAsia="宋体" w:cs="宋体"/>
          <w:b/>
          <w:color w:val="auto"/>
          <w:sz w:val="22"/>
          <w:szCs w:val="22"/>
          <w:highlight w:val="none"/>
        </w:rPr>
        <w:t>第十五条  合同中止、终止</w:t>
      </w:r>
      <w:bookmarkEnd w:id="213"/>
      <w:bookmarkEnd w:id="214"/>
      <w:bookmarkEnd w:id="215"/>
    </w:p>
    <w:p>
      <w:pPr>
        <w:numPr>
          <w:ilvl w:val="0"/>
          <w:numId w:val="13"/>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双方当事人不得擅自中止或者终止合同；</w:t>
      </w:r>
    </w:p>
    <w:p>
      <w:pPr>
        <w:numPr>
          <w:ilvl w:val="0"/>
          <w:numId w:val="13"/>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合同继续履行将损害国家利益和社会公共利益的，双方当事人应当中止或者终止合同。有过错的一方应当承担赔偿责任，双方当事人都有过错的，各自承担相应的责任。</w:t>
      </w:r>
    </w:p>
    <w:p>
      <w:pPr>
        <w:spacing w:line="360" w:lineRule="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第十六条  通知和送达</w:t>
      </w:r>
    </w:p>
    <w:p>
      <w:pPr>
        <w:numPr>
          <w:ilvl w:val="0"/>
          <w:numId w:val="14"/>
        </w:numPr>
        <w:spacing w:line="360" w:lineRule="auto"/>
        <w:outlineLvl w:val="9"/>
        <w:rPr>
          <w:rFonts w:hint="eastAsia" w:ascii="宋体" w:hAnsi="宋体" w:eastAsia="宋体" w:cs="宋体"/>
          <w:color w:val="auto"/>
          <w:sz w:val="22"/>
          <w:szCs w:val="22"/>
          <w:highlight w:val="none"/>
        </w:rPr>
      </w:pPr>
      <w:bookmarkStart w:id="216" w:name="_Toc27674"/>
      <w:bookmarkStart w:id="217" w:name="_Toc18401"/>
      <w:r>
        <w:rPr>
          <w:rFonts w:hint="eastAsia" w:ascii="宋体" w:hAnsi="宋体" w:eastAsia="宋体" w:cs="宋体"/>
          <w:color w:val="auto"/>
          <w:sz w:val="22"/>
          <w:szCs w:val="22"/>
          <w:highlight w:val="none"/>
        </w:rPr>
        <w:t>任何一方因履行合同而以合同第一部分尾部所列明的传真或电子邮件发出的所有通知、文件、材料，均视为已向对方当事人送达；任何一方变更上述送达方式或者地址的，应于</w:t>
      </w:r>
      <w:r>
        <w:rPr>
          <w:rFonts w:hint="eastAsia" w:ascii="宋体" w:hAnsi="宋体" w:eastAsia="宋体" w:cs="宋体"/>
          <w:color w:val="auto"/>
          <w:sz w:val="22"/>
          <w:szCs w:val="22"/>
          <w:highlight w:val="none"/>
          <w:u w:val="single"/>
        </w:rPr>
        <w:t>3</w:t>
      </w:r>
      <w:r>
        <w:rPr>
          <w:rFonts w:hint="eastAsia" w:ascii="宋体" w:hAnsi="宋体" w:eastAsia="宋体" w:cs="宋体"/>
          <w:color w:val="auto"/>
          <w:sz w:val="22"/>
          <w:szCs w:val="22"/>
          <w:highlight w:val="none"/>
        </w:rPr>
        <w:t>个工作日内书面通知对方当事人，在对方当事人收到有关变更通知之前，变更前的约定送达方式或者地址仍视为有效。</w:t>
      </w:r>
    </w:p>
    <w:p>
      <w:pPr>
        <w:numPr>
          <w:ilvl w:val="0"/>
          <w:numId w:val="14"/>
        </w:numPr>
        <w:spacing w:line="360" w:lineRule="auto"/>
        <w:outlineLvl w:val="9"/>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216"/>
      <w:bookmarkEnd w:id="217"/>
    </w:p>
    <w:p>
      <w:pPr>
        <w:widowControl/>
        <w:adjustRightInd w:val="0"/>
        <w:snapToGrid w:val="0"/>
        <w:spacing w:line="360" w:lineRule="auto"/>
        <w:outlineLvl w:val="9"/>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第十七条  其他事项</w:t>
      </w:r>
    </w:p>
    <w:p>
      <w:pPr>
        <w:widowControl/>
        <w:adjustRightInd w:val="0"/>
        <w:snapToGrid w:val="0"/>
        <w:spacing w:line="360" w:lineRule="auto"/>
        <w:ind w:firstLine="416" w:firstLineChars="200"/>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若有其他未定或特殊事项，可事先在合同中明确，事先在合同中未能明确的，由双方协商确定。协商不成的，可提请温州仲裁委员会仲裁或向甲方所在地人民法院提起诉讼。</w:t>
      </w:r>
    </w:p>
    <w:p>
      <w:pPr>
        <w:widowControl/>
        <w:adjustRightInd w:val="0"/>
        <w:snapToGrid w:val="0"/>
        <w:spacing w:line="360" w:lineRule="auto"/>
        <w:outlineLvl w:val="9"/>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第十八条  合同的生效</w:t>
      </w:r>
    </w:p>
    <w:p>
      <w:pPr>
        <w:widowControl/>
        <w:numPr>
          <w:ilvl w:val="0"/>
          <w:numId w:val="15"/>
        </w:numPr>
        <w:adjustRightInd w:val="0"/>
        <w:snapToGrid w:val="0"/>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本合同经甲方、乙方法定代表人或其委托代理人签字或盖章并加盖双方公章后生效。</w:t>
      </w:r>
    </w:p>
    <w:p>
      <w:pPr>
        <w:widowControl/>
        <w:numPr>
          <w:ilvl w:val="0"/>
          <w:numId w:val="15"/>
        </w:numPr>
        <w:adjustRightInd w:val="0"/>
        <w:snapToGrid w:val="0"/>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相关采购文件、投标文件与本合同具有同等法律效力。</w:t>
      </w:r>
    </w:p>
    <w:p>
      <w:pPr>
        <w:widowControl/>
        <w:numPr>
          <w:ilvl w:val="0"/>
          <w:numId w:val="15"/>
        </w:numPr>
        <w:adjustRightInd w:val="0"/>
        <w:snapToGrid w:val="0"/>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合同一式</w:t>
      </w:r>
      <w:r>
        <w:rPr>
          <w:rFonts w:hint="eastAsia" w:ascii="宋体" w:hAnsi="宋体" w:eastAsia="宋体" w:cs="宋体"/>
          <w:color w:val="auto"/>
          <w:spacing w:val="-6"/>
          <w:sz w:val="22"/>
          <w:szCs w:val="22"/>
          <w:highlight w:val="none"/>
          <w:u w:val="single"/>
          <w:lang w:val="en-US" w:eastAsia="zh-CN"/>
        </w:rPr>
        <w:t xml:space="preserve">  </w:t>
      </w:r>
      <w:r>
        <w:rPr>
          <w:rFonts w:hint="eastAsia" w:ascii="宋体" w:hAnsi="宋体" w:eastAsia="宋体" w:cs="宋体"/>
          <w:color w:val="auto"/>
          <w:spacing w:val="-6"/>
          <w:sz w:val="22"/>
          <w:szCs w:val="22"/>
          <w:highlight w:val="none"/>
        </w:rPr>
        <w:t>份，甲方执</w:t>
      </w:r>
      <w:r>
        <w:rPr>
          <w:rFonts w:hint="eastAsia" w:ascii="宋体" w:hAnsi="宋体" w:eastAsia="宋体" w:cs="宋体"/>
          <w:color w:val="auto"/>
          <w:spacing w:val="-6"/>
          <w:sz w:val="22"/>
          <w:szCs w:val="22"/>
          <w:highlight w:val="none"/>
          <w:u w:val="single"/>
          <w:lang w:val="en-US" w:eastAsia="zh-CN"/>
        </w:rPr>
        <w:t xml:space="preserve">  </w:t>
      </w:r>
      <w:r>
        <w:rPr>
          <w:rFonts w:hint="eastAsia" w:ascii="宋体" w:hAnsi="宋体" w:eastAsia="宋体" w:cs="宋体"/>
          <w:color w:val="auto"/>
          <w:spacing w:val="-6"/>
          <w:sz w:val="22"/>
          <w:szCs w:val="22"/>
          <w:highlight w:val="none"/>
        </w:rPr>
        <w:t>份，乙方执</w:t>
      </w:r>
      <w:r>
        <w:rPr>
          <w:rFonts w:hint="eastAsia" w:ascii="宋体" w:hAnsi="宋体" w:eastAsia="宋体" w:cs="宋体"/>
          <w:color w:val="auto"/>
          <w:spacing w:val="-6"/>
          <w:sz w:val="22"/>
          <w:szCs w:val="22"/>
          <w:highlight w:val="none"/>
          <w:u w:val="single"/>
          <w:lang w:val="en-US" w:eastAsia="zh-CN"/>
        </w:rPr>
        <w:t xml:space="preserve">  </w:t>
      </w:r>
      <w:r>
        <w:rPr>
          <w:rFonts w:hint="eastAsia" w:ascii="宋体" w:hAnsi="宋体" w:eastAsia="宋体" w:cs="宋体"/>
          <w:color w:val="auto"/>
          <w:spacing w:val="-6"/>
          <w:sz w:val="22"/>
          <w:szCs w:val="22"/>
          <w:highlight w:val="none"/>
        </w:rPr>
        <w:t>份，具有同等法律效力。</w:t>
      </w:r>
    </w:p>
    <w:p>
      <w:pPr>
        <w:widowControl/>
        <w:numPr>
          <w:ilvl w:val="0"/>
          <w:numId w:val="15"/>
        </w:numPr>
        <w:adjustRightInd w:val="0"/>
        <w:snapToGrid w:val="0"/>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如需修改或补充合同内容，经协商，双方应签署书面修改或补充协议，该协议将作为本合同的一个组成部分。</w:t>
      </w:r>
    </w:p>
    <w:p>
      <w:pPr>
        <w:widowControl/>
        <w:adjustRightInd w:val="0"/>
        <w:snapToGrid w:val="0"/>
        <w:spacing w:line="360" w:lineRule="auto"/>
        <w:outlineLvl w:val="9"/>
        <w:rPr>
          <w:rFonts w:hint="eastAsia" w:ascii="宋体" w:hAnsi="宋体" w:eastAsia="宋体" w:cs="宋体"/>
          <w:b/>
          <w:bCs/>
          <w:color w:val="auto"/>
          <w:spacing w:val="-6"/>
          <w:sz w:val="22"/>
          <w:szCs w:val="22"/>
          <w:highlight w:val="none"/>
        </w:rPr>
      </w:pPr>
      <w:bookmarkStart w:id="218" w:name="_Toc515286862"/>
      <w:r>
        <w:rPr>
          <w:rFonts w:hint="eastAsia" w:ascii="宋体" w:hAnsi="宋体" w:eastAsia="宋体" w:cs="宋体"/>
          <w:b/>
          <w:bCs/>
          <w:color w:val="auto"/>
          <w:spacing w:val="-6"/>
          <w:sz w:val="22"/>
          <w:szCs w:val="22"/>
          <w:highlight w:val="none"/>
        </w:rPr>
        <w:t>第十九条  适用法律</w:t>
      </w:r>
      <w:bookmarkEnd w:id="218"/>
    </w:p>
    <w:p>
      <w:pPr>
        <w:widowControl/>
        <w:adjustRightInd w:val="0"/>
        <w:snapToGrid w:val="0"/>
        <w:spacing w:line="360" w:lineRule="auto"/>
        <w:ind w:firstLine="416" w:firstLineChars="200"/>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本合同按照中华人民共和国的法律进行解释。</w:t>
      </w:r>
    </w:p>
    <w:p>
      <w:pPr>
        <w:widowControl/>
        <w:adjustRightInd w:val="0"/>
        <w:snapToGrid w:val="0"/>
        <w:spacing w:line="360" w:lineRule="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第二十条  合同组成部分</w:t>
      </w:r>
    </w:p>
    <w:p>
      <w:pPr>
        <w:widowControl/>
        <w:adjustRightInd w:val="0"/>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numPr>
          <w:ilvl w:val="2"/>
          <w:numId w:val="16"/>
        </w:numPr>
        <w:adjustRightInd w:val="0"/>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本合同及其补充合同、变更协议；</w:t>
      </w:r>
    </w:p>
    <w:p>
      <w:pPr>
        <w:widowControl/>
        <w:numPr>
          <w:ilvl w:val="2"/>
          <w:numId w:val="16"/>
        </w:numPr>
        <w:adjustRightInd w:val="0"/>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中标通知书；</w:t>
      </w:r>
    </w:p>
    <w:p>
      <w:pPr>
        <w:widowControl/>
        <w:numPr>
          <w:ilvl w:val="2"/>
          <w:numId w:val="16"/>
        </w:numPr>
        <w:adjustRightInd w:val="0"/>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投标文件（含澄清或者说明文件）；</w:t>
      </w:r>
    </w:p>
    <w:p>
      <w:pPr>
        <w:widowControl/>
        <w:numPr>
          <w:ilvl w:val="2"/>
          <w:numId w:val="16"/>
        </w:numPr>
        <w:adjustRightInd w:val="0"/>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采购文件（含澄清或者修改文件）；</w:t>
      </w:r>
    </w:p>
    <w:p>
      <w:pPr>
        <w:widowControl/>
        <w:numPr>
          <w:ilvl w:val="2"/>
          <w:numId w:val="16"/>
        </w:numPr>
        <w:adjustRightInd w:val="0"/>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其他相关采购文件。</w:t>
      </w:r>
    </w:p>
    <w:p>
      <w:pPr>
        <w:widowControl/>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以下无正文</w:t>
      </w:r>
    </w:p>
    <w:p>
      <w:pPr>
        <w:pStyle w:val="2"/>
        <w:spacing w:line="360" w:lineRule="exact"/>
        <w:ind w:firstLine="0" w:firstLineChars="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highlight w:val="none"/>
        </w:rPr>
        <w:t>签章页</w:t>
      </w:r>
    </w:p>
    <w:bookmarkEnd w:id="167"/>
    <w:bookmarkEnd w:id="168"/>
    <w:bookmarkEnd w:id="169"/>
    <w:tbl>
      <w:tblPr>
        <w:tblStyle w:val="3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3"/>
        <w:gridCol w:w="4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4743" w:type="dxa"/>
          </w:tcPr>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甲方（牵头单位）</w:t>
            </w:r>
            <w:r>
              <w:rPr>
                <w:rFonts w:hint="eastAsia" w:ascii="宋体" w:hAnsi="宋体" w:eastAsia="宋体" w:cs="宋体"/>
                <w:b/>
                <w:bCs/>
                <w:color w:val="auto"/>
                <w:spacing w:val="-6"/>
                <w:sz w:val="22"/>
                <w:szCs w:val="22"/>
                <w:highlight w:val="none"/>
              </w:rPr>
              <w:t>（盖章）</w:t>
            </w:r>
            <w:r>
              <w:rPr>
                <w:rFonts w:hint="eastAsia" w:ascii="宋体" w:hAnsi="宋体" w:eastAsia="宋体" w:cs="宋体"/>
                <w:b/>
                <w:bCs/>
                <w:color w:val="auto"/>
                <w:kern w:val="0"/>
                <w:sz w:val="22"/>
                <w:szCs w:val="22"/>
                <w:highlight w:val="none"/>
              </w:rPr>
              <w:t>：温州市公用事业发展集团有限公司</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址：温州市车站大道623号</w:t>
            </w:r>
          </w:p>
          <w:p>
            <w:pPr>
              <w:spacing w:line="360" w:lineRule="exact"/>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甲方代表：</w:t>
            </w:r>
          </w:p>
          <w:p>
            <w:pPr>
              <w:spacing w:line="360" w:lineRule="exact"/>
              <w:outlineLvl w:val="9"/>
              <w:rPr>
                <w:rFonts w:hint="eastAsia" w:ascii="宋体" w:hAnsi="宋体" w:eastAsia="宋体" w:cs="宋体"/>
                <w:b/>
                <w:bCs/>
                <w:color w:val="auto"/>
                <w:sz w:val="22"/>
                <w:szCs w:val="22"/>
                <w:highlight w:val="none"/>
              </w:rPr>
            </w:pPr>
            <w:r>
              <w:rPr>
                <w:rFonts w:hint="eastAsia" w:ascii="宋体" w:hAnsi="宋体" w:eastAsia="宋体" w:cs="宋体"/>
                <w:color w:val="auto"/>
                <w:spacing w:val="-6"/>
                <w:sz w:val="22"/>
                <w:szCs w:val="22"/>
                <w:highlight w:val="none"/>
              </w:rPr>
              <w:t>(签字或签章）</w:t>
            </w:r>
          </w:p>
        </w:tc>
        <w:tc>
          <w:tcPr>
            <w:tcW w:w="4613" w:type="dxa"/>
          </w:tcPr>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甲方</w:t>
            </w:r>
            <w:r>
              <w:rPr>
                <w:rFonts w:hint="eastAsia" w:ascii="宋体" w:hAnsi="宋体" w:eastAsia="宋体" w:cs="宋体"/>
                <w:b/>
                <w:bCs/>
                <w:color w:val="auto"/>
                <w:spacing w:val="-6"/>
                <w:sz w:val="22"/>
                <w:szCs w:val="22"/>
                <w:highlight w:val="none"/>
              </w:rPr>
              <w:t>（盖章）</w:t>
            </w:r>
            <w:r>
              <w:rPr>
                <w:rFonts w:hint="eastAsia" w:ascii="宋体" w:hAnsi="宋体" w:eastAsia="宋体" w:cs="宋体"/>
                <w:color w:val="auto"/>
                <w:kern w:val="0"/>
                <w:sz w:val="22"/>
                <w:szCs w:val="22"/>
                <w:highlight w:val="none"/>
              </w:rPr>
              <w:t>：</w:t>
            </w:r>
            <w:r>
              <w:rPr>
                <w:rFonts w:hint="eastAsia" w:ascii="宋体" w:hAnsi="宋体" w:eastAsia="宋体" w:cs="宋体"/>
                <w:b/>
                <w:bCs/>
                <w:color w:val="auto"/>
                <w:kern w:val="0"/>
                <w:sz w:val="22"/>
                <w:szCs w:val="22"/>
                <w:highlight w:val="none"/>
              </w:rPr>
              <w:t xml:space="preserve">温州市城市建设发展集团有限公司 </w:t>
            </w:r>
          </w:p>
          <w:p>
            <w:pPr>
              <w:spacing w:line="360" w:lineRule="exact"/>
              <w:outlineLvl w:val="9"/>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  址：</w:t>
            </w:r>
            <w:r>
              <w:rPr>
                <w:rFonts w:hint="eastAsia" w:ascii="宋体" w:hAnsi="宋体" w:cs="宋体"/>
                <w:color w:val="auto"/>
                <w:kern w:val="0"/>
                <w:sz w:val="22"/>
                <w:szCs w:val="22"/>
                <w:highlight w:val="none"/>
                <w:lang w:eastAsia="zh-CN"/>
              </w:rPr>
              <w:t>温州市鹿城区府东路宏国大厦14-17楼</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甲方代表：</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(签字或签章）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4743" w:type="dxa"/>
          </w:tcPr>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甲方</w:t>
            </w:r>
            <w:r>
              <w:rPr>
                <w:rFonts w:hint="eastAsia" w:ascii="宋体" w:hAnsi="宋体" w:eastAsia="宋体" w:cs="宋体"/>
                <w:b/>
                <w:bCs/>
                <w:color w:val="auto"/>
                <w:spacing w:val="-6"/>
                <w:sz w:val="22"/>
                <w:szCs w:val="22"/>
                <w:highlight w:val="none"/>
              </w:rPr>
              <w:t>（盖章）</w:t>
            </w:r>
            <w:r>
              <w:rPr>
                <w:rFonts w:hint="eastAsia" w:ascii="宋体" w:hAnsi="宋体" w:eastAsia="宋体" w:cs="宋体"/>
                <w:b/>
                <w:bCs/>
                <w:color w:val="auto"/>
                <w:kern w:val="0"/>
                <w:sz w:val="22"/>
                <w:szCs w:val="22"/>
                <w:highlight w:val="none"/>
              </w:rPr>
              <w:t>：温州市现代服务业发展集团有限公司</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址：温州市鹿城区滨江街道瓯江路展银大厦1、2、3、19、20层</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甲方代表：</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(签字或签章）</w:t>
            </w:r>
          </w:p>
        </w:tc>
        <w:tc>
          <w:tcPr>
            <w:tcW w:w="4613" w:type="dxa"/>
          </w:tcPr>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甲方</w:t>
            </w:r>
            <w:r>
              <w:rPr>
                <w:rFonts w:hint="eastAsia" w:ascii="宋体" w:hAnsi="宋体" w:eastAsia="宋体" w:cs="宋体"/>
                <w:b/>
                <w:bCs/>
                <w:color w:val="auto"/>
                <w:spacing w:val="-6"/>
                <w:sz w:val="22"/>
                <w:szCs w:val="22"/>
                <w:highlight w:val="none"/>
              </w:rPr>
              <w:t>（盖章）</w:t>
            </w:r>
            <w:r>
              <w:rPr>
                <w:rFonts w:hint="eastAsia" w:ascii="宋体" w:hAnsi="宋体" w:eastAsia="宋体" w:cs="宋体"/>
                <w:color w:val="auto"/>
                <w:kern w:val="0"/>
                <w:sz w:val="22"/>
                <w:szCs w:val="22"/>
                <w:highlight w:val="none"/>
              </w:rPr>
              <w:t>：</w:t>
            </w:r>
            <w:r>
              <w:rPr>
                <w:rFonts w:hint="eastAsia" w:ascii="宋体" w:hAnsi="宋体" w:eastAsia="宋体" w:cs="宋体"/>
                <w:b/>
                <w:bCs/>
                <w:color w:val="auto"/>
                <w:kern w:val="0"/>
                <w:sz w:val="22"/>
                <w:szCs w:val="22"/>
                <w:highlight w:val="none"/>
              </w:rPr>
              <w:t xml:space="preserve">温州市交通运输集团有限公司 </w:t>
            </w:r>
          </w:p>
          <w:p>
            <w:pPr>
              <w:spacing w:line="360" w:lineRule="exact"/>
              <w:outlineLvl w:val="9"/>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  址：</w:t>
            </w:r>
            <w:r>
              <w:rPr>
                <w:rFonts w:hint="eastAsia" w:ascii="宋体" w:hAnsi="宋体" w:cs="宋体"/>
                <w:color w:val="auto"/>
                <w:kern w:val="0"/>
                <w:sz w:val="22"/>
                <w:szCs w:val="22"/>
                <w:highlight w:val="none"/>
                <w:lang w:eastAsia="zh-CN"/>
              </w:rPr>
              <w:t>温州市鹿城区机场大道5052号诚远大厦25-26楼</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甲方代表：</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(签字或签章）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4743" w:type="dxa"/>
          </w:tcPr>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甲方</w:t>
            </w:r>
            <w:r>
              <w:rPr>
                <w:rFonts w:hint="eastAsia" w:ascii="宋体" w:hAnsi="宋体" w:eastAsia="宋体" w:cs="宋体"/>
                <w:b/>
                <w:bCs/>
                <w:color w:val="auto"/>
                <w:spacing w:val="-6"/>
                <w:sz w:val="22"/>
                <w:szCs w:val="22"/>
                <w:highlight w:val="none"/>
              </w:rPr>
              <w:t>（盖章）</w:t>
            </w:r>
            <w:r>
              <w:rPr>
                <w:rFonts w:hint="eastAsia" w:ascii="宋体" w:hAnsi="宋体" w:eastAsia="宋体" w:cs="宋体"/>
                <w:b/>
                <w:bCs/>
                <w:color w:val="auto"/>
                <w:kern w:val="0"/>
                <w:sz w:val="22"/>
                <w:szCs w:val="22"/>
                <w:highlight w:val="none"/>
              </w:rPr>
              <w:t>：温州市工业与能源发展集团有限公司</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址：温州市鹿城区东龙路50号</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甲方代表：</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(签字或签章）</w:t>
            </w:r>
          </w:p>
        </w:tc>
        <w:tc>
          <w:tcPr>
            <w:tcW w:w="4613" w:type="dxa"/>
          </w:tcPr>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甲方</w:t>
            </w:r>
            <w:r>
              <w:rPr>
                <w:rFonts w:hint="eastAsia" w:ascii="宋体" w:hAnsi="宋体" w:eastAsia="宋体" w:cs="宋体"/>
                <w:b/>
                <w:bCs/>
                <w:color w:val="auto"/>
                <w:spacing w:val="-6"/>
                <w:sz w:val="22"/>
                <w:szCs w:val="22"/>
                <w:highlight w:val="none"/>
              </w:rPr>
              <w:t>（盖章）</w:t>
            </w:r>
            <w:r>
              <w:rPr>
                <w:rFonts w:hint="eastAsia" w:ascii="宋体" w:hAnsi="宋体" w:eastAsia="宋体" w:cs="宋体"/>
                <w:b/>
                <w:bCs/>
                <w:color w:val="auto"/>
                <w:kern w:val="0"/>
                <w:sz w:val="22"/>
                <w:szCs w:val="22"/>
                <w:highlight w:val="none"/>
              </w:rPr>
              <w:t xml:space="preserve">：温州市交通发展集团有限公司 </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址：温州市车站大道669号</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甲方代表：</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(签字或签章）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4743" w:type="dxa"/>
          </w:tcPr>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甲方</w:t>
            </w:r>
            <w:r>
              <w:rPr>
                <w:rFonts w:hint="eastAsia" w:ascii="宋体" w:hAnsi="宋体" w:eastAsia="宋体" w:cs="宋体"/>
                <w:b/>
                <w:bCs/>
                <w:color w:val="auto"/>
                <w:spacing w:val="-6"/>
                <w:sz w:val="22"/>
                <w:szCs w:val="22"/>
                <w:highlight w:val="none"/>
              </w:rPr>
              <w:t>（盖章）</w:t>
            </w:r>
            <w:r>
              <w:rPr>
                <w:rFonts w:hint="eastAsia" w:ascii="宋体" w:hAnsi="宋体" w:eastAsia="宋体" w:cs="宋体"/>
                <w:b/>
                <w:bCs/>
                <w:color w:val="auto"/>
                <w:kern w:val="0"/>
                <w:sz w:val="22"/>
                <w:szCs w:val="22"/>
                <w:highlight w:val="none"/>
              </w:rPr>
              <w:t xml:space="preserve">：温州市铁路与轨道交通投资集团有限公司 </w:t>
            </w:r>
          </w:p>
          <w:p>
            <w:pPr>
              <w:spacing w:line="360" w:lineRule="exact"/>
              <w:outlineLvl w:val="9"/>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  址：</w:t>
            </w:r>
            <w:r>
              <w:rPr>
                <w:rFonts w:hint="eastAsia" w:ascii="宋体" w:hAnsi="宋体" w:cs="宋体"/>
                <w:color w:val="auto"/>
                <w:kern w:val="0"/>
                <w:sz w:val="22"/>
                <w:szCs w:val="22"/>
                <w:highlight w:val="none"/>
                <w:lang w:eastAsia="zh-CN"/>
              </w:rPr>
              <w:t>浙江省温州市鹿城区温州大道2305号温州市轨道交通控制中心15楼</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甲方代表：</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(签字或签章）</w:t>
            </w:r>
          </w:p>
        </w:tc>
        <w:tc>
          <w:tcPr>
            <w:tcW w:w="4613" w:type="dxa"/>
          </w:tcPr>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甲方</w:t>
            </w:r>
            <w:r>
              <w:rPr>
                <w:rFonts w:hint="eastAsia" w:ascii="宋体" w:hAnsi="宋体" w:eastAsia="宋体" w:cs="宋体"/>
                <w:b/>
                <w:bCs/>
                <w:color w:val="auto"/>
                <w:spacing w:val="-6"/>
                <w:sz w:val="22"/>
                <w:szCs w:val="22"/>
                <w:highlight w:val="none"/>
              </w:rPr>
              <w:t>（盖章）</w:t>
            </w:r>
            <w:r>
              <w:rPr>
                <w:rFonts w:hint="eastAsia" w:ascii="宋体" w:hAnsi="宋体" w:eastAsia="宋体" w:cs="宋体"/>
                <w:b/>
                <w:bCs/>
                <w:color w:val="auto"/>
                <w:kern w:val="0"/>
                <w:sz w:val="22"/>
                <w:szCs w:val="22"/>
                <w:highlight w:val="none"/>
              </w:rPr>
              <w:t>：温州市国有资本投资运营有限公司</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址：浙江省温州市海事路17号</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甲方代表：</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(签字或签章）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4743" w:type="dxa"/>
          </w:tcPr>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甲方</w:t>
            </w:r>
            <w:r>
              <w:rPr>
                <w:rFonts w:hint="eastAsia" w:ascii="宋体" w:hAnsi="宋体" w:eastAsia="宋体" w:cs="宋体"/>
                <w:b/>
                <w:bCs/>
                <w:color w:val="auto"/>
                <w:spacing w:val="-6"/>
                <w:sz w:val="22"/>
                <w:szCs w:val="22"/>
                <w:highlight w:val="none"/>
              </w:rPr>
              <w:t>（盖章）</w:t>
            </w:r>
            <w:r>
              <w:rPr>
                <w:rFonts w:hint="eastAsia" w:ascii="宋体" w:hAnsi="宋体" w:eastAsia="宋体" w:cs="宋体"/>
                <w:b/>
                <w:bCs/>
                <w:color w:val="auto"/>
                <w:kern w:val="0"/>
                <w:sz w:val="22"/>
                <w:szCs w:val="22"/>
                <w:highlight w:val="none"/>
              </w:rPr>
              <w:t>：温州建设集团有限公司</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址：温州市鹿城区惠民路666号汇富大厦13-15层</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甲方代表：</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(签字或签章）</w:t>
            </w:r>
          </w:p>
        </w:tc>
        <w:tc>
          <w:tcPr>
            <w:tcW w:w="4613" w:type="dxa"/>
          </w:tcPr>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甲方</w:t>
            </w:r>
            <w:r>
              <w:rPr>
                <w:rFonts w:hint="eastAsia" w:ascii="宋体" w:hAnsi="宋体" w:eastAsia="宋体" w:cs="宋体"/>
                <w:b/>
                <w:bCs/>
                <w:color w:val="auto"/>
                <w:spacing w:val="-6"/>
                <w:sz w:val="22"/>
                <w:szCs w:val="22"/>
                <w:highlight w:val="none"/>
              </w:rPr>
              <w:t>（盖章）</w:t>
            </w:r>
            <w:r>
              <w:rPr>
                <w:rFonts w:hint="eastAsia" w:ascii="宋体" w:hAnsi="宋体" w:eastAsia="宋体" w:cs="宋体"/>
                <w:b/>
                <w:bCs/>
                <w:color w:val="auto"/>
                <w:kern w:val="0"/>
                <w:sz w:val="22"/>
                <w:szCs w:val="22"/>
                <w:highlight w:val="none"/>
              </w:rPr>
              <w:t>：温州设计集团有限公司</w:t>
            </w:r>
          </w:p>
          <w:p>
            <w:pPr>
              <w:spacing w:line="360" w:lineRule="exact"/>
              <w:outlineLvl w:val="9"/>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  址：</w:t>
            </w:r>
            <w:r>
              <w:rPr>
                <w:rFonts w:hint="eastAsia" w:ascii="宋体" w:hAnsi="宋体" w:cs="宋体"/>
                <w:color w:val="auto"/>
                <w:kern w:val="0"/>
                <w:sz w:val="22"/>
                <w:szCs w:val="22"/>
                <w:highlight w:val="none"/>
                <w:lang w:eastAsia="zh-CN"/>
              </w:rPr>
              <w:t>浙江省温州市鹿城区香源路58号展鑫大厦13楼</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甲方代表：</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(签字或签章）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4743" w:type="dxa"/>
            <w:vAlign w:val="center"/>
          </w:tcPr>
          <w:p>
            <w:pPr>
              <w:spacing w:line="360" w:lineRule="exact"/>
              <w:outlineLvl w:val="9"/>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乙方（入围中标供应商）（盖章）：</w:t>
            </w:r>
          </w:p>
          <w:p>
            <w:pPr>
              <w:spacing w:line="360" w:lineRule="exact"/>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地址：</w:t>
            </w:r>
          </w:p>
          <w:p>
            <w:pPr>
              <w:spacing w:line="360" w:lineRule="exact"/>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乙方代表：</w:t>
            </w:r>
          </w:p>
          <w:p>
            <w:pPr>
              <w:spacing w:line="360" w:lineRule="exact"/>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w:t>
            </w:r>
            <w:r>
              <w:rPr>
                <w:rFonts w:hint="eastAsia" w:ascii="宋体" w:hAnsi="宋体" w:eastAsia="宋体" w:cs="宋体"/>
                <w:color w:val="auto"/>
                <w:kern w:val="0"/>
                <w:sz w:val="22"/>
                <w:szCs w:val="22"/>
                <w:highlight w:val="none"/>
              </w:rPr>
              <w:t>签字或签章</w:t>
            </w:r>
            <w:r>
              <w:rPr>
                <w:rFonts w:hint="eastAsia" w:ascii="宋体" w:hAnsi="宋体" w:eastAsia="宋体" w:cs="宋体"/>
                <w:color w:val="auto"/>
                <w:spacing w:val="-6"/>
                <w:sz w:val="22"/>
                <w:szCs w:val="22"/>
                <w:highlight w:val="none"/>
              </w:rPr>
              <w:t>）</w:t>
            </w:r>
          </w:p>
          <w:p>
            <w:pPr>
              <w:spacing w:line="360" w:lineRule="exact"/>
              <w:outlineLvl w:val="9"/>
              <w:rPr>
                <w:rFonts w:hint="eastAsia" w:ascii="宋体" w:hAnsi="宋体" w:eastAsia="宋体" w:cs="宋体"/>
                <w:color w:val="auto"/>
                <w:kern w:val="0"/>
                <w:sz w:val="22"/>
                <w:szCs w:val="22"/>
                <w:highlight w:val="none"/>
              </w:rPr>
            </w:pPr>
          </w:p>
        </w:tc>
        <w:tc>
          <w:tcPr>
            <w:tcW w:w="4613" w:type="dxa"/>
            <w:vAlign w:val="center"/>
          </w:tcPr>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签订地点：温州</w:t>
            </w:r>
          </w:p>
          <w:p>
            <w:pPr>
              <w:spacing w:line="360" w:lineRule="exac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签订时间：    年   月   日</w:t>
            </w:r>
          </w:p>
        </w:tc>
      </w:tr>
    </w:tbl>
    <w:p>
      <w:pPr>
        <w:outlineLvl w:val="9"/>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bookmarkStart w:id="219" w:name="_Toc23702"/>
      <w:bookmarkStart w:id="220" w:name="_Toc11258"/>
      <w:bookmarkStart w:id="221" w:name="_Toc15695"/>
      <w:bookmarkStart w:id="222" w:name="_Toc10501"/>
      <w:bookmarkStart w:id="223" w:name="_Toc3172"/>
      <w:bookmarkStart w:id="224" w:name="_Toc12024"/>
    </w:p>
    <w:p>
      <w:pPr>
        <w:pStyle w:val="2"/>
        <w:ind w:left="0" w:leftChars="0" w:firstLine="0" w:firstLineChars="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合同附件：</w:t>
      </w:r>
    </w:p>
    <w:p>
      <w:pPr>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浙价服【2011】90号</w:t>
      </w:r>
    </w:p>
    <w:p>
      <w:pPr>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浙江省物价局关于制定资产评估收费标准的通知</w:t>
      </w:r>
    </w:p>
    <w:p>
      <w:p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各市、县（市、区）物价局，省资产评估协会：</w:t>
      </w:r>
    </w:p>
    <w:p>
      <w:pP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进一步规范资产评估收费行为，维护社会公共利益和当事人的合法权益，促进我省资产评估行业的健康发展，根据国家发展改革委、财政部《关于发布〈资产评估收费管理办法〉的通知》（发改价格〔2009〕2914号）精神，结合我省实际情况，制定了我省资产评估收费标准，现就有关事项通知如下：</w:t>
      </w:r>
    </w:p>
    <w:p>
      <w:p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一、资产评估收费是指经省级以上财政主管部门批准设立的资产评估机构，依据相关法律法规和国家有关规定，接受委托开展资产评估服务所收取的费用。</w:t>
      </w:r>
    </w:p>
    <w:p>
      <w:p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二、资产评估收费实行政府指导价和市场调节价。资产评估机构提供法律法规和国家有关规定要求实施的资产评估服务（以下简称“法定资产评估服务”），实行政府指导价；提供自愿委托的资产评估及相关服务（以下简称“非法定资产评估服务”）实行市场调节价。法定资产评估服务业务范围说明见附件。</w:t>
      </w:r>
    </w:p>
    <w:p>
      <w:pP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法定资产评估服务可实行计件收费、计时收费或计件与计时收费相结合的方式。计件收费基准收费标准见附件，具体收费标准可根据评估工作的难易程度、工作量的大小及对评估人员的技能水平、评估质量和时间等要求，由资产评估机构按照上浮不超过20%，下浮不低于经营成本的原则，与委托人协商确定。</w:t>
      </w:r>
    </w:p>
    <w:p>
      <w:pP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计时收费具体标准由省资产评估协会确定，报省物价局备案。</w:t>
      </w:r>
    </w:p>
    <w:p>
      <w:pP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四、资产评估机构应在经营场所、交费地点的醒目位置公布收费项目、服务内容、计费方法、收费标准等事项。</w:t>
      </w:r>
    </w:p>
    <w:p>
      <w:pP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五、各级政府价格主管部门应加强对资产评估收费的监督管理，对违反规定乱收费的，应依法查处。</w:t>
      </w:r>
    </w:p>
    <w:p>
      <w:pP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六、涉及农村住房改造建设、中小学校舍安全工程建设的资产评估收费，应按规定减半收取。</w:t>
      </w:r>
    </w:p>
    <w:p>
      <w:p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七、本通知自2011年4月1日起执行，试行期为2年。省物价局《关于调整资产评估收费标准的通知》（浙价服〔2005〕6号）有关资产评估收费的规定停止执行。房地产评估收费、土地评估收费及资产评估中涉及的房地产评估收费、土地评估收费仍按浙价服〔2005〕6号文件规定执行。</w:t>
      </w:r>
    </w:p>
    <w:p>
      <w:p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附表：1.浙江省资产评估基准收费标准</w:t>
      </w:r>
    </w:p>
    <w:p>
      <w:p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2.法定资产评估服务业务范围说明</w:t>
      </w:r>
    </w:p>
    <w:p>
      <w:pPr>
        <w:spacing w:line="360" w:lineRule="auto"/>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二0一一年三月十六日</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br w:type="page"/>
      </w:r>
      <w:r>
        <w:rPr>
          <w:rFonts w:hint="eastAsia" w:ascii="宋体" w:hAnsi="宋体" w:eastAsia="宋体" w:cs="宋体"/>
          <w:b/>
          <w:color w:val="auto"/>
          <w:sz w:val="22"/>
          <w:szCs w:val="22"/>
          <w:highlight w:val="none"/>
        </w:rPr>
        <w:t>附表1</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浙江省资产评估基准收费标准</w:t>
      </w:r>
    </w:p>
    <w:tbl>
      <w:tblPr>
        <w:tblStyle w:val="34"/>
        <w:tblW w:w="0" w:type="auto"/>
        <w:jc w:val="center"/>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Layout w:type="fixed"/>
        <w:tblCellMar>
          <w:top w:w="0" w:type="dxa"/>
          <w:left w:w="108" w:type="dxa"/>
          <w:bottom w:w="0" w:type="dxa"/>
          <w:right w:w="108" w:type="dxa"/>
        </w:tblCellMar>
      </w:tblPr>
      <w:tblGrid>
        <w:gridCol w:w="1080"/>
        <w:gridCol w:w="3687"/>
        <w:gridCol w:w="2993"/>
      </w:tblGrid>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档次</w:t>
            </w:r>
          </w:p>
        </w:tc>
        <w:tc>
          <w:tcPr>
            <w:tcW w:w="36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计费额度（万元）</w:t>
            </w:r>
          </w:p>
        </w:tc>
        <w:tc>
          <w:tcPr>
            <w:tcW w:w="299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差额计费率‰</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6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100以下（含100）</w:t>
            </w:r>
          </w:p>
        </w:tc>
        <w:tc>
          <w:tcPr>
            <w:tcW w:w="299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36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100以上-1000（含1000）</w:t>
            </w:r>
          </w:p>
        </w:tc>
        <w:tc>
          <w:tcPr>
            <w:tcW w:w="299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6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1000以上-5000（含5000）</w:t>
            </w:r>
          </w:p>
        </w:tc>
        <w:tc>
          <w:tcPr>
            <w:tcW w:w="299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36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5000以上-10000（含10000）</w:t>
            </w:r>
          </w:p>
        </w:tc>
        <w:tc>
          <w:tcPr>
            <w:tcW w:w="299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0.75</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36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10000以上-100000（含100000）</w:t>
            </w:r>
          </w:p>
        </w:tc>
        <w:tc>
          <w:tcPr>
            <w:tcW w:w="299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0.15</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36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100000以上</w:t>
            </w:r>
          </w:p>
        </w:tc>
        <w:tc>
          <w:tcPr>
            <w:tcW w:w="299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说明：1、计件收费实行差额定率累进计费。计费基数为账面原值。</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2、收费额不足1500元的按1500元计算。</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附表2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法定资产评估服务业务范围说明</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资产评估服务是指资产评估机构根据《公司法》、《证券法》、《企业国有资产法》、《合伙企业法》、《拍卖法》、《国有资产评估管理办法》（国务院令第91号）、《国有资产管理若干问题的规定》（财政部令第14号）等国家有关法律法规规定为委托方实施下列经济行为提供的资产评估服务：</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（一）以非货币资产对外投资；</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（二）申请公开发行公司债券；</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（三）国有独资企业、国有独资公司、国有资本控股公司的改制、合并、兼并、分立、出售、清算、联营、股份经营，与外国公司、企业和其他经济组织或个人开办中外合资经营企业或者中外合作经营企业；</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（四）各类占有国有资产的企业和事业单位有下列行为：</w:t>
      </w:r>
    </w:p>
    <w:p>
      <w:pPr>
        <w:keepNext w:val="0"/>
        <w:keepLines w:val="0"/>
        <w:pageBreakBefore w:val="0"/>
        <w:widowControl w:val="0"/>
        <w:kinsoku/>
        <w:wordWrap/>
        <w:overflowPunct/>
        <w:topLinePunct w:val="0"/>
        <w:autoSpaceDE/>
        <w:autoSpaceDN/>
        <w:bidi w:val="0"/>
        <w:adjustRightInd/>
        <w:snapToGrid/>
        <w:spacing w:line="360" w:lineRule="exact"/>
        <w:ind w:firstLine="1100" w:firstLineChars="5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1．整体或部分改建为有限责任公司或者股份有限公司；</w:t>
      </w:r>
    </w:p>
    <w:p>
      <w:pPr>
        <w:keepNext w:val="0"/>
        <w:keepLines w:val="0"/>
        <w:pageBreakBefore w:val="0"/>
        <w:widowControl w:val="0"/>
        <w:kinsoku/>
        <w:wordWrap/>
        <w:overflowPunct/>
        <w:topLinePunct w:val="0"/>
        <w:autoSpaceDE/>
        <w:autoSpaceDN/>
        <w:bidi w:val="0"/>
        <w:adjustRightInd/>
        <w:snapToGrid/>
        <w:spacing w:line="360" w:lineRule="exact"/>
        <w:ind w:firstLine="1100" w:firstLineChars="5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2．合并、分立、清算；</w:t>
      </w:r>
    </w:p>
    <w:p>
      <w:pPr>
        <w:keepNext w:val="0"/>
        <w:keepLines w:val="0"/>
        <w:pageBreakBefore w:val="0"/>
        <w:widowControl w:val="0"/>
        <w:kinsoku/>
        <w:wordWrap/>
        <w:overflowPunct/>
        <w:topLinePunct w:val="0"/>
        <w:autoSpaceDE/>
        <w:autoSpaceDN/>
        <w:bidi w:val="0"/>
        <w:adjustRightInd/>
        <w:snapToGrid/>
        <w:spacing w:line="360" w:lineRule="exact"/>
        <w:ind w:firstLine="1100" w:firstLineChars="5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3．除上市公司以外的原股东股权比例变动；</w:t>
      </w:r>
    </w:p>
    <w:p>
      <w:pPr>
        <w:keepNext w:val="0"/>
        <w:keepLines w:val="0"/>
        <w:pageBreakBefore w:val="0"/>
        <w:widowControl w:val="0"/>
        <w:kinsoku/>
        <w:wordWrap/>
        <w:overflowPunct/>
        <w:topLinePunct w:val="0"/>
        <w:autoSpaceDE/>
        <w:autoSpaceDN/>
        <w:bidi w:val="0"/>
        <w:adjustRightInd/>
        <w:snapToGrid/>
        <w:spacing w:line="360" w:lineRule="exact"/>
        <w:ind w:firstLine="1100" w:firstLineChars="5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4．除上市公司以外的整体或者部分产权（股权）转让；</w:t>
      </w:r>
    </w:p>
    <w:p>
      <w:pPr>
        <w:keepNext w:val="0"/>
        <w:keepLines w:val="0"/>
        <w:pageBreakBefore w:val="0"/>
        <w:widowControl w:val="0"/>
        <w:kinsoku/>
        <w:wordWrap/>
        <w:overflowPunct/>
        <w:topLinePunct w:val="0"/>
        <w:autoSpaceDE/>
        <w:autoSpaceDN/>
        <w:bidi w:val="0"/>
        <w:adjustRightInd/>
        <w:snapToGrid/>
        <w:spacing w:line="360" w:lineRule="exact"/>
        <w:ind w:firstLine="1100" w:firstLineChars="5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5．资产转让、置换、拍卖；</w:t>
      </w:r>
    </w:p>
    <w:p>
      <w:pPr>
        <w:keepNext w:val="0"/>
        <w:keepLines w:val="0"/>
        <w:pageBreakBefore w:val="0"/>
        <w:widowControl w:val="0"/>
        <w:kinsoku/>
        <w:wordWrap/>
        <w:overflowPunct/>
        <w:topLinePunct w:val="0"/>
        <w:autoSpaceDE/>
        <w:autoSpaceDN/>
        <w:bidi w:val="0"/>
        <w:adjustRightInd/>
        <w:snapToGrid/>
        <w:spacing w:line="360" w:lineRule="exact"/>
        <w:ind w:firstLine="1100" w:firstLineChars="5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6．整体资产或者部分资产租赁给非国有单位；</w:t>
      </w:r>
    </w:p>
    <w:p>
      <w:pPr>
        <w:keepNext w:val="0"/>
        <w:keepLines w:val="0"/>
        <w:pageBreakBefore w:val="0"/>
        <w:widowControl w:val="0"/>
        <w:kinsoku/>
        <w:wordWrap/>
        <w:overflowPunct/>
        <w:topLinePunct w:val="0"/>
        <w:autoSpaceDE/>
        <w:autoSpaceDN/>
        <w:bidi w:val="0"/>
        <w:adjustRightInd/>
        <w:snapToGrid/>
        <w:spacing w:line="360" w:lineRule="exact"/>
        <w:ind w:firstLine="1100" w:firstLineChars="5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7．收购非国有资产；</w:t>
      </w:r>
    </w:p>
    <w:p>
      <w:pPr>
        <w:keepNext w:val="0"/>
        <w:keepLines w:val="0"/>
        <w:pageBreakBefore w:val="0"/>
        <w:widowControl w:val="0"/>
        <w:kinsoku/>
        <w:wordWrap/>
        <w:overflowPunct/>
        <w:topLinePunct w:val="0"/>
        <w:autoSpaceDE/>
        <w:autoSpaceDN/>
        <w:bidi w:val="0"/>
        <w:adjustRightInd/>
        <w:snapToGrid/>
        <w:spacing w:line="360" w:lineRule="exact"/>
        <w:ind w:firstLine="1100" w:firstLineChars="5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8．与非国有单位置换资产；</w:t>
      </w:r>
    </w:p>
    <w:p>
      <w:pPr>
        <w:keepNext w:val="0"/>
        <w:keepLines w:val="0"/>
        <w:pageBreakBefore w:val="0"/>
        <w:widowControl w:val="0"/>
        <w:kinsoku/>
        <w:wordWrap/>
        <w:overflowPunct/>
        <w:topLinePunct w:val="0"/>
        <w:autoSpaceDE/>
        <w:autoSpaceDN/>
        <w:bidi w:val="0"/>
        <w:adjustRightInd/>
        <w:snapToGrid/>
        <w:spacing w:line="360" w:lineRule="exact"/>
        <w:ind w:firstLine="1100" w:firstLineChars="5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9．接受非国有单位以实物资产偿还债务；</w:t>
      </w:r>
    </w:p>
    <w:p>
      <w:pPr>
        <w:keepNext w:val="0"/>
        <w:keepLines w:val="0"/>
        <w:pageBreakBefore w:val="0"/>
        <w:widowControl w:val="0"/>
        <w:kinsoku/>
        <w:wordWrap/>
        <w:overflowPunct/>
        <w:topLinePunct w:val="0"/>
        <w:autoSpaceDE/>
        <w:autoSpaceDN/>
        <w:bidi w:val="0"/>
        <w:adjustRightInd/>
        <w:snapToGrid/>
        <w:spacing w:line="360" w:lineRule="exact"/>
        <w:ind w:firstLine="1100" w:firstLineChars="5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10．确定涉讼资产价值；</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（五）法律法规和国家有关规定要求的其他需要实施评估的事项。</w:t>
      </w:r>
    </w:p>
    <w:p>
      <w:pP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pPr>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浙价服〔2005〕6号</w:t>
      </w:r>
    </w:p>
    <w:p>
      <w:pPr>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关于调整资产评估收费标准的通知</w:t>
      </w:r>
      <w:r>
        <w:rPr>
          <w:rFonts w:hint="eastAsia" w:ascii="宋体" w:hAnsi="宋体" w:eastAsia="宋体" w:cs="宋体"/>
          <w:b/>
          <w:color w:val="auto"/>
          <w:sz w:val="24"/>
          <w:szCs w:val="24"/>
          <w:highlight w:val="none"/>
          <w:lang w:val="en-US" w:eastAsia="zh-CN"/>
        </w:rPr>
        <w:fldChar w:fldCharType="begin"/>
      </w:r>
      <w:r>
        <w:rPr>
          <w:rFonts w:hint="eastAsia" w:ascii="宋体" w:hAnsi="宋体" w:eastAsia="宋体" w:cs="宋体"/>
          <w:b/>
          <w:color w:val="auto"/>
          <w:sz w:val="24"/>
          <w:szCs w:val="24"/>
          <w:highlight w:val="none"/>
          <w:lang w:val="en-US" w:eastAsia="zh-CN"/>
        </w:rPr>
        <w:instrText xml:space="preserve"> HYPERLINK "https://fzggw.jiaxing.gov.cn/art/2017/11/30/art_1229499202_58924053.html" \o "分享到微信" </w:instrText>
      </w:r>
      <w:r>
        <w:rPr>
          <w:rFonts w:hint="eastAsia" w:ascii="宋体" w:hAnsi="宋体" w:eastAsia="宋体" w:cs="宋体"/>
          <w:b/>
          <w:color w:val="auto"/>
          <w:sz w:val="24"/>
          <w:szCs w:val="24"/>
          <w:highlight w:val="none"/>
          <w:lang w:val="en-US" w:eastAsia="zh-CN"/>
        </w:rPr>
        <w:fldChar w:fldCharType="separate"/>
      </w:r>
      <w:r>
        <w:rPr>
          <w:rFonts w:hint="eastAsia" w:ascii="宋体" w:hAnsi="宋体" w:eastAsia="宋体" w:cs="宋体"/>
          <w:b/>
          <w:color w:val="auto"/>
          <w:sz w:val="24"/>
          <w:szCs w:val="24"/>
          <w:highlight w:val="none"/>
          <w:lang w:val="en-US" w:eastAsia="zh-CN"/>
        </w:rPr>
        <w:fldChar w:fldCharType="end"/>
      </w:r>
      <w:r>
        <w:rPr>
          <w:rFonts w:hint="eastAsia" w:ascii="宋体" w:hAnsi="宋体" w:eastAsia="宋体" w:cs="宋体"/>
          <w:b/>
          <w:color w:val="auto"/>
          <w:sz w:val="24"/>
          <w:szCs w:val="24"/>
          <w:highlight w:val="none"/>
          <w:lang w:val="en-US" w:eastAsia="zh-CN"/>
        </w:rPr>
        <w:fldChar w:fldCharType="begin"/>
      </w:r>
      <w:r>
        <w:rPr>
          <w:rFonts w:hint="eastAsia" w:ascii="宋体" w:hAnsi="宋体" w:eastAsia="宋体" w:cs="宋体"/>
          <w:b/>
          <w:color w:val="auto"/>
          <w:sz w:val="24"/>
          <w:szCs w:val="24"/>
          <w:highlight w:val="none"/>
          <w:lang w:val="en-US" w:eastAsia="zh-CN"/>
        </w:rPr>
        <w:instrText xml:space="preserve"> HYPERLINK "https://fzggw.jiaxing.gov.cn/art/2017/11/30/art_1229499202_58924053.html" \o "分享到新浪微博" </w:instrText>
      </w:r>
      <w:r>
        <w:rPr>
          <w:rFonts w:hint="eastAsia" w:ascii="宋体" w:hAnsi="宋体" w:eastAsia="宋体" w:cs="宋体"/>
          <w:b/>
          <w:color w:val="auto"/>
          <w:sz w:val="24"/>
          <w:szCs w:val="24"/>
          <w:highlight w:val="none"/>
          <w:lang w:val="en-US" w:eastAsia="zh-CN"/>
        </w:rPr>
        <w:fldChar w:fldCharType="separate"/>
      </w:r>
      <w:r>
        <w:rPr>
          <w:rFonts w:hint="eastAsia" w:ascii="宋体" w:hAnsi="宋体" w:eastAsia="宋体" w:cs="宋体"/>
          <w:b/>
          <w:color w:val="auto"/>
          <w:sz w:val="24"/>
          <w:szCs w:val="24"/>
          <w:highlight w:val="none"/>
          <w:lang w:val="en-US" w:eastAsia="zh-CN"/>
        </w:rPr>
        <w:fldChar w:fldCharType="end"/>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各市、县（市、区）物价局,各评估机构省级行业管理部门：</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40" w:firstLineChars="20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为规范资产评估收费行为，促进评估行业的健康发展，经研究，决定对资产评估收费标准作适当的调整，现就有关事项通知如下：</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40" w:firstLineChars="20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一、资产评估收费是指具有合法资产评估资格（含资产评估资格、房地产评估资格、土地评估资格）的评估机构接受委托开展评估业务所收取的费用。本通知所指的资产评估是对动产、不动产等有形资产价值量的评估。</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40" w:firstLineChars="20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二、资产评估收费为经营服务性收费，实行政府指导价管理，采用差额定率累进计费办法，即按资产评估金额的大小划分收费档次，按档累进计费。资产评估收费基准费率按附件1的标准执行。具体收费标准可根据评估工作的难易程度、工作量的大小或者对评估人员的技能水平、评估质量和时间等要求，由资产评估机构在附件1规定的基准收费标准的基础上，按照上浮不超过20%，下浮不限的原则，与委托人协商确定；对上市公司的资产评估的收费由双方协商确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40" w:firstLineChars="20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城镇基准地价的评估，其收费标准按附件2规定的基准标准为基础，根据评估工作的难易程度、工作量大小，按照上浮不超过20%，下浮不限的原则，与委托人协商确定。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40" w:firstLineChars="20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三、资产评估机构开展评估服务，应坚持自愿有偿、委托人付费的原则，必须按规定与委托方签订资产评估项目合同或协议书，明确评估项目、评估内容、评估质量、时间要求，以及评估收费金额和收费方式等。</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40" w:firstLineChars="20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四、资产评估收费实行明码标价制度，资产评估机构应在其经营场所、交费地点的醒目位置公布其收费项目、服务内容、计费方法、收费标准等事项。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40" w:firstLineChars="20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五、各级政府价格主管部门应加强对资产评估收费的监督管理，对违反本通知规定乱收费的，应按国家有关价格法律、法规查处。</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40" w:firstLineChars="20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六、本通知自2005年2月1日起执行，原我局下发的《浙江省资产评估收费管理办法》（浙价综〔2000〕84号）同时废止。</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40" w:firstLineChars="20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附件：1、浙江省资产评估服务收费标准</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40" w:firstLineChars="20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  </w:t>
      </w:r>
      <w:r>
        <w:rPr>
          <w:rFonts w:hint="eastAsia" w:ascii="宋体" w:hAnsi="宋体" w:eastAsia="宋体" w:cs="宋体"/>
          <w:i w:val="0"/>
          <w:iCs w:val="0"/>
          <w:caps w:val="0"/>
          <w:color w:val="auto"/>
          <w:spacing w:val="0"/>
          <w:sz w:val="22"/>
          <w:szCs w:val="22"/>
          <w:highlight w:val="none"/>
          <w:shd w:val="clear" w:fill="FFFFFF"/>
          <w:lang w:val="en-US" w:eastAsia="zh-CN"/>
        </w:rPr>
        <w:t xml:space="preserve"> </w:t>
      </w:r>
      <w:r>
        <w:rPr>
          <w:rFonts w:hint="eastAsia" w:ascii="宋体" w:hAnsi="宋体" w:eastAsia="宋体" w:cs="宋体"/>
          <w:i w:val="0"/>
          <w:iCs w:val="0"/>
          <w:caps w:val="0"/>
          <w:color w:val="auto"/>
          <w:spacing w:val="0"/>
          <w:sz w:val="22"/>
          <w:szCs w:val="22"/>
          <w:highlight w:val="none"/>
          <w:shd w:val="clear" w:fill="FFFFFF"/>
          <w:lang w:val="en-US"/>
        </w:rPr>
        <w:t>2、浙江省基准地价评估收费标准</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right"/>
        <w:textAlignment w:val="auto"/>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                                            浙江省物价局</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right"/>
        <w:textAlignment w:val="auto"/>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二○○五年一月七日</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outlineLvl w:val="9"/>
        <w:rPr>
          <w:rFonts w:hint="eastAsia" w:ascii="宋体" w:hAnsi="宋体" w:eastAsia="宋体" w:cs="宋体"/>
          <w:color w:val="auto"/>
          <w:highlight w:val="none"/>
        </w:rPr>
      </w:pP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附件1：</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浙江省资产评估服务收费标准</w:t>
      </w:r>
    </w:p>
    <w:tbl>
      <w:tblPr>
        <w:tblStyle w:val="34"/>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6"/>
        <w:gridCol w:w="4264"/>
        <w:gridCol w:w="262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9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序号</w:t>
            </w:r>
          </w:p>
        </w:tc>
        <w:tc>
          <w:tcPr>
            <w:tcW w:w="42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计费档次（万元）</w:t>
            </w:r>
          </w:p>
        </w:tc>
        <w:tc>
          <w:tcPr>
            <w:tcW w:w="26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费率(‰)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9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1</w:t>
            </w:r>
          </w:p>
        </w:tc>
        <w:tc>
          <w:tcPr>
            <w:tcW w:w="426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100以下（含100）</w:t>
            </w:r>
          </w:p>
        </w:tc>
        <w:tc>
          <w:tcPr>
            <w:tcW w:w="26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9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w:t>
            </w:r>
          </w:p>
        </w:tc>
        <w:tc>
          <w:tcPr>
            <w:tcW w:w="426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100-500（含500）</w:t>
            </w:r>
          </w:p>
        </w:tc>
        <w:tc>
          <w:tcPr>
            <w:tcW w:w="26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9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3</w:t>
            </w:r>
          </w:p>
        </w:tc>
        <w:tc>
          <w:tcPr>
            <w:tcW w:w="426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500-2000（含2000）</w:t>
            </w:r>
          </w:p>
        </w:tc>
        <w:tc>
          <w:tcPr>
            <w:tcW w:w="26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9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4</w:t>
            </w:r>
          </w:p>
        </w:tc>
        <w:tc>
          <w:tcPr>
            <w:tcW w:w="426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2000-5000（含5000）</w:t>
            </w:r>
          </w:p>
        </w:tc>
        <w:tc>
          <w:tcPr>
            <w:tcW w:w="26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9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5</w:t>
            </w:r>
          </w:p>
        </w:tc>
        <w:tc>
          <w:tcPr>
            <w:tcW w:w="426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5000以上</w:t>
            </w:r>
          </w:p>
        </w:tc>
        <w:tc>
          <w:tcPr>
            <w:tcW w:w="26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0.1</w:t>
            </w:r>
          </w:p>
        </w:tc>
      </w:tr>
    </w:tbl>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附件2：</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lang w:val="en-US"/>
        </w:rPr>
        <w:t>浙江省基准地价评估收费标准</w:t>
      </w:r>
    </w:p>
    <w:tbl>
      <w:tblPr>
        <w:tblStyle w:val="34"/>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6"/>
        <w:gridCol w:w="4264"/>
        <w:gridCol w:w="262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9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序号</w:t>
            </w:r>
          </w:p>
        </w:tc>
        <w:tc>
          <w:tcPr>
            <w:tcW w:w="42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城镇面积（平方公里）</w:t>
            </w:r>
          </w:p>
        </w:tc>
        <w:tc>
          <w:tcPr>
            <w:tcW w:w="26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计费额（万元）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9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1</w:t>
            </w:r>
          </w:p>
        </w:tc>
        <w:tc>
          <w:tcPr>
            <w:tcW w:w="426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5以下（含5）</w:t>
            </w:r>
          </w:p>
        </w:tc>
        <w:tc>
          <w:tcPr>
            <w:tcW w:w="26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9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w:t>
            </w:r>
          </w:p>
        </w:tc>
        <w:tc>
          <w:tcPr>
            <w:tcW w:w="426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5-20（含20）</w:t>
            </w:r>
          </w:p>
        </w:tc>
        <w:tc>
          <w:tcPr>
            <w:tcW w:w="26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9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3</w:t>
            </w:r>
          </w:p>
        </w:tc>
        <w:tc>
          <w:tcPr>
            <w:tcW w:w="426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20-50（含50）</w:t>
            </w:r>
          </w:p>
        </w:tc>
        <w:tc>
          <w:tcPr>
            <w:tcW w:w="26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9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4</w:t>
            </w:r>
          </w:p>
        </w:tc>
        <w:tc>
          <w:tcPr>
            <w:tcW w:w="426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50以上</w:t>
            </w:r>
          </w:p>
        </w:tc>
        <w:tc>
          <w:tcPr>
            <w:tcW w:w="26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30</w:t>
            </w:r>
          </w:p>
        </w:tc>
      </w:tr>
    </w:tbl>
    <w:p>
      <w:pPr>
        <w:pStyle w:val="2"/>
        <w:outlineLvl w:val="9"/>
        <w:rPr>
          <w:rFonts w:hint="eastAsia" w:ascii="宋体" w:hAnsi="宋体" w:eastAsia="宋体" w:cs="宋体"/>
          <w:color w:val="auto"/>
          <w:sz w:val="22"/>
          <w:szCs w:val="22"/>
          <w:highlight w:val="none"/>
        </w:rPr>
      </w:pPr>
    </w:p>
    <w:p>
      <w:pPr>
        <w:outlineLvl w:val="9"/>
        <w:rPr>
          <w:rFonts w:hint="eastAsia" w:ascii="宋体" w:hAnsi="宋体" w:eastAsia="宋体" w:cs="宋体"/>
          <w:b/>
          <w:color w:val="auto"/>
          <w:sz w:val="30"/>
          <w:highlight w:val="none"/>
        </w:rPr>
      </w:pPr>
    </w:p>
    <w:p>
      <w:pPr>
        <w:outlineLvl w:val="9"/>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pPr>
        <w:pStyle w:val="13"/>
        <w:ind w:left="602" w:hanging="602"/>
        <w:jc w:val="center"/>
        <w:outlineLvl w:val="0"/>
        <w:rPr>
          <w:rFonts w:hint="eastAsia" w:ascii="宋体" w:hAnsi="宋体" w:eastAsia="宋体" w:cs="宋体"/>
          <w:b/>
          <w:color w:val="auto"/>
          <w:sz w:val="30"/>
          <w:highlight w:val="none"/>
        </w:rPr>
      </w:pPr>
      <w:bookmarkStart w:id="225" w:name="_Toc25177"/>
      <w:r>
        <w:rPr>
          <w:rFonts w:hint="eastAsia" w:ascii="宋体" w:hAnsi="宋体" w:eastAsia="宋体" w:cs="宋体"/>
          <w:b/>
          <w:color w:val="auto"/>
          <w:sz w:val="30"/>
          <w:highlight w:val="none"/>
        </w:rPr>
        <w:t>第三部分 附件</w:t>
      </w:r>
      <w:bookmarkEnd w:id="219"/>
      <w:bookmarkEnd w:id="220"/>
      <w:bookmarkEnd w:id="221"/>
      <w:bookmarkEnd w:id="222"/>
      <w:bookmarkEnd w:id="223"/>
      <w:bookmarkEnd w:id="224"/>
      <w:bookmarkEnd w:id="225"/>
    </w:p>
    <w:p>
      <w:pPr>
        <w:spacing w:line="460" w:lineRule="exact"/>
        <w:ind w:firstLine="539" w:firstLineChars="245"/>
        <w:rPr>
          <w:rFonts w:hint="eastAsia" w:ascii="宋体" w:hAnsi="宋体" w:eastAsia="宋体" w:cs="宋体"/>
          <w:color w:val="auto"/>
          <w:sz w:val="22"/>
          <w:szCs w:val="22"/>
          <w:highlight w:val="none"/>
        </w:rPr>
      </w:pPr>
    </w:p>
    <w:p>
      <w:pPr>
        <w:widowControl/>
        <w:spacing w:line="360" w:lineRule="auto"/>
        <w:jc w:val="center"/>
        <w:outlineLvl w:val="9"/>
        <w:rPr>
          <w:rFonts w:hint="eastAsia" w:ascii="宋体" w:hAnsi="宋体" w:eastAsia="宋体" w:cs="宋体"/>
          <w:b/>
          <w:bCs/>
          <w:color w:val="auto"/>
          <w:sz w:val="22"/>
          <w:szCs w:val="22"/>
          <w:highlight w:val="none"/>
        </w:rPr>
      </w:pPr>
      <w:bookmarkStart w:id="226" w:name="_Toc895"/>
      <w:bookmarkStart w:id="227" w:name="_Toc9963"/>
      <w:r>
        <w:rPr>
          <w:rFonts w:hint="eastAsia" w:ascii="宋体" w:hAnsi="宋体" w:eastAsia="宋体" w:cs="宋体"/>
          <w:b/>
          <w:bCs/>
          <w:color w:val="auto"/>
          <w:sz w:val="24"/>
          <w:highlight w:val="none"/>
        </w:rPr>
        <w:t>一、报价文件部分格式</w:t>
      </w:r>
      <w:bookmarkEnd w:id="226"/>
      <w:bookmarkEnd w:id="227"/>
    </w:p>
    <w:p>
      <w:pPr>
        <w:widowControl/>
        <w:spacing w:line="360" w:lineRule="auto"/>
        <w:jc w:val="left"/>
        <w:outlineLvl w:val="9"/>
        <w:rPr>
          <w:rFonts w:hint="eastAsia" w:ascii="宋体" w:hAnsi="宋体" w:eastAsia="宋体" w:cs="宋体"/>
          <w:b/>
          <w:bCs/>
          <w:color w:val="auto"/>
          <w:sz w:val="22"/>
          <w:szCs w:val="22"/>
          <w:highlight w:val="none"/>
        </w:rPr>
      </w:pPr>
    </w:p>
    <w:p>
      <w:pPr>
        <w:widowControl/>
        <w:spacing w:line="360" w:lineRule="auto"/>
        <w:jc w:val="left"/>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pict>
          <v:rect id="文本框 9" o:spid="_x0000_s2058" o:spt="1" style="position:absolute;left:0pt;margin-left:30.7pt;margin-top:79.15pt;height:263.35pt;width:399.75pt;mso-wrap-distance-bottom:0pt;mso-wrap-distance-top:0pt;z-index:251660288;mso-width-relative:page;mso-height-relative:page;" coordsize="21600,21600">
            <v:path/>
            <v:fill focussize="0,0"/>
            <v:stroke/>
            <v:imagedata o:title=""/>
            <o:lock v:ext="edit"/>
            <v:textbox>
              <w:txbxContent>
                <w:p>
                  <w:pPr>
                    <w:snapToGrid w:val="0"/>
                    <w:spacing w:beforeLines="50" w:after="50"/>
                    <w:ind w:left="-850" w:leftChars="-405"/>
                    <w:rPr>
                      <w:rFonts w:ascii="宋体"/>
                      <w:sz w:val="24"/>
                      <w:szCs w:val="20"/>
                    </w:rPr>
                  </w:pPr>
                </w:p>
                <w:p>
                  <w:pPr>
                    <w:snapToGrid w:val="0"/>
                    <w:spacing w:beforeLines="50" w:after="50"/>
                    <w:jc w:val="center"/>
                    <w:rPr>
                      <w:rFonts w:ascii="宋体"/>
                      <w:bCs/>
                      <w:sz w:val="24"/>
                      <w:szCs w:val="20"/>
                    </w:rPr>
                  </w:pPr>
                  <w:r>
                    <w:rPr>
                      <w:rFonts w:hint="eastAsia" w:ascii="宋体" w:hAnsi="宋体"/>
                      <w:bCs/>
                      <w:sz w:val="24"/>
                      <w:szCs w:val="20"/>
                    </w:rPr>
                    <w:t>报价文件</w:t>
                  </w:r>
                </w:p>
                <w:p>
                  <w:pPr>
                    <w:snapToGrid w:val="0"/>
                    <w:spacing w:beforeLines="50" w:after="50"/>
                    <w:ind w:firstLine="1068" w:firstLineChars="445"/>
                    <w:rPr>
                      <w:rFonts w:ascii="宋体"/>
                      <w:bCs/>
                      <w:sz w:val="24"/>
                    </w:rPr>
                  </w:pPr>
                  <w:r>
                    <w:rPr>
                      <w:rFonts w:hint="eastAsia" w:ascii="宋体" w:hAnsi="宋体"/>
                      <w:bCs/>
                      <w:sz w:val="24"/>
                    </w:rPr>
                    <w:t>项目名称：</w:t>
                  </w:r>
                  <w:r>
                    <w:rPr>
                      <w:rFonts w:hint="eastAsia" w:ascii="宋体" w:hAnsi="宋体" w:cs="宋体"/>
                      <w:sz w:val="24"/>
                    </w:rPr>
                    <w:t>市属国有企业评估服务供应商库采购（两年）</w:t>
                  </w:r>
                </w:p>
                <w:p>
                  <w:pPr>
                    <w:snapToGrid w:val="0"/>
                    <w:spacing w:beforeLines="50" w:after="50"/>
                    <w:ind w:firstLine="1068" w:firstLineChars="445"/>
                    <w:rPr>
                      <w:rFonts w:ascii="宋体" w:hAnsi="宋体" w:cs="宋体"/>
                      <w:sz w:val="24"/>
                    </w:rPr>
                  </w:pPr>
                  <w:r>
                    <w:rPr>
                      <w:rFonts w:hint="eastAsia" w:ascii="宋体" w:hAnsi="宋体"/>
                      <w:bCs/>
                      <w:sz w:val="24"/>
                    </w:rPr>
                    <w:t>项目编号：</w:t>
                  </w:r>
                  <w:r>
                    <w:rPr>
                      <w:rFonts w:hint="eastAsia" w:ascii="宋体" w:hAnsi="宋体" w:cs="宋体"/>
                      <w:sz w:val="24"/>
                    </w:rPr>
                    <w:t>WGSS-GYJT-X-2024041</w:t>
                  </w:r>
                </w:p>
                <w:p>
                  <w:pPr>
                    <w:snapToGrid w:val="0"/>
                    <w:spacing w:beforeLines="50" w:after="50"/>
                    <w:ind w:firstLine="1068" w:firstLineChars="445"/>
                    <w:rPr>
                      <w:rFonts w:ascii="宋体" w:hAnsi="宋体"/>
                      <w:bCs/>
                      <w:sz w:val="24"/>
                    </w:rPr>
                  </w:pPr>
                  <w:r>
                    <w:rPr>
                      <w:rFonts w:hint="eastAsia" w:ascii="宋体" w:hAnsi="宋体"/>
                      <w:bCs/>
                      <w:sz w:val="24"/>
                    </w:rPr>
                    <w:t>标项：</w:t>
                  </w:r>
                </w:p>
                <w:p>
                  <w:pPr>
                    <w:snapToGrid w:val="0"/>
                    <w:spacing w:beforeLines="50" w:after="50"/>
                    <w:ind w:firstLine="1068" w:firstLineChars="445"/>
                    <w:rPr>
                      <w:rFonts w:ascii="宋体" w:hAnsi="宋体"/>
                      <w:bCs/>
                      <w:sz w:val="24"/>
                    </w:rPr>
                  </w:pPr>
                  <w:r>
                    <w:rPr>
                      <w:rFonts w:hint="eastAsia" w:ascii="宋体" w:hAnsi="宋体"/>
                      <w:bCs/>
                      <w:sz w:val="24"/>
                    </w:rPr>
                    <w:t>投标供应商名称</w:t>
                  </w:r>
                  <w:r>
                    <w:rPr>
                      <w:rFonts w:hint="eastAsia" w:ascii="宋体" w:hAnsi="宋体" w:cs="宋体"/>
                      <w:sz w:val="24"/>
                    </w:rPr>
                    <w:t>（盖章）</w:t>
                  </w:r>
                  <w:r>
                    <w:rPr>
                      <w:rFonts w:hint="eastAsia" w:ascii="宋体" w:hAnsi="宋体"/>
                      <w:bCs/>
                      <w:sz w:val="24"/>
                    </w:rPr>
                    <w:t>：</w:t>
                  </w:r>
                </w:p>
                <w:p>
                  <w:pPr>
                    <w:snapToGrid w:val="0"/>
                    <w:spacing w:beforeLines="50" w:after="50"/>
                    <w:ind w:firstLine="1068" w:firstLineChars="445"/>
                    <w:rPr>
                      <w:rFonts w:ascii="宋体"/>
                      <w:bCs/>
                      <w:sz w:val="24"/>
                    </w:rPr>
                  </w:pPr>
                  <w:r>
                    <w:rPr>
                      <w:rFonts w:hint="eastAsia" w:ascii="宋体" w:hAnsi="宋体"/>
                      <w:bCs/>
                      <w:sz w:val="24"/>
                    </w:rPr>
                    <w:t>投标供应商地址：</w:t>
                  </w:r>
                </w:p>
                <w:p>
                  <w:pPr>
                    <w:snapToGrid w:val="0"/>
                    <w:spacing w:beforeLines="50" w:after="50"/>
                    <w:ind w:firstLine="1068" w:firstLineChars="445"/>
                    <w:rPr>
                      <w:rFonts w:ascii="宋体"/>
                      <w:bCs/>
                      <w:sz w:val="24"/>
                    </w:rPr>
                  </w:pPr>
                </w:p>
                <w:p>
                  <w:pPr>
                    <w:snapToGrid w:val="0"/>
                    <w:spacing w:beforeLines="50" w:after="50"/>
                    <w:ind w:firstLine="4080" w:firstLineChars="1700"/>
                    <w:rPr>
                      <w:rFonts w:ascii="宋体"/>
                      <w:sz w:val="24"/>
                      <w:szCs w:val="20"/>
                    </w:rPr>
                  </w:pPr>
                </w:p>
                <w:p>
                  <w:pPr>
                    <w:jc w:val="center"/>
                  </w:pPr>
                  <w:r>
                    <w:rPr>
                      <w:rFonts w:hint="eastAsia"/>
                      <w:sz w:val="24"/>
                    </w:rPr>
                    <w:t>年   月   日</w:t>
                  </w:r>
                </w:p>
              </w:txbxContent>
            </v:textbox>
            <w10:wrap type="topAndBottom"/>
          </v:rect>
        </w:pict>
      </w:r>
      <w:r>
        <w:rPr>
          <w:rFonts w:hint="eastAsia" w:ascii="宋体" w:hAnsi="宋体" w:eastAsia="宋体" w:cs="宋体"/>
          <w:b/>
          <w:bCs/>
          <w:color w:val="auto"/>
          <w:sz w:val="22"/>
          <w:szCs w:val="22"/>
          <w:highlight w:val="none"/>
        </w:rPr>
        <w:t>报价文件封面格式：</w:t>
      </w:r>
    </w:p>
    <w:p>
      <w:pPr>
        <w:widowControl/>
        <w:spacing w:line="360" w:lineRule="auto"/>
        <w:jc w:val="left"/>
        <w:outlineLvl w:val="9"/>
        <w:rPr>
          <w:rFonts w:hint="eastAsia" w:ascii="宋体" w:hAnsi="宋体" w:eastAsia="宋体" w:cs="宋体"/>
          <w:b/>
          <w:bCs/>
          <w:color w:val="auto"/>
          <w:sz w:val="22"/>
          <w:szCs w:val="22"/>
          <w:highlight w:val="none"/>
        </w:rPr>
      </w:pPr>
    </w:p>
    <w:p>
      <w:pPr>
        <w:widowControl/>
        <w:spacing w:line="360" w:lineRule="auto"/>
        <w:jc w:val="left"/>
        <w:outlineLvl w:val="9"/>
        <w:rPr>
          <w:rFonts w:hint="eastAsia" w:ascii="宋体" w:hAnsi="宋体" w:eastAsia="宋体" w:cs="宋体"/>
          <w:b/>
          <w:bCs/>
          <w:color w:val="auto"/>
          <w:sz w:val="22"/>
          <w:szCs w:val="22"/>
          <w:highlight w:val="none"/>
        </w:rPr>
      </w:pPr>
    </w:p>
    <w:p>
      <w:pPr>
        <w:pStyle w:val="2"/>
        <w:ind w:firstLine="0" w:firstLineChars="0"/>
        <w:outlineLvl w:val="9"/>
        <w:rPr>
          <w:rFonts w:hint="eastAsia" w:ascii="宋体" w:hAnsi="宋体" w:eastAsia="宋体" w:cs="宋体"/>
          <w:color w:val="auto"/>
          <w:sz w:val="22"/>
          <w:szCs w:val="22"/>
          <w:highlight w:val="none"/>
        </w:rPr>
      </w:pPr>
    </w:p>
    <w:p>
      <w:pPr>
        <w:pStyle w:val="2"/>
        <w:ind w:firstLine="220"/>
        <w:outlineLvl w:val="9"/>
        <w:rPr>
          <w:rFonts w:hint="eastAsia" w:ascii="宋体" w:hAnsi="宋体" w:eastAsia="宋体" w:cs="宋体"/>
          <w:color w:val="auto"/>
          <w:sz w:val="22"/>
          <w:szCs w:val="22"/>
          <w:highlight w:val="none"/>
        </w:rPr>
      </w:pPr>
    </w:p>
    <w:p>
      <w:pPr>
        <w:pStyle w:val="2"/>
        <w:ind w:firstLine="220"/>
        <w:outlineLvl w:val="9"/>
        <w:rPr>
          <w:rFonts w:hint="eastAsia" w:ascii="宋体" w:hAnsi="宋体" w:eastAsia="宋体" w:cs="宋体"/>
          <w:color w:val="auto"/>
          <w:sz w:val="22"/>
          <w:szCs w:val="22"/>
          <w:highlight w:val="none"/>
        </w:rPr>
      </w:pPr>
    </w:p>
    <w:p>
      <w:pPr>
        <w:pStyle w:val="2"/>
        <w:ind w:firstLine="220"/>
        <w:outlineLvl w:val="9"/>
        <w:rPr>
          <w:rFonts w:hint="eastAsia" w:ascii="宋体" w:hAnsi="宋体" w:eastAsia="宋体" w:cs="宋体"/>
          <w:color w:val="auto"/>
          <w:sz w:val="22"/>
          <w:szCs w:val="22"/>
          <w:highlight w:val="none"/>
        </w:rPr>
      </w:pPr>
    </w:p>
    <w:p>
      <w:pPr>
        <w:pStyle w:val="2"/>
        <w:ind w:firstLine="220"/>
        <w:outlineLvl w:val="9"/>
        <w:rPr>
          <w:rFonts w:hint="eastAsia" w:ascii="宋体" w:hAnsi="宋体" w:eastAsia="宋体" w:cs="宋体"/>
          <w:color w:val="auto"/>
          <w:sz w:val="22"/>
          <w:szCs w:val="22"/>
          <w:highlight w:val="none"/>
        </w:rPr>
      </w:pPr>
    </w:p>
    <w:p>
      <w:pPr>
        <w:pStyle w:val="2"/>
        <w:ind w:firstLine="0" w:firstLineChars="0"/>
        <w:outlineLvl w:val="9"/>
        <w:rPr>
          <w:rFonts w:hint="eastAsia" w:ascii="宋体" w:hAnsi="宋体" w:eastAsia="宋体" w:cs="宋体"/>
          <w:b/>
          <w:bCs/>
          <w:color w:val="auto"/>
          <w:highlight w:val="none"/>
        </w:rPr>
      </w:pPr>
      <w:r>
        <w:rPr>
          <w:rFonts w:hint="eastAsia" w:ascii="宋体" w:hAnsi="宋体" w:eastAsia="宋体" w:cs="宋体"/>
          <w:b/>
          <w:bCs/>
          <w:color w:val="auto"/>
          <w:sz w:val="22"/>
          <w:szCs w:val="22"/>
          <w:highlight w:val="none"/>
        </w:rPr>
        <w:br w:type="page"/>
      </w:r>
      <w:r>
        <w:rPr>
          <w:rFonts w:hint="eastAsia" w:ascii="宋体" w:hAnsi="宋体" w:eastAsia="宋体" w:cs="宋体"/>
          <w:b/>
          <w:bCs/>
          <w:color w:val="auto"/>
          <w:highlight w:val="none"/>
        </w:rPr>
        <w:t xml:space="preserve">附件1  </w:t>
      </w:r>
    </w:p>
    <w:p>
      <w:pPr>
        <w:pStyle w:val="2"/>
        <w:ind w:firstLine="0" w:firstLineChars="0"/>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开标一览表（标项：  ）</w:t>
      </w:r>
    </w:p>
    <w:p>
      <w:pPr>
        <w:spacing w:line="380" w:lineRule="exact"/>
        <w:jc w:val="center"/>
        <w:outlineLvl w:val="9"/>
        <w:rPr>
          <w:rFonts w:hint="eastAsia" w:ascii="宋体" w:hAnsi="宋体" w:eastAsia="宋体" w:cs="宋体"/>
          <w:b/>
          <w:bCs/>
          <w:color w:val="auto"/>
          <w:sz w:val="22"/>
          <w:szCs w:val="22"/>
          <w:highlight w:val="none"/>
        </w:rPr>
      </w:pP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项目名称：市属国有企业评估服务供应商库采购（两年）   项目编号：WGSS-GYJT-X-2024041</w:t>
      </w:r>
    </w:p>
    <w:p>
      <w:pPr>
        <w:spacing w:line="360" w:lineRule="auto"/>
        <w:jc w:val="righ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单位：人民币（元）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2"/>
        <w:gridCol w:w="3367"/>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3622" w:type="dxa"/>
            <w:vAlign w:val="center"/>
          </w:tcPr>
          <w:p>
            <w:pPr>
              <w:pStyle w:val="17"/>
              <w:spacing w:line="400" w:lineRule="atLeas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报价项目</w:t>
            </w:r>
          </w:p>
        </w:tc>
        <w:tc>
          <w:tcPr>
            <w:tcW w:w="3367" w:type="dxa"/>
            <w:vAlign w:val="center"/>
          </w:tcPr>
          <w:p>
            <w:pPr>
              <w:pStyle w:val="17"/>
              <w:spacing w:line="400" w:lineRule="atLeas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pacing w:val="40"/>
                <w:sz w:val="22"/>
                <w:szCs w:val="22"/>
                <w:highlight w:val="none"/>
              </w:rPr>
              <w:t>投标报价折扣率</w:t>
            </w:r>
          </w:p>
        </w:tc>
        <w:tc>
          <w:tcPr>
            <w:tcW w:w="2582" w:type="dxa"/>
            <w:vAlign w:val="center"/>
          </w:tcPr>
          <w:p>
            <w:pPr>
              <w:pStyle w:val="17"/>
              <w:spacing w:line="400" w:lineRule="atLeast"/>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trPr>
        <w:tc>
          <w:tcPr>
            <w:tcW w:w="3622" w:type="dxa"/>
            <w:vAlign w:val="center"/>
          </w:tcPr>
          <w:p>
            <w:pPr>
              <w:autoSpaceDE w:val="0"/>
              <w:autoSpaceDN w:val="0"/>
              <w:adjustRightInd w:val="0"/>
              <w:spacing w:line="300" w:lineRule="auto"/>
              <w:jc w:val="center"/>
              <w:outlineLvl w:val="9"/>
              <w:rPr>
                <w:rFonts w:hint="eastAsia" w:ascii="宋体" w:hAnsi="宋体" w:eastAsia="宋体" w:cs="宋体"/>
                <w:color w:val="auto"/>
                <w:sz w:val="22"/>
                <w:szCs w:val="22"/>
                <w:highlight w:val="none"/>
              </w:rPr>
            </w:pPr>
          </w:p>
        </w:tc>
        <w:tc>
          <w:tcPr>
            <w:tcW w:w="3367" w:type="dxa"/>
            <w:vAlign w:val="center"/>
          </w:tcPr>
          <w:p>
            <w:pPr>
              <w:pStyle w:val="31"/>
              <w:spacing w:line="400" w:lineRule="atLeas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p>
            <w:pPr>
              <w:pStyle w:val="31"/>
              <w:spacing w:line="400" w:lineRule="atLeas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r>
              <w:rPr>
                <w:rFonts w:hint="eastAsia" w:ascii="宋体" w:hAnsi="宋体" w:eastAsia="宋体" w:cs="宋体"/>
                <w:color w:val="auto"/>
                <w:sz w:val="22"/>
                <w:highlight w:val="none"/>
                <w:u w:val="single"/>
              </w:rPr>
              <w:t xml:space="preserve">      % </w:t>
            </w:r>
          </w:p>
        </w:tc>
        <w:tc>
          <w:tcPr>
            <w:tcW w:w="2582" w:type="dxa"/>
            <w:vAlign w:val="center"/>
          </w:tcPr>
          <w:p>
            <w:pPr>
              <w:pStyle w:val="31"/>
              <w:spacing w:line="400" w:lineRule="atLeast"/>
              <w:outlineLvl w:val="9"/>
              <w:rPr>
                <w:rFonts w:hint="eastAsia" w:ascii="宋体" w:hAnsi="宋体" w:eastAsia="宋体" w:cs="宋体"/>
                <w:color w:val="auto"/>
                <w:sz w:val="22"/>
                <w:highlight w:val="none"/>
              </w:rPr>
            </w:pPr>
          </w:p>
        </w:tc>
      </w:tr>
    </w:tbl>
    <w:p>
      <w:pPr>
        <w:tabs>
          <w:tab w:val="left" w:pos="-180"/>
          <w:tab w:val="left" w:pos="180"/>
          <w:tab w:val="left" w:pos="360"/>
        </w:tabs>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p>
      <w:pPr>
        <w:numPr>
          <w:ilvl w:val="0"/>
          <w:numId w:val="0"/>
        </w:numPr>
        <w:spacing w:line="360" w:lineRule="auto"/>
        <w:ind w:firstLine="442" w:firstLineChars="200"/>
        <w:outlineLvl w:val="9"/>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1、</w:t>
      </w:r>
      <w:r>
        <w:rPr>
          <w:rFonts w:hint="eastAsia" w:ascii="宋体" w:hAnsi="宋体" w:eastAsia="宋体" w:cs="宋体"/>
          <w:b/>
          <w:color w:val="auto"/>
          <w:sz w:val="22"/>
          <w:szCs w:val="22"/>
          <w:highlight w:val="none"/>
        </w:rPr>
        <w:t>投标报价是指投标供应商在正确地完全履行合同义务后采购人应支付给投标供应商的所有价款，包括工作人员工资福利、各种社会保险、食宿与交通、办公费、利润、税金、评估成果打印复印费用、采购代理服务费、技术服务费等及其他不可预见费用，投标供应商按采购文件要求提供的所有服务均应包含在投标报价中，投标供应商对本项目的风险和责任应充分理解，对所有风险因素的报价都应包含在报价中。</w:t>
      </w:r>
    </w:p>
    <w:p>
      <w:pPr>
        <w:numPr>
          <w:ilvl w:val="0"/>
          <w:numId w:val="0"/>
        </w:numPr>
        <w:spacing w:line="360" w:lineRule="auto"/>
        <w:ind w:firstLine="442" w:firstLineChars="200"/>
        <w:outlineLvl w:val="9"/>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▲2、投标报价按浙江省物价局</w:t>
      </w:r>
      <w:r>
        <w:rPr>
          <w:rFonts w:hint="eastAsia" w:ascii="宋体" w:hAnsi="宋体" w:eastAsia="宋体" w:cs="宋体"/>
          <w:b/>
          <w:color w:val="auto"/>
          <w:sz w:val="22"/>
          <w:szCs w:val="22"/>
          <w:highlight w:val="none"/>
          <w:u w:val="single"/>
          <w:lang w:eastAsia="zh-CN"/>
        </w:rPr>
        <w:t>浙价服【2011】90号</w:t>
      </w:r>
      <w:r>
        <w:rPr>
          <w:rFonts w:hint="eastAsia" w:ascii="宋体" w:hAnsi="宋体" w:eastAsia="宋体" w:cs="宋体"/>
          <w:b/>
          <w:color w:val="auto"/>
          <w:sz w:val="22"/>
          <w:szCs w:val="22"/>
          <w:highlight w:val="none"/>
          <w:u w:val="single"/>
        </w:rPr>
        <w:t>文件的收费基准报折扣率，且不低于经营成本。</w:t>
      </w:r>
    </w:p>
    <w:p>
      <w:pPr>
        <w:spacing w:line="360" w:lineRule="auto"/>
        <w:ind w:firstLine="442" w:firstLineChars="200"/>
        <w:outlineLvl w:val="9"/>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 xml:space="preserve">▲3、具体承接项目时，按《浙江省物价局关于制定资产评估收费标准的通知》（浙价服【2011】90号）文件规定的收费标准，由委托双方协商，不得小于投标报价时的折扣率。 </w:t>
      </w:r>
    </w:p>
    <w:p>
      <w:pPr>
        <w:spacing w:line="360" w:lineRule="auto"/>
        <w:ind w:firstLine="442" w:firstLineChars="200"/>
        <w:outlineLvl w:val="9"/>
        <w:rPr>
          <w:rFonts w:hint="eastAsia" w:ascii="宋体" w:hAnsi="宋体" w:eastAsia="宋体" w:cs="宋体"/>
          <w:b/>
          <w:bCs/>
          <w:color w:val="auto"/>
          <w:sz w:val="22"/>
          <w:szCs w:val="22"/>
          <w:highlight w:val="none"/>
          <w:u w:val="single"/>
          <w:lang w:val="zh-CN"/>
        </w:rPr>
      </w:pPr>
      <w:r>
        <w:rPr>
          <w:rFonts w:hint="eastAsia" w:ascii="宋体" w:hAnsi="宋体" w:eastAsia="宋体" w:cs="宋体"/>
          <w:b/>
          <w:bCs/>
          <w:color w:val="auto"/>
          <w:sz w:val="22"/>
          <w:szCs w:val="22"/>
          <w:highlight w:val="none"/>
          <w:u w:val="single"/>
        </w:rPr>
        <w:t>▲4、</w:t>
      </w:r>
      <w:r>
        <w:rPr>
          <w:rFonts w:hint="eastAsia" w:ascii="宋体" w:hAnsi="宋体" w:eastAsia="宋体" w:cs="宋体"/>
          <w:b/>
          <w:bCs/>
          <w:color w:val="auto"/>
          <w:sz w:val="22"/>
          <w:szCs w:val="22"/>
          <w:highlight w:val="none"/>
          <w:u w:val="single"/>
          <w:lang w:val="zh-CN"/>
        </w:rPr>
        <w:t>不提供此表格将被视为没有实质性响应采购文件,其投标文件将被拒绝。</w:t>
      </w:r>
    </w:p>
    <w:p>
      <w:pPr>
        <w:spacing w:line="360" w:lineRule="auto"/>
        <w:ind w:firstLine="442" w:firstLineChars="200"/>
        <w:outlineLvl w:val="9"/>
        <w:rPr>
          <w:rFonts w:hint="eastAsia" w:ascii="宋体" w:hAnsi="宋体" w:eastAsia="宋体" w:cs="宋体"/>
          <w:b/>
          <w:bCs/>
          <w:color w:val="auto"/>
          <w:sz w:val="22"/>
          <w:szCs w:val="22"/>
          <w:highlight w:val="none"/>
          <w:u w:val="single"/>
          <w:lang w:val="zh-CN"/>
        </w:rPr>
      </w:pPr>
      <w:r>
        <w:rPr>
          <w:rFonts w:hint="eastAsia" w:ascii="宋体" w:hAnsi="宋体" w:eastAsia="宋体" w:cs="宋体"/>
          <w:b/>
          <w:bCs/>
          <w:color w:val="auto"/>
          <w:sz w:val="22"/>
          <w:szCs w:val="22"/>
          <w:highlight w:val="none"/>
          <w:u w:val="single"/>
          <w:lang w:val="zh-CN"/>
        </w:rPr>
        <w:t>▲</w:t>
      </w:r>
      <w:r>
        <w:rPr>
          <w:rFonts w:hint="eastAsia" w:ascii="宋体" w:hAnsi="宋体" w:eastAsia="宋体" w:cs="宋体"/>
          <w:b/>
          <w:bCs/>
          <w:color w:val="auto"/>
          <w:sz w:val="22"/>
          <w:szCs w:val="22"/>
          <w:highlight w:val="none"/>
          <w:u w:val="single"/>
        </w:rPr>
        <w:t>5、例</w:t>
      </w:r>
      <w:r>
        <w:rPr>
          <w:rFonts w:hint="eastAsia" w:ascii="宋体" w:hAnsi="宋体" w:eastAsia="宋体" w:cs="宋体"/>
          <w:b/>
          <w:bCs/>
          <w:color w:val="auto"/>
          <w:sz w:val="22"/>
          <w:szCs w:val="22"/>
          <w:highlight w:val="none"/>
          <w:u w:val="single"/>
          <w:lang w:val="zh-CN"/>
        </w:rPr>
        <w:t>如</w:t>
      </w:r>
      <w:r>
        <w:rPr>
          <w:rFonts w:hint="eastAsia" w:ascii="宋体" w:hAnsi="宋体" w:eastAsia="宋体" w:cs="宋体"/>
          <w:b/>
          <w:bCs/>
          <w:color w:val="auto"/>
          <w:sz w:val="22"/>
          <w:szCs w:val="22"/>
          <w:highlight w:val="none"/>
          <w:u w:val="single"/>
        </w:rPr>
        <w:t>折扣率</w:t>
      </w:r>
      <w:r>
        <w:rPr>
          <w:rFonts w:hint="eastAsia" w:ascii="宋体" w:hAnsi="宋体" w:cs="宋体"/>
          <w:b/>
          <w:bCs/>
          <w:color w:val="auto"/>
          <w:sz w:val="22"/>
          <w:szCs w:val="22"/>
          <w:highlight w:val="none"/>
          <w:u w:val="single"/>
          <w:lang w:val="en-US" w:eastAsia="zh-CN"/>
        </w:rPr>
        <w:t xml:space="preserve">  </w:t>
      </w:r>
      <w:r>
        <w:rPr>
          <w:rFonts w:hint="eastAsia" w:ascii="宋体" w:hAnsi="宋体" w:eastAsia="宋体" w:cs="宋体"/>
          <w:b/>
          <w:bCs/>
          <w:color w:val="auto"/>
          <w:sz w:val="22"/>
          <w:szCs w:val="22"/>
          <w:highlight w:val="none"/>
          <w:u w:val="single"/>
          <w:lang w:val="zh-CN"/>
        </w:rPr>
        <w:t>%号前有小数时，请保留%前两个位数（如</w:t>
      </w:r>
      <w:r>
        <w:rPr>
          <w:rFonts w:hint="eastAsia" w:ascii="宋体" w:hAnsi="宋体" w:eastAsia="宋体" w:cs="宋体"/>
          <w:b/>
          <w:bCs/>
          <w:color w:val="auto"/>
          <w:sz w:val="22"/>
          <w:szCs w:val="22"/>
          <w:highlight w:val="none"/>
          <w:u w:val="single"/>
        </w:rPr>
        <w:t>80</w:t>
      </w:r>
      <w:r>
        <w:rPr>
          <w:rFonts w:hint="eastAsia" w:ascii="宋体" w:hAnsi="宋体" w:eastAsia="宋体" w:cs="宋体"/>
          <w:b/>
          <w:bCs/>
          <w:color w:val="auto"/>
          <w:sz w:val="22"/>
          <w:szCs w:val="22"/>
          <w:highlight w:val="none"/>
          <w:u w:val="single"/>
          <w:lang w:val="zh-CN"/>
        </w:rPr>
        <w:t>.55%），折扣率不得为负数，</w:t>
      </w:r>
      <w:r>
        <w:rPr>
          <w:rFonts w:hint="eastAsia" w:ascii="宋体" w:hAnsi="宋体" w:eastAsia="宋体" w:cs="宋体"/>
          <w:b/>
          <w:bCs/>
          <w:color w:val="auto"/>
          <w:sz w:val="22"/>
          <w:szCs w:val="22"/>
          <w:highlight w:val="none"/>
          <w:u w:val="single"/>
          <w:lang w:val="en-US" w:eastAsia="zh-CN"/>
        </w:rPr>
        <w:t>最高限价100%</w:t>
      </w:r>
      <w:r>
        <w:rPr>
          <w:rFonts w:hint="eastAsia" w:ascii="宋体" w:hAnsi="宋体" w:eastAsia="宋体" w:cs="宋体"/>
          <w:b/>
          <w:bCs/>
          <w:color w:val="auto"/>
          <w:sz w:val="22"/>
          <w:szCs w:val="22"/>
          <w:highlight w:val="none"/>
          <w:u w:val="single"/>
          <w:lang w:val="zh-CN"/>
        </w:rPr>
        <w:t>。</w:t>
      </w:r>
    </w:p>
    <w:p>
      <w:pPr>
        <w:numPr>
          <w:ilvl w:val="0"/>
          <w:numId w:val="0"/>
        </w:numPr>
        <w:spacing w:line="360" w:lineRule="auto"/>
        <w:ind w:firstLine="442" w:firstLineChars="200"/>
        <w:outlineLvl w:val="9"/>
        <w:rPr>
          <w:rFonts w:hint="eastAsia" w:ascii="宋体" w:hAnsi="宋体" w:eastAsia="宋体" w:cs="宋体"/>
          <w:b/>
          <w:bCs/>
          <w:color w:val="auto"/>
          <w:sz w:val="22"/>
          <w:szCs w:val="22"/>
          <w:highlight w:val="none"/>
          <w:u w:val="single"/>
          <w:lang w:val="en-US" w:eastAsia="zh-CN"/>
        </w:rPr>
      </w:pPr>
      <w:r>
        <w:rPr>
          <w:rFonts w:hint="eastAsia" w:ascii="宋体" w:hAnsi="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评估费用=《浙江省物价局关于制定资产评估收费标准的通知》（浙价服【2011】90号）文件规定的收费标准×折扣率。</w:t>
      </w:r>
      <w:r>
        <w:rPr>
          <w:rFonts w:hint="eastAsia" w:ascii="宋体" w:hAnsi="宋体" w:cs="宋体"/>
          <w:b w:val="0"/>
          <w:bCs w:val="0"/>
          <w:color w:val="auto"/>
          <w:sz w:val="22"/>
          <w:szCs w:val="22"/>
          <w:highlight w:val="none"/>
          <w:lang w:val="en-US" w:eastAsia="zh-CN"/>
        </w:rPr>
        <w:t>举例：投标报价折扣率为80.55%，评估费用=</w:t>
      </w:r>
      <w:r>
        <w:rPr>
          <w:rFonts w:hint="eastAsia" w:ascii="宋体" w:hAnsi="宋体" w:eastAsia="宋体" w:cs="宋体"/>
          <w:b w:val="0"/>
          <w:bCs w:val="0"/>
          <w:color w:val="auto"/>
          <w:sz w:val="22"/>
          <w:szCs w:val="22"/>
          <w:highlight w:val="none"/>
        </w:rPr>
        <w:t>《浙江省物价局关于制定资产评估收费标准的通知》（浙价服【2011】90号）文件规定的收费标准×</w:t>
      </w:r>
      <w:r>
        <w:rPr>
          <w:rFonts w:hint="eastAsia" w:ascii="宋体" w:hAnsi="宋体" w:cs="宋体"/>
          <w:b w:val="0"/>
          <w:bCs w:val="0"/>
          <w:color w:val="auto"/>
          <w:sz w:val="22"/>
          <w:szCs w:val="22"/>
          <w:highlight w:val="none"/>
          <w:lang w:val="en-US" w:eastAsia="zh-CN"/>
        </w:rPr>
        <w:t>80.55%</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投标供应商全称（电子签章或公章）：</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p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pPr>
        <w:widowControl/>
        <w:spacing w:line="360" w:lineRule="auto"/>
        <w:jc w:val="center"/>
        <w:outlineLvl w:val="9"/>
        <w:rPr>
          <w:rFonts w:hint="eastAsia" w:ascii="宋体" w:hAnsi="宋体" w:eastAsia="宋体" w:cs="宋体"/>
          <w:b/>
          <w:bCs/>
          <w:color w:val="auto"/>
          <w:sz w:val="22"/>
          <w:szCs w:val="22"/>
          <w:highlight w:val="none"/>
        </w:rPr>
      </w:pPr>
      <w:bookmarkStart w:id="228" w:name="_Toc24925"/>
      <w:bookmarkStart w:id="229" w:name="_Toc27230"/>
      <w:bookmarkStart w:id="230" w:name="_Toc18667"/>
      <w:bookmarkStart w:id="231" w:name="_Toc10623"/>
      <w:bookmarkStart w:id="232" w:name="_Toc2532"/>
      <w:r>
        <w:rPr>
          <w:rFonts w:hint="eastAsia" w:ascii="宋体" w:hAnsi="宋体" w:eastAsia="宋体" w:cs="宋体"/>
          <w:color w:val="auto"/>
          <w:sz w:val="22"/>
          <w:szCs w:val="22"/>
          <w:highlight w:val="none"/>
        </w:rPr>
        <w:br w:type="page"/>
      </w:r>
      <w:bookmarkEnd w:id="228"/>
      <w:bookmarkEnd w:id="229"/>
      <w:bookmarkEnd w:id="230"/>
      <w:bookmarkEnd w:id="231"/>
      <w:bookmarkEnd w:id="232"/>
      <w:bookmarkStart w:id="233" w:name="_Toc746"/>
      <w:bookmarkStart w:id="234" w:name="_Toc20864"/>
      <w:bookmarkStart w:id="235" w:name="_Toc7373"/>
      <w:bookmarkStart w:id="236" w:name="_Toc1368"/>
      <w:bookmarkStart w:id="237" w:name="_Toc25912"/>
      <w:r>
        <w:rPr>
          <w:rFonts w:hint="eastAsia" w:ascii="宋体" w:hAnsi="宋体" w:eastAsia="宋体" w:cs="宋体"/>
          <w:b/>
          <w:bCs/>
          <w:color w:val="auto"/>
          <w:sz w:val="24"/>
          <w:highlight w:val="none"/>
        </w:rPr>
        <w:t>二、资格文件部分格式</w:t>
      </w:r>
    </w:p>
    <w:p>
      <w:pPr>
        <w:widowControl/>
        <w:spacing w:line="360" w:lineRule="auto"/>
        <w:jc w:val="left"/>
        <w:outlineLvl w:val="9"/>
        <w:rPr>
          <w:rFonts w:hint="eastAsia" w:ascii="宋体" w:hAnsi="宋体" w:eastAsia="宋体" w:cs="宋体"/>
          <w:b/>
          <w:bCs/>
          <w:color w:val="auto"/>
          <w:sz w:val="22"/>
          <w:szCs w:val="22"/>
          <w:highlight w:val="none"/>
        </w:rPr>
      </w:pPr>
    </w:p>
    <w:p>
      <w:pPr>
        <w:widowControl/>
        <w:spacing w:line="360" w:lineRule="auto"/>
        <w:jc w:val="left"/>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pict>
          <v:rect id="_x0000_s2062" o:spid="_x0000_s2062" o:spt="1" style="position:absolute;left:0pt;margin-left:30.7pt;margin-top:79.15pt;height:263.35pt;width:399.75pt;mso-wrap-distance-bottom:0pt;mso-wrap-distance-top:0pt;z-index:251661312;mso-width-relative:page;mso-height-relative:page;" coordsize="21600,21600">
            <v:path/>
            <v:fill focussize="0,0"/>
            <v:stroke/>
            <v:imagedata o:title=""/>
            <o:lock v:ext="edit"/>
            <v:textbox>
              <w:txbxContent>
                <w:p>
                  <w:pPr>
                    <w:snapToGrid w:val="0"/>
                    <w:spacing w:beforeLines="50" w:after="50"/>
                    <w:jc w:val="right"/>
                    <w:rPr>
                      <w:rFonts w:ascii="宋体"/>
                      <w:b/>
                      <w:bCs/>
                      <w:sz w:val="22"/>
                      <w:szCs w:val="22"/>
                    </w:rPr>
                  </w:pPr>
                </w:p>
                <w:p>
                  <w:pPr>
                    <w:snapToGrid w:val="0"/>
                    <w:spacing w:beforeLines="50" w:after="50"/>
                    <w:ind w:left="-850" w:leftChars="-405"/>
                    <w:rPr>
                      <w:rFonts w:ascii="宋体"/>
                      <w:sz w:val="24"/>
                      <w:szCs w:val="20"/>
                    </w:rPr>
                  </w:pPr>
                </w:p>
                <w:p>
                  <w:pPr>
                    <w:snapToGrid w:val="0"/>
                    <w:spacing w:beforeLines="50" w:after="50"/>
                    <w:jc w:val="center"/>
                    <w:rPr>
                      <w:rFonts w:ascii="宋体"/>
                      <w:bCs/>
                      <w:sz w:val="24"/>
                      <w:szCs w:val="20"/>
                    </w:rPr>
                  </w:pPr>
                  <w:r>
                    <w:rPr>
                      <w:rFonts w:hint="eastAsia" w:ascii="宋体" w:hAnsi="宋体"/>
                      <w:bCs/>
                      <w:sz w:val="24"/>
                      <w:szCs w:val="20"/>
                    </w:rPr>
                    <w:t>资格文件</w:t>
                  </w:r>
                </w:p>
                <w:p>
                  <w:pPr>
                    <w:snapToGrid w:val="0"/>
                    <w:spacing w:beforeLines="50" w:after="50"/>
                    <w:ind w:firstLine="1068" w:firstLineChars="445"/>
                    <w:rPr>
                      <w:rFonts w:ascii="宋体"/>
                      <w:bCs/>
                      <w:sz w:val="24"/>
                    </w:rPr>
                  </w:pPr>
                  <w:r>
                    <w:rPr>
                      <w:rFonts w:hint="eastAsia" w:ascii="宋体" w:hAnsi="宋体"/>
                      <w:bCs/>
                      <w:sz w:val="24"/>
                    </w:rPr>
                    <w:t>项目名称：</w:t>
                  </w:r>
                  <w:r>
                    <w:rPr>
                      <w:rFonts w:hint="eastAsia" w:ascii="宋体" w:hAnsi="宋体" w:cs="宋体"/>
                      <w:sz w:val="24"/>
                    </w:rPr>
                    <w:t>市属国有企业评估服务供应商库采购（两年）</w:t>
                  </w:r>
                </w:p>
                <w:p>
                  <w:pPr>
                    <w:snapToGrid w:val="0"/>
                    <w:spacing w:beforeLines="50" w:after="50"/>
                    <w:ind w:firstLine="1068" w:firstLineChars="445"/>
                    <w:rPr>
                      <w:rFonts w:ascii="宋体" w:hAnsi="宋体"/>
                      <w:bCs/>
                      <w:sz w:val="24"/>
                    </w:rPr>
                  </w:pPr>
                  <w:r>
                    <w:rPr>
                      <w:rFonts w:hint="eastAsia" w:ascii="宋体" w:hAnsi="宋体"/>
                      <w:bCs/>
                      <w:sz w:val="24"/>
                    </w:rPr>
                    <w:t>项目编号：WGSS-GYJT-X-2024041</w:t>
                  </w:r>
                </w:p>
                <w:p>
                  <w:pPr>
                    <w:snapToGrid w:val="0"/>
                    <w:spacing w:beforeLines="50" w:after="50"/>
                    <w:ind w:firstLine="1068" w:firstLineChars="445"/>
                    <w:rPr>
                      <w:rFonts w:ascii="宋体" w:hAnsi="宋体"/>
                      <w:bCs/>
                      <w:sz w:val="24"/>
                    </w:rPr>
                  </w:pPr>
                  <w:r>
                    <w:rPr>
                      <w:rFonts w:hint="eastAsia" w:ascii="宋体" w:hAnsi="宋体"/>
                      <w:bCs/>
                      <w:sz w:val="24"/>
                    </w:rPr>
                    <w:t>标项：</w:t>
                  </w:r>
                </w:p>
                <w:p>
                  <w:pPr>
                    <w:snapToGrid w:val="0"/>
                    <w:spacing w:beforeLines="50" w:after="50"/>
                    <w:ind w:firstLine="1068" w:firstLineChars="445"/>
                    <w:rPr>
                      <w:rFonts w:ascii="宋体" w:hAnsi="宋体"/>
                      <w:bCs/>
                      <w:sz w:val="24"/>
                    </w:rPr>
                  </w:pPr>
                  <w:r>
                    <w:rPr>
                      <w:rFonts w:hint="eastAsia" w:ascii="宋体" w:hAnsi="宋体"/>
                      <w:bCs/>
                      <w:sz w:val="24"/>
                    </w:rPr>
                    <w:t>投标供应商名称</w:t>
                  </w:r>
                  <w:r>
                    <w:rPr>
                      <w:rFonts w:hint="eastAsia" w:ascii="宋体" w:hAnsi="宋体" w:cs="宋体"/>
                      <w:sz w:val="24"/>
                    </w:rPr>
                    <w:t>（盖章）</w:t>
                  </w:r>
                  <w:r>
                    <w:rPr>
                      <w:rFonts w:hint="eastAsia" w:ascii="宋体" w:hAnsi="宋体"/>
                      <w:bCs/>
                      <w:sz w:val="24"/>
                    </w:rPr>
                    <w:t>：</w:t>
                  </w:r>
                </w:p>
                <w:p>
                  <w:pPr>
                    <w:snapToGrid w:val="0"/>
                    <w:spacing w:beforeLines="50" w:after="50"/>
                    <w:ind w:firstLine="1068" w:firstLineChars="445"/>
                    <w:rPr>
                      <w:rFonts w:ascii="宋体"/>
                      <w:bCs/>
                      <w:sz w:val="24"/>
                    </w:rPr>
                  </w:pPr>
                  <w:r>
                    <w:rPr>
                      <w:rFonts w:hint="eastAsia" w:ascii="宋体" w:hAnsi="宋体"/>
                      <w:bCs/>
                      <w:sz w:val="24"/>
                    </w:rPr>
                    <w:t>投标供应商地址：</w:t>
                  </w:r>
                </w:p>
                <w:p>
                  <w:pPr>
                    <w:snapToGrid w:val="0"/>
                    <w:spacing w:beforeLines="50" w:after="50"/>
                    <w:ind w:firstLine="1068" w:firstLineChars="445"/>
                    <w:rPr>
                      <w:rFonts w:ascii="宋体"/>
                      <w:bCs/>
                      <w:sz w:val="24"/>
                    </w:rPr>
                  </w:pPr>
                </w:p>
                <w:p>
                  <w:pPr>
                    <w:snapToGrid w:val="0"/>
                    <w:spacing w:beforeLines="50" w:after="50"/>
                    <w:ind w:firstLine="4080" w:firstLineChars="1700"/>
                    <w:rPr>
                      <w:rFonts w:ascii="宋体"/>
                      <w:sz w:val="24"/>
                      <w:szCs w:val="20"/>
                    </w:rPr>
                  </w:pPr>
                </w:p>
                <w:p>
                  <w:pPr>
                    <w:jc w:val="center"/>
                  </w:pPr>
                  <w:r>
                    <w:rPr>
                      <w:rFonts w:hint="eastAsia"/>
                      <w:sz w:val="24"/>
                    </w:rPr>
                    <w:t>年   月   日</w:t>
                  </w:r>
                </w:p>
              </w:txbxContent>
            </v:textbox>
            <w10:wrap type="topAndBottom"/>
          </v:rect>
        </w:pict>
      </w:r>
      <w:r>
        <w:rPr>
          <w:rFonts w:hint="eastAsia" w:ascii="宋体" w:hAnsi="宋体" w:eastAsia="宋体" w:cs="宋体"/>
          <w:b/>
          <w:bCs/>
          <w:color w:val="auto"/>
          <w:sz w:val="22"/>
          <w:szCs w:val="22"/>
          <w:highlight w:val="none"/>
        </w:rPr>
        <w:t>资格文件封面格式：</w:t>
      </w:r>
    </w:p>
    <w:p>
      <w:pPr>
        <w:widowControl/>
        <w:spacing w:line="360" w:lineRule="auto"/>
        <w:jc w:val="left"/>
        <w:outlineLvl w:val="9"/>
        <w:rPr>
          <w:rFonts w:hint="eastAsia" w:ascii="宋体" w:hAnsi="宋体" w:eastAsia="宋体" w:cs="宋体"/>
          <w:b/>
          <w:bCs/>
          <w:color w:val="auto"/>
          <w:sz w:val="22"/>
          <w:szCs w:val="22"/>
          <w:highlight w:val="none"/>
        </w:rPr>
      </w:pPr>
    </w:p>
    <w:p>
      <w:pPr>
        <w:widowControl/>
        <w:spacing w:line="360" w:lineRule="auto"/>
        <w:jc w:val="left"/>
        <w:outlineLvl w:val="9"/>
        <w:rPr>
          <w:rFonts w:hint="eastAsia" w:ascii="宋体" w:hAnsi="宋体" w:eastAsia="宋体" w:cs="宋体"/>
          <w:b/>
          <w:bCs/>
          <w:color w:val="auto"/>
          <w:sz w:val="22"/>
          <w:szCs w:val="22"/>
          <w:highlight w:val="none"/>
        </w:rPr>
      </w:pPr>
    </w:p>
    <w:p>
      <w:pPr>
        <w:pStyle w:val="2"/>
        <w:ind w:firstLine="0" w:firstLineChars="0"/>
        <w:outlineLvl w:val="9"/>
        <w:rPr>
          <w:rFonts w:hint="eastAsia" w:ascii="宋体" w:hAnsi="宋体" w:eastAsia="宋体" w:cs="宋体"/>
          <w:color w:val="auto"/>
          <w:sz w:val="22"/>
          <w:szCs w:val="22"/>
          <w:highlight w:val="none"/>
        </w:rPr>
      </w:pPr>
    </w:p>
    <w:p>
      <w:pPr>
        <w:tabs>
          <w:tab w:val="left" w:pos="1905"/>
        </w:tabs>
        <w:spacing w:line="360" w:lineRule="auto"/>
        <w:jc w:val="center"/>
        <w:outlineLvl w:val="9"/>
        <w:rPr>
          <w:rFonts w:hint="eastAsia" w:ascii="宋体" w:hAnsi="宋体" w:eastAsia="宋体" w:cs="宋体"/>
          <w:b/>
          <w:bCs/>
          <w:color w:val="auto"/>
          <w:sz w:val="24"/>
          <w:highlight w:val="none"/>
        </w:rPr>
      </w:pPr>
    </w:p>
    <w:p>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sz w:val="24"/>
          <w:highlight w:val="none"/>
        </w:rPr>
        <w:t>附件2</w:t>
      </w:r>
    </w:p>
    <w:p>
      <w:pPr>
        <w:pStyle w:val="2"/>
        <w:ind w:firstLine="0" w:firstLineChars="0"/>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法定代表人资格证明书（标项：  ）</w:t>
      </w:r>
    </w:p>
    <w:p>
      <w:pPr>
        <w:spacing w:line="360" w:lineRule="auto"/>
        <w:jc w:val="center"/>
        <w:outlineLvl w:val="9"/>
        <w:rPr>
          <w:rFonts w:hint="eastAsia" w:ascii="宋体" w:hAnsi="宋体" w:eastAsia="宋体" w:cs="宋体"/>
          <w:b/>
          <w:bCs/>
          <w:color w:val="auto"/>
          <w:sz w:val="24"/>
          <w:highlight w:val="none"/>
        </w:rPr>
      </w:pP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温州市公用事业发展集团有限公司、温州市城市建设发展集团有限公司、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温州市现代服务业发展集团有限公司、温州市交通运输集团有限公司、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温州市工业与能源发展集团有限公司、温州市交通发展集团有限公司、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温州市铁路与轨道交通投资集团有限公司、温州市国有资本投资运营有限公司、</w:t>
      </w:r>
    </w:p>
    <w:p>
      <w:pPr>
        <w:spacing w:line="360" w:lineRule="auto"/>
        <w:jc w:val="left"/>
        <w:outlineLvl w:val="9"/>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温州建设集团有限公司、温州设计集团有限公司、浙江乐诚工程咨询有限公司</w:t>
      </w:r>
      <w:r>
        <w:rPr>
          <w:rFonts w:hint="eastAsia" w:ascii="宋体" w:hAnsi="宋体" w:eastAsia="宋体" w:cs="宋体"/>
          <w:b/>
          <w:color w:val="auto"/>
          <w:sz w:val="22"/>
          <w:szCs w:val="22"/>
          <w:highlight w:val="none"/>
        </w:rPr>
        <w:t>：</w:t>
      </w:r>
    </w:p>
    <w:p>
      <w:pPr>
        <w:pStyle w:val="2"/>
        <w:spacing w:line="360" w:lineRule="auto"/>
        <w:ind w:firstLine="220"/>
        <w:outlineLvl w:val="9"/>
        <w:rPr>
          <w:rFonts w:hint="eastAsia" w:ascii="宋体" w:hAnsi="宋体" w:eastAsia="宋体" w:cs="宋体"/>
          <w:color w:val="auto"/>
          <w:sz w:val="22"/>
          <w:szCs w:val="22"/>
          <w:highlight w:val="none"/>
        </w:rPr>
      </w:pPr>
    </w:p>
    <w:p>
      <w:p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（姓名、性别、年龄）</w:t>
      </w:r>
      <w:r>
        <w:rPr>
          <w:rFonts w:hint="eastAsia" w:ascii="宋体" w:hAnsi="宋体" w:eastAsia="宋体" w:cs="宋体"/>
          <w:color w:val="auto"/>
          <w:sz w:val="22"/>
          <w:szCs w:val="22"/>
          <w:highlight w:val="none"/>
        </w:rPr>
        <w:t>在我单位任</w:t>
      </w:r>
      <w:r>
        <w:rPr>
          <w:rFonts w:hint="eastAsia" w:ascii="宋体" w:hAnsi="宋体" w:eastAsia="宋体" w:cs="宋体"/>
          <w:color w:val="auto"/>
          <w:sz w:val="22"/>
          <w:szCs w:val="22"/>
          <w:highlight w:val="none"/>
          <w:u w:val="single"/>
        </w:rPr>
        <w:t xml:space="preserve">                      （职务名称）</w:t>
      </w:r>
      <w:r>
        <w:rPr>
          <w:rFonts w:hint="eastAsia" w:ascii="宋体" w:hAnsi="宋体" w:eastAsia="宋体" w:cs="宋体"/>
          <w:color w:val="auto"/>
          <w:sz w:val="22"/>
          <w:szCs w:val="22"/>
          <w:highlight w:val="none"/>
        </w:rPr>
        <w:t>职务，是我单位的法定代表人。</w:t>
      </w:r>
    </w:p>
    <w:p>
      <w:pPr>
        <w:spacing w:line="360" w:lineRule="auto"/>
        <w:ind w:firstLine="880" w:firstLineChars="4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特此证明。</w:t>
      </w:r>
    </w:p>
    <w:p>
      <w:pPr>
        <w:spacing w:line="360" w:lineRule="auto"/>
        <w:jc w:val="left"/>
        <w:outlineLvl w:val="9"/>
        <w:rPr>
          <w:rFonts w:hint="eastAsia" w:ascii="宋体" w:hAnsi="宋体" w:eastAsia="宋体" w:cs="宋体"/>
          <w:b/>
          <w:bCs/>
          <w:color w:val="auto"/>
          <w:sz w:val="22"/>
          <w:szCs w:val="22"/>
          <w:highlight w:val="none"/>
        </w:rPr>
      </w:pPr>
    </w:p>
    <w:p>
      <w:pPr>
        <w:spacing w:line="360" w:lineRule="auto"/>
        <w:jc w:val="left"/>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法定代表人身份证号： （身份证复印附后）</w:t>
      </w:r>
    </w:p>
    <w:p>
      <w:pPr>
        <w:spacing w:line="360" w:lineRule="auto"/>
        <w:jc w:val="left"/>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法定代表人电话：</w:t>
      </w:r>
    </w:p>
    <w:p>
      <w:pPr>
        <w:spacing w:line="360" w:lineRule="auto"/>
        <w:jc w:val="left"/>
        <w:outlineLvl w:val="9"/>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rPr>
        <w:t>投标供应商全称（电子签章或公章）</w:t>
      </w:r>
    </w:p>
    <w:p>
      <w:pPr>
        <w:spacing w:line="360" w:lineRule="auto"/>
        <w:jc w:val="left"/>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日 期：   年  月  日</w:t>
      </w:r>
    </w:p>
    <w:p>
      <w:pPr>
        <w:spacing w:line="360" w:lineRule="auto"/>
        <w:outlineLvl w:val="9"/>
        <w:rPr>
          <w:rFonts w:hint="eastAsia" w:ascii="宋体" w:hAnsi="宋体" w:eastAsia="宋体" w:cs="宋体"/>
          <w:b/>
          <w:bCs/>
          <w:color w:val="auto"/>
          <w:sz w:val="24"/>
          <w:highlight w:val="none"/>
        </w:rPr>
      </w:pPr>
      <w:r>
        <w:rPr>
          <w:rFonts w:hint="eastAsia" w:ascii="宋体" w:hAnsi="宋体" w:eastAsia="宋体" w:cs="宋体"/>
          <w:color w:val="auto"/>
          <w:highlight w:val="none"/>
        </w:rPr>
        <w:pict>
          <v:rect id="文本框 8" o:spid="_x0000_s2063" o:spt="1" style="position:absolute;left:0pt;margin-left:98.45pt;margin-top:12.45pt;height:187.2pt;width:267.75pt;z-index:251662336;mso-width-relative:page;mso-height-relative:page;" coordsize="21600,21600">
            <v:path/>
            <v:fill focussize="0,0"/>
            <v:stroke/>
            <v:imagedata o:title=""/>
            <o:lock v:ext="edit"/>
            <v:textbox>
              <w:txbxContent>
                <w:p>
                  <w:r>
                    <w:rPr>
                      <w:rFonts w:hint="eastAsia" w:ascii="宋体" w:hAnsi="宋体" w:cs="宋体"/>
                      <w:sz w:val="24"/>
                    </w:rPr>
                    <w:t>法人代表身份证复印件粘贴</w:t>
                  </w:r>
                  <w:r>
                    <w:rPr>
                      <w:rFonts w:hint="eastAsia" w:ascii="新宋体" w:hAnsi="新宋体" w:eastAsia="新宋体"/>
                      <w:sz w:val="22"/>
                    </w:rPr>
                    <w:t>：</w:t>
                  </w:r>
                </w:p>
              </w:txbxContent>
            </v:textbox>
          </v:rect>
        </w:pict>
      </w:r>
    </w:p>
    <w:p>
      <w:pPr>
        <w:spacing w:line="360" w:lineRule="auto"/>
        <w:outlineLvl w:val="9"/>
        <w:rPr>
          <w:rFonts w:hint="eastAsia" w:ascii="宋体" w:hAnsi="宋体" w:eastAsia="宋体" w:cs="宋体"/>
          <w:b/>
          <w:bCs/>
          <w:color w:val="auto"/>
          <w:sz w:val="24"/>
          <w:highlight w:val="none"/>
        </w:rPr>
      </w:pPr>
    </w:p>
    <w:p>
      <w:pPr>
        <w:spacing w:line="360" w:lineRule="auto"/>
        <w:outlineLvl w:val="9"/>
        <w:rPr>
          <w:rFonts w:hint="eastAsia" w:ascii="宋体" w:hAnsi="宋体" w:eastAsia="宋体" w:cs="宋体"/>
          <w:b/>
          <w:bCs/>
          <w:color w:val="auto"/>
          <w:sz w:val="24"/>
          <w:highlight w:val="none"/>
        </w:rPr>
      </w:pPr>
    </w:p>
    <w:p>
      <w:pPr>
        <w:spacing w:line="360" w:lineRule="auto"/>
        <w:outlineLvl w:val="9"/>
        <w:rPr>
          <w:rFonts w:hint="eastAsia" w:ascii="宋体" w:hAnsi="宋体" w:eastAsia="宋体" w:cs="宋体"/>
          <w:b/>
          <w:bCs/>
          <w:color w:val="auto"/>
          <w:sz w:val="24"/>
          <w:highlight w:val="none"/>
        </w:rPr>
      </w:pPr>
    </w:p>
    <w:p>
      <w:pPr>
        <w:spacing w:line="360" w:lineRule="auto"/>
        <w:outlineLvl w:val="9"/>
        <w:rPr>
          <w:rFonts w:hint="eastAsia" w:ascii="宋体" w:hAnsi="宋体" w:eastAsia="宋体" w:cs="宋体"/>
          <w:b/>
          <w:bCs/>
          <w:color w:val="auto"/>
          <w:sz w:val="24"/>
          <w:highlight w:val="none"/>
        </w:rPr>
      </w:pPr>
    </w:p>
    <w:p>
      <w:pPr>
        <w:spacing w:line="360" w:lineRule="auto"/>
        <w:outlineLvl w:val="9"/>
        <w:rPr>
          <w:rFonts w:hint="eastAsia" w:ascii="宋体" w:hAnsi="宋体" w:eastAsia="宋体" w:cs="宋体"/>
          <w:b/>
          <w:bCs/>
          <w:color w:val="auto"/>
          <w:sz w:val="24"/>
          <w:highlight w:val="none"/>
        </w:rPr>
      </w:pPr>
    </w:p>
    <w:p>
      <w:pPr>
        <w:spacing w:line="360" w:lineRule="auto"/>
        <w:outlineLvl w:val="9"/>
        <w:rPr>
          <w:rFonts w:hint="eastAsia" w:ascii="宋体" w:hAnsi="宋体" w:eastAsia="宋体" w:cs="宋体"/>
          <w:b/>
          <w:bCs/>
          <w:color w:val="auto"/>
          <w:sz w:val="24"/>
          <w:highlight w:val="none"/>
        </w:rPr>
      </w:pPr>
    </w:p>
    <w:p>
      <w:pPr>
        <w:spacing w:line="360" w:lineRule="auto"/>
        <w:outlineLvl w:val="9"/>
        <w:rPr>
          <w:rFonts w:hint="eastAsia" w:ascii="宋体" w:hAnsi="宋体" w:eastAsia="宋体" w:cs="宋体"/>
          <w:b/>
          <w:bCs/>
          <w:color w:val="auto"/>
          <w:sz w:val="24"/>
          <w:highlight w:val="none"/>
        </w:rPr>
      </w:pPr>
    </w:p>
    <w:p>
      <w:pPr>
        <w:spacing w:line="360" w:lineRule="auto"/>
        <w:outlineLvl w:val="9"/>
        <w:rPr>
          <w:rFonts w:hint="eastAsia" w:ascii="宋体" w:hAnsi="宋体" w:eastAsia="宋体" w:cs="宋体"/>
          <w:b/>
          <w:bCs/>
          <w:color w:val="auto"/>
          <w:sz w:val="24"/>
          <w:highlight w:val="none"/>
        </w:rPr>
      </w:pPr>
    </w:p>
    <w:p>
      <w:pPr>
        <w:spacing w:line="360" w:lineRule="auto"/>
        <w:outlineLvl w:val="9"/>
        <w:rPr>
          <w:rFonts w:hint="eastAsia" w:ascii="宋体" w:hAnsi="宋体" w:eastAsia="宋体" w:cs="宋体"/>
          <w:b/>
          <w:bCs/>
          <w:color w:val="auto"/>
          <w:sz w:val="24"/>
          <w:highlight w:val="none"/>
        </w:rPr>
      </w:pPr>
    </w:p>
    <w:p>
      <w:pPr>
        <w:spacing w:line="360" w:lineRule="auto"/>
        <w:outlineLvl w:val="9"/>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说明：投标供应商的法定代表人参加投标，须在投标文件中提供法定代表人资格证明书；投标供应商的法定代表人委托授权代表参加投标，须在投标文件中法定代表人授权委托书。</w:t>
      </w:r>
    </w:p>
    <w:p>
      <w:pPr>
        <w:snapToGrid w:val="0"/>
        <w:spacing w:line="360" w:lineRule="auto"/>
        <w:jc w:val="center"/>
        <w:outlineLvl w:val="9"/>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br w:type="page"/>
      </w:r>
      <w:r>
        <w:rPr>
          <w:rFonts w:hint="eastAsia" w:ascii="宋体" w:hAnsi="宋体" w:eastAsia="宋体" w:cs="宋体"/>
          <w:b/>
          <w:color w:val="auto"/>
          <w:spacing w:val="-6"/>
          <w:sz w:val="28"/>
          <w:szCs w:val="28"/>
          <w:highlight w:val="none"/>
        </w:rPr>
        <w:t>法定代表人授权委托书</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bCs/>
          <w:color w:val="auto"/>
          <w:spacing w:val="-6"/>
          <w:sz w:val="22"/>
          <w:szCs w:val="22"/>
          <w:highlight w:val="none"/>
        </w:rPr>
        <w:t>致：</w:t>
      </w:r>
      <w:r>
        <w:rPr>
          <w:rFonts w:hint="eastAsia" w:ascii="宋体" w:hAnsi="宋体" w:eastAsia="宋体" w:cs="宋体"/>
          <w:color w:val="auto"/>
          <w:sz w:val="22"/>
          <w:szCs w:val="22"/>
          <w:highlight w:val="none"/>
        </w:rPr>
        <w:t>温州市公用事业发展集团有限公司、温州市城市建设发展集团有限公司、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温州市现代服务业发展集团有限公司、温州市交通运输集团有限公司、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温州市工业与能源发展集团有限公司、温州市交通发展集团有限公司、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温州市铁路与轨道交通投资集团有限公司、温州市国有资本投资运营有限公司、</w:t>
      </w:r>
    </w:p>
    <w:p>
      <w:pPr>
        <w:spacing w:line="360" w:lineRule="auto"/>
        <w:jc w:val="left"/>
        <w:outlineLvl w:val="9"/>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温州建设集团有限公司、温州设计集团有限公司、浙江乐诚工程咨询有限公司</w:t>
      </w:r>
      <w:r>
        <w:rPr>
          <w:rFonts w:hint="eastAsia" w:ascii="宋体" w:hAnsi="宋体" w:eastAsia="宋体" w:cs="宋体"/>
          <w:b/>
          <w:color w:val="auto"/>
          <w:sz w:val="22"/>
          <w:szCs w:val="22"/>
          <w:highlight w:val="none"/>
        </w:rPr>
        <w:t>：</w:t>
      </w:r>
    </w:p>
    <w:p>
      <w:pPr>
        <w:snapToGrid w:val="0"/>
        <w:spacing w:line="360" w:lineRule="auto"/>
        <w:ind w:firstLine="416" w:firstLineChars="200"/>
        <w:outlineLvl w:val="9"/>
        <w:rPr>
          <w:rFonts w:hint="eastAsia" w:ascii="宋体" w:hAnsi="宋体" w:eastAsia="宋体" w:cs="宋体"/>
          <w:color w:val="auto"/>
          <w:spacing w:val="-6"/>
          <w:sz w:val="22"/>
          <w:szCs w:val="22"/>
          <w:highlight w:val="none"/>
        </w:rPr>
      </w:pPr>
    </w:p>
    <w:p>
      <w:pPr>
        <w:snapToGrid w:val="0"/>
        <w:spacing w:line="360" w:lineRule="auto"/>
        <w:ind w:firstLine="416" w:firstLineChars="200"/>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我（姓名）系（投标供应商名称）的法定代表人，现授权委托本单位在职职工（姓名）（身份证号：）以我方的名义参加</w:t>
      </w:r>
      <w:r>
        <w:rPr>
          <w:rFonts w:hint="eastAsia" w:ascii="宋体" w:hAnsi="宋体" w:eastAsia="宋体" w:cs="宋体"/>
          <w:color w:val="auto"/>
          <w:spacing w:val="-6"/>
          <w:sz w:val="22"/>
          <w:szCs w:val="22"/>
          <w:highlight w:val="none"/>
          <w:u w:val="single"/>
        </w:rPr>
        <w:t>市属国有企业评估服务供应商库采购（两年）</w:t>
      </w:r>
      <w:r>
        <w:rPr>
          <w:rFonts w:hint="eastAsia" w:ascii="宋体" w:hAnsi="宋体" w:eastAsia="宋体" w:cs="宋体"/>
          <w:color w:val="auto"/>
          <w:spacing w:val="-6"/>
          <w:sz w:val="22"/>
          <w:szCs w:val="22"/>
          <w:highlight w:val="none"/>
        </w:rPr>
        <w:t>（项目名称）（标项：）项目（项目编号：</w:t>
      </w:r>
      <w:r>
        <w:rPr>
          <w:rFonts w:hint="eastAsia" w:ascii="宋体" w:hAnsi="宋体" w:eastAsia="宋体" w:cs="宋体"/>
          <w:color w:val="auto"/>
          <w:spacing w:val="-6"/>
          <w:sz w:val="22"/>
          <w:szCs w:val="22"/>
          <w:highlight w:val="none"/>
          <w:u w:val="single"/>
        </w:rPr>
        <w:t>WGSS-GYJT-X-2024041</w:t>
      </w:r>
      <w:r>
        <w:rPr>
          <w:rFonts w:hint="eastAsia" w:ascii="宋体" w:hAnsi="宋体" w:eastAsia="宋体" w:cs="宋体"/>
          <w:color w:val="auto"/>
          <w:spacing w:val="-6"/>
          <w:sz w:val="22"/>
          <w:szCs w:val="22"/>
          <w:highlight w:val="none"/>
        </w:rPr>
        <w:t>）的投标活动，并代表我方全权办理针对上述项目的投标、开标、评标、签约等具体事务和签署相关文件。</w:t>
      </w:r>
    </w:p>
    <w:p>
      <w:pPr>
        <w:snapToGrid w:val="0"/>
        <w:spacing w:line="360" w:lineRule="auto"/>
        <w:ind w:firstLine="416" w:firstLineChars="200"/>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我方对被授权人的签名负全部责任。</w:t>
      </w:r>
    </w:p>
    <w:p>
      <w:pPr>
        <w:snapToGrid w:val="0"/>
        <w:spacing w:line="360" w:lineRule="auto"/>
        <w:ind w:firstLine="416" w:firstLineChars="200"/>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在撤销授权的书面通知以前，本授权书一直有效。被授权人在授权书有效期内签署的所有文件不因授权的撤销而失效。</w:t>
      </w:r>
    </w:p>
    <w:p>
      <w:pPr>
        <w:snapToGrid w:val="0"/>
        <w:spacing w:line="360" w:lineRule="auto"/>
        <w:ind w:firstLine="416" w:firstLineChars="200"/>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被授权人无转委托权，特此委托。</w:t>
      </w:r>
    </w:p>
    <w:p>
      <w:pPr>
        <w:snapToGrid w:val="0"/>
        <w:spacing w:line="360" w:lineRule="auto"/>
        <w:outlineLvl w:val="9"/>
        <w:rPr>
          <w:rFonts w:hint="eastAsia" w:ascii="宋体" w:hAnsi="宋体" w:eastAsia="宋体" w:cs="宋体"/>
          <w:color w:val="auto"/>
          <w:spacing w:val="-6"/>
          <w:sz w:val="22"/>
          <w:szCs w:val="22"/>
          <w:highlight w:val="none"/>
        </w:rPr>
      </w:pPr>
    </w:p>
    <w:p>
      <w:pPr>
        <w:snapToGrid w:val="0"/>
        <w:spacing w:line="360" w:lineRule="auto"/>
        <w:outlineLvl w:val="9"/>
        <w:rPr>
          <w:rFonts w:hint="eastAsia" w:ascii="宋体" w:hAnsi="宋体" w:eastAsia="宋体" w:cs="宋体"/>
          <w:color w:val="auto"/>
          <w:spacing w:val="-6"/>
          <w:sz w:val="22"/>
          <w:szCs w:val="22"/>
          <w:highlight w:val="none"/>
          <w:u w:val="single"/>
        </w:rPr>
      </w:pPr>
      <w:r>
        <w:rPr>
          <w:rFonts w:hint="eastAsia" w:ascii="宋体" w:hAnsi="宋体" w:eastAsia="宋体" w:cs="宋体"/>
          <w:color w:val="auto"/>
          <w:spacing w:val="-6"/>
          <w:sz w:val="22"/>
          <w:szCs w:val="22"/>
          <w:highlight w:val="none"/>
        </w:rPr>
        <w:t>被授权人签字：                 法定代表人签字或盖章：</w:t>
      </w:r>
    </w:p>
    <w:p>
      <w:pPr>
        <w:snapToGrid w:val="0"/>
        <w:spacing w:line="360" w:lineRule="auto"/>
        <w:ind w:firstLine="832" w:firstLineChars="400"/>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职务：                                 职务：</w:t>
      </w:r>
    </w:p>
    <w:p>
      <w:pPr>
        <w:snapToGrid w:val="0"/>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被授权人身份证号码：</w:t>
      </w:r>
    </w:p>
    <w:p>
      <w:pPr>
        <w:snapToGrid w:val="0"/>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                                    投标供应商名称（电子签章或公章）：</w:t>
      </w:r>
    </w:p>
    <w:p>
      <w:pPr>
        <w:snapToGrid w:val="0"/>
        <w:spacing w:line="360" w:lineRule="auto"/>
        <w:jc w:val="center"/>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                                        年    月    日</w:t>
      </w:r>
    </w:p>
    <w:p>
      <w:pPr>
        <w:spacing w:line="360" w:lineRule="auto"/>
        <w:outlineLvl w:val="9"/>
        <w:rPr>
          <w:rFonts w:hint="eastAsia" w:ascii="宋体" w:hAnsi="宋体" w:eastAsia="宋体" w:cs="宋体"/>
          <w:color w:val="auto"/>
          <w:spacing w:val="-6"/>
          <w:sz w:val="24"/>
          <w:highlight w:val="none"/>
        </w:rPr>
      </w:pPr>
      <w:r>
        <w:rPr>
          <w:rFonts w:hint="eastAsia" w:ascii="宋体" w:hAnsi="宋体" w:eastAsia="宋体" w:cs="宋体"/>
          <w:color w:val="auto"/>
          <w:highlight w:val="none"/>
        </w:rPr>
        <w:pict>
          <v:rect id="文本框 5" o:spid="_x0000_s2064" o:spt="1" style="position:absolute;left:0pt;margin-left:40.35pt;margin-top:11.7pt;height:185.85pt;width:408.75pt;z-index:251662336;mso-width-relative:page;mso-height-relative:page;" coordsize="21600,21600">
            <v:path/>
            <v:fill focussize="0,0"/>
            <v:stroke/>
            <v:imagedata o:title=""/>
            <o:lock v:ext="edit"/>
            <v:textbox>
              <w:txbxContent>
                <w:p>
                  <w:pPr>
                    <w:rPr>
                      <w:rFonts w:ascii="宋体"/>
                      <w:sz w:val="22"/>
                      <w:szCs w:val="22"/>
                    </w:rPr>
                  </w:pPr>
                  <w:r>
                    <w:rPr>
                      <w:rFonts w:hint="eastAsia" w:ascii="新宋体" w:hAnsi="新宋体" w:eastAsia="新宋体"/>
                      <w:sz w:val="22"/>
                      <w:szCs w:val="22"/>
                    </w:rPr>
                    <w:t>被授权人</w:t>
                  </w:r>
                  <w:r>
                    <w:rPr>
                      <w:rFonts w:hint="eastAsia" w:ascii="宋体" w:hAnsi="宋体"/>
                      <w:sz w:val="22"/>
                      <w:szCs w:val="22"/>
                    </w:rPr>
                    <w:t>身份证：</w:t>
                  </w:r>
                </w:p>
                <w:p>
                  <w:pPr>
                    <w:rPr>
                      <w:rFonts w:ascii="宋体"/>
                      <w:sz w:val="22"/>
                      <w:szCs w:val="22"/>
                    </w:rPr>
                  </w:pPr>
                </w:p>
                <w:p>
                  <w:pPr>
                    <w:rPr>
                      <w:rFonts w:ascii="宋体"/>
                      <w:sz w:val="22"/>
                      <w:szCs w:val="22"/>
                    </w:rPr>
                  </w:pPr>
                </w:p>
                <w:p>
                  <w:pPr>
                    <w:rPr>
                      <w:rFonts w:ascii="宋体"/>
                      <w:sz w:val="22"/>
                      <w:szCs w:val="22"/>
                    </w:rPr>
                  </w:pPr>
                </w:p>
                <w:p>
                  <w:pPr>
                    <w:rPr>
                      <w:rFonts w:ascii="宋体"/>
                      <w:sz w:val="22"/>
                      <w:szCs w:val="22"/>
                    </w:rPr>
                  </w:pPr>
                  <w:r>
                    <w:rPr>
                      <w:rFonts w:hint="eastAsia" w:ascii="宋体" w:hAnsi="宋体"/>
                      <w:sz w:val="22"/>
                      <w:szCs w:val="22"/>
                    </w:rPr>
                    <w:t>复印件粘贴处</w:t>
                  </w:r>
                </w:p>
              </w:txbxContent>
            </v:textbox>
          </v:rect>
        </w:pict>
      </w:r>
    </w:p>
    <w:p>
      <w:pPr>
        <w:spacing w:line="360" w:lineRule="auto"/>
        <w:outlineLvl w:val="9"/>
        <w:rPr>
          <w:rFonts w:hint="eastAsia" w:ascii="宋体" w:hAnsi="宋体" w:eastAsia="宋体" w:cs="宋体"/>
          <w:color w:val="auto"/>
          <w:spacing w:val="-6"/>
          <w:sz w:val="24"/>
          <w:highlight w:val="none"/>
        </w:rPr>
      </w:pPr>
    </w:p>
    <w:p>
      <w:pPr>
        <w:spacing w:line="360" w:lineRule="auto"/>
        <w:outlineLvl w:val="9"/>
        <w:rPr>
          <w:rFonts w:hint="eastAsia" w:ascii="宋体" w:hAnsi="宋体" w:eastAsia="宋体" w:cs="宋体"/>
          <w:color w:val="auto"/>
          <w:spacing w:val="-6"/>
          <w:sz w:val="24"/>
          <w:highlight w:val="none"/>
        </w:rPr>
      </w:pPr>
    </w:p>
    <w:p>
      <w:pPr>
        <w:spacing w:line="360" w:lineRule="auto"/>
        <w:outlineLvl w:val="9"/>
        <w:rPr>
          <w:rFonts w:hint="eastAsia" w:ascii="宋体" w:hAnsi="宋体" w:eastAsia="宋体" w:cs="宋体"/>
          <w:color w:val="auto"/>
          <w:spacing w:val="-6"/>
          <w:sz w:val="24"/>
          <w:highlight w:val="none"/>
        </w:rPr>
      </w:pPr>
    </w:p>
    <w:p>
      <w:pPr>
        <w:spacing w:line="360" w:lineRule="auto"/>
        <w:outlineLvl w:val="9"/>
        <w:rPr>
          <w:rFonts w:hint="eastAsia" w:ascii="宋体" w:hAnsi="宋体" w:eastAsia="宋体" w:cs="宋体"/>
          <w:color w:val="auto"/>
          <w:spacing w:val="-6"/>
          <w:sz w:val="24"/>
          <w:highlight w:val="none"/>
        </w:rPr>
      </w:pPr>
    </w:p>
    <w:p>
      <w:pPr>
        <w:spacing w:line="360" w:lineRule="auto"/>
        <w:outlineLvl w:val="9"/>
        <w:rPr>
          <w:rFonts w:hint="eastAsia" w:ascii="宋体" w:hAnsi="宋体" w:eastAsia="宋体" w:cs="宋体"/>
          <w:color w:val="auto"/>
          <w:spacing w:val="-6"/>
          <w:sz w:val="24"/>
          <w:highlight w:val="none"/>
        </w:rPr>
      </w:pPr>
    </w:p>
    <w:p>
      <w:pPr>
        <w:spacing w:line="360" w:lineRule="auto"/>
        <w:outlineLvl w:val="9"/>
        <w:rPr>
          <w:rFonts w:hint="eastAsia" w:ascii="宋体" w:hAnsi="宋体" w:eastAsia="宋体" w:cs="宋体"/>
          <w:color w:val="auto"/>
          <w:spacing w:val="-6"/>
          <w:sz w:val="24"/>
          <w:highlight w:val="none"/>
        </w:rPr>
      </w:pPr>
    </w:p>
    <w:p>
      <w:pPr>
        <w:spacing w:line="360" w:lineRule="auto"/>
        <w:outlineLvl w:val="9"/>
        <w:rPr>
          <w:rFonts w:hint="eastAsia" w:ascii="宋体" w:hAnsi="宋体" w:eastAsia="宋体" w:cs="宋体"/>
          <w:color w:val="auto"/>
          <w:spacing w:val="-6"/>
          <w:sz w:val="24"/>
          <w:highlight w:val="none"/>
        </w:rPr>
      </w:pPr>
    </w:p>
    <w:p>
      <w:pPr>
        <w:spacing w:line="360" w:lineRule="auto"/>
        <w:outlineLvl w:val="9"/>
        <w:rPr>
          <w:rFonts w:hint="eastAsia" w:ascii="宋体" w:hAnsi="宋体" w:eastAsia="宋体" w:cs="宋体"/>
          <w:color w:val="auto"/>
          <w:spacing w:val="-6"/>
          <w:sz w:val="24"/>
          <w:highlight w:val="none"/>
        </w:rPr>
      </w:pPr>
    </w:p>
    <w:p>
      <w:pPr>
        <w:spacing w:line="360" w:lineRule="auto"/>
        <w:outlineLvl w:val="9"/>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bCs/>
          <w:color w:val="auto"/>
          <w:sz w:val="24"/>
          <w:highlight w:val="none"/>
        </w:rPr>
        <w:t>附件3</w:t>
      </w:r>
    </w:p>
    <w:p>
      <w:pPr>
        <w:spacing w:line="360" w:lineRule="auto"/>
        <w:jc w:val="center"/>
        <w:outlineLvl w:val="9"/>
        <w:rPr>
          <w:rFonts w:hint="eastAsia" w:ascii="宋体" w:hAnsi="宋体" w:eastAsia="宋体" w:cs="宋体"/>
          <w:b/>
          <w:color w:val="auto"/>
          <w:sz w:val="22"/>
          <w:szCs w:val="22"/>
          <w:highlight w:val="none"/>
        </w:rPr>
      </w:pPr>
    </w:p>
    <w:p>
      <w:pPr>
        <w:spacing w:line="36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有效的法人或者其他组织的营业执照等证明文件，自然人的身份证明（复印件加盖投标供应商电子签章或公章）</w:t>
      </w:r>
    </w:p>
    <w:p>
      <w:pPr>
        <w:spacing w:line="360" w:lineRule="auto"/>
        <w:outlineLvl w:val="9"/>
        <w:rPr>
          <w:rFonts w:hint="eastAsia" w:ascii="宋体" w:hAnsi="宋体" w:eastAsia="宋体" w:cs="宋体"/>
          <w:b/>
          <w:color w:val="auto"/>
          <w:sz w:val="22"/>
          <w:szCs w:val="22"/>
          <w:highlight w:val="none"/>
        </w:rPr>
      </w:pPr>
    </w:p>
    <w:p>
      <w:pPr>
        <w:spacing w:line="360" w:lineRule="auto"/>
        <w:outlineLvl w:val="9"/>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说明：</w:t>
      </w:r>
    </w:p>
    <w:p>
      <w:pPr>
        <w:pStyle w:val="28"/>
        <w:spacing w:line="360" w:lineRule="auto"/>
        <w:ind w:left="418" w:hanging="418"/>
        <w:outlineLvl w:val="9"/>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1.如投标供应商是企业（包括合伙企业），提供在工商部门注册的有效“企业法人营业执照”或“营业执照”；</w:t>
      </w:r>
    </w:p>
    <w:p>
      <w:pPr>
        <w:pStyle w:val="28"/>
        <w:spacing w:line="360" w:lineRule="auto"/>
        <w:ind w:left="418" w:hanging="418"/>
        <w:outlineLvl w:val="9"/>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2.如投标供应商是事业单位，提供有效的“事业单位法人证书”；</w:t>
      </w:r>
    </w:p>
    <w:p>
      <w:pPr>
        <w:pStyle w:val="28"/>
        <w:spacing w:line="360" w:lineRule="auto"/>
        <w:ind w:left="418" w:hanging="418"/>
        <w:outlineLvl w:val="9"/>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3.如投标供应商是非企业专业服务机构的，提供执业许可证等证明文件；</w:t>
      </w:r>
    </w:p>
    <w:p>
      <w:pPr>
        <w:pStyle w:val="28"/>
        <w:spacing w:line="360" w:lineRule="auto"/>
        <w:ind w:left="418" w:hanging="418"/>
        <w:outlineLvl w:val="9"/>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4.如投标供应商是个体工商户，提供有效的“个体工商户营业执照”；</w:t>
      </w:r>
    </w:p>
    <w:p>
      <w:pPr>
        <w:pStyle w:val="28"/>
        <w:spacing w:line="360" w:lineRule="auto"/>
        <w:ind w:left="418" w:hanging="418"/>
        <w:outlineLvl w:val="9"/>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5.如投标供应商是自然人，提供有效的自然人身份证明。</w:t>
      </w:r>
    </w:p>
    <w:p>
      <w:pPr>
        <w:snapToGrid w:val="0"/>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bCs/>
          <w:color w:val="auto"/>
          <w:sz w:val="24"/>
          <w:highlight w:val="none"/>
        </w:rPr>
        <w:t>附件4</w:t>
      </w:r>
    </w:p>
    <w:p>
      <w:pPr>
        <w:spacing w:line="360" w:lineRule="auto"/>
        <w:jc w:val="center"/>
        <w:outlineLvl w:val="9"/>
        <w:rPr>
          <w:rFonts w:hint="eastAsia" w:ascii="宋体" w:hAnsi="宋体" w:eastAsia="宋体" w:cs="宋体"/>
          <w:b/>
          <w:bCs/>
          <w:snapToGrid w:val="0"/>
          <w:color w:val="auto"/>
          <w:sz w:val="22"/>
          <w:szCs w:val="22"/>
          <w:highlight w:val="none"/>
        </w:rPr>
      </w:pPr>
      <w:r>
        <w:rPr>
          <w:rFonts w:hint="eastAsia" w:ascii="宋体" w:hAnsi="宋体" w:eastAsia="宋体" w:cs="宋体"/>
          <w:b/>
          <w:bCs/>
          <w:snapToGrid w:val="0"/>
          <w:color w:val="auto"/>
          <w:sz w:val="22"/>
          <w:szCs w:val="22"/>
          <w:highlight w:val="none"/>
        </w:rPr>
        <w:t>符合《温州市市属国有企业采购管理办法（试行）》温国资委〔2020〕125号第十五条对投标供应商的基本资格条件承诺函</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bCs/>
          <w:color w:val="auto"/>
          <w:spacing w:val="-6"/>
          <w:sz w:val="22"/>
          <w:szCs w:val="22"/>
          <w:highlight w:val="none"/>
        </w:rPr>
        <w:t>致：</w:t>
      </w:r>
      <w:r>
        <w:rPr>
          <w:rFonts w:hint="eastAsia" w:ascii="宋体" w:hAnsi="宋体" w:eastAsia="宋体" w:cs="宋体"/>
          <w:color w:val="auto"/>
          <w:sz w:val="22"/>
          <w:szCs w:val="22"/>
          <w:highlight w:val="none"/>
        </w:rPr>
        <w:t>温州市公用事业发展集团有限公司、温州市城市建设发展集团有限公司、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温州市现代服务业发展集团有限公司、温州市交通运输集团有限公司、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温州市工业与能源发展集团有限公司、温州市交通发展集团有限公司、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温州市铁路与轨道交通投资集团有限公司、温州市国有资本投资运营有限公司、</w:t>
      </w:r>
    </w:p>
    <w:p>
      <w:pPr>
        <w:spacing w:line="360" w:lineRule="auto"/>
        <w:jc w:val="left"/>
        <w:outlineLvl w:val="9"/>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温州建设集团有限公司、温州设计集团有限公司、浙江乐诚工程咨询有限公司</w:t>
      </w:r>
      <w:r>
        <w:rPr>
          <w:rFonts w:hint="eastAsia" w:ascii="宋体" w:hAnsi="宋体" w:eastAsia="宋体" w:cs="宋体"/>
          <w:b/>
          <w:color w:val="auto"/>
          <w:sz w:val="22"/>
          <w:szCs w:val="22"/>
          <w:highlight w:val="none"/>
        </w:rPr>
        <w:t>：</w:t>
      </w:r>
    </w:p>
    <w:p>
      <w:pPr>
        <w:spacing w:line="360" w:lineRule="auto"/>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我单位就</w:t>
      </w:r>
      <w:r>
        <w:rPr>
          <w:rFonts w:hint="eastAsia" w:ascii="宋体" w:hAnsi="宋体" w:eastAsia="宋体" w:cs="宋体"/>
          <w:color w:val="auto"/>
          <w:sz w:val="22"/>
          <w:highlight w:val="none"/>
          <w:u w:val="single"/>
        </w:rPr>
        <w:t>市属国有企业评估服务供应商库采购（两年）（项目名称）（标项：  ）WGSS-GYJT-X-2024041（项目编号）</w:t>
      </w:r>
      <w:r>
        <w:rPr>
          <w:rFonts w:hint="eastAsia" w:ascii="宋体" w:hAnsi="宋体" w:eastAsia="宋体" w:cs="宋体"/>
          <w:color w:val="auto"/>
          <w:sz w:val="22"/>
          <w:highlight w:val="none"/>
        </w:rPr>
        <w:t>项目承诺具备下列条件：</w:t>
      </w:r>
    </w:p>
    <w:p>
      <w:pPr>
        <w:spacing w:line="360" w:lineRule="auto"/>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（一）具有独立承担民事责任的能力；</w:t>
      </w:r>
    </w:p>
    <w:p>
      <w:pPr>
        <w:spacing w:line="360" w:lineRule="auto"/>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（二）具有良好的商业信誉和健全的财务会计制度；</w:t>
      </w:r>
    </w:p>
    <w:p>
      <w:pPr>
        <w:spacing w:line="360" w:lineRule="auto"/>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（三）具有履行合同所必需的设备和专业技术、售后保障等能力；</w:t>
      </w:r>
    </w:p>
    <w:p>
      <w:pPr>
        <w:spacing w:line="360" w:lineRule="auto"/>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（四）有依法缴纳税收和社会保障资金的良好记录；</w:t>
      </w:r>
    </w:p>
    <w:p>
      <w:pPr>
        <w:spacing w:line="360" w:lineRule="auto"/>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（五）参加采购、招投标等活动前三年内，在经营活动中没有重大违法记录、严重失信行为和行贿记录；</w:t>
      </w:r>
    </w:p>
    <w:p>
      <w:pPr>
        <w:spacing w:line="360" w:lineRule="auto"/>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（六）法律、行政法规规定的其他条件。</w:t>
      </w:r>
    </w:p>
    <w:p>
      <w:pPr>
        <w:spacing w:line="360" w:lineRule="auto"/>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七）未被“信用中国”（www.creditchina.gov.cn）、中国政府采购网（www.ccgp.gov.cn）列入失信被执行人、重大税收违法案件当事人名单、政府采购严重违法失信行为记录名单：以采购代理机构在开标当日查询记录为准。</w:t>
      </w:r>
    </w:p>
    <w:p>
      <w:pPr>
        <w:spacing w:line="360" w:lineRule="auto"/>
        <w:ind w:firstLine="442" w:firstLineChars="200"/>
        <w:outlineLvl w:val="9"/>
        <w:rPr>
          <w:rStyle w:val="60"/>
          <w:rFonts w:hint="eastAsia" w:ascii="宋体" w:hAnsi="宋体" w:eastAsia="宋体" w:cs="宋体"/>
          <w:b/>
          <w:bCs/>
          <w:color w:val="auto"/>
          <w:sz w:val="22"/>
          <w:highlight w:val="none"/>
        </w:rPr>
      </w:pPr>
      <w:r>
        <w:rPr>
          <w:rStyle w:val="60"/>
          <w:rFonts w:hint="eastAsia" w:ascii="宋体" w:hAnsi="宋体" w:eastAsia="宋体" w:cs="宋体"/>
          <w:b/>
          <w:bCs/>
          <w:color w:val="auto"/>
          <w:sz w:val="22"/>
          <w:highlight w:val="none"/>
        </w:rPr>
        <w:t>本公司对上述承诺的真实性负责。上述承诺如有虚假，将按“提供虚假材料谋取中标、成交”情形，由采购人取消我公司任何资格（投标/中标/签订合同），且由采购人/采购代理机构报告至监管部门。</w:t>
      </w:r>
    </w:p>
    <w:p>
      <w:pPr>
        <w:pStyle w:val="31"/>
        <w:spacing w:before="0" w:beforeAutospacing="0" w:after="0" w:afterAutospacing="0" w:line="360" w:lineRule="auto"/>
        <w:ind w:firstLine="420"/>
        <w:outlineLvl w:val="9"/>
        <w:rPr>
          <w:rStyle w:val="60"/>
          <w:rFonts w:hint="eastAsia" w:ascii="宋体" w:hAnsi="宋体" w:eastAsia="宋体" w:cs="宋体"/>
          <w:color w:val="auto"/>
          <w:sz w:val="22"/>
          <w:highlight w:val="none"/>
        </w:rPr>
      </w:pPr>
      <w:r>
        <w:rPr>
          <w:rStyle w:val="60"/>
          <w:rFonts w:hint="eastAsia" w:ascii="宋体" w:hAnsi="宋体" w:eastAsia="宋体" w:cs="宋体"/>
          <w:color w:val="auto"/>
          <w:sz w:val="22"/>
          <w:highlight w:val="none"/>
        </w:rPr>
        <w:t>我单位已知晓前述法律规定，对此无任何异议。</w:t>
      </w:r>
    </w:p>
    <w:p>
      <w:pPr>
        <w:pStyle w:val="31"/>
        <w:spacing w:before="0" w:beforeAutospacing="0" w:after="0" w:afterAutospacing="0" w:line="360" w:lineRule="auto"/>
        <w:ind w:firstLine="420"/>
        <w:outlineLvl w:val="9"/>
        <w:rPr>
          <w:rFonts w:hint="eastAsia" w:ascii="宋体" w:hAnsi="宋体" w:eastAsia="宋体" w:cs="宋体"/>
          <w:snapToGrid w:val="0"/>
          <w:color w:val="auto"/>
          <w:sz w:val="22"/>
          <w:highlight w:val="none"/>
        </w:rPr>
      </w:pPr>
      <w:r>
        <w:rPr>
          <w:rStyle w:val="60"/>
          <w:rFonts w:hint="eastAsia" w:ascii="宋体" w:hAnsi="宋体" w:eastAsia="宋体" w:cs="宋体"/>
          <w:b/>
          <w:bCs/>
          <w:color w:val="auto"/>
          <w:sz w:val="22"/>
          <w:highlight w:val="none"/>
        </w:rPr>
        <w:t>注：</w:t>
      </w:r>
      <w:r>
        <w:rPr>
          <w:rStyle w:val="60"/>
          <w:rFonts w:hint="eastAsia" w:ascii="宋体" w:hAnsi="宋体" w:eastAsia="宋体" w:cs="宋体"/>
          <w:color w:val="auto"/>
          <w:sz w:val="22"/>
          <w:highlight w:val="none"/>
          <w:u w:val="single"/>
        </w:rPr>
        <w:t>▲</w:t>
      </w:r>
      <w:r>
        <w:rPr>
          <w:rStyle w:val="60"/>
          <w:rFonts w:hint="eastAsia" w:ascii="宋体" w:hAnsi="宋体" w:eastAsia="宋体" w:cs="宋体"/>
          <w:b/>
          <w:bCs/>
          <w:color w:val="auto"/>
          <w:sz w:val="22"/>
          <w:highlight w:val="none"/>
          <w:u w:val="single"/>
        </w:rPr>
        <w:t>本承诺函必须提供。</w:t>
      </w:r>
    </w:p>
    <w:p>
      <w:pPr>
        <w:pStyle w:val="2"/>
        <w:spacing w:line="360" w:lineRule="auto"/>
        <w:ind w:firstLine="220"/>
        <w:outlineLvl w:val="9"/>
        <w:rPr>
          <w:rFonts w:hint="eastAsia" w:ascii="宋体" w:hAnsi="宋体" w:eastAsia="宋体" w:cs="宋体"/>
          <w:color w:val="auto"/>
          <w:sz w:val="22"/>
          <w:szCs w:val="22"/>
          <w:highlight w:val="none"/>
        </w:rPr>
      </w:pP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投标供应商全称（电子签章或公章）：</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p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pPr>
        <w:snapToGrid w:val="0"/>
        <w:spacing w:line="360" w:lineRule="auto"/>
        <w:outlineLvl w:val="9"/>
        <w:rPr>
          <w:rFonts w:hint="eastAsia" w:ascii="宋体" w:hAnsi="宋体" w:eastAsia="宋体" w:cs="宋体"/>
          <w:b/>
          <w:bCs/>
          <w:color w:val="auto"/>
          <w:sz w:val="24"/>
          <w:highlight w:val="none"/>
        </w:rPr>
      </w:pPr>
      <w:bookmarkStart w:id="238" w:name="_Toc652"/>
      <w:bookmarkStart w:id="239" w:name="_Toc8279"/>
      <w:bookmarkStart w:id="240" w:name="_Toc21260"/>
      <w:bookmarkStart w:id="241" w:name="_Toc6522"/>
      <w:bookmarkStart w:id="242" w:name="_Toc11028"/>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附件5</w:t>
      </w:r>
    </w:p>
    <w:p>
      <w:pPr>
        <w:snapToGrid w:val="0"/>
        <w:spacing w:line="360" w:lineRule="auto"/>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本项目特定资格要求证明材料</w:t>
      </w:r>
    </w:p>
    <w:p>
      <w:pPr>
        <w:spacing w:line="360" w:lineRule="auto"/>
        <w:jc w:val="center"/>
        <w:outlineLvl w:val="9"/>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1、声明函</w:t>
      </w:r>
    </w:p>
    <w:p>
      <w:pPr>
        <w:spacing w:line="360" w:lineRule="auto"/>
        <w:outlineLvl w:val="9"/>
        <w:rPr>
          <w:rFonts w:hint="eastAsia" w:ascii="宋体" w:hAnsi="宋体" w:eastAsia="宋体" w:cs="宋体"/>
          <w:color w:val="auto"/>
          <w:spacing w:val="-6"/>
          <w:sz w:val="24"/>
          <w:highlight w:val="none"/>
        </w:rPr>
      </w:pP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bCs/>
          <w:color w:val="auto"/>
          <w:spacing w:val="-6"/>
          <w:sz w:val="22"/>
          <w:szCs w:val="22"/>
          <w:highlight w:val="none"/>
        </w:rPr>
        <w:t>致：</w:t>
      </w:r>
      <w:r>
        <w:rPr>
          <w:rFonts w:hint="eastAsia" w:ascii="宋体" w:hAnsi="宋体" w:eastAsia="宋体" w:cs="宋体"/>
          <w:color w:val="auto"/>
          <w:sz w:val="22"/>
          <w:szCs w:val="22"/>
          <w:highlight w:val="none"/>
        </w:rPr>
        <w:t>温州市公用事业发展集团有限公司、温州市城市建设发展集团有限公司、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温州市现代服务业发展集团有限公司、温州市交通运输集团有限公司、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温州市工业与能源发展集团有限公司、温州市交通发展集团有限公司、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温州市铁路与轨道交通投资集团有限公司、温州市国有资本投资运营有限公司、</w:t>
      </w:r>
    </w:p>
    <w:p>
      <w:pPr>
        <w:spacing w:line="360" w:lineRule="auto"/>
        <w:jc w:val="left"/>
        <w:outlineLvl w:val="9"/>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温州建设集团有限公司、温州设计集团有限公司、浙江乐诚工程咨询有限公司</w:t>
      </w:r>
      <w:r>
        <w:rPr>
          <w:rFonts w:hint="eastAsia" w:ascii="宋体" w:hAnsi="宋体" w:eastAsia="宋体" w:cs="宋体"/>
          <w:b/>
          <w:color w:val="auto"/>
          <w:sz w:val="22"/>
          <w:szCs w:val="22"/>
          <w:highlight w:val="none"/>
        </w:rPr>
        <w:t>：</w:t>
      </w:r>
    </w:p>
    <w:p>
      <w:pPr>
        <w:spacing w:line="360" w:lineRule="auto"/>
        <w:ind w:firstLine="440" w:firstLineChars="200"/>
        <w:outlineLvl w:val="9"/>
        <w:rPr>
          <w:rFonts w:hint="eastAsia" w:ascii="宋体" w:hAnsi="宋体" w:eastAsia="宋体" w:cs="宋体"/>
          <w:color w:val="auto"/>
          <w:sz w:val="22"/>
          <w:szCs w:val="22"/>
          <w:highlight w:val="none"/>
        </w:rPr>
      </w:pPr>
    </w:p>
    <w:p>
      <w:pP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我单位就</w:t>
      </w:r>
      <w:r>
        <w:rPr>
          <w:rFonts w:hint="eastAsia" w:ascii="宋体" w:hAnsi="宋体" w:eastAsia="宋体" w:cs="宋体"/>
          <w:color w:val="auto"/>
          <w:sz w:val="22"/>
          <w:szCs w:val="22"/>
          <w:highlight w:val="none"/>
          <w:u w:val="single"/>
        </w:rPr>
        <w:t>市属国有企业评估服务供应商库采购（两年）（项目名称）（标项：  ）WGSS-GYJT-X-2024041（项目编号）</w:t>
      </w:r>
      <w:r>
        <w:rPr>
          <w:rFonts w:hint="eastAsia" w:ascii="宋体" w:hAnsi="宋体" w:eastAsia="宋体" w:cs="宋体"/>
          <w:color w:val="auto"/>
          <w:sz w:val="22"/>
          <w:highlight w:val="none"/>
        </w:rPr>
        <w:t>项目承诺具备下列条件</w:t>
      </w:r>
      <w:r>
        <w:rPr>
          <w:rFonts w:hint="eastAsia" w:ascii="宋体" w:hAnsi="宋体" w:eastAsia="宋体" w:cs="宋体"/>
          <w:color w:val="auto"/>
          <w:sz w:val="22"/>
          <w:szCs w:val="22"/>
          <w:highlight w:val="none"/>
        </w:rPr>
        <w:t>：</w:t>
      </w:r>
    </w:p>
    <w:p>
      <w:pPr>
        <w:numPr>
          <w:ilvl w:val="0"/>
          <w:numId w:val="17"/>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若发生我单位和其他投标供应商的单位负责人为同一人或者存在直接控股、管理关系的不同单位同时参与投标的，投标无效；</w:t>
      </w:r>
    </w:p>
    <w:p>
      <w:pPr>
        <w:numPr>
          <w:ilvl w:val="0"/>
          <w:numId w:val="17"/>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具备法定执业资格，具有与企业评估需求相适应的资质条件、专业人员和专业特长；</w:t>
      </w:r>
    </w:p>
    <w:p>
      <w:pPr>
        <w:numPr>
          <w:ilvl w:val="0"/>
          <w:numId w:val="17"/>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近3年内没有重大违法违规执业记录，在承担国有资产评估工作中未出现重大质量问题或不良记录；</w:t>
      </w:r>
    </w:p>
    <w:p>
      <w:pPr>
        <w:numPr>
          <w:ilvl w:val="0"/>
          <w:numId w:val="17"/>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掌握企业所在行业的经济行为特点和相关市场信息，熟悉与企业及其所在行业相关的法规、政策；</w:t>
      </w:r>
    </w:p>
    <w:p>
      <w:pPr>
        <w:numPr>
          <w:ilvl w:val="0"/>
          <w:numId w:val="17"/>
        </w:num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具备健全、完善的内部质量控制体系，建有国有资产评估报告三级及三级以上审核制度。</w:t>
      </w:r>
    </w:p>
    <w:p>
      <w:pPr>
        <w:spacing w:line="360" w:lineRule="auto"/>
        <w:ind w:left="4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特此声明！</w:t>
      </w:r>
    </w:p>
    <w:p>
      <w:pPr>
        <w:pStyle w:val="2"/>
        <w:spacing w:line="360" w:lineRule="auto"/>
        <w:ind w:firstLine="220"/>
        <w:jc w:val="both"/>
        <w:outlineLvl w:val="9"/>
        <w:rPr>
          <w:rFonts w:hint="eastAsia" w:ascii="宋体" w:hAnsi="宋体" w:eastAsia="宋体" w:cs="宋体"/>
          <w:color w:val="auto"/>
          <w:sz w:val="22"/>
          <w:szCs w:val="22"/>
          <w:highlight w:val="none"/>
        </w:rPr>
      </w:pPr>
    </w:p>
    <w:p>
      <w:p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投标供应商全称（电子签章或公章）：</w:t>
      </w:r>
    </w:p>
    <w:p>
      <w:p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p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pPr>
        <w:snapToGrid w:val="0"/>
        <w:spacing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bookmarkEnd w:id="238"/>
      <w:bookmarkEnd w:id="239"/>
      <w:bookmarkEnd w:id="240"/>
      <w:bookmarkEnd w:id="241"/>
      <w:bookmarkEnd w:id="242"/>
      <w:r>
        <w:rPr>
          <w:rFonts w:hint="eastAsia" w:ascii="宋体" w:hAnsi="宋体" w:eastAsia="宋体" w:cs="宋体"/>
          <w:b/>
          <w:bCs/>
          <w:color w:val="auto"/>
          <w:sz w:val="24"/>
          <w:highlight w:val="none"/>
        </w:rPr>
        <w:t>附件6</w:t>
      </w:r>
    </w:p>
    <w:p>
      <w:pPr>
        <w:snapToGrid w:val="0"/>
        <w:spacing w:line="360" w:lineRule="auto"/>
        <w:outlineLvl w:val="9"/>
        <w:rPr>
          <w:rFonts w:hint="eastAsia" w:ascii="宋体" w:hAnsi="宋体" w:eastAsia="宋体" w:cs="宋体"/>
          <w:b/>
          <w:bCs/>
          <w:color w:val="auto"/>
          <w:sz w:val="24"/>
          <w:highlight w:val="none"/>
        </w:rPr>
      </w:pPr>
    </w:p>
    <w:p>
      <w:pPr>
        <w:snapToGrid w:val="0"/>
        <w:spacing w:line="360" w:lineRule="auto"/>
        <w:jc w:val="center"/>
        <w:outlineLvl w:val="9"/>
        <w:rPr>
          <w:rFonts w:hint="eastAsia" w:ascii="宋体" w:hAnsi="宋体" w:eastAsia="宋体" w:cs="宋体"/>
          <w:b/>
          <w:bCs/>
          <w:color w:val="auto"/>
          <w:sz w:val="24"/>
          <w:highlight w:val="none"/>
        </w:rPr>
      </w:pPr>
      <w:bookmarkStart w:id="243" w:name="_Toc21497"/>
      <w:bookmarkStart w:id="244" w:name="_Toc14276"/>
      <w:bookmarkStart w:id="245" w:name="_Toc23021"/>
      <w:bookmarkStart w:id="246" w:name="_Toc12537"/>
      <w:bookmarkStart w:id="247" w:name="_Toc21832"/>
      <w:r>
        <w:rPr>
          <w:rFonts w:hint="eastAsia" w:ascii="宋体" w:hAnsi="宋体" w:eastAsia="宋体" w:cs="宋体"/>
          <w:b/>
          <w:bCs/>
          <w:color w:val="auto"/>
          <w:sz w:val="24"/>
          <w:highlight w:val="none"/>
        </w:rPr>
        <w:t>保证金缴纳到账凭证</w:t>
      </w:r>
      <w:bookmarkEnd w:id="243"/>
      <w:bookmarkEnd w:id="244"/>
      <w:bookmarkEnd w:id="245"/>
      <w:bookmarkEnd w:id="246"/>
      <w:bookmarkEnd w:id="247"/>
    </w:p>
    <w:p>
      <w:pPr>
        <w:snapToGrid w:val="0"/>
        <w:spacing w:line="360" w:lineRule="auto"/>
        <w:outlineLvl w:val="9"/>
        <w:rPr>
          <w:rFonts w:hint="eastAsia" w:ascii="宋体" w:hAnsi="宋体" w:eastAsia="宋体" w:cs="宋体"/>
          <w:b/>
          <w:bCs/>
          <w:color w:val="auto"/>
          <w:sz w:val="24"/>
          <w:highlight w:val="none"/>
        </w:rPr>
      </w:pPr>
    </w:p>
    <w:p>
      <w:pPr>
        <w:tabs>
          <w:tab w:val="left" w:pos="1905"/>
        </w:tabs>
        <w:spacing w:line="360" w:lineRule="auto"/>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三、商务和技术文件部分格式</w:t>
      </w:r>
      <w:bookmarkEnd w:id="233"/>
      <w:bookmarkEnd w:id="234"/>
      <w:bookmarkEnd w:id="235"/>
      <w:bookmarkEnd w:id="236"/>
      <w:bookmarkEnd w:id="237"/>
    </w:p>
    <w:p>
      <w:pPr>
        <w:tabs>
          <w:tab w:val="left" w:pos="1905"/>
        </w:tabs>
        <w:spacing w:line="360" w:lineRule="auto"/>
        <w:jc w:val="left"/>
        <w:outlineLvl w:val="9"/>
        <w:rPr>
          <w:rFonts w:hint="eastAsia" w:ascii="宋体" w:hAnsi="宋体" w:eastAsia="宋体" w:cs="宋体"/>
          <w:color w:val="auto"/>
          <w:sz w:val="22"/>
          <w:szCs w:val="22"/>
          <w:highlight w:val="none"/>
        </w:rPr>
      </w:pPr>
    </w:p>
    <w:p>
      <w:pPr>
        <w:tabs>
          <w:tab w:val="left" w:pos="1905"/>
        </w:tabs>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商务和技术文件封面格式：</w:t>
      </w:r>
    </w:p>
    <w:p>
      <w:pPr>
        <w:tabs>
          <w:tab w:val="left" w:pos="1905"/>
        </w:tabs>
        <w:spacing w:line="360" w:lineRule="auto"/>
        <w:jc w:val="left"/>
        <w:outlineLvl w:val="9"/>
        <w:rPr>
          <w:rFonts w:hint="eastAsia" w:ascii="宋体" w:hAnsi="宋体" w:eastAsia="宋体" w:cs="宋体"/>
          <w:color w:val="auto"/>
          <w:sz w:val="22"/>
          <w:szCs w:val="22"/>
          <w:highlight w:val="none"/>
        </w:rPr>
      </w:pPr>
    </w:p>
    <w:p>
      <w:pPr>
        <w:pStyle w:val="2"/>
        <w:ind w:firstLine="0" w:firstLineChars="0"/>
        <w:outlineLvl w:val="9"/>
        <w:rPr>
          <w:rFonts w:hint="eastAsia" w:ascii="宋体" w:hAnsi="宋体" w:eastAsia="宋体" w:cs="宋体"/>
          <w:bCs/>
          <w:color w:val="auto"/>
          <w:highlight w:val="none"/>
        </w:rPr>
      </w:pPr>
      <w:r>
        <w:rPr>
          <w:rFonts w:hint="eastAsia" w:ascii="宋体" w:hAnsi="宋体" w:eastAsia="宋体" w:cs="宋体"/>
          <w:color w:val="auto"/>
          <w:highlight w:val="none"/>
        </w:rPr>
        <w:pict>
          <v:rect id="Text Box 11" o:spid="_x0000_s2065" o:spt="1" style="height:308.7pt;width:442.35pt;" coordsize="21600,21600">
            <v:path/>
            <v:fill focussize="0,0"/>
            <v:stroke/>
            <v:imagedata o:title=""/>
            <o:lock v:ext="edit"/>
            <v:textbox>
              <w:txbxContent>
                <w:p>
                  <w:pPr>
                    <w:snapToGrid w:val="0"/>
                    <w:spacing w:beforeLines="50" w:after="50"/>
                    <w:jc w:val="right"/>
                    <w:rPr>
                      <w:rFonts w:ascii="宋体"/>
                      <w:b/>
                      <w:bCs/>
                      <w:sz w:val="22"/>
                      <w:szCs w:val="22"/>
                    </w:rPr>
                  </w:pPr>
                </w:p>
                <w:p>
                  <w:pPr>
                    <w:snapToGrid w:val="0"/>
                    <w:spacing w:beforeLines="50" w:after="50"/>
                    <w:rPr>
                      <w:rFonts w:ascii="宋体"/>
                      <w:sz w:val="24"/>
                      <w:szCs w:val="20"/>
                    </w:rPr>
                  </w:pPr>
                </w:p>
                <w:p>
                  <w:pPr>
                    <w:snapToGrid w:val="0"/>
                    <w:spacing w:beforeLines="50" w:after="50"/>
                    <w:jc w:val="center"/>
                    <w:rPr>
                      <w:rFonts w:ascii="宋体"/>
                      <w:bCs/>
                      <w:sz w:val="24"/>
                      <w:szCs w:val="20"/>
                    </w:rPr>
                  </w:pPr>
                  <w:r>
                    <w:rPr>
                      <w:rFonts w:hint="eastAsia" w:ascii="宋体" w:hAnsi="宋体"/>
                      <w:bCs/>
                      <w:sz w:val="24"/>
                      <w:szCs w:val="20"/>
                    </w:rPr>
                    <w:t>商务和技术文件</w:t>
                  </w:r>
                </w:p>
                <w:p>
                  <w:pPr>
                    <w:snapToGrid w:val="0"/>
                    <w:spacing w:beforeLines="50" w:after="50"/>
                    <w:rPr>
                      <w:rFonts w:ascii="宋体"/>
                      <w:bCs/>
                      <w:sz w:val="24"/>
                      <w:szCs w:val="20"/>
                    </w:rPr>
                  </w:pPr>
                </w:p>
                <w:p>
                  <w:pPr>
                    <w:snapToGrid w:val="0"/>
                    <w:spacing w:beforeLines="50" w:after="50"/>
                    <w:ind w:firstLine="1068" w:firstLineChars="445"/>
                    <w:rPr>
                      <w:rFonts w:ascii="宋体"/>
                      <w:bCs/>
                      <w:sz w:val="24"/>
                    </w:rPr>
                  </w:pPr>
                  <w:r>
                    <w:rPr>
                      <w:rFonts w:hint="eastAsia" w:ascii="宋体" w:hAnsi="宋体"/>
                      <w:bCs/>
                      <w:sz w:val="24"/>
                    </w:rPr>
                    <w:t>项目名称：</w:t>
                  </w:r>
                  <w:r>
                    <w:rPr>
                      <w:rFonts w:hint="eastAsia" w:ascii="宋体" w:hAnsi="宋体" w:cs="宋体"/>
                      <w:sz w:val="24"/>
                    </w:rPr>
                    <w:t>市属国有企业评估服务供应商库采购（两年）</w:t>
                  </w:r>
                </w:p>
                <w:p>
                  <w:pPr>
                    <w:snapToGrid w:val="0"/>
                    <w:spacing w:beforeLines="50" w:after="50"/>
                    <w:ind w:firstLine="1068" w:firstLineChars="445"/>
                    <w:rPr>
                      <w:rFonts w:ascii="宋体" w:hAnsi="宋体" w:cs="宋体"/>
                      <w:sz w:val="24"/>
                    </w:rPr>
                  </w:pPr>
                  <w:r>
                    <w:rPr>
                      <w:rFonts w:hint="eastAsia" w:ascii="宋体" w:hAnsi="宋体" w:cs="宋体"/>
                      <w:sz w:val="24"/>
                    </w:rPr>
                    <w:t>项目编号：WGSS-GYJT-X-2024041</w:t>
                  </w:r>
                </w:p>
                <w:p>
                  <w:pPr>
                    <w:snapToGrid w:val="0"/>
                    <w:spacing w:beforeLines="50" w:after="50"/>
                    <w:ind w:firstLine="1068" w:firstLineChars="445"/>
                    <w:rPr>
                      <w:rFonts w:ascii="宋体" w:hAnsi="宋体" w:cs="宋体"/>
                      <w:sz w:val="24"/>
                    </w:rPr>
                  </w:pPr>
                  <w:r>
                    <w:rPr>
                      <w:rFonts w:hint="eastAsia" w:ascii="宋体" w:hAnsi="宋体" w:cs="宋体"/>
                      <w:sz w:val="24"/>
                    </w:rPr>
                    <w:t>标项：</w:t>
                  </w:r>
                </w:p>
                <w:p>
                  <w:pPr>
                    <w:snapToGrid w:val="0"/>
                    <w:spacing w:beforeLines="50" w:after="50"/>
                    <w:ind w:firstLine="1068" w:firstLineChars="445"/>
                    <w:rPr>
                      <w:rFonts w:ascii="宋体"/>
                      <w:bCs/>
                      <w:sz w:val="24"/>
                    </w:rPr>
                  </w:pPr>
                  <w:r>
                    <w:rPr>
                      <w:rFonts w:hint="eastAsia" w:ascii="宋体" w:hAnsi="宋体"/>
                      <w:bCs/>
                      <w:sz w:val="24"/>
                    </w:rPr>
                    <w:t>投标供应商名称</w:t>
                  </w:r>
                  <w:r>
                    <w:rPr>
                      <w:rFonts w:hint="eastAsia" w:ascii="宋体" w:hAnsi="宋体" w:cs="宋体"/>
                      <w:sz w:val="24"/>
                    </w:rPr>
                    <w:t>（盖章）</w:t>
                  </w:r>
                  <w:r>
                    <w:rPr>
                      <w:rFonts w:hint="eastAsia" w:ascii="宋体" w:hAnsi="宋体"/>
                      <w:bCs/>
                      <w:sz w:val="24"/>
                    </w:rPr>
                    <w:t>：</w:t>
                  </w:r>
                </w:p>
                <w:p>
                  <w:pPr>
                    <w:snapToGrid w:val="0"/>
                    <w:spacing w:beforeLines="50" w:after="50"/>
                    <w:ind w:firstLine="1068" w:firstLineChars="445"/>
                    <w:rPr>
                      <w:rFonts w:ascii="宋体"/>
                      <w:bCs/>
                      <w:sz w:val="24"/>
                    </w:rPr>
                  </w:pPr>
                  <w:r>
                    <w:rPr>
                      <w:rFonts w:hint="eastAsia" w:ascii="宋体" w:hAnsi="宋体"/>
                      <w:bCs/>
                      <w:sz w:val="24"/>
                    </w:rPr>
                    <w:t>投标供应商地址：</w:t>
                  </w:r>
                </w:p>
                <w:p>
                  <w:pPr>
                    <w:snapToGrid w:val="0"/>
                    <w:spacing w:beforeLines="50" w:after="50"/>
                    <w:ind w:firstLine="1068" w:firstLineChars="445"/>
                    <w:rPr>
                      <w:rFonts w:ascii="宋体" w:cs="宋体"/>
                      <w:sz w:val="24"/>
                    </w:rPr>
                  </w:pPr>
                </w:p>
                <w:p>
                  <w:pPr>
                    <w:snapToGrid w:val="0"/>
                    <w:spacing w:beforeLines="50" w:after="50"/>
                    <w:ind w:firstLine="1068" w:firstLineChars="445"/>
                    <w:rPr>
                      <w:rFonts w:ascii="宋体"/>
                      <w:bCs/>
                      <w:sz w:val="24"/>
                    </w:rPr>
                  </w:pPr>
                </w:p>
                <w:p>
                  <w:pPr>
                    <w:snapToGrid w:val="0"/>
                    <w:spacing w:beforeLines="50" w:after="50"/>
                    <w:ind w:firstLine="4080" w:firstLineChars="1700"/>
                    <w:rPr>
                      <w:rFonts w:ascii="宋体"/>
                      <w:sz w:val="24"/>
                      <w:szCs w:val="20"/>
                    </w:rPr>
                  </w:pPr>
                </w:p>
                <w:p>
                  <w:pPr>
                    <w:jc w:val="center"/>
                  </w:pPr>
                  <w:r>
                    <w:rPr>
                      <w:rFonts w:hint="eastAsia"/>
                      <w:sz w:val="24"/>
                    </w:rPr>
                    <w:t>年   月  日</w:t>
                  </w:r>
                </w:p>
                <w:p>
                  <w:pPr>
                    <w:rPr>
                      <w:sz w:val="24"/>
                    </w:rPr>
                  </w:pPr>
                </w:p>
              </w:txbxContent>
            </v:textbox>
            <w10:wrap type="none"/>
            <w10:anchorlock/>
          </v:rect>
        </w:pict>
      </w:r>
    </w:p>
    <w:p>
      <w:pPr>
        <w:pStyle w:val="2"/>
        <w:ind w:firstLine="0" w:firstLineChars="0"/>
        <w:outlineLvl w:val="9"/>
        <w:rPr>
          <w:rFonts w:hint="eastAsia" w:ascii="宋体" w:hAnsi="宋体" w:eastAsia="宋体" w:cs="宋体"/>
          <w:color w:val="auto"/>
          <w:highlight w:val="none"/>
        </w:rPr>
      </w:pPr>
    </w:p>
    <w:p>
      <w:pPr>
        <w:pStyle w:val="2"/>
        <w:ind w:firstLine="240"/>
        <w:outlineLvl w:val="9"/>
        <w:rPr>
          <w:rFonts w:hint="eastAsia" w:ascii="宋体" w:hAnsi="宋体" w:eastAsia="宋体" w:cs="宋体"/>
          <w:color w:val="auto"/>
          <w:highlight w:val="none"/>
        </w:rPr>
      </w:pPr>
    </w:p>
    <w:p>
      <w:pPr>
        <w:snapToGrid w:val="0"/>
        <w:spacing w:line="400" w:lineRule="exact"/>
        <w:outlineLvl w:val="9"/>
        <w:rPr>
          <w:rFonts w:hint="eastAsia" w:ascii="宋体" w:hAnsi="宋体" w:eastAsia="宋体" w:cs="宋体"/>
          <w:b/>
          <w:color w:val="auto"/>
          <w:sz w:val="24"/>
          <w:highlight w:val="none"/>
        </w:rPr>
      </w:pPr>
    </w:p>
    <w:p>
      <w:pPr>
        <w:snapToGrid w:val="0"/>
        <w:spacing w:line="400" w:lineRule="exact"/>
        <w:outlineLvl w:val="9"/>
        <w:rPr>
          <w:rFonts w:hint="eastAsia" w:ascii="宋体" w:hAnsi="宋体" w:eastAsia="宋体" w:cs="宋体"/>
          <w:color w:val="auto"/>
          <w:sz w:val="24"/>
          <w:highlight w:val="none"/>
        </w:rPr>
      </w:pPr>
    </w:p>
    <w:p>
      <w:pPr>
        <w:spacing w:line="400" w:lineRule="exact"/>
        <w:outlineLvl w:val="9"/>
        <w:rPr>
          <w:rFonts w:hint="eastAsia" w:ascii="宋体" w:hAnsi="宋体" w:eastAsia="宋体" w:cs="宋体"/>
          <w:color w:val="auto"/>
          <w:sz w:val="24"/>
          <w:szCs w:val="20"/>
          <w:highlight w:val="none"/>
        </w:rPr>
      </w:pPr>
    </w:p>
    <w:p>
      <w:pPr>
        <w:spacing w:line="400" w:lineRule="exact"/>
        <w:outlineLvl w:val="9"/>
        <w:rPr>
          <w:rFonts w:hint="eastAsia" w:ascii="宋体" w:hAnsi="宋体" w:eastAsia="宋体" w:cs="宋体"/>
          <w:color w:val="auto"/>
          <w:sz w:val="24"/>
          <w:szCs w:val="20"/>
          <w:highlight w:val="none"/>
        </w:rPr>
      </w:pPr>
    </w:p>
    <w:p>
      <w:pPr>
        <w:spacing w:line="400" w:lineRule="exact"/>
        <w:outlineLvl w:val="9"/>
        <w:rPr>
          <w:rFonts w:hint="eastAsia" w:ascii="宋体" w:hAnsi="宋体" w:eastAsia="宋体" w:cs="宋体"/>
          <w:color w:val="auto"/>
          <w:sz w:val="24"/>
          <w:szCs w:val="20"/>
          <w:highlight w:val="none"/>
        </w:rPr>
      </w:pPr>
    </w:p>
    <w:p>
      <w:pPr>
        <w:spacing w:line="400" w:lineRule="exact"/>
        <w:outlineLvl w:val="9"/>
        <w:rPr>
          <w:rFonts w:hint="eastAsia" w:ascii="宋体" w:hAnsi="宋体" w:eastAsia="宋体" w:cs="宋体"/>
          <w:color w:val="auto"/>
          <w:sz w:val="24"/>
          <w:szCs w:val="20"/>
          <w:highlight w:val="none"/>
        </w:rPr>
      </w:pPr>
    </w:p>
    <w:p>
      <w:pPr>
        <w:spacing w:line="400" w:lineRule="exact"/>
        <w:outlineLvl w:val="9"/>
        <w:rPr>
          <w:rFonts w:hint="eastAsia" w:ascii="宋体" w:hAnsi="宋体" w:eastAsia="宋体" w:cs="宋体"/>
          <w:color w:val="auto"/>
          <w:sz w:val="24"/>
          <w:szCs w:val="20"/>
          <w:highlight w:val="none"/>
        </w:rPr>
      </w:pPr>
    </w:p>
    <w:p>
      <w:pPr>
        <w:spacing w:line="400" w:lineRule="exact"/>
        <w:outlineLvl w:val="9"/>
        <w:rPr>
          <w:rFonts w:hint="eastAsia" w:ascii="宋体" w:hAnsi="宋体" w:eastAsia="宋体" w:cs="宋体"/>
          <w:color w:val="auto"/>
          <w:sz w:val="24"/>
          <w:szCs w:val="20"/>
          <w:highlight w:val="none"/>
        </w:rPr>
      </w:pPr>
    </w:p>
    <w:p>
      <w:pPr>
        <w:spacing w:line="400" w:lineRule="exact"/>
        <w:outlineLvl w:val="9"/>
        <w:rPr>
          <w:rFonts w:hint="eastAsia" w:ascii="宋体" w:hAnsi="宋体" w:eastAsia="宋体" w:cs="宋体"/>
          <w:color w:val="auto"/>
          <w:sz w:val="24"/>
          <w:szCs w:val="20"/>
          <w:highlight w:val="none"/>
        </w:rPr>
      </w:pPr>
    </w:p>
    <w:p>
      <w:pPr>
        <w:spacing w:line="400" w:lineRule="exact"/>
        <w:outlineLvl w:val="9"/>
        <w:rPr>
          <w:rFonts w:hint="eastAsia" w:ascii="宋体" w:hAnsi="宋体" w:eastAsia="宋体" w:cs="宋体"/>
          <w:color w:val="auto"/>
          <w:sz w:val="24"/>
          <w:szCs w:val="20"/>
          <w:highlight w:val="none"/>
        </w:rPr>
      </w:pPr>
    </w:p>
    <w:p>
      <w:pPr>
        <w:spacing w:line="400" w:lineRule="exact"/>
        <w:outlineLvl w:val="9"/>
        <w:rPr>
          <w:rFonts w:hint="eastAsia" w:ascii="宋体" w:hAnsi="宋体" w:eastAsia="宋体" w:cs="宋体"/>
          <w:color w:val="auto"/>
          <w:sz w:val="24"/>
          <w:szCs w:val="20"/>
          <w:highlight w:val="none"/>
        </w:rPr>
      </w:pPr>
    </w:p>
    <w:p>
      <w:pPr>
        <w:spacing w:line="400" w:lineRule="exact"/>
        <w:outlineLvl w:val="9"/>
        <w:rPr>
          <w:rFonts w:hint="eastAsia" w:ascii="宋体" w:hAnsi="宋体" w:eastAsia="宋体" w:cs="宋体"/>
          <w:color w:val="auto"/>
          <w:sz w:val="24"/>
          <w:szCs w:val="20"/>
          <w:highlight w:val="none"/>
        </w:rPr>
      </w:pPr>
    </w:p>
    <w:p>
      <w:pPr>
        <w:pStyle w:val="71"/>
        <w:outlineLvl w:val="9"/>
        <w:rPr>
          <w:rFonts w:hint="eastAsia" w:ascii="宋体" w:hAnsi="宋体" w:eastAsia="宋体" w:cs="宋体"/>
          <w:color w:val="auto"/>
          <w:highlight w:val="none"/>
        </w:rPr>
      </w:pPr>
    </w:p>
    <w:p>
      <w:pPr>
        <w:tabs>
          <w:tab w:val="left" w:pos="1905"/>
        </w:tabs>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b/>
          <w:color w:val="auto"/>
          <w:sz w:val="22"/>
          <w:highlight w:val="none"/>
        </w:rPr>
        <w:br w:type="page"/>
      </w:r>
      <w:r>
        <w:rPr>
          <w:rFonts w:hint="eastAsia" w:ascii="宋体" w:hAnsi="宋体" w:eastAsia="宋体" w:cs="宋体"/>
          <w:b/>
          <w:bCs/>
          <w:color w:val="auto"/>
          <w:sz w:val="24"/>
          <w:highlight w:val="none"/>
        </w:rPr>
        <w:t>附件7</w:t>
      </w:r>
    </w:p>
    <w:p>
      <w:pPr>
        <w:tabs>
          <w:tab w:val="left" w:pos="1905"/>
        </w:tabs>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评分索引表</w:t>
      </w:r>
    </w:p>
    <w:p>
      <w:pPr>
        <w:spacing w:line="360" w:lineRule="auto"/>
        <w:ind w:firstLine="440" w:firstLineChars="20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为了方便专家评审投标文件，针对采购文件评分细则要求，投标供应商应制作标书索引，置于投标文件首页，格式如下：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360" w:lineRule="auto"/>
              <w:jc w:val="center"/>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序号</w:t>
            </w:r>
          </w:p>
        </w:tc>
        <w:tc>
          <w:tcPr>
            <w:tcW w:w="6956" w:type="dxa"/>
            <w:vAlign w:val="center"/>
          </w:tcPr>
          <w:p>
            <w:pPr>
              <w:spacing w:line="360" w:lineRule="auto"/>
              <w:jc w:val="center"/>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评分内容</w:t>
            </w:r>
          </w:p>
        </w:tc>
        <w:tc>
          <w:tcPr>
            <w:tcW w:w="1313" w:type="dxa"/>
            <w:vAlign w:val="center"/>
          </w:tcPr>
          <w:p>
            <w:pPr>
              <w:pStyle w:val="64"/>
              <w:tabs>
                <w:tab w:val="left" w:pos="1418"/>
              </w:tabs>
              <w:spacing w:line="360" w:lineRule="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360" w:lineRule="auto"/>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sz w:val="22"/>
                <w:szCs w:val="22"/>
                <w:highlight w:val="none"/>
              </w:rPr>
              <w:t>1</w:t>
            </w:r>
          </w:p>
        </w:tc>
        <w:tc>
          <w:tcPr>
            <w:tcW w:w="6956" w:type="dxa"/>
            <w:vAlign w:val="center"/>
          </w:tcPr>
          <w:p>
            <w:pPr>
              <w:spacing w:line="360" w:lineRule="auto"/>
              <w:jc w:val="left"/>
              <w:rPr>
                <w:rFonts w:hint="eastAsia" w:ascii="宋体" w:hAnsi="宋体" w:eastAsia="宋体" w:cs="宋体"/>
                <w:color w:val="auto"/>
                <w:kern w:val="0"/>
                <w:sz w:val="22"/>
                <w:szCs w:val="22"/>
                <w:highlight w:val="none"/>
              </w:rPr>
            </w:pPr>
          </w:p>
          <w:p>
            <w:pPr>
              <w:spacing w:line="360" w:lineRule="auto"/>
              <w:jc w:val="left"/>
              <w:rPr>
                <w:rFonts w:hint="eastAsia" w:ascii="宋体" w:hAnsi="宋体" w:eastAsia="宋体" w:cs="宋体"/>
                <w:color w:val="auto"/>
                <w:kern w:val="0"/>
                <w:sz w:val="22"/>
                <w:szCs w:val="22"/>
                <w:highlight w:val="none"/>
              </w:rPr>
            </w:pPr>
          </w:p>
        </w:tc>
        <w:tc>
          <w:tcPr>
            <w:tcW w:w="1313" w:type="dxa"/>
            <w:vAlign w:val="center"/>
          </w:tcPr>
          <w:p>
            <w:pPr>
              <w:pStyle w:val="13"/>
              <w:spacing w:line="360" w:lineRule="auto"/>
              <w:ind w:left="416" w:hanging="416"/>
              <w:rPr>
                <w:rFonts w:hint="eastAsia" w:ascii="宋体" w:hAnsi="宋体" w:eastAsia="宋体" w:cs="宋体"/>
                <w:color w:val="auto"/>
                <w:spacing w:val="-6"/>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360" w:lineRule="auto"/>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sz w:val="22"/>
                <w:szCs w:val="22"/>
                <w:highlight w:val="none"/>
              </w:rPr>
              <w:t>2</w:t>
            </w:r>
          </w:p>
        </w:tc>
        <w:tc>
          <w:tcPr>
            <w:tcW w:w="6956" w:type="dxa"/>
            <w:vAlign w:val="center"/>
          </w:tcPr>
          <w:p>
            <w:pPr>
              <w:spacing w:line="360" w:lineRule="auto"/>
              <w:jc w:val="left"/>
              <w:rPr>
                <w:rFonts w:hint="eastAsia" w:ascii="宋体" w:hAnsi="宋体" w:eastAsia="宋体" w:cs="宋体"/>
                <w:color w:val="auto"/>
                <w:kern w:val="0"/>
                <w:sz w:val="22"/>
                <w:szCs w:val="22"/>
                <w:highlight w:val="none"/>
              </w:rPr>
            </w:pPr>
          </w:p>
        </w:tc>
        <w:tc>
          <w:tcPr>
            <w:tcW w:w="1313" w:type="dxa"/>
            <w:vAlign w:val="center"/>
          </w:tcPr>
          <w:p>
            <w:pPr>
              <w:pStyle w:val="13"/>
              <w:spacing w:line="360" w:lineRule="auto"/>
              <w:ind w:left="440" w:hanging="440"/>
              <w:rPr>
                <w:rFonts w:hint="eastAsia" w:ascii="宋体" w:hAnsi="宋体" w:eastAsia="宋体" w:cs="宋体"/>
                <w:color w:val="auto"/>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360" w:lineRule="auto"/>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z w:val="22"/>
                <w:szCs w:val="22"/>
                <w:highlight w:val="none"/>
              </w:rPr>
              <w:t>3</w:t>
            </w:r>
          </w:p>
        </w:tc>
        <w:tc>
          <w:tcPr>
            <w:tcW w:w="6956" w:type="dxa"/>
            <w:vAlign w:val="center"/>
          </w:tcPr>
          <w:p>
            <w:pPr>
              <w:spacing w:line="360" w:lineRule="auto"/>
              <w:rPr>
                <w:rFonts w:hint="eastAsia" w:ascii="宋体" w:hAnsi="宋体" w:eastAsia="宋体" w:cs="宋体"/>
                <w:color w:val="auto"/>
                <w:sz w:val="22"/>
                <w:szCs w:val="22"/>
                <w:highlight w:val="none"/>
              </w:rPr>
            </w:pPr>
          </w:p>
        </w:tc>
        <w:tc>
          <w:tcPr>
            <w:tcW w:w="1313" w:type="dxa"/>
          </w:tcPr>
          <w:p>
            <w:pPr>
              <w:spacing w:line="360" w:lineRule="auto"/>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360" w:lineRule="auto"/>
              <w:jc w:val="center"/>
              <w:rPr>
                <w:rFonts w:hint="eastAsia" w:ascii="宋体" w:hAnsi="宋体" w:eastAsia="宋体" w:cs="宋体"/>
                <w:color w:val="auto"/>
                <w:spacing w:val="-6"/>
                <w:sz w:val="22"/>
                <w:szCs w:val="22"/>
                <w:highlight w:val="none"/>
              </w:rPr>
            </w:pPr>
            <w:r>
              <w:rPr>
                <w:rFonts w:hint="eastAsia" w:ascii="宋体" w:hAnsi="宋体" w:eastAsia="宋体" w:cs="宋体"/>
                <w:bCs/>
                <w:color w:val="auto"/>
                <w:sz w:val="22"/>
                <w:szCs w:val="22"/>
                <w:highlight w:val="none"/>
              </w:rPr>
              <w:t>4</w:t>
            </w:r>
          </w:p>
        </w:tc>
        <w:tc>
          <w:tcPr>
            <w:tcW w:w="6956" w:type="dxa"/>
            <w:vAlign w:val="center"/>
          </w:tcPr>
          <w:p>
            <w:pPr>
              <w:spacing w:line="360" w:lineRule="auto"/>
              <w:rPr>
                <w:rFonts w:hint="eastAsia" w:ascii="宋体" w:hAnsi="宋体" w:eastAsia="宋体" w:cs="宋体"/>
                <w:color w:val="auto"/>
                <w:sz w:val="22"/>
                <w:szCs w:val="22"/>
                <w:highlight w:val="none"/>
              </w:rPr>
            </w:pPr>
          </w:p>
        </w:tc>
        <w:tc>
          <w:tcPr>
            <w:tcW w:w="1313" w:type="dxa"/>
          </w:tcPr>
          <w:p>
            <w:pPr>
              <w:spacing w:line="360" w:lineRule="auto"/>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36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5</w:t>
            </w:r>
          </w:p>
        </w:tc>
        <w:tc>
          <w:tcPr>
            <w:tcW w:w="6956" w:type="dxa"/>
            <w:vAlign w:val="center"/>
          </w:tcPr>
          <w:p>
            <w:pPr>
              <w:spacing w:line="360" w:lineRule="auto"/>
              <w:jc w:val="left"/>
              <w:rPr>
                <w:rFonts w:hint="eastAsia" w:ascii="宋体" w:hAnsi="宋体" w:eastAsia="宋体" w:cs="宋体"/>
                <w:color w:val="auto"/>
                <w:sz w:val="22"/>
                <w:szCs w:val="22"/>
                <w:highlight w:val="none"/>
              </w:rPr>
            </w:pPr>
          </w:p>
        </w:tc>
        <w:tc>
          <w:tcPr>
            <w:tcW w:w="1313" w:type="dxa"/>
          </w:tcPr>
          <w:p>
            <w:pPr>
              <w:spacing w:line="360" w:lineRule="auto"/>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36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6</w:t>
            </w:r>
          </w:p>
        </w:tc>
        <w:tc>
          <w:tcPr>
            <w:tcW w:w="6956" w:type="dxa"/>
            <w:vAlign w:val="center"/>
          </w:tcPr>
          <w:p>
            <w:pPr>
              <w:spacing w:line="360" w:lineRule="auto"/>
              <w:jc w:val="left"/>
              <w:rPr>
                <w:rFonts w:hint="eastAsia" w:ascii="宋体" w:hAnsi="宋体" w:eastAsia="宋体" w:cs="宋体"/>
                <w:color w:val="auto"/>
                <w:sz w:val="22"/>
                <w:szCs w:val="22"/>
                <w:highlight w:val="none"/>
              </w:rPr>
            </w:pPr>
          </w:p>
        </w:tc>
        <w:tc>
          <w:tcPr>
            <w:tcW w:w="1313" w:type="dxa"/>
          </w:tcPr>
          <w:p>
            <w:pPr>
              <w:spacing w:line="360" w:lineRule="auto"/>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36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7</w:t>
            </w:r>
          </w:p>
        </w:tc>
        <w:tc>
          <w:tcPr>
            <w:tcW w:w="6956" w:type="dxa"/>
            <w:vAlign w:val="center"/>
          </w:tcPr>
          <w:p>
            <w:pPr>
              <w:spacing w:line="360" w:lineRule="auto"/>
              <w:jc w:val="left"/>
              <w:rPr>
                <w:rFonts w:hint="eastAsia" w:ascii="宋体" w:hAnsi="宋体" w:eastAsia="宋体" w:cs="宋体"/>
                <w:color w:val="auto"/>
                <w:sz w:val="22"/>
                <w:szCs w:val="22"/>
                <w:highlight w:val="none"/>
              </w:rPr>
            </w:pPr>
          </w:p>
        </w:tc>
        <w:tc>
          <w:tcPr>
            <w:tcW w:w="1313" w:type="dxa"/>
          </w:tcPr>
          <w:p>
            <w:pPr>
              <w:spacing w:line="360" w:lineRule="auto"/>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36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8</w:t>
            </w:r>
          </w:p>
        </w:tc>
        <w:tc>
          <w:tcPr>
            <w:tcW w:w="6956" w:type="dxa"/>
            <w:vAlign w:val="center"/>
          </w:tcPr>
          <w:p>
            <w:pPr>
              <w:spacing w:line="360" w:lineRule="auto"/>
              <w:rPr>
                <w:rFonts w:hint="eastAsia" w:ascii="宋体" w:hAnsi="宋体" w:eastAsia="宋体" w:cs="宋体"/>
                <w:color w:val="auto"/>
                <w:sz w:val="22"/>
                <w:szCs w:val="22"/>
                <w:highlight w:val="none"/>
              </w:rPr>
            </w:pPr>
          </w:p>
        </w:tc>
        <w:tc>
          <w:tcPr>
            <w:tcW w:w="1313" w:type="dxa"/>
          </w:tcPr>
          <w:p>
            <w:pPr>
              <w:spacing w:line="360" w:lineRule="auto"/>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36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w:t>
            </w:r>
          </w:p>
        </w:tc>
        <w:tc>
          <w:tcPr>
            <w:tcW w:w="6956" w:type="dxa"/>
            <w:vAlign w:val="center"/>
          </w:tcPr>
          <w:p>
            <w:pPr>
              <w:spacing w:line="360" w:lineRule="auto"/>
              <w:jc w:val="left"/>
              <w:rPr>
                <w:rFonts w:hint="eastAsia" w:ascii="宋体" w:hAnsi="宋体" w:eastAsia="宋体" w:cs="宋体"/>
                <w:color w:val="auto"/>
                <w:sz w:val="22"/>
                <w:szCs w:val="22"/>
                <w:highlight w:val="none"/>
              </w:rPr>
            </w:pPr>
          </w:p>
        </w:tc>
        <w:tc>
          <w:tcPr>
            <w:tcW w:w="1313" w:type="dxa"/>
          </w:tcPr>
          <w:p>
            <w:pPr>
              <w:spacing w:line="360" w:lineRule="auto"/>
              <w:rPr>
                <w:rFonts w:hint="eastAsia" w:ascii="宋体" w:hAnsi="宋体" w:eastAsia="宋体" w:cs="宋体"/>
                <w:bCs/>
                <w:color w:val="auto"/>
                <w:sz w:val="22"/>
                <w:szCs w:val="22"/>
                <w:highlight w:val="none"/>
              </w:rPr>
            </w:pPr>
          </w:p>
        </w:tc>
      </w:tr>
    </w:tbl>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备注：一.“评分内容”对应“第五部分”评标原则及方法。</w:t>
      </w:r>
      <w:bookmarkStart w:id="248" w:name="_Toc13944"/>
      <w:bookmarkStart w:id="249" w:name="_Toc29847"/>
      <w:bookmarkStart w:id="250" w:name="_Toc20221"/>
      <w:bookmarkStart w:id="251" w:name="_Toc13427"/>
      <w:bookmarkStart w:id="252" w:name="_Toc15503"/>
    </w:p>
    <w:p>
      <w:pPr>
        <w:spacing w:line="360" w:lineRule="auto"/>
        <w:ind w:firstLine="660" w:firstLineChars="3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二.评标内容自行添加。本表可扩展。</w:t>
      </w:r>
      <w:bookmarkEnd w:id="248"/>
      <w:bookmarkEnd w:id="249"/>
      <w:bookmarkEnd w:id="250"/>
      <w:bookmarkEnd w:id="251"/>
      <w:bookmarkEnd w:id="252"/>
    </w:p>
    <w:p>
      <w:pPr>
        <w:spacing w:line="360" w:lineRule="auto"/>
        <w:ind w:firstLine="660" w:firstLineChars="300"/>
        <w:outlineLvl w:val="9"/>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三.各投标供应商在投标文件最前页根据本评标细则制作评分索引表，清楚标注响应内容及证明材料的所在页码。</w:t>
      </w:r>
    </w:p>
    <w:p>
      <w:pPr>
        <w:spacing w:line="360" w:lineRule="auto"/>
        <w:outlineLvl w:val="9"/>
        <w:rPr>
          <w:rFonts w:hint="eastAsia" w:ascii="宋体" w:hAnsi="宋体" w:eastAsia="宋体" w:cs="宋体"/>
          <w:b/>
          <w:bCs/>
          <w:color w:val="auto"/>
          <w:sz w:val="24"/>
          <w:highlight w:val="none"/>
        </w:rPr>
      </w:pPr>
      <w:r>
        <w:rPr>
          <w:rFonts w:hint="eastAsia" w:ascii="宋体" w:hAnsi="宋体" w:eastAsia="宋体" w:cs="宋体"/>
          <w:b/>
          <w:color w:val="auto"/>
          <w:sz w:val="22"/>
          <w:highlight w:val="none"/>
        </w:rPr>
        <w:br w:type="page"/>
      </w:r>
      <w:r>
        <w:rPr>
          <w:rFonts w:hint="eastAsia" w:ascii="宋体" w:hAnsi="宋体" w:eastAsia="宋体" w:cs="宋体"/>
          <w:b/>
          <w:bCs/>
          <w:color w:val="auto"/>
          <w:sz w:val="24"/>
          <w:highlight w:val="none"/>
        </w:rPr>
        <w:t>附件8</w:t>
      </w:r>
    </w:p>
    <w:p>
      <w:pPr>
        <w:spacing w:line="360" w:lineRule="auto"/>
        <w:jc w:val="center"/>
        <w:outlineLvl w:val="9"/>
        <w:rPr>
          <w:rFonts w:hint="eastAsia" w:ascii="宋体" w:hAnsi="宋体" w:eastAsia="宋体" w:cs="宋体"/>
          <w:b/>
          <w:bCs/>
          <w:color w:val="auto"/>
          <w:sz w:val="24"/>
          <w:highlight w:val="none"/>
          <w:lang w:val="zh-CN"/>
        </w:rPr>
      </w:pPr>
      <w:bookmarkStart w:id="253" w:name="_Toc22126"/>
      <w:r>
        <w:rPr>
          <w:rFonts w:hint="eastAsia" w:ascii="宋体" w:hAnsi="宋体" w:eastAsia="宋体" w:cs="宋体"/>
          <w:b/>
          <w:bCs/>
          <w:color w:val="auto"/>
          <w:sz w:val="24"/>
          <w:highlight w:val="none"/>
          <w:lang w:val="zh-CN"/>
        </w:rPr>
        <w:t>投标函</w:t>
      </w:r>
      <w:bookmarkEnd w:id="253"/>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bCs/>
          <w:color w:val="auto"/>
          <w:spacing w:val="-6"/>
          <w:sz w:val="22"/>
          <w:szCs w:val="22"/>
          <w:highlight w:val="none"/>
        </w:rPr>
        <w:t>致：</w:t>
      </w:r>
      <w:r>
        <w:rPr>
          <w:rFonts w:hint="eastAsia" w:ascii="宋体" w:hAnsi="宋体" w:eastAsia="宋体" w:cs="宋体"/>
          <w:color w:val="auto"/>
          <w:sz w:val="22"/>
          <w:szCs w:val="22"/>
          <w:highlight w:val="none"/>
        </w:rPr>
        <w:t>温州市公用事业发展集团有限公司、温州市城市建设发展集团有限公司、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温州市现代服务业发展集团有限公司、温州市交通运输集团有限公司、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温州市工业与能源发展集团有限公司、温州市交通发展集团有限公司、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温州市铁路与轨道交通投资集团有限公司、温州市国有资本投资运营有限公司、</w:t>
      </w:r>
    </w:p>
    <w:p>
      <w:pPr>
        <w:spacing w:line="360" w:lineRule="auto"/>
        <w:jc w:val="left"/>
        <w:outlineLvl w:val="9"/>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温州建设集团有限公司、温州设计集团有限公司、浙江乐诚工程咨询有限公司</w:t>
      </w:r>
      <w:r>
        <w:rPr>
          <w:rFonts w:hint="eastAsia" w:ascii="宋体" w:hAnsi="宋体" w:eastAsia="宋体" w:cs="宋体"/>
          <w:b/>
          <w:color w:val="auto"/>
          <w:sz w:val="22"/>
          <w:szCs w:val="22"/>
          <w:highlight w:val="none"/>
        </w:rPr>
        <w:t>：</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根据贵方为</w:t>
      </w:r>
      <w:r>
        <w:rPr>
          <w:rFonts w:hint="eastAsia" w:ascii="宋体" w:hAnsi="宋体" w:eastAsia="宋体" w:cs="宋体"/>
          <w:color w:val="auto"/>
          <w:sz w:val="22"/>
          <w:szCs w:val="22"/>
          <w:highlight w:val="none"/>
          <w:u w:val="single"/>
        </w:rPr>
        <w:t>市属国有企业评估服务供应商库采购（两年）</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u w:val="single"/>
        </w:rPr>
        <w:t xml:space="preserve">（标项：    ） </w:t>
      </w: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WGSS-GYJT-X-2024041</w:t>
      </w:r>
      <w:r>
        <w:rPr>
          <w:rFonts w:hint="eastAsia" w:ascii="宋体" w:hAnsi="宋体" w:eastAsia="宋体" w:cs="宋体"/>
          <w:color w:val="auto"/>
          <w:sz w:val="22"/>
          <w:szCs w:val="22"/>
          <w:highlight w:val="none"/>
        </w:rPr>
        <w:t>）的投标邀请，我方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（投标供应商名称）作为投标供应商正式授权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（授权代表全名，职务）代表我方处理有关本投标的一切事宜。</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我方己完全明白采购文件的所有条款要求，并重申以下几点：</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（一）本投标文件的有效期自投标截止日起</w:t>
      </w:r>
      <w:r>
        <w:rPr>
          <w:rFonts w:hint="eastAsia" w:ascii="宋体" w:hAnsi="宋体" w:eastAsia="宋体" w:cs="宋体"/>
          <w:b/>
          <w:color w:val="auto"/>
          <w:sz w:val="22"/>
          <w:szCs w:val="22"/>
          <w:highlight w:val="none"/>
        </w:rPr>
        <w:t>90天内</w:t>
      </w:r>
      <w:r>
        <w:rPr>
          <w:rFonts w:hint="eastAsia" w:ascii="宋体" w:hAnsi="宋体" w:eastAsia="宋体" w:cs="宋体"/>
          <w:color w:val="auto"/>
          <w:sz w:val="22"/>
          <w:szCs w:val="22"/>
          <w:highlight w:val="none"/>
        </w:rPr>
        <w:t>有效，如中标，有效期将延至合同终止日为止；</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（二）我方已详细研究了采购文件的所有内容包括修改书（如有）和所有已提供的参考资料以及有关附件，我方完全理解并同意放弃在此方面提出含糊意见或误解的一切权力；</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（三）我方明白并愿意在规定的开标时间之后，投标供应商在投标有效期内撤回投标，其投标保证金将被贵方没收；</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（四）我方同意提供按照贵方可能要求的与投标有关的一切数据或资料；</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（五）我方理解贵方不一定接受最低报价。</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（六）我方如果中标，将保证履行采购文件以及采购文件修改书（如有）中的全部责任和义务，按质、按量、按期完成《合同书》中的全部任务。</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（七）如有列情形之一的，我方愿意被取消中标资格（如中标），并可没收我方的投标保证金，同时继续承担其他一切法律后果，并不再寻求任何旨在减轻或免除法律责任的解释：</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(1)提供虚假材料（承诺）谋取中标、成交的；</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(2)采取不正当手段诋毁、排挤其他投标供应商的；</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(3)与采购人、其它投标供应商或者采购代理机构恶意串通的；</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(4)向采购人、采购代理机构行贿或者提供其他不正当利益的；</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(5)在采购过程中与采购人进行协商谈判的；</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(6)拒绝有关部门监督检查或提供虚假情况的。</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（八）所有与本投标有关的函件请发往下列地址：  </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p>
    <w:p>
      <w:pPr>
        <w:spacing w:line="360" w:lineRule="auto"/>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电子邮件：          </w:t>
      </w:r>
    </w:p>
    <w:p>
      <w:pPr>
        <w:spacing w:line="360" w:lineRule="auto"/>
        <w:jc w:val="left"/>
        <w:outlineLvl w:val="9"/>
        <w:rPr>
          <w:rFonts w:hint="eastAsia" w:ascii="宋体" w:hAnsi="宋体" w:eastAsia="宋体" w:cs="宋体"/>
          <w:color w:val="auto"/>
          <w:sz w:val="22"/>
          <w:szCs w:val="22"/>
          <w:highlight w:val="none"/>
        </w:rPr>
      </w:pP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投标供应商全称（电子签章或公章）：</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p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pPr>
        <w:spacing w:line="420" w:lineRule="exact"/>
        <w:outlineLvl w:val="9"/>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u w:val="single"/>
        </w:rPr>
        <w:t>▲不提供投标函的投标文件将被视为未实质性响应采购文件。</w:t>
      </w:r>
    </w:p>
    <w:p>
      <w:pPr>
        <w:pStyle w:val="2"/>
        <w:ind w:firstLine="0" w:firstLineChars="0"/>
        <w:outlineLvl w:val="9"/>
        <w:rPr>
          <w:rFonts w:hint="eastAsia"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附件9</w:t>
      </w:r>
    </w:p>
    <w:p>
      <w:pPr>
        <w:pStyle w:val="29"/>
        <w:ind w:left="0"/>
        <w:jc w:val="center"/>
        <w:outlineLvl w:val="9"/>
        <w:rPr>
          <w:rFonts w:hint="eastAsia" w:ascii="宋体" w:hAnsi="宋体" w:eastAsia="宋体" w:cs="宋体"/>
          <w:b/>
          <w:color w:val="auto"/>
          <w:highlight w:val="none"/>
        </w:rPr>
      </w:pPr>
      <w:r>
        <w:rPr>
          <w:rFonts w:hint="eastAsia" w:ascii="宋体" w:hAnsi="宋体" w:eastAsia="宋体" w:cs="宋体"/>
          <w:b/>
          <w:color w:val="auto"/>
          <w:sz w:val="22"/>
          <w:szCs w:val="22"/>
          <w:highlight w:val="none"/>
          <w:lang w:val="zh-CN"/>
        </w:rPr>
        <w:t>投标供应商综合实力</w:t>
      </w:r>
    </w:p>
    <w:p>
      <w:pPr>
        <w:outlineLvl w:val="9"/>
        <w:rPr>
          <w:rFonts w:hint="eastAsia" w:ascii="宋体" w:hAnsi="宋体" w:eastAsia="宋体" w:cs="宋体"/>
          <w:color w:val="auto"/>
          <w:highlight w:val="none"/>
        </w:rPr>
      </w:pPr>
    </w:p>
    <w:tbl>
      <w:tblPr>
        <w:tblStyle w:val="34"/>
        <w:tblW w:w="92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1</w:t>
            </w:r>
          </w:p>
        </w:tc>
        <w:tc>
          <w:tcPr>
            <w:tcW w:w="8490" w:type="dxa"/>
            <w:gridSpan w:val="3"/>
            <w:vAlign w:val="center"/>
          </w:tcPr>
          <w:p>
            <w:pPr>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w:t>
            </w:r>
          </w:p>
        </w:tc>
        <w:tc>
          <w:tcPr>
            <w:tcW w:w="8490" w:type="dxa"/>
            <w:gridSpan w:val="3"/>
            <w:vAlign w:val="center"/>
          </w:tcPr>
          <w:p>
            <w:pPr>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3</w:t>
            </w:r>
          </w:p>
        </w:tc>
        <w:tc>
          <w:tcPr>
            <w:tcW w:w="8490" w:type="dxa"/>
            <w:gridSpan w:val="3"/>
            <w:vAlign w:val="center"/>
          </w:tcPr>
          <w:p>
            <w:pPr>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4</w:t>
            </w:r>
          </w:p>
        </w:tc>
        <w:tc>
          <w:tcPr>
            <w:tcW w:w="4305" w:type="dxa"/>
            <w:gridSpan w:val="2"/>
            <w:vAlign w:val="center"/>
          </w:tcPr>
          <w:p>
            <w:pPr>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电话：</w:t>
            </w:r>
          </w:p>
        </w:tc>
        <w:tc>
          <w:tcPr>
            <w:tcW w:w="4185" w:type="dxa"/>
            <w:vAlign w:val="center"/>
          </w:tcPr>
          <w:p>
            <w:pPr>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w:t>
            </w:r>
          </w:p>
        </w:tc>
        <w:tc>
          <w:tcPr>
            <w:tcW w:w="4305" w:type="dxa"/>
            <w:gridSpan w:val="2"/>
            <w:vAlign w:val="center"/>
          </w:tcPr>
          <w:p>
            <w:pPr>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传真：</w:t>
            </w:r>
          </w:p>
        </w:tc>
        <w:tc>
          <w:tcPr>
            <w:tcW w:w="4185" w:type="dxa"/>
            <w:vAlign w:val="center"/>
          </w:tcPr>
          <w:p>
            <w:pPr>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6</w:t>
            </w:r>
          </w:p>
        </w:tc>
        <w:tc>
          <w:tcPr>
            <w:tcW w:w="4305" w:type="dxa"/>
            <w:gridSpan w:val="2"/>
            <w:vAlign w:val="center"/>
          </w:tcPr>
          <w:p>
            <w:pPr>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注册地：</w:t>
            </w:r>
          </w:p>
        </w:tc>
        <w:tc>
          <w:tcPr>
            <w:tcW w:w="4185" w:type="dxa"/>
            <w:vAlign w:val="center"/>
          </w:tcPr>
          <w:p>
            <w:pPr>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7</w:t>
            </w:r>
          </w:p>
        </w:tc>
        <w:tc>
          <w:tcPr>
            <w:tcW w:w="8490" w:type="dxa"/>
            <w:gridSpan w:val="3"/>
            <w:vAlign w:val="center"/>
          </w:tcPr>
          <w:p>
            <w:pPr>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公司的资质等级（请附上有关证书的复印件）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8</w:t>
            </w:r>
          </w:p>
        </w:tc>
        <w:tc>
          <w:tcPr>
            <w:tcW w:w="8490" w:type="dxa"/>
            <w:gridSpan w:val="3"/>
            <w:vAlign w:val="center"/>
          </w:tcPr>
          <w:p>
            <w:pPr>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公司（是否通过，何种）质量保证体系认证（如通过请附相关证书复印件，提供认证机构年审监督报告）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360" w:lineRule="auto"/>
              <w:jc w:val="center"/>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9</w:t>
            </w:r>
          </w:p>
        </w:tc>
        <w:tc>
          <w:tcPr>
            <w:tcW w:w="2520" w:type="dxa"/>
            <w:vAlign w:val="center"/>
          </w:tcPr>
          <w:p>
            <w:pPr>
              <w:spacing w:line="360" w:lineRule="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其他需要说明的情况</w:t>
            </w:r>
          </w:p>
        </w:tc>
        <w:tc>
          <w:tcPr>
            <w:tcW w:w="5970" w:type="dxa"/>
            <w:gridSpan w:val="2"/>
            <w:vAlign w:val="center"/>
          </w:tcPr>
          <w:p>
            <w:pPr>
              <w:spacing w:line="360" w:lineRule="auto"/>
              <w:outlineLvl w:val="9"/>
              <w:rPr>
                <w:rFonts w:hint="eastAsia" w:ascii="宋体" w:hAnsi="宋体" w:eastAsia="宋体" w:cs="宋体"/>
                <w:color w:val="auto"/>
                <w:spacing w:val="-6"/>
                <w:sz w:val="22"/>
                <w:szCs w:val="22"/>
                <w:highlight w:val="none"/>
              </w:rPr>
            </w:pPr>
          </w:p>
        </w:tc>
      </w:tr>
    </w:tbl>
    <w:p>
      <w:pPr>
        <w:spacing w:line="360" w:lineRule="auto"/>
        <w:outlineLvl w:val="9"/>
        <w:rPr>
          <w:rFonts w:hint="eastAsia" w:ascii="宋体" w:hAnsi="宋体" w:eastAsia="宋体" w:cs="宋体"/>
          <w:color w:val="auto"/>
          <w:spacing w:val="-6"/>
          <w:sz w:val="22"/>
          <w:szCs w:val="22"/>
          <w:highlight w:val="none"/>
        </w:rPr>
      </w:pPr>
    </w:p>
    <w:p>
      <w:pPr>
        <w:spacing w:line="360" w:lineRule="auto"/>
        <w:outlineLvl w:val="9"/>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说明：所有投标供应商都须填写此表，此表可延续。</w:t>
      </w:r>
    </w:p>
    <w:p>
      <w:pPr>
        <w:spacing w:line="360" w:lineRule="auto"/>
        <w:outlineLvl w:val="9"/>
        <w:rPr>
          <w:rFonts w:hint="eastAsia" w:ascii="宋体" w:hAnsi="宋体" w:eastAsia="宋体" w:cs="宋体"/>
          <w:color w:val="auto"/>
          <w:spacing w:val="-6"/>
          <w:sz w:val="22"/>
          <w:szCs w:val="22"/>
          <w:highlight w:val="none"/>
        </w:rPr>
      </w:pPr>
    </w:p>
    <w:p>
      <w:pPr>
        <w:spacing w:line="360" w:lineRule="auto"/>
        <w:outlineLvl w:val="9"/>
        <w:rPr>
          <w:rFonts w:hint="eastAsia" w:ascii="宋体" w:hAnsi="宋体" w:eastAsia="宋体" w:cs="宋体"/>
          <w:color w:val="auto"/>
          <w:spacing w:val="-6"/>
          <w:sz w:val="22"/>
          <w:szCs w:val="22"/>
          <w:highlight w:val="none"/>
        </w:rPr>
      </w:pPr>
    </w:p>
    <w:p>
      <w:pPr>
        <w:spacing w:line="360" w:lineRule="auto"/>
        <w:ind w:firstLine="435"/>
        <w:outlineLvl w:val="9"/>
        <w:rPr>
          <w:rFonts w:hint="eastAsia" w:ascii="宋体" w:hAnsi="宋体" w:eastAsia="宋体" w:cs="宋体"/>
          <w:color w:val="auto"/>
          <w:sz w:val="22"/>
          <w:szCs w:val="22"/>
          <w:highlight w:val="none"/>
        </w:rPr>
      </w:pP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投标供应商全称（电子签章或公章）：</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p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pPr>
        <w:pStyle w:val="71"/>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3"/>
        <w:outlineLvl w:val="9"/>
        <w:rPr>
          <w:rFonts w:hint="eastAsia" w:ascii="宋体" w:hAnsi="宋体" w:eastAsia="宋体" w:cs="宋体"/>
          <w:color w:val="auto"/>
          <w:highlight w:val="none"/>
        </w:rPr>
      </w:pPr>
    </w:p>
    <w:p>
      <w:pPr>
        <w:pStyle w:val="2"/>
        <w:ind w:firstLine="0" w:firstLineChars="0"/>
        <w:outlineLvl w:val="9"/>
        <w:rPr>
          <w:rFonts w:hint="eastAsia" w:ascii="宋体" w:hAnsi="宋体" w:eastAsia="宋体" w:cs="宋体"/>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附件10</w:t>
      </w:r>
    </w:p>
    <w:p>
      <w:pPr>
        <w:snapToGrid w:val="0"/>
        <w:spacing w:line="360" w:lineRule="auto"/>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投标声明书</w:t>
      </w:r>
    </w:p>
    <w:p>
      <w:pPr>
        <w:snapToGrid w:val="0"/>
        <w:spacing w:line="360" w:lineRule="auto"/>
        <w:jc w:val="center"/>
        <w:outlineLvl w:val="9"/>
        <w:rPr>
          <w:rFonts w:hint="eastAsia" w:ascii="宋体" w:hAnsi="宋体" w:eastAsia="宋体" w:cs="宋体"/>
          <w:b/>
          <w:bCs/>
          <w:color w:val="auto"/>
          <w:sz w:val="24"/>
          <w:highlight w:val="none"/>
        </w:rPr>
      </w:pP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bCs/>
          <w:color w:val="auto"/>
          <w:spacing w:val="-6"/>
          <w:sz w:val="22"/>
          <w:szCs w:val="22"/>
          <w:highlight w:val="none"/>
        </w:rPr>
        <w:t>致：</w:t>
      </w:r>
      <w:r>
        <w:rPr>
          <w:rFonts w:hint="eastAsia" w:ascii="宋体" w:hAnsi="宋体" w:eastAsia="宋体" w:cs="宋体"/>
          <w:color w:val="auto"/>
          <w:sz w:val="22"/>
          <w:szCs w:val="22"/>
          <w:highlight w:val="none"/>
        </w:rPr>
        <w:t>温州市公用事业发展集团有限公司、温州市城市建设发展集团有限公司、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温州市现代服务业发展集团有限公司、温州市交通运输集团有限公司、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温州市工业与能源发展集团有限公司、温州市交通发展集团有限公司、</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温州市铁路与轨道交通投资集团有限公司、温州市国有资本投资运营有限公司、</w:t>
      </w:r>
    </w:p>
    <w:p>
      <w:pPr>
        <w:spacing w:line="360" w:lineRule="auto"/>
        <w:jc w:val="left"/>
        <w:outlineLvl w:val="9"/>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温州建设集团有限公司、温州设计集团有限公司、浙江乐诚工程咨询有限公司</w:t>
      </w:r>
      <w:r>
        <w:rPr>
          <w:rFonts w:hint="eastAsia" w:ascii="宋体" w:hAnsi="宋体" w:eastAsia="宋体" w:cs="宋体"/>
          <w:b/>
          <w:color w:val="auto"/>
          <w:sz w:val="22"/>
          <w:szCs w:val="22"/>
          <w:highlight w:val="none"/>
        </w:rPr>
        <w:t>：</w:t>
      </w:r>
    </w:p>
    <w:p>
      <w:pPr>
        <w:snapToGrid w:val="0"/>
        <w:spacing w:line="360" w:lineRule="auto"/>
        <w:ind w:firstLine="440" w:firstLineChars="200"/>
        <w:jc w:val="left"/>
        <w:outlineLvl w:val="9"/>
        <w:rPr>
          <w:rFonts w:hint="eastAsia" w:ascii="宋体" w:hAnsi="宋体" w:eastAsia="宋体" w:cs="宋体"/>
          <w:color w:val="auto"/>
          <w:sz w:val="22"/>
          <w:szCs w:val="22"/>
          <w:highlight w:val="none"/>
        </w:rPr>
      </w:pPr>
    </w:p>
    <w:p>
      <w:pPr>
        <w:snapToGrid w:val="0"/>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系中华人民共和国合法企业，经营地址</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pPr>
        <w:snapToGrid w:val="0"/>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我（姓名）</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系（投标供应商名称）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的法定代表人，我方愿意参加贵方组织的</w:t>
      </w:r>
      <w:r>
        <w:rPr>
          <w:rFonts w:hint="eastAsia" w:ascii="宋体" w:hAnsi="宋体" w:eastAsia="宋体" w:cs="宋体"/>
          <w:color w:val="auto"/>
          <w:sz w:val="22"/>
          <w:szCs w:val="22"/>
          <w:highlight w:val="none"/>
          <w:u w:val="single"/>
        </w:rPr>
        <w:t>市属国有企业评估服务供应商库采购（两年）</w:t>
      </w:r>
      <w:r>
        <w:rPr>
          <w:rFonts w:hint="eastAsia" w:ascii="宋体" w:hAnsi="宋体" w:eastAsia="宋体" w:cs="宋体"/>
          <w:color w:val="auto"/>
          <w:sz w:val="22"/>
          <w:szCs w:val="22"/>
          <w:highlight w:val="none"/>
        </w:rPr>
        <w:t>项目（标项：）（项目编号：</w:t>
      </w:r>
      <w:r>
        <w:rPr>
          <w:rFonts w:hint="eastAsia" w:ascii="宋体" w:hAnsi="宋体" w:eastAsia="宋体" w:cs="宋体"/>
          <w:color w:val="auto"/>
          <w:sz w:val="22"/>
          <w:szCs w:val="22"/>
          <w:highlight w:val="none"/>
          <w:u w:val="single"/>
        </w:rPr>
        <w:t>WGSS-GYJT-X-2024041</w:t>
      </w:r>
      <w:r>
        <w:rPr>
          <w:rFonts w:hint="eastAsia" w:ascii="宋体" w:hAnsi="宋体" w:eastAsia="宋体" w:cs="宋体"/>
          <w:color w:val="auto"/>
          <w:sz w:val="22"/>
          <w:szCs w:val="22"/>
          <w:highlight w:val="none"/>
        </w:rPr>
        <w:t>）的投标，为便于贵方公正、择优地确定中标供应商及其服务，我方就本次投标有关事项郑重声明如下：</w:t>
      </w:r>
    </w:p>
    <w:p>
      <w:pPr>
        <w:snapToGrid w:val="0"/>
        <w:spacing w:line="360" w:lineRule="auto"/>
        <w:ind w:firstLine="416" w:firstLineChars="200"/>
        <w:jc w:val="left"/>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1.我方向贵方提交的所有投标文件、资料都是准确的和真实的；</w:t>
      </w:r>
    </w:p>
    <w:p>
      <w:pPr>
        <w:snapToGrid w:val="0"/>
        <w:spacing w:line="360" w:lineRule="auto"/>
        <w:ind w:firstLine="416" w:firstLineChars="200"/>
        <w:jc w:val="left"/>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2.我方不是采购人的附属机构；在获知本项目采购信息后，与采购人聘请的为此项目提供咨询服务的公司及其附属机构没有任何联系；</w:t>
      </w:r>
    </w:p>
    <w:p>
      <w:pPr>
        <w:snapToGrid w:val="0"/>
        <w:spacing w:line="360" w:lineRule="auto"/>
        <w:ind w:firstLine="416" w:firstLineChars="200"/>
        <w:jc w:val="left"/>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3.以上事项如有虚假或隐瞒，我方愿意承担一切后果和责任。</w:t>
      </w:r>
    </w:p>
    <w:p>
      <w:pPr>
        <w:pStyle w:val="14"/>
        <w:tabs>
          <w:tab w:val="left" w:pos="939"/>
        </w:tabs>
        <w:snapToGrid w:val="0"/>
        <w:spacing w:line="360" w:lineRule="auto"/>
        <w:ind w:left="420" w:leftChars="0" w:hanging="420" w:hangingChars="191"/>
        <w:outlineLvl w:val="9"/>
        <w:rPr>
          <w:rFonts w:hint="eastAsia" w:ascii="宋体" w:hAnsi="宋体" w:eastAsia="宋体" w:cs="宋体"/>
          <w:color w:val="auto"/>
          <w:sz w:val="22"/>
          <w:szCs w:val="22"/>
          <w:highlight w:val="none"/>
        </w:rPr>
      </w:pP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投标供应商全称（电子签章或公章）：</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p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pPr>
        <w:snapToGrid w:val="0"/>
        <w:spacing w:line="360" w:lineRule="auto"/>
        <w:outlineLvl w:val="9"/>
        <w:rPr>
          <w:rFonts w:hint="eastAsia" w:ascii="宋体" w:hAnsi="宋体" w:eastAsia="宋体" w:cs="宋体"/>
          <w:b/>
          <w:bCs/>
          <w:color w:val="auto"/>
          <w:sz w:val="24"/>
          <w:highlight w:val="none"/>
        </w:rPr>
      </w:pPr>
      <w:r>
        <w:rPr>
          <w:rFonts w:hint="eastAsia" w:ascii="宋体" w:hAnsi="宋体" w:eastAsia="宋体" w:cs="宋体"/>
          <w:b/>
          <w:color w:val="auto"/>
          <w:highlight w:val="none"/>
        </w:rPr>
        <w:br w:type="page"/>
      </w:r>
      <w:r>
        <w:rPr>
          <w:rFonts w:hint="eastAsia" w:ascii="宋体" w:hAnsi="宋体" w:eastAsia="宋体" w:cs="宋体"/>
          <w:b/>
          <w:bCs/>
          <w:color w:val="auto"/>
          <w:sz w:val="24"/>
          <w:highlight w:val="none"/>
        </w:rPr>
        <w:t>附件11</w:t>
      </w:r>
    </w:p>
    <w:p>
      <w:pPr>
        <w:snapToGrid w:val="0"/>
        <w:spacing w:line="360" w:lineRule="auto"/>
        <w:jc w:val="center"/>
        <w:outlineLvl w:val="9"/>
        <w:rPr>
          <w:rFonts w:hint="eastAsia" w:ascii="宋体" w:hAnsi="宋体" w:eastAsia="宋体" w:cs="宋体"/>
          <w:b/>
          <w:bCs/>
          <w:color w:val="auto"/>
          <w:sz w:val="24"/>
          <w:highlight w:val="none"/>
        </w:rPr>
      </w:pPr>
      <w:bookmarkStart w:id="254" w:name="_Toc10936"/>
      <w:r>
        <w:rPr>
          <w:rFonts w:hint="eastAsia" w:ascii="宋体" w:hAnsi="宋体" w:eastAsia="宋体" w:cs="宋体"/>
          <w:b/>
          <w:bCs/>
          <w:color w:val="auto"/>
          <w:sz w:val="24"/>
          <w:highlight w:val="none"/>
        </w:rPr>
        <w:t>采购需求偏离表</w:t>
      </w:r>
      <w:bookmarkEnd w:id="254"/>
      <w:r>
        <w:rPr>
          <w:rFonts w:hint="eastAsia" w:ascii="宋体" w:hAnsi="宋体" w:eastAsia="宋体" w:cs="宋体"/>
          <w:b/>
          <w:bCs/>
          <w:color w:val="auto"/>
          <w:sz w:val="24"/>
          <w:highlight w:val="none"/>
        </w:rPr>
        <w:t>（标项：  ）</w:t>
      </w:r>
    </w:p>
    <w:p>
      <w:pPr>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项目名称：市属国有企业评估服务供应商库采购（两年）   项目编号：WGSS-GYJT-X-2024041</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717"/>
        <w:gridCol w:w="2118"/>
        <w:gridCol w:w="2083"/>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3" w:type="dxa"/>
            <w:shd w:val="clear" w:color="auto" w:fill="FFFFFF"/>
            <w:vAlign w:val="center"/>
          </w:tcPr>
          <w:p>
            <w:pPr>
              <w:spacing w:line="36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717" w:type="dxa"/>
            <w:shd w:val="clear" w:color="auto" w:fill="FFFFFF"/>
            <w:vAlign w:val="center"/>
          </w:tcPr>
          <w:p>
            <w:pPr>
              <w:spacing w:line="36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采购文件条目</w:t>
            </w:r>
          </w:p>
        </w:tc>
        <w:tc>
          <w:tcPr>
            <w:tcW w:w="2118" w:type="dxa"/>
            <w:shd w:val="clear" w:color="auto" w:fill="FFFFFF"/>
            <w:vAlign w:val="center"/>
          </w:tcPr>
          <w:p>
            <w:pPr>
              <w:spacing w:line="36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采购文件规格要求</w:t>
            </w:r>
          </w:p>
        </w:tc>
        <w:tc>
          <w:tcPr>
            <w:tcW w:w="2083" w:type="dxa"/>
            <w:shd w:val="clear" w:color="auto" w:fill="FFFFFF"/>
            <w:vAlign w:val="center"/>
          </w:tcPr>
          <w:p>
            <w:pPr>
              <w:spacing w:line="36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投标文件对应规格</w:t>
            </w:r>
          </w:p>
        </w:tc>
        <w:tc>
          <w:tcPr>
            <w:tcW w:w="2519" w:type="dxa"/>
            <w:shd w:val="clear" w:color="auto" w:fill="FFFFFF"/>
            <w:vAlign w:val="center"/>
          </w:tcPr>
          <w:p>
            <w:pPr>
              <w:spacing w:line="36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3" w:type="dxa"/>
            <w:vAlign w:val="center"/>
          </w:tcPr>
          <w:p>
            <w:pPr>
              <w:spacing w:line="360" w:lineRule="auto"/>
              <w:ind w:firstLine="220" w:firstLineChars="100"/>
              <w:outlineLvl w:val="9"/>
              <w:rPr>
                <w:rFonts w:hint="eastAsia" w:ascii="宋体" w:hAnsi="宋体" w:eastAsia="宋体" w:cs="宋体"/>
                <w:color w:val="auto"/>
                <w:sz w:val="22"/>
                <w:szCs w:val="22"/>
                <w:highlight w:val="none"/>
              </w:rPr>
            </w:pPr>
          </w:p>
        </w:tc>
        <w:tc>
          <w:tcPr>
            <w:tcW w:w="1717"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118"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0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519" w:type="dxa"/>
            <w:vAlign w:val="center"/>
          </w:tcPr>
          <w:p>
            <w:pPr>
              <w:spacing w:line="360" w:lineRule="auto"/>
              <w:jc w:val="center"/>
              <w:outlineLvl w:val="9"/>
              <w:rPr>
                <w:rFonts w:hint="eastAsia"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1717"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118"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0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519" w:type="dxa"/>
            <w:vAlign w:val="center"/>
          </w:tcPr>
          <w:p>
            <w:pPr>
              <w:spacing w:line="360" w:lineRule="auto"/>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1717"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118"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0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519" w:type="dxa"/>
            <w:vAlign w:val="center"/>
          </w:tcPr>
          <w:p>
            <w:pPr>
              <w:spacing w:line="360" w:lineRule="auto"/>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1717"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118"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0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519" w:type="dxa"/>
            <w:vAlign w:val="center"/>
          </w:tcPr>
          <w:p>
            <w:pPr>
              <w:spacing w:line="360" w:lineRule="auto"/>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1717"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118"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0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519" w:type="dxa"/>
            <w:vAlign w:val="center"/>
          </w:tcPr>
          <w:p>
            <w:pPr>
              <w:spacing w:line="360" w:lineRule="auto"/>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3" w:type="dxa"/>
            <w:vAlign w:val="center"/>
          </w:tcPr>
          <w:p>
            <w:pPr>
              <w:spacing w:line="360" w:lineRule="auto"/>
              <w:ind w:firstLine="220" w:firstLineChars="100"/>
              <w:outlineLvl w:val="9"/>
              <w:rPr>
                <w:rFonts w:hint="eastAsia" w:ascii="宋体" w:hAnsi="宋体" w:eastAsia="宋体" w:cs="宋体"/>
                <w:color w:val="auto"/>
                <w:sz w:val="22"/>
                <w:szCs w:val="22"/>
                <w:highlight w:val="none"/>
              </w:rPr>
            </w:pPr>
          </w:p>
        </w:tc>
        <w:tc>
          <w:tcPr>
            <w:tcW w:w="1717"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118"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0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519" w:type="dxa"/>
            <w:vAlign w:val="center"/>
          </w:tcPr>
          <w:p>
            <w:pPr>
              <w:spacing w:line="360" w:lineRule="auto"/>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1717"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118"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0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519" w:type="dxa"/>
            <w:vAlign w:val="center"/>
          </w:tcPr>
          <w:p>
            <w:pPr>
              <w:spacing w:line="360" w:lineRule="auto"/>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1717"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118"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0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519" w:type="dxa"/>
            <w:vAlign w:val="center"/>
          </w:tcPr>
          <w:p>
            <w:pPr>
              <w:spacing w:line="360" w:lineRule="auto"/>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1717"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118"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0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519" w:type="dxa"/>
            <w:vAlign w:val="center"/>
          </w:tcPr>
          <w:p>
            <w:pPr>
              <w:spacing w:line="360" w:lineRule="auto"/>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1717"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118"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0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519" w:type="dxa"/>
            <w:vAlign w:val="center"/>
          </w:tcPr>
          <w:p>
            <w:pPr>
              <w:spacing w:line="360" w:lineRule="auto"/>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1717"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118"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083" w:type="dxa"/>
            <w:vAlign w:val="center"/>
          </w:tcPr>
          <w:p>
            <w:pPr>
              <w:spacing w:line="360" w:lineRule="auto"/>
              <w:jc w:val="center"/>
              <w:outlineLvl w:val="9"/>
              <w:rPr>
                <w:rFonts w:hint="eastAsia" w:ascii="宋体" w:hAnsi="宋体" w:eastAsia="宋体" w:cs="宋体"/>
                <w:color w:val="auto"/>
                <w:sz w:val="22"/>
                <w:szCs w:val="22"/>
                <w:highlight w:val="none"/>
              </w:rPr>
            </w:pPr>
          </w:p>
        </w:tc>
        <w:tc>
          <w:tcPr>
            <w:tcW w:w="2519" w:type="dxa"/>
            <w:vAlign w:val="center"/>
          </w:tcPr>
          <w:p>
            <w:pPr>
              <w:spacing w:line="360" w:lineRule="auto"/>
              <w:jc w:val="center"/>
              <w:outlineLvl w:val="9"/>
              <w:rPr>
                <w:rFonts w:hint="eastAsia" w:ascii="宋体" w:hAnsi="宋体" w:eastAsia="宋体" w:cs="宋体"/>
                <w:color w:val="auto"/>
                <w:sz w:val="22"/>
                <w:szCs w:val="22"/>
                <w:highlight w:val="none"/>
              </w:rPr>
            </w:pPr>
          </w:p>
        </w:tc>
      </w:tr>
    </w:tbl>
    <w:p>
      <w:pPr>
        <w:spacing w:line="360" w:lineRule="auto"/>
        <w:outlineLvl w:val="9"/>
        <w:rPr>
          <w:rFonts w:hint="eastAsia" w:ascii="宋体" w:hAnsi="宋体" w:eastAsia="宋体" w:cs="宋体"/>
          <w:color w:val="auto"/>
          <w:sz w:val="22"/>
          <w:szCs w:val="22"/>
          <w:highlight w:val="none"/>
        </w:rPr>
      </w:pPr>
    </w:p>
    <w:p>
      <w:pPr>
        <w:adjustRightInd w:val="0"/>
        <w:snapToGrid w:val="0"/>
        <w:spacing w:line="360" w:lineRule="auto"/>
        <w:jc w:val="left"/>
        <w:outlineLvl w:val="9"/>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注意：1.逐项按照采购文件要求填写响应规格；</w:t>
      </w:r>
    </w:p>
    <w:p>
      <w:pPr>
        <w:adjustRightInd w:val="0"/>
        <w:snapToGrid w:val="0"/>
        <w:spacing w:line="360" w:lineRule="auto"/>
        <w:ind w:firstLine="627" w:firstLineChars="300"/>
        <w:jc w:val="left"/>
        <w:outlineLvl w:val="9"/>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2.偏离说明是指对采购文件要求存在不同之处的解释说明。偏离系指：正偏离（高于采购需求）、负偏离（低于采购需求）、无偏离（满足采购需求）；</w:t>
      </w:r>
    </w:p>
    <w:p>
      <w:pPr>
        <w:adjustRightInd w:val="0"/>
        <w:snapToGrid w:val="0"/>
        <w:spacing w:line="360" w:lineRule="auto"/>
        <w:ind w:firstLine="627" w:firstLineChars="300"/>
        <w:jc w:val="left"/>
        <w:outlineLvl w:val="9"/>
        <w:rPr>
          <w:rFonts w:hint="eastAsia" w:ascii="宋体" w:hAnsi="宋体" w:eastAsia="宋体" w:cs="宋体"/>
          <w:b/>
          <w:color w:val="auto"/>
          <w:spacing w:val="-6"/>
          <w:sz w:val="22"/>
          <w:szCs w:val="22"/>
          <w:highlight w:val="none"/>
        </w:rPr>
      </w:pPr>
      <w:r>
        <w:rPr>
          <w:rFonts w:hint="eastAsia" w:ascii="宋体" w:hAnsi="宋体" w:eastAsia="宋体" w:cs="宋体"/>
          <w:b/>
          <w:bCs/>
          <w:color w:val="auto"/>
          <w:spacing w:val="-6"/>
          <w:sz w:val="22"/>
          <w:szCs w:val="22"/>
          <w:highlight w:val="none"/>
        </w:rPr>
        <w:t>3.如不填写或留空，则视为完全响应采购文件的要求</w:t>
      </w:r>
      <w:r>
        <w:rPr>
          <w:rFonts w:hint="eastAsia" w:ascii="宋体" w:hAnsi="宋体" w:eastAsia="宋体" w:cs="宋体"/>
          <w:b/>
          <w:color w:val="auto"/>
          <w:spacing w:val="-6"/>
          <w:sz w:val="22"/>
          <w:szCs w:val="22"/>
          <w:highlight w:val="none"/>
        </w:rPr>
        <w:t>，自行承担投标响应风险。</w:t>
      </w:r>
    </w:p>
    <w:p>
      <w:pPr>
        <w:pStyle w:val="17"/>
        <w:spacing w:line="360" w:lineRule="auto"/>
        <w:ind w:left="110" w:hanging="110" w:hangingChars="50"/>
        <w:outlineLvl w:val="9"/>
        <w:rPr>
          <w:rFonts w:hint="eastAsia" w:ascii="宋体" w:hAnsi="宋体" w:eastAsia="宋体" w:cs="宋体"/>
          <w:b/>
          <w:bCs/>
          <w:color w:val="auto"/>
          <w:sz w:val="22"/>
          <w:szCs w:val="22"/>
          <w:highlight w:val="none"/>
        </w:rPr>
      </w:pP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投标供应商全称（电子签章或公章）：</w:t>
      </w:r>
    </w:p>
    <w:p>
      <w:pPr>
        <w:spacing w:line="360" w:lineRule="auto"/>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pP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pPr>
        <w:snapToGrid w:val="0"/>
        <w:spacing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2"/>
          <w:szCs w:val="22"/>
          <w:highlight w:val="none"/>
        </w:rPr>
        <w:br w:type="page"/>
      </w:r>
      <w:r>
        <w:rPr>
          <w:rFonts w:hint="eastAsia" w:ascii="宋体" w:hAnsi="宋体" w:eastAsia="宋体" w:cs="宋体"/>
          <w:b/>
          <w:bCs/>
          <w:color w:val="auto"/>
          <w:sz w:val="24"/>
          <w:highlight w:val="none"/>
        </w:rPr>
        <w:t>附件12</w:t>
      </w:r>
    </w:p>
    <w:p>
      <w:pPr>
        <w:snapToGrid w:val="0"/>
        <w:spacing w:line="360" w:lineRule="auto"/>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同类项目业绩一览表（标项：  ）</w:t>
      </w:r>
    </w:p>
    <w:p>
      <w:pPr>
        <w:spacing w:line="360" w:lineRule="auto"/>
        <w:outlineLvl w:val="9"/>
        <w:rPr>
          <w:rFonts w:hint="eastAsia" w:ascii="宋体" w:hAnsi="宋体" w:eastAsia="宋体" w:cs="宋体"/>
          <w:color w:val="auto"/>
          <w:sz w:val="22"/>
          <w:szCs w:val="22"/>
          <w:highlight w:val="none"/>
        </w:rPr>
      </w:pPr>
    </w:p>
    <w:p>
      <w:pPr>
        <w:spacing w:line="360" w:lineRule="auto"/>
        <w:ind w:firstLine="221" w:firstLineChars="100"/>
        <w:outlineLvl w:val="9"/>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项目名称：市属国有企业评估服务供应商库采购（两年）    项目编号：WGSS-GYJT-X-2024041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139"/>
        <w:gridCol w:w="1524"/>
        <w:gridCol w:w="1983"/>
        <w:gridCol w:w="1356"/>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25" w:type="dxa"/>
            <w:vAlign w:val="center"/>
          </w:tcPr>
          <w:p>
            <w:pPr>
              <w:adjustRightInd w:val="0"/>
              <w:snapToGrid w:val="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139" w:type="dxa"/>
            <w:vAlign w:val="center"/>
          </w:tcPr>
          <w:p>
            <w:pPr>
              <w:adjustRightInd w:val="0"/>
              <w:snapToGrid w:val="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被评估单位</w:t>
            </w:r>
          </w:p>
        </w:tc>
        <w:tc>
          <w:tcPr>
            <w:tcW w:w="1524" w:type="dxa"/>
            <w:vAlign w:val="center"/>
          </w:tcPr>
          <w:p>
            <w:pPr>
              <w:adjustRightInd w:val="0"/>
              <w:snapToGrid w:val="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经济行为和评估对象</w:t>
            </w:r>
          </w:p>
        </w:tc>
        <w:tc>
          <w:tcPr>
            <w:tcW w:w="1983" w:type="dxa"/>
            <w:vAlign w:val="center"/>
          </w:tcPr>
          <w:p>
            <w:pPr>
              <w:adjustRightInd w:val="0"/>
              <w:snapToGrid w:val="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评估值（万元）</w:t>
            </w:r>
          </w:p>
        </w:tc>
        <w:tc>
          <w:tcPr>
            <w:tcW w:w="1356" w:type="dxa"/>
            <w:vAlign w:val="center"/>
          </w:tcPr>
          <w:p>
            <w:pPr>
              <w:adjustRightInd w:val="0"/>
              <w:snapToGrid w:val="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委托单位</w:t>
            </w:r>
          </w:p>
        </w:tc>
        <w:tc>
          <w:tcPr>
            <w:tcW w:w="1670" w:type="dxa"/>
            <w:vAlign w:val="center"/>
          </w:tcPr>
          <w:p>
            <w:pPr>
              <w:adjustRightInd w:val="0"/>
              <w:snapToGrid w:val="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25"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2139"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524"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983"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356"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670" w:type="dxa"/>
            <w:vAlign w:val="center"/>
          </w:tcPr>
          <w:p>
            <w:pPr>
              <w:adjustRightInd w:val="0"/>
              <w:snapToGrid w:val="0"/>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25"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2139"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524"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983"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356"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670" w:type="dxa"/>
            <w:vAlign w:val="center"/>
          </w:tcPr>
          <w:p>
            <w:pPr>
              <w:adjustRightInd w:val="0"/>
              <w:snapToGrid w:val="0"/>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25"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2139"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524"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983"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356"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670" w:type="dxa"/>
            <w:vAlign w:val="center"/>
          </w:tcPr>
          <w:p>
            <w:pPr>
              <w:adjustRightInd w:val="0"/>
              <w:snapToGrid w:val="0"/>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25"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2139"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524"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983"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356"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670" w:type="dxa"/>
            <w:vAlign w:val="center"/>
          </w:tcPr>
          <w:p>
            <w:pPr>
              <w:adjustRightInd w:val="0"/>
              <w:snapToGrid w:val="0"/>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25"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2139"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524"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983"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356"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670" w:type="dxa"/>
            <w:vAlign w:val="center"/>
          </w:tcPr>
          <w:p>
            <w:pPr>
              <w:adjustRightInd w:val="0"/>
              <w:snapToGrid w:val="0"/>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25"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2139"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524"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983"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356"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670" w:type="dxa"/>
            <w:vAlign w:val="center"/>
          </w:tcPr>
          <w:p>
            <w:pPr>
              <w:adjustRightInd w:val="0"/>
              <w:snapToGrid w:val="0"/>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25"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2139"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524"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983"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356"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670" w:type="dxa"/>
            <w:vAlign w:val="center"/>
          </w:tcPr>
          <w:p>
            <w:pPr>
              <w:adjustRightInd w:val="0"/>
              <w:snapToGrid w:val="0"/>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25"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2139"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524"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983"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356"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670" w:type="dxa"/>
            <w:vAlign w:val="center"/>
          </w:tcPr>
          <w:p>
            <w:pPr>
              <w:adjustRightInd w:val="0"/>
              <w:snapToGrid w:val="0"/>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25"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2139"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524"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983"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356" w:type="dxa"/>
            <w:vAlign w:val="center"/>
          </w:tcPr>
          <w:p>
            <w:pPr>
              <w:adjustRightInd w:val="0"/>
              <w:snapToGrid w:val="0"/>
              <w:jc w:val="center"/>
              <w:outlineLvl w:val="9"/>
              <w:rPr>
                <w:rFonts w:hint="eastAsia" w:ascii="宋体" w:hAnsi="宋体" w:eastAsia="宋体" w:cs="宋体"/>
                <w:color w:val="auto"/>
                <w:sz w:val="22"/>
                <w:szCs w:val="22"/>
                <w:highlight w:val="none"/>
              </w:rPr>
            </w:pPr>
          </w:p>
        </w:tc>
        <w:tc>
          <w:tcPr>
            <w:tcW w:w="1670" w:type="dxa"/>
            <w:vAlign w:val="center"/>
          </w:tcPr>
          <w:p>
            <w:pPr>
              <w:adjustRightInd w:val="0"/>
              <w:snapToGrid w:val="0"/>
              <w:jc w:val="center"/>
              <w:outlineLvl w:val="9"/>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25" w:type="dxa"/>
            <w:vAlign w:val="center"/>
          </w:tcPr>
          <w:p>
            <w:pPr>
              <w:adjustRightInd w:val="0"/>
              <w:snapToGrid w:val="0"/>
              <w:jc w:val="center"/>
              <w:outlineLvl w:val="9"/>
              <w:rPr>
                <w:rFonts w:hint="eastAsia" w:ascii="宋体" w:hAnsi="宋体" w:eastAsia="宋体" w:cs="宋体"/>
                <w:color w:val="auto"/>
                <w:highlight w:val="none"/>
              </w:rPr>
            </w:pPr>
          </w:p>
        </w:tc>
        <w:tc>
          <w:tcPr>
            <w:tcW w:w="2139" w:type="dxa"/>
            <w:vAlign w:val="center"/>
          </w:tcPr>
          <w:p>
            <w:pPr>
              <w:adjustRightInd w:val="0"/>
              <w:snapToGrid w:val="0"/>
              <w:jc w:val="center"/>
              <w:outlineLvl w:val="9"/>
              <w:rPr>
                <w:rFonts w:hint="eastAsia" w:ascii="宋体" w:hAnsi="宋体" w:eastAsia="宋体" w:cs="宋体"/>
                <w:color w:val="auto"/>
                <w:highlight w:val="none"/>
              </w:rPr>
            </w:pPr>
          </w:p>
        </w:tc>
        <w:tc>
          <w:tcPr>
            <w:tcW w:w="1524" w:type="dxa"/>
            <w:vAlign w:val="center"/>
          </w:tcPr>
          <w:p>
            <w:pPr>
              <w:adjustRightInd w:val="0"/>
              <w:snapToGrid w:val="0"/>
              <w:jc w:val="center"/>
              <w:outlineLvl w:val="9"/>
              <w:rPr>
                <w:rFonts w:hint="eastAsia" w:ascii="宋体" w:hAnsi="宋体" w:eastAsia="宋体" w:cs="宋体"/>
                <w:color w:val="auto"/>
                <w:highlight w:val="none"/>
              </w:rPr>
            </w:pPr>
          </w:p>
        </w:tc>
        <w:tc>
          <w:tcPr>
            <w:tcW w:w="1983" w:type="dxa"/>
            <w:vAlign w:val="center"/>
          </w:tcPr>
          <w:p>
            <w:pPr>
              <w:adjustRightInd w:val="0"/>
              <w:snapToGrid w:val="0"/>
              <w:jc w:val="center"/>
              <w:outlineLvl w:val="9"/>
              <w:rPr>
                <w:rFonts w:hint="eastAsia" w:ascii="宋体" w:hAnsi="宋体" w:eastAsia="宋体" w:cs="宋体"/>
                <w:color w:val="auto"/>
                <w:highlight w:val="none"/>
              </w:rPr>
            </w:pPr>
          </w:p>
        </w:tc>
        <w:tc>
          <w:tcPr>
            <w:tcW w:w="1356" w:type="dxa"/>
            <w:vAlign w:val="center"/>
          </w:tcPr>
          <w:p>
            <w:pPr>
              <w:adjustRightInd w:val="0"/>
              <w:snapToGrid w:val="0"/>
              <w:jc w:val="center"/>
              <w:outlineLvl w:val="9"/>
              <w:rPr>
                <w:rFonts w:hint="eastAsia" w:ascii="宋体" w:hAnsi="宋体" w:eastAsia="宋体" w:cs="宋体"/>
                <w:color w:val="auto"/>
                <w:highlight w:val="none"/>
              </w:rPr>
            </w:pPr>
          </w:p>
        </w:tc>
        <w:tc>
          <w:tcPr>
            <w:tcW w:w="1670" w:type="dxa"/>
            <w:vAlign w:val="center"/>
          </w:tcPr>
          <w:p>
            <w:pPr>
              <w:adjustRightInd w:val="0"/>
              <w:snapToGrid w:val="0"/>
              <w:jc w:val="center"/>
              <w:outlineLvl w:val="9"/>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25" w:type="dxa"/>
            <w:vAlign w:val="center"/>
          </w:tcPr>
          <w:p>
            <w:pPr>
              <w:adjustRightInd w:val="0"/>
              <w:snapToGrid w:val="0"/>
              <w:jc w:val="center"/>
              <w:outlineLvl w:val="9"/>
              <w:rPr>
                <w:rFonts w:hint="eastAsia" w:ascii="宋体" w:hAnsi="宋体" w:eastAsia="宋体" w:cs="宋体"/>
                <w:color w:val="auto"/>
                <w:highlight w:val="none"/>
              </w:rPr>
            </w:pPr>
          </w:p>
        </w:tc>
        <w:tc>
          <w:tcPr>
            <w:tcW w:w="2139" w:type="dxa"/>
            <w:vAlign w:val="center"/>
          </w:tcPr>
          <w:p>
            <w:pPr>
              <w:adjustRightInd w:val="0"/>
              <w:snapToGrid w:val="0"/>
              <w:jc w:val="center"/>
              <w:outlineLvl w:val="9"/>
              <w:rPr>
                <w:rFonts w:hint="eastAsia" w:ascii="宋体" w:hAnsi="宋体" w:eastAsia="宋体" w:cs="宋体"/>
                <w:color w:val="auto"/>
                <w:highlight w:val="none"/>
              </w:rPr>
            </w:pPr>
          </w:p>
        </w:tc>
        <w:tc>
          <w:tcPr>
            <w:tcW w:w="1524" w:type="dxa"/>
            <w:vAlign w:val="center"/>
          </w:tcPr>
          <w:p>
            <w:pPr>
              <w:adjustRightInd w:val="0"/>
              <w:snapToGrid w:val="0"/>
              <w:jc w:val="center"/>
              <w:outlineLvl w:val="9"/>
              <w:rPr>
                <w:rFonts w:hint="eastAsia" w:ascii="宋体" w:hAnsi="宋体" w:eastAsia="宋体" w:cs="宋体"/>
                <w:color w:val="auto"/>
                <w:highlight w:val="none"/>
              </w:rPr>
            </w:pPr>
          </w:p>
        </w:tc>
        <w:tc>
          <w:tcPr>
            <w:tcW w:w="1983" w:type="dxa"/>
            <w:vAlign w:val="center"/>
          </w:tcPr>
          <w:p>
            <w:pPr>
              <w:adjustRightInd w:val="0"/>
              <w:snapToGrid w:val="0"/>
              <w:jc w:val="center"/>
              <w:outlineLvl w:val="9"/>
              <w:rPr>
                <w:rFonts w:hint="eastAsia" w:ascii="宋体" w:hAnsi="宋体" w:eastAsia="宋体" w:cs="宋体"/>
                <w:color w:val="auto"/>
                <w:highlight w:val="none"/>
              </w:rPr>
            </w:pPr>
          </w:p>
        </w:tc>
        <w:tc>
          <w:tcPr>
            <w:tcW w:w="1356" w:type="dxa"/>
            <w:vAlign w:val="center"/>
          </w:tcPr>
          <w:p>
            <w:pPr>
              <w:adjustRightInd w:val="0"/>
              <w:snapToGrid w:val="0"/>
              <w:jc w:val="center"/>
              <w:outlineLvl w:val="9"/>
              <w:rPr>
                <w:rFonts w:hint="eastAsia" w:ascii="宋体" w:hAnsi="宋体" w:eastAsia="宋体" w:cs="宋体"/>
                <w:color w:val="auto"/>
                <w:highlight w:val="none"/>
              </w:rPr>
            </w:pPr>
          </w:p>
        </w:tc>
        <w:tc>
          <w:tcPr>
            <w:tcW w:w="1670" w:type="dxa"/>
            <w:vAlign w:val="center"/>
          </w:tcPr>
          <w:p>
            <w:pPr>
              <w:adjustRightInd w:val="0"/>
              <w:snapToGrid w:val="0"/>
              <w:jc w:val="center"/>
              <w:outlineLvl w:val="9"/>
              <w:rPr>
                <w:rFonts w:hint="eastAsia" w:ascii="宋体" w:hAnsi="宋体" w:eastAsia="宋体" w:cs="宋体"/>
                <w:color w:val="auto"/>
                <w:highlight w:val="none"/>
              </w:rPr>
            </w:pPr>
          </w:p>
        </w:tc>
      </w:tr>
    </w:tbl>
    <w:p>
      <w:pPr>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附注：证明材料附后</w:t>
      </w:r>
    </w:p>
    <w:p>
      <w:pPr>
        <w:pStyle w:val="17"/>
        <w:spacing w:line="360" w:lineRule="auto"/>
        <w:outlineLvl w:val="9"/>
        <w:rPr>
          <w:rFonts w:hint="eastAsia" w:ascii="宋体" w:hAnsi="宋体" w:eastAsia="宋体" w:cs="宋体"/>
          <w:bCs/>
          <w:color w:val="auto"/>
          <w:kern w:val="2"/>
          <w:sz w:val="22"/>
          <w:szCs w:val="22"/>
          <w:highlight w:val="none"/>
        </w:rPr>
      </w:pPr>
    </w:p>
    <w:p>
      <w:pPr>
        <w:pStyle w:val="17"/>
        <w:spacing w:line="360" w:lineRule="auto"/>
        <w:outlineLvl w:val="9"/>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投标供应商全称（电子签章或公章）：</w:t>
      </w:r>
    </w:p>
    <w:p>
      <w:pPr>
        <w:spacing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法定代表人或授权代表（签字或盖章）：</w:t>
      </w:r>
    </w:p>
    <w:p>
      <w:pPr>
        <w:spacing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w:t>
      </w:r>
    </w:p>
    <w:p>
      <w:pPr>
        <w:spacing w:line="360" w:lineRule="auto"/>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附件13</w:t>
      </w:r>
    </w:p>
    <w:p>
      <w:pPr>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项目负责人情况表（标项：  ）</w:t>
      </w:r>
    </w:p>
    <w:p>
      <w:pPr>
        <w:spacing w:line="400" w:lineRule="exact"/>
        <w:rPr>
          <w:rFonts w:hint="eastAsia" w:ascii="宋体" w:hAnsi="宋体" w:eastAsia="宋体" w:cs="宋体"/>
          <w:b/>
          <w:color w:val="auto"/>
          <w:sz w:val="24"/>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21"/>
        <w:gridCol w:w="1838"/>
        <w:gridCol w:w="1541"/>
        <w:gridCol w:w="60"/>
        <w:gridCol w:w="1741"/>
        <w:gridCol w:w="750"/>
        <w:gridCol w:w="712"/>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9733" w:type="dxa"/>
            <w:gridSpan w:val="9"/>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1489" w:type="dxa"/>
            <w:gridSpan w:val="2"/>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   名</w:t>
            </w:r>
          </w:p>
        </w:tc>
        <w:tc>
          <w:tcPr>
            <w:tcW w:w="1838" w:type="dxa"/>
            <w:vAlign w:val="center"/>
          </w:tcPr>
          <w:p>
            <w:pPr>
              <w:spacing w:line="360" w:lineRule="exact"/>
              <w:jc w:val="center"/>
              <w:rPr>
                <w:rFonts w:hint="eastAsia" w:ascii="宋体" w:hAnsi="宋体" w:eastAsia="宋体" w:cs="宋体"/>
                <w:color w:val="auto"/>
                <w:sz w:val="22"/>
                <w:szCs w:val="22"/>
                <w:highlight w:val="none"/>
              </w:rPr>
            </w:pPr>
          </w:p>
        </w:tc>
        <w:tc>
          <w:tcPr>
            <w:tcW w:w="1601" w:type="dxa"/>
            <w:gridSpan w:val="2"/>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龄</w:t>
            </w:r>
          </w:p>
        </w:tc>
        <w:tc>
          <w:tcPr>
            <w:tcW w:w="1741" w:type="dxa"/>
            <w:vAlign w:val="center"/>
          </w:tcPr>
          <w:p>
            <w:pPr>
              <w:spacing w:line="360" w:lineRule="exact"/>
              <w:jc w:val="center"/>
              <w:rPr>
                <w:rFonts w:hint="eastAsia" w:ascii="宋体" w:hAnsi="宋体" w:eastAsia="宋体" w:cs="宋体"/>
                <w:color w:val="auto"/>
                <w:sz w:val="22"/>
                <w:szCs w:val="22"/>
                <w:highlight w:val="none"/>
              </w:rPr>
            </w:pPr>
          </w:p>
        </w:tc>
        <w:tc>
          <w:tcPr>
            <w:tcW w:w="1462" w:type="dxa"/>
            <w:gridSpan w:val="2"/>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学  历</w:t>
            </w:r>
          </w:p>
        </w:tc>
        <w:tc>
          <w:tcPr>
            <w:tcW w:w="1602" w:type="dxa"/>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1489" w:type="dxa"/>
            <w:gridSpan w:val="2"/>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毕业学校</w:t>
            </w:r>
          </w:p>
        </w:tc>
        <w:tc>
          <w:tcPr>
            <w:tcW w:w="1838" w:type="dxa"/>
            <w:vAlign w:val="center"/>
          </w:tcPr>
          <w:p>
            <w:pPr>
              <w:spacing w:line="360" w:lineRule="exact"/>
              <w:rPr>
                <w:rFonts w:hint="eastAsia" w:ascii="宋体" w:hAnsi="宋体" w:eastAsia="宋体" w:cs="宋体"/>
                <w:color w:val="auto"/>
                <w:sz w:val="22"/>
                <w:szCs w:val="22"/>
                <w:highlight w:val="none"/>
              </w:rPr>
            </w:pPr>
          </w:p>
        </w:tc>
        <w:tc>
          <w:tcPr>
            <w:tcW w:w="1601" w:type="dxa"/>
            <w:gridSpan w:val="2"/>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  业</w:t>
            </w:r>
          </w:p>
        </w:tc>
        <w:tc>
          <w:tcPr>
            <w:tcW w:w="1741" w:type="dxa"/>
            <w:vAlign w:val="center"/>
          </w:tcPr>
          <w:p>
            <w:pPr>
              <w:spacing w:line="360" w:lineRule="exact"/>
              <w:jc w:val="center"/>
              <w:rPr>
                <w:rFonts w:hint="eastAsia" w:ascii="宋体" w:hAnsi="宋体" w:eastAsia="宋体" w:cs="宋体"/>
                <w:color w:val="auto"/>
                <w:sz w:val="22"/>
                <w:szCs w:val="22"/>
                <w:highlight w:val="none"/>
              </w:rPr>
            </w:pPr>
          </w:p>
        </w:tc>
        <w:tc>
          <w:tcPr>
            <w:tcW w:w="1462" w:type="dxa"/>
            <w:gridSpan w:val="2"/>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  务</w:t>
            </w:r>
          </w:p>
        </w:tc>
        <w:tc>
          <w:tcPr>
            <w:tcW w:w="1602" w:type="dxa"/>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jc w:val="center"/>
        </w:trPr>
        <w:tc>
          <w:tcPr>
            <w:tcW w:w="1489" w:type="dxa"/>
            <w:gridSpan w:val="2"/>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  称</w:t>
            </w:r>
          </w:p>
        </w:tc>
        <w:tc>
          <w:tcPr>
            <w:tcW w:w="1838" w:type="dxa"/>
            <w:vAlign w:val="center"/>
          </w:tcPr>
          <w:p>
            <w:pPr>
              <w:spacing w:line="360" w:lineRule="exact"/>
              <w:rPr>
                <w:rFonts w:hint="eastAsia" w:ascii="宋体" w:hAnsi="宋体" w:eastAsia="宋体" w:cs="宋体"/>
                <w:color w:val="auto"/>
                <w:sz w:val="22"/>
                <w:szCs w:val="22"/>
                <w:highlight w:val="none"/>
              </w:rPr>
            </w:pPr>
          </w:p>
        </w:tc>
        <w:tc>
          <w:tcPr>
            <w:tcW w:w="1601" w:type="dxa"/>
            <w:gridSpan w:val="2"/>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拟任何职</w:t>
            </w:r>
          </w:p>
        </w:tc>
        <w:tc>
          <w:tcPr>
            <w:tcW w:w="1741" w:type="dxa"/>
            <w:vAlign w:val="center"/>
          </w:tcPr>
          <w:p>
            <w:pPr>
              <w:spacing w:line="360" w:lineRule="exact"/>
              <w:jc w:val="center"/>
              <w:rPr>
                <w:rFonts w:hint="eastAsia" w:ascii="宋体" w:hAnsi="宋体" w:eastAsia="宋体" w:cs="宋体"/>
                <w:color w:val="auto"/>
                <w:sz w:val="22"/>
                <w:szCs w:val="22"/>
                <w:highlight w:val="none"/>
              </w:rPr>
            </w:pPr>
          </w:p>
        </w:tc>
        <w:tc>
          <w:tcPr>
            <w:tcW w:w="1462" w:type="dxa"/>
            <w:gridSpan w:val="2"/>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参加工作</w:t>
            </w:r>
          </w:p>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1602" w:type="dxa"/>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9733" w:type="dxa"/>
            <w:gridSpan w:val="9"/>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1489" w:type="dxa"/>
            <w:gridSpan w:val="2"/>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  间</w:t>
            </w:r>
          </w:p>
        </w:tc>
        <w:tc>
          <w:tcPr>
            <w:tcW w:w="8244" w:type="dxa"/>
            <w:gridSpan w:val="7"/>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1489" w:type="dxa"/>
            <w:gridSpan w:val="2"/>
            <w:vAlign w:val="center"/>
          </w:tcPr>
          <w:p>
            <w:pPr>
              <w:spacing w:line="360" w:lineRule="exact"/>
              <w:jc w:val="center"/>
              <w:rPr>
                <w:rFonts w:hint="eastAsia" w:ascii="宋体" w:hAnsi="宋体" w:eastAsia="宋体" w:cs="宋体"/>
                <w:color w:val="auto"/>
                <w:sz w:val="22"/>
                <w:szCs w:val="22"/>
                <w:highlight w:val="none"/>
              </w:rPr>
            </w:pPr>
          </w:p>
        </w:tc>
        <w:tc>
          <w:tcPr>
            <w:tcW w:w="8244" w:type="dxa"/>
            <w:gridSpan w:val="7"/>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1489" w:type="dxa"/>
            <w:gridSpan w:val="2"/>
            <w:vAlign w:val="center"/>
          </w:tcPr>
          <w:p>
            <w:pPr>
              <w:spacing w:line="360" w:lineRule="exact"/>
              <w:jc w:val="center"/>
              <w:rPr>
                <w:rFonts w:hint="eastAsia" w:ascii="宋体" w:hAnsi="宋体" w:eastAsia="宋体" w:cs="宋体"/>
                <w:color w:val="auto"/>
                <w:sz w:val="22"/>
                <w:szCs w:val="22"/>
                <w:highlight w:val="none"/>
              </w:rPr>
            </w:pPr>
          </w:p>
        </w:tc>
        <w:tc>
          <w:tcPr>
            <w:tcW w:w="8244" w:type="dxa"/>
            <w:gridSpan w:val="7"/>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9733" w:type="dxa"/>
            <w:gridSpan w:val="9"/>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3、近五年评估过的法定评估业务（不超过10个）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768"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4100" w:type="dxa"/>
            <w:gridSpan w:val="3"/>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  目  名  称</w:t>
            </w:r>
          </w:p>
        </w:tc>
        <w:tc>
          <w:tcPr>
            <w:tcW w:w="2551" w:type="dxa"/>
            <w:gridSpan w:val="3"/>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该项目中任何职</w:t>
            </w:r>
          </w:p>
        </w:tc>
        <w:tc>
          <w:tcPr>
            <w:tcW w:w="2314" w:type="dxa"/>
            <w:gridSpan w:val="2"/>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标的资产账面价值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768" w:type="dxa"/>
            <w:vAlign w:val="center"/>
          </w:tcPr>
          <w:p>
            <w:pPr>
              <w:spacing w:line="360" w:lineRule="exact"/>
              <w:jc w:val="center"/>
              <w:rPr>
                <w:rFonts w:hint="eastAsia" w:ascii="宋体" w:hAnsi="宋体" w:eastAsia="宋体" w:cs="宋体"/>
                <w:color w:val="auto"/>
                <w:sz w:val="22"/>
                <w:szCs w:val="22"/>
                <w:highlight w:val="none"/>
              </w:rPr>
            </w:pPr>
          </w:p>
        </w:tc>
        <w:tc>
          <w:tcPr>
            <w:tcW w:w="4100" w:type="dxa"/>
            <w:gridSpan w:val="3"/>
            <w:vAlign w:val="center"/>
          </w:tcPr>
          <w:p>
            <w:pPr>
              <w:spacing w:line="360" w:lineRule="exact"/>
              <w:jc w:val="center"/>
              <w:rPr>
                <w:rFonts w:hint="eastAsia" w:ascii="宋体" w:hAnsi="宋体" w:eastAsia="宋体" w:cs="宋体"/>
                <w:color w:val="auto"/>
                <w:sz w:val="22"/>
                <w:szCs w:val="22"/>
                <w:highlight w:val="none"/>
              </w:rPr>
            </w:pPr>
          </w:p>
        </w:tc>
        <w:tc>
          <w:tcPr>
            <w:tcW w:w="2551" w:type="dxa"/>
            <w:gridSpan w:val="3"/>
            <w:vAlign w:val="center"/>
          </w:tcPr>
          <w:p>
            <w:pPr>
              <w:spacing w:line="360" w:lineRule="exact"/>
              <w:jc w:val="center"/>
              <w:rPr>
                <w:rFonts w:hint="eastAsia" w:ascii="宋体" w:hAnsi="宋体" w:eastAsia="宋体" w:cs="宋体"/>
                <w:color w:val="auto"/>
                <w:sz w:val="22"/>
                <w:szCs w:val="22"/>
                <w:highlight w:val="none"/>
              </w:rPr>
            </w:pPr>
          </w:p>
        </w:tc>
        <w:tc>
          <w:tcPr>
            <w:tcW w:w="2314" w:type="dxa"/>
            <w:gridSpan w:val="2"/>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768" w:type="dxa"/>
            <w:vAlign w:val="center"/>
          </w:tcPr>
          <w:p>
            <w:pPr>
              <w:spacing w:line="360" w:lineRule="exact"/>
              <w:jc w:val="center"/>
              <w:rPr>
                <w:rFonts w:hint="eastAsia" w:ascii="宋体" w:hAnsi="宋体" w:eastAsia="宋体" w:cs="宋体"/>
                <w:color w:val="auto"/>
                <w:sz w:val="22"/>
                <w:szCs w:val="22"/>
                <w:highlight w:val="none"/>
              </w:rPr>
            </w:pPr>
          </w:p>
        </w:tc>
        <w:tc>
          <w:tcPr>
            <w:tcW w:w="4100" w:type="dxa"/>
            <w:gridSpan w:val="3"/>
            <w:vAlign w:val="center"/>
          </w:tcPr>
          <w:p>
            <w:pPr>
              <w:spacing w:line="360" w:lineRule="exact"/>
              <w:jc w:val="center"/>
              <w:rPr>
                <w:rFonts w:hint="eastAsia" w:ascii="宋体" w:hAnsi="宋体" w:eastAsia="宋体" w:cs="宋体"/>
                <w:color w:val="auto"/>
                <w:sz w:val="22"/>
                <w:szCs w:val="22"/>
                <w:highlight w:val="none"/>
              </w:rPr>
            </w:pPr>
          </w:p>
        </w:tc>
        <w:tc>
          <w:tcPr>
            <w:tcW w:w="2551" w:type="dxa"/>
            <w:gridSpan w:val="3"/>
            <w:vAlign w:val="center"/>
          </w:tcPr>
          <w:p>
            <w:pPr>
              <w:spacing w:line="360" w:lineRule="exact"/>
              <w:jc w:val="center"/>
              <w:rPr>
                <w:rFonts w:hint="eastAsia" w:ascii="宋体" w:hAnsi="宋体" w:eastAsia="宋体" w:cs="宋体"/>
                <w:color w:val="auto"/>
                <w:sz w:val="22"/>
                <w:szCs w:val="22"/>
                <w:highlight w:val="none"/>
              </w:rPr>
            </w:pPr>
          </w:p>
        </w:tc>
        <w:tc>
          <w:tcPr>
            <w:tcW w:w="2314" w:type="dxa"/>
            <w:gridSpan w:val="2"/>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768" w:type="dxa"/>
            <w:vAlign w:val="center"/>
          </w:tcPr>
          <w:p>
            <w:pPr>
              <w:spacing w:line="360" w:lineRule="exact"/>
              <w:jc w:val="center"/>
              <w:rPr>
                <w:rFonts w:hint="eastAsia" w:ascii="宋体" w:hAnsi="宋体" w:eastAsia="宋体" w:cs="宋体"/>
                <w:color w:val="auto"/>
                <w:sz w:val="22"/>
                <w:szCs w:val="22"/>
                <w:highlight w:val="none"/>
              </w:rPr>
            </w:pPr>
          </w:p>
        </w:tc>
        <w:tc>
          <w:tcPr>
            <w:tcW w:w="4100" w:type="dxa"/>
            <w:gridSpan w:val="3"/>
            <w:vAlign w:val="center"/>
          </w:tcPr>
          <w:p>
            <w:pPr>
              <w:spacing w:line="360" w:lineRule="exact"/>
              <w:jc w:val="center"/>
              <w:rPr>
                <w:rFonts w:hint="eastAsia" w:ascii="宋体" w:hAnsi="宋体" w:eastAsia="宋体" w:cs="宋体"/>
                <w:color w:val="auto"/>
                <w:sz w:val="22"/>
                <w:szCs w:val="22"/>
                <w:highlight w:val="none"/>
              </w:rPr>
            </w:pPr>
          </w:p>
        </w:tc>
        <w:tc>
          <w:tcPr>
            <w:tcW w:w="2551" w:type="dxa"/>
            <w:gridSpan w:val="3"/>
            <w:vAlign w:val="center"/>
          </w:tcPr>
          <w:p>
            <w:pPr>
              <w:spacing w:line="360" w:lineRule="exact"/>
              <w:jc w:val="center"/>
              <w:rPr>
                <w:rFonts w:hint="eastAsia" w:ascii="宋体" w:hAnsi="宋体" w:eastAsia="宋体" w:cs="宋体"/>
                <w:color w:val="auto"/>
                <w:sz w:val="22"/>
                <w:szCs w:val="22"/>
                <w:highlight w:val="none"/>
              </w:rPr>
            </w:pPr>
          </w:p>
        </w:tc>
        <w:tc>
          <w:tcPr>
            <w:tcW w:w="2314" w:type="dxa"/>
            <w:gridSpan w:val="2"/>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768" w:type="dxa"/>
            <w:vAlign w:val="center"/>
          </w:tcPr>
          <w:p>
            <w:pPr>
              <w:spacing w:line="360" w:lineRule="exact"/>
              <w:jc w:val="center"/>
              <w:rPr>
                <w:rFonts w:hint="eastAsia" w:ascii="宋体" w:hAnsi="宋体" w:eastAsia="宋体" w:cs="宋体"/>
                <w:color w:val="auto"/>
                <w:sz w:val="22"/>
                <w:szCs w:val="22"/>
                <w:highlight w:val="none"/>
              </w:rPr>
            </w:pPr>
          </w:p>
        </w:tc>
        <w:tc>
          <w:tcPr>
            <w:tcW w:w="4100" w:type="dxa"/>
            <w:gridSpan w:val="3"/>
            <w:vAlign w:val="center"/>
          </w:tcPr>
          <w:p>
            <w:pPr>
              <w:spacing w:line="360" w:lineRule="exact"/>
              <w:jc w:val="center"/>
              <w:rPr>
                <w:rFonts w:hint="eastAsia" w:ascii="宋体" w:hAnsi="宋体" w:eastAsia="宋体" w:cs="宋体"/>
                <w:color w:val="auto"/>
                <w:sz w:val="22"/>
                <w:szCs w:val="22"/>
                <w:highlight w:val="none"/>
              </w:rPr>
            </w:pPr>
          </w:p>
        </w:tc>
        <w:tc>
          <w:tcPr>
            <w:tcW w:w="2551" w:type="dxa"/>
            <w:gridSpan w:val="3"/>
            <w:vAlign w:val="center"/>
          </w:tcPr>
          <w:p>
            <w:pPr>
              <w:spacing w:line="360" w:lineRule="exact"/>
              <w:jc w:val="center"/>
              <w:rPr>
                <w:rFonts w:hint="eastAsia" w:ascii="宋体" w:hAnsi="宋体" w:eastAsia="宋体" w:cs="宋体"/>
                <w:color w:val="auto"/>
                <w:sz w:val="22"/>
                <w:szCs w:val="22"/>
                <w:highlight w:val="none"/>
              </w:rPr>
            </w:pPr>
          </w:p>
        </w:tc>
        <w:tc>
          <w:tcPr>
            <w:tcW w:w="2314" w:type="dxa"/>
            <w:gridSpan w:val="2"/>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768" w:type="dxa"/>
            <w:vAlign w:val="center"/>
          </w:tcPr>
          <w:p>
            <w:pPr>
              <w:spacing w:line="360" w:lineRule="exact"/>
              <w:jc w:val="center"/>
              <w:rPr>
                <w:rFonts w:hint="eastAsia" w:ascii="宋体" w:hAnsi="宋体" w:eastAsia="宋体" w:cs="宋体"/>
                <w:color w:val="auto"/>
                <w:sz w:val="22"/>
                <w:szCs w:val="22"/>
                <w:highlight w:val="none"/>
              </w:rPr>
            </w:pPr>
          </w:p>
        </w:tc>
        <w:tc>
          <w:tcPr>
            <w:tcW w:w="4100" w:type="dxa"/>
            <w:gridSpan w:val="3"/>
            <w:vAlign w:val="center"/>
          </w:tcPr>
          <w:p>
            <w:pPr>
              <w:spacing w:line="360" w:lineRule="exact"/>
              <w:jc w:val="center"/>
              <w:rPr>
                <w:rFonts w:hint="eastAsia" w:ascii="宋体" w:hAnsi="宋体" w:eastAsia="宋体" w:cs="宋体"/>
                <w:color w:val="auto"/>
                <w:sz w:val="22"/>
                <w:szCs w:val="22"/>
                <w:highlight w:val="none"/>
              </w:rPr>
            </w:pPr>
          </w:p>
        </w:tc>
        <w:tc>
          <w:tcPr>
            <w:tcW w:w="2551" w:type="dxa"/>
            <w:gridSpan w:val="3"/>
            <w:vAlign w:val="center"/>
          </w:tcPr>
          <w:p>
            <w:pPr>
              <w:spacing w:line="360" w:lineRule="exact"/>
              <w:jc w:val="center"/>
              <w:rPr>
                <w:rFonts w:hint="eastAsia" w:ascii="宋体" w:hAnsi="宋体" w:eastAsia="宋体" w:cs="宋体"/>
                <w:color w:val="auto"/>
                <w:sz w:val="22"/>
                <w:szCs w:val="22"/>
                <w:highlight w:val="none"/>
              </w:rPr>
            </w:pPr>
          </w:p>
        </w:tc>
        <w:tc>
          <w:tcPr>
            <w:tcW w:w="2314" w:type="dxa"/>
            <w:gridSpan w:val="2"/>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768" w:type="dxa"/>
            <w:vAlign w:val="center"/>
          </w:tcPr>
          <w:p>
            <w:pPr>
              <w:spacing w:line="360" w:lineRule="exact"/>
              <w:jc w:val="center"/>
              <w:rPr>
                <w:rFonts w:hint="eastAsia" w:ascii="宋体" w:hAnsi="宋体" w:eastAsia="宋体" w:cs="宋体"/>
                <w:color w:val="auto"/>
                <w:sz w:val="22"/>
                <w:szCs w:val="22"/>
                <w:highlight w:val="none"/>
              </w:rPr>
            </w:pPr>
          </w:p>
        </w:tc>
        <w:tc>
          <w:tcPr>
            <w:tcW w:w="4100" w:type="dxa"/>
            <w:gridSpan w:val="3"/>
            <w:vAlign w:val="center"/>
          </w:tcPr>
          <w:p>
            <w:pPr>
              <w:spacing w:line="360" w:lineRule="exact"/>
              <w:jc w:val="center"/>
              <w:rPr>
                <w:rFonts w:hint="eastAsia" w:ascii="宋体" w:hAnsi="宋体" w:eastAsia="宋体" w:cs="宋体"/>
                <w:color w:val="auto"/>
                <w:sz w:val="22"/>
                <w:szCs w:val="22"/>
                <w:highlight w:val="none"/>
              </w:rPr>
            </w:pPr>
          </w:p>
        </w:tc>
        <w:tc>
          <w:tcPr>
            <w:tcW w:w="2551" w:type="dxa"/>
            <w:gridSpan w:val="3"/>
            <w:vAlign w:val="center"/>
          </w:tcPr>
          <w:p>
            <w:pPr>
              <w:spacing w:line="360" w:lineRule="exact"/>
              <w:jc w:val="center"/>
              <w:rPr>
                <w:rFonts w:hint="eastAsia" w:ascii="宋体" w:hAnsi="宋体" w:eastAsia="宋体" w:cs="宋体"/>
                <w:color w:val="auto"/>
                <w:sz w:val="22"/>
                <w:szCs w:val="22"/>
                <w:highlight w:val="none"/>
              </w:rPr>
            </w:pPr>
          </w:p>
        </w:tc>
        <w:tc>
          <w:tcPr>
            <w:tcW w:w="2314" w:type="dxa"/>
            <w:gridSpan w:val="2"/>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768" w:type="dxa"/>
            <w:vAlign w:val="center"/>
          </w:tcPr>
          <w:p>
            <w:pPr>
              <w:spacing w:line="360" w:lineRule="exact"/>
              <w:jc w:val="center"/>
              <w:rPr>
                <w:rFonts w:hint="eastAsia" w:ascii="宋体" w:hAnsi="宋体" w:eastAsia="宋体" w:cs="宋体"/>
                <w:color w:val="auto"/>
                <w:sz w:val="22"/>
                <w:szCs w:val="22"/>
                <w:highlight w:val="none"/>
              </w:rPr>
            </w:pPr>
          </w:p>
        </w:tc>
        <w:tc>
          <w:tcPr>
            <w:tcW w:w="4100" w:type="dxa"/>
            <w:gridSpan w:val="3"/>
            <w:vAlign w:val="center"/>
          </w:tcPr>
          <w:p>
            <w:pPr>
              <w:spacing w:line="360" w:lineRule="exact"/>
              <w:jc w:val="center"/>
              <w:rPr>
                <w:rFonts w:hint="eastAsia" w:ascii="宋体" w:hAnsi="宋体" w:eastAsia="宋体" w:cs="宋体"/>
                <w:color w:val="auto"/>
                <w:sz w:val="22"/>
                <w:szCs w:val="22"/>
                <w:highlight w:val="none"/>
              </w:rPr>
            </w:pPr>
          </w:p>
        </w:tc>
        <w:tc>
          <w:tcPr>
            <w:tcW w:w="2551" w:type="dxa"/>
            <w:gridSpan w:val="3"/>
            <w:vAlign w:val="center"/>
          </w:tcPr>
          <w:p>
            <w:pPr>
              <w:spacing w:line="360" w:lineRule="exact"/>
              <w:jc w:val="center"/>
              <w:rPr>
                <w:rFonts w:hint="eastAsia" w:ascii="宋体" w:hAnsi="宋体" w:eastAsia="宋体" w:cs="宋体"/>
                <w:color w:val="auto"/>
                <w:sz w:val="22"/>
                <w:szCs w:val="22"/>
                <w:highlight w:val="none"/>
              </w:rPr>
            </w:pPr>
          </w:p>
        </w:tc>
        <w:tc>
          <w:tcPr>
            <w:tcW w:w="2314" w:type="dxa"/>
            <w:gridSpan w:val="2"/>
            <w:vAlign w:val="center"/>
          </w:tcPr>
          <w:p>
            <w:pPr>
              <w:spacing w:line="360" w:lineRule="exact"/>
              <w:jc w:val="center"/>
              <w:rPr>
                <w:rFonts w:hint="eastAsia" w:ascii="宋体" w:hAnsi="宋体" w:eastAsia="宋体" w:cs="宋体"/>
                <w:color w:val="auto"/>
                <w:sz w:val="22"/>
                <w:szCs w:val="22"/>
                <w:highlight w:val="none"/>
              </w:rPr>
            </w:pPr>
          </w:p>
        </w:tc>
      </w:tr>
    </w:tbl>
    <w:p>
      <w:pP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注：1、本表应附项目负责人相关证明材料。</w:t>
      </w:r>
    </w:p>
    <w:p>
      <w:pPr>
        <w:spacing w:line="400" w:lineRule="exact"/>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2、项目负责人在服务期内不得更换，如遇特殊情况更换项目负责人的需经采购人同意。</w:t>
      </w:r>
    </w:p>
    <w:p>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3、本表可在不改变格式的情况下根据具体需要自行增减。</w:t>
      </w:r>
    </w:p>
    <w:p>
      <w:pPr>
        <w:pStyle w:val="17"/>
        <w:spacing w:line="360" w:lineRule="auto"/>
        <w:rPr>
          <w:rFonts w:hint="eastAsia" w:ascii="宋体" w:hAnsi="宋体" w:eastAsia="宋体" w:cs="宋体"/>
          <w:bCs/>
          <w:color w:val="auto"/>
          <w:kern w:val="2"/>
          <w:sz w:val="22"/>
          <w:szCs w:val="22"/>
          <w:highlight w:val="none"/>
        </w:rPr>
      </w:pPr>
    </w:p>
    <w:p>
      <w:pPr>
        <w:pStyle w:val="17"/>
        <w:spacing w:line="360" w:lineRule="auto"/>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投标供应商全称（电子签章或公章）：</w:t>
      </w:r>
    </w:p>
    <w:p>
      <w:p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法定代表人或授权代表（签字或盖章）：</w:t>
      </w:r>
    </w:p>
    <w:p>
      <w:p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w:t>
      </w:r>
    </w:p>
    <w:p>
      <w:pPr>
        <w:widowControl/>
        <w:spacing w:line="360" w:lineRule="auto"/>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附件14</w:t>
      </w:r>
    </w:p>
    <w:p>
      <w:pPr>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项目团队人员情况表（标项：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22"/>
        <w:gridCol w:w="741"/>
        <w:gridCol w:w="945"/>
        <w:gridCol w:w="836"/>
        <w:gridCol w:w="1288"/>
        <w:gridCol w:w="1288"/>
        <w:gridCol w:w="132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648" w:type="dxa"/>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522" w:type="dxa"/>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项目组成员</w:t>
            </w:r>
          </w:p>
        </w:tc>
        <w:tc>
          <w:tcPr>
            <w:tcW w:w="741" w:type="dxa"/>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专业</w:t>
            </w:r>
          </w:p>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学历</w:t>
            </w:r>
          </w:p>
        </w:tc>
        <w:tc>
          <w:tcPr>
            <w:tcW w:w="945" w:type="dxa"/>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性别</w:t>
            </w:r>
          </w:p>
        </w:tc>
        <w:tc>
          <w:tcPr>
            <w:tcW w:w="836" w:type="dxa"/>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1288" w:type="dxa"/>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获得认证资格证书</w:t>
            </w:r>
          </w:p>
        </w:tc>
        <w:tc>
          <w:tcPr>
            <w:tcW w:w="1288" w:type="dxa"/>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从事该行</w:t>
            </w:r>
          </w:p>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工作时间</w:t>
            </w:r>
          </w:p>
        </w:tc>
        <w:tc>
          <w:tcPr>
            <w:tcW w:w="1325" w:type="dxa"/>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主要资历、经验及承担过的法定评估业务</w:t>
            </w:r>
          </w:p>
        </w:tc>
        <w:tc>
          <w:tcPr>
            <w:tcW w:w="900" w:type="dxa"/>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拟担任</w:t>
            </w:r>
          </w:p>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648"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522" w:type="dxa"/>
            <w:vAlign w:val="center"/>
          </w:tcPr>
          <w:p>
            <w:pPr>
              <w:spacing w:line="360" w:lineRule="exact"/>
              <w:jc w:val="center"/>
              <w:rPr>
                <w:rFonts w:hint="eastAsia" w:ascii="宋体" w:hAnsi="宋体" w:eastAsia="宋体" w:cs="宋体"/>
                <w:color w:val="auto"/>
                <w:sz w:val="22"/>
                <w:szCs w:val="22"/>
                <w:highlight w:val="none"/>
              </w:rPr>
            </w:pPr>
          </w:p>
        </w:tc>
        <w:tc>
          <w:tcPr>
            <w:tcW w:w="741" w:type="dxa"/>
            <w:vAlign w:val="center"/>
          </w:tcPr>
          <w:p>
            <w:pPr>
              <w:spacing w:line="360" w:lineRule="exact"/>
              <w:jc w:val="center"/>
              <w:rPr>
                <w:rFonts w:hint="eastAsia" w:ascii="宋体" w:hAnsi="宋体" w:eastAsia="宋体" w:cs="宋体"/>
                <w:color w:val="auto"/>
                <w:sz w:val="22"/>
                <w:szCs w:val="22"/>
                <w:highlight w:val="none"/>
              </w:rPr>
            </w:pPr>
          </w:p>
        </w:tc>
        <w:tc>
          <w:tcPr>
            <w:tcW w:w="945" w:type="dxa"/>
            <w:vAlign w:val="center"/>
          </w:tcPr>
          <w:p>
            <w:pPr>
              <w:spacing w:line="360" w:lineRule="exact"/>
              <w:jc w:val="center"/>
              <w:rPr>
                <w:rFonts w:hint="eastAsia" w:ascii="宋体" w:hAnsi="宋体" w:eastAsia="宋体" w:cs="宋体"/>
                <w:color w:val="auto"/>
                <w:sz w:val="22"/>
                <w:szCs w:val="22"/>
                <w:highlight w:val="none"/>
              </w:rPr>
            </w:pPr>
          </w:p>
        </w:tc>
        <w:tc>
          <w:tcPr>
            <w:tcW w:w="836"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325" w:type="dxa"/>
            <w:vAlign w:val="center"/>
          </w:tcPr>
          <w:p>
            <w:pPr>
              <w:spacing w:line="360" w:lineRule="exact"/>
              <w:jc w:val="center"/>
              <w:rPr>
                <w:rFonts w:hint="eastAsia" w:ascii="宋体" w:hAnsi="宋体" w:eastAsia="宋体" w:cs="宋体"/>
                <w:color w:val="auto"/>
                <w:sz w:val="22"/>
                <w:szCs w:val="22"/>
                <w:highlight w:val="none"/>
              </w:rPr>
            </w:pPr>
          </w:p>
        </w:tc>
        <w:tc>
          <w:tcPr>
            <w:tcW w:w="900" w:type="dxa"/>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648"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522" w:type="dxa"/>
            <w:vAlign w:val="center"/>
          </w:tcPr>
          <w:p>
            <w:pPr>
              <w:spacing w:line="360" w:lineRule="exact"/>
              <w:jc w:val="center"/>
              <w:rPr>
                <w:rFonts w:hint="eastAsia" w:ascii="宋体" w:hAnsi="宋体" w:eastAsia="宋体" w:cs="宋体"/>
                <w:color w:val="auto"/>
                <w:sz w:val="22"/>
                <w:szCs w:val="22"/>
                <w:highlight w:val="none"/>
              </w:rPr>
            </w:pPr>
          </w:p>
        </w:tc>
        <w:tc>
          <w:tcPr>
            <w:tcW w:w="741" w:type="dxa"/>
            <w:vAlign w:val="center"/>
          </w:tcPr>
          <w:p>
            <w:pPr>
              <w:spacing w:line="360" w:lineRule="exact"/>
              <w:jc w:val="center"/>
              <w:rPr>
                <w:rFonts w:hint="eastAsia" w:ascii="宋体" w:hAnsi="宋体" w:eastAsia="宋体" w:cs="宋体"/>
                <w:color w:val="auto"/>
                <w:sz w:val="22"/>
                <w:szCs w:val="22"/>
                <w:highlight w:val="none"/>
              </w:rPr>
            </w:pPr>
          </w:p>
        </w:tc>
        <w:tc>
          <w:tcPr>
            <w:tcW w:w="945" w:type="dxa"/>
            <w:vAlign w:val="center"/>
          </w:tcPr>
          <w:p>
            <w:pPr>
              <w:spacing w:line="360" w:lineRule="exact"/>
              <w:jc w:val="center"/>
              <w:rPr>
                <w:rFonts w:hint="eastAsia" w:ascii="宋体" w:hAnsi="宋体" w:eastAsia="宋体" w:cs="宋体"/>
                <w:color w:val="auto"/>
                <w:sz w:val="22"/>
                <w:szCs w:val="22"/>
                <w:highlight w:val="none"/>
              </w:rPr>
            </w:pPr>
          </w:p>
        </w:tc>
        <w:tc>
          <w:tcPr>
            <w:tcW w:w="836"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325" w:type="dxa"/>
          </w:tcPr>
          <w:p>
            <w:pPr>
              <w:spacing w:line="360" w:lineRule="exact"/>
              <w:jc w:val="center"/>
              <w:rPr>
                <w:rFonts w:hint="eastAsia" w:ascii="宋体" w:hAnsi="宋体" w:eastAsia="宋体" w:cs="宋体"/>
                <w:color w:val="auto"/>
                <w:sz w:val="22"/>
                <w:szCs w:val="22"/>
                <w:highlight w:val="none"/>
              </w:rPr>
            </w:pPr>
          </w:p>
        </w:tc>
        <w:tc>
          <w:tcPr>
            <w:tcW w:w="900" w:type="dxa"/>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648"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522" w:type="dxa"/>
            <w:vAlign w:val="center"/>
          </w:tcPr>
          <w:p>
            <w:pPr>
              <w:spacing w:line="360" w:lineRule="exact"/>
              <w:jc w:val="center"/>
              <w:rPr>
                <w:rFonts w:hint="eastAsia" w:ascii="宋体" w:hAnsi="宋体" w:eastAsia="宋体" w:cs="宋体"/>
                <w:color w:val="auto"/>
                <w:sz w:val="22"/>
                <w:szCs w:val="22"/>
                <w:highlight w:val="none"/>
              </w:rPr>
            </w:pPr>
          </w:p>
        </w:tc>
        <w:tc>
          <w:tcPr>
            <w:tcW w:w="741" w:type="dxa"/>
            <w:vAlign w:val="center"/>
          </w:tcPr>
          <w:p>
            <w:pPr>
              <w:spacing w:line="360" w:lineRule="exact"/>
              <w:jc w:val="center"/>
              <w:rPr>
                <w:rFonts w:hint="eastAsia" w:ascii="宋体" w:hAnsi="宋体" w:eastAsia="宋体" w:cs="宋体"/>
                <w:color w:val="auto"/>
                <w:sz w:val="22"/>
                <w:szCs w:val="22"/>
                <w:highlight w:val="none"/>
              </w:rPr>
            </w:pPr>
          </w:p>
        </w:tc>
        <w:tc>
          <w:tcPr>
            <w:tcW w:w="945" w:type="dxa"/>
            <w:vAlign w:val="center"/>
          </w:tcPr>
          <w:p>
            <w:pPr>
              <w:spacing w:line="360" w:lineRule="exact"/>
              <w:jc w:val="center"/>
              <w:rPr>
                <w:rFonts w:hint="eastAsia" w:ascii="宋体" w:hAnsi="宋体" w:eastAsia="宋体" w:cs="宋体"/>
                <w:color w:val="auto"/>
                <w:sz w:val="22"/>
                <w:szCs w:val="22"/>
                <w:highlight w:val="none"/>
              </w:rPr>
            </w:pPr>
          </w:p>
        </w:tc>
        <w:tc>
          <w:tcPr>
            <w:tcW w:w="836"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325" w:type="dxa"/>
          </w:tcPr>
          <w:p>
            <w:pPr>
              <w:spacing w:line="360" w:lineRule="exact"/>
              <w:jc w:val="center"/>
              <w:rPr>
                <w:rFonts w:hint="eastAsia" w:ascii="宋体" w:hAnsi="宋体" w:eastAsia="宋体" w:cs="宋体"/>
                <w:color w:val="auto"/>
                <w:sz w:val="22"/>
                <w:szCs w:val="22"/>
                <w:highlight w:val="none"/>
              </w:rPr>
            </w:pPr>
          </w:p>
        </w:tc>
        <w:tc>
          <w:tcPr>
            <w:tcW w:w="900" w:type="dxa"/>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648"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522" w:type="dxa"/>
            <w:vAlign w:val="center"/>
          </w:tcPr>
          <w:p>
            <w:pPr>
              <w:spacing w:line="360" w:lineRule="exact"/>
              <w:jc w:val="center"/>
              <w:rPr>
                <w:rFonts w:hint="eastAsia" w:ascii="宋体" w:hAnsi="宋体" w:eastAsia="宋体" w:cs="宋体"/>
                <w:color w:val="auto"/>
                <w:sz w:val="22"/>
                <w:szCs w:val="22"/>
                <w:highlight w:val="none"/>
              </w:rPr>
            </w:pPr>
          </w:p>
        </w:tc>
        <w:tc>
          <w:tcPr>
            <w:tcW w:w="741" w:type="dxa"/>
            <w:vAlign w:val="center"/>
          </w:tcPr>
          <w:p>
            <w:pPr>
              <w:spacing w:line="360" w:lineRule="exact"/>
              <w:jc w:val="center"/>
              <w:rPr>
                <w:rFonts w:hint="eastAsia" w:ascii="宋体" w:hAnsi="宋体" w:eastAsia="宋体" w:cs="宋体"/>
                <w:color w:val="auto"/>
                <w:sz w:val="22"/>
                <w:szCs w:val="22"/>
                <w:highlight w:val="none"/>
              </w:rPr>
            </w:pPr>
          </w:p>
        </w:tc>
        <w:tc>
          <w:tcPr>
            <w:tcW w:w="945" w:type="dxa"/>
            <w:vAlign w:val="center"/>
          </w:tcPr>
          <w:p>
            <w:pPr>
              <w:spacing w:line="360" w:lineRule="exact"/>
              <w:jc w:val="center"/>
              <w:rPr>
                <w:rFonts w:hint="eastAsia" w:ascii="宋体" w:hAnsi="宋体" w:eastAsia="宋体" w:cs="宋体"/>
                <w:color w:val="auto"/>
                <w:sz w:val="22"/>
                <w:szCs w:val="22"/>
                <w:highlight w:val="none"/>
              </w:rPr>
            </w:pPr>
          </w:p>
        </w:tc>
        <w:tc>
          <w:tcPr>
            <w:tcW w:w="836"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325" w:type="dxa"/>
          </w:tcPr>
          <w:p>
            <w:pPr>
              <w:spacing w:line="360" w:lineRule="exact"/>
              <w:jc w:val="center"/>
              <w:rPr>
                <w:rFonts w:hint="eastAsia" w:ascii="宋体" w:hAnsi="宋体" w:eastAsia="宋体" w:cs="宋体"/>
                <w:color w:val="auto"/>
                <w:sz w:val="22"/>
                <w:szCs w:val="22"/>
                <w:highlight w:val="none"/>
              </w:rPr>
            </w:pPr>
          </w:p>
        </w:tc>
        <w:tc>
          <w:tcPr>
            <w:tcW w:w="900" w:type="dxa"/>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648"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522" w:type="dxa"/>
            <w:vAlign w:val="center"/>
          </w:tcPr>
          <w:p>
            <w:pPr>
              <w:spacing w:line="360" w:lineRule="exact"/>
              <w:jc w:val="center"/>
              <w:rPr>
                <w:rFonts w:hint="eastAsia" w:ascii="宋体" w:hAnsi="宋体" w:eastAsia="宋体" w:cs="宋体"/>
                <w:color w:val="auto"/>
                <w:sz w:val="22"/>
                <w:szCs w:val="22"/>
                <w:highlight w:val="none"/>
              </w:rPr>
            </w:pPr>
          </w:p>
        </w:tc>
        <w:tc>
          <w:tcPr>
            <w:tcW w:w="741" w:type="dxa"/>
            <w:vAlign w:val="center"/>
          </w:tcPr>
          <w:p>
            <w:pPr>
              <w:spacing w:line="360" w:lineRule="exact"/>
              <w:jc w:val="center"/>
              <w:rPr>
                <w:rFonts w:hint="eastAsia" w:ascii="宋体" w:hAnsi="宋体" w:eastAsia="宋体" w:cs="宋体"/>
                <w:color w:val="auto"/>
                <w:sz w:val="22"/>
                <w:szCs w:val="22"/>
                <w:highlight w:val="none"/>
              </w:rPr>
            </w:pPr>
          </w:p>
        </w:tc>
        <w:tc>
          <w:tcPr>
            <w:tcW w:w="945" w:type="dxa"/>
            <w:vAlign w:val="center"/>
          </w:tcPr>
          <w:p>
            <w:pPr>
              <w:spacing w:line="360" w:lineRule="exact"/>
              <w:jc w:val="center"/>
              <w:rPr>
                <w:rFonts w:hint="eastAsia" w:ascii="宋体" w:hAnsi="宋体" w:eastAsia="宋体" w:cs="宋体"/>
                <w:color w:val="auto"/>
                <w:sz w:val="22"/>
                <w:szCs w:val="22"/>
                <w:highlight w:val="none"/>
              </w:rPr>
            </w:pPr>
          </w:p>
        </w:tc>
        <w:tc>
          <w:tcPr>
            <w:tcW w:w="836"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325" w:type="dxa"/>
          </w:tcPr>
          <w:p>
            <w:pPr>
              <w:spacing w:line="360" w:lineRule="exact"/>
              <w:jc w:val="center"/>
              <w:rPr>
                <w:rFonts w:hint="eastAsia" w:ascii="宋体" w:hAnsi="宋体" w:eastAsia="宋体" w:cs="宋体"/>
                <w:color w:val="auto"/>
                <w:sz w:val="22"/>
                <w:szCs w:val="22"/>
                <w:highlight w:val="none"/>
              </w:rPr>
            </w:pPr>
          </w:p>
        </w:tc>
        <w:tc>
          <w:tcPr>
            <w:tcW w:w="900" w:type="dxa"/>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648"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522" w:type="dxa"/>
            <w:vAlign w:val="center"/>
          </w:tcPr>
          <w:p>
            <w:pPr>
              <w:spacing w:line="360" w:lineRule="exact"/>
              <w:jc w:val="center"/>
              <w:rPr>
                <w:rFonts w:hint="eastAsia" w:ascii="宋体" w:hAnsi="宋体" w:eastAsia="宋体" w:cs="宋体"/>
                <w:color w:val="auto"/>
                <w:sz w:val="22"/>
                <w:szCs w:val="22"/>
                <w:highlight w:val="none"/>
              </w:rPr>
            </w:pPr>
          </w:p>
        </w:tc>
        <w:tc>
          <w:tcPr>
            <w:tcW w:w="741" w:type="dxa"/>
            <w:vAlign w:val="center"/>
          </w:tcPr>
          <w:p>
            <w:pPr>
              <w:spacing w:line="360" w:lineRule="exact"/>
              <w:jc w:val="center"/>
              <w:rPr>
                <w:rFonts w:hint="eastAsia" w:ascii="宋体" w:hAnsi="宋体" w:eastAsia="宋体" w:cs="宋体"/>
                <w:color w:val="auto"/>
                <w:sz w:val="22"/>
                <w:szCs w:val="22"/>
                <w:highlight w:val="none"/>
              </w:rPr>
            </w:pPr>
          </w:p>
        </w:tc>
        <w:tc>
          <w:tcPr>
            <w:tcW w:w="945" w:type="dxa"/>
            <w:vAlign w:val="center"/>
          </w:tcPr>
          <w:p>
            <w:pPr>
              <w:spacing w:line="360" w:lineRule="exact"/>
              <w:jc w:val="center"/>
              <w:rPr>
                <w:rFonts w:hint="eastAsia" w:ascii="宋体" w:hAnsi="宋体" w:eastAsia="宋体" w:cs="宋体"/>
                <w:color w:val="auto"/>
                <w:sz w:val="22"/>
                <w:szCs w:val="22"/>
                <w:highlight w:val="none"/>
              </w:rPr>
            </w:pPr>
          </w:p>
        </w:tc>
        <w:tc>
          <w:tcPr>
            <w:tcW w:w="836"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325" w:type="dxa"/>
          </w:tcPr>
          <w:p>
            <w:pPr>
              <w:spacing w:line="360" w:lineRule="exact"/>
              <w:jc w:val="center"/>
              <w:rPr>
                <w:rFonts w:hint="eastAsia" w:ascii="宋体" w:hAnsi="宋体" w:eastAsia="宋体" w:cs="宋体"/>
                <w:color w:val="auto"/>
                <w:sz w:val="22"/>
                <w:szCs w:val="22"/>
                <w:highlight w:val="none"/>
              </w:rPr>
            </w:pPr>
          </w:p>
        </w:tc>
        <w:tc>
          <w:tcPr>
            <w:tcW w:w="900" w:type="dxa"/>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648"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1522" w:type="dxa"/>
            <w:vAlign w:val="center"/>
          </w:tcPr>
          <w:p>
            <w:pPr>
              <w:spacing w:line="360" w:lineRule="exact"/>
              <w:jc w:val="center"/>
              <w:rPr>
                <w:rFonts w:hint="eastAsia" w:ascii="宋体" w:hAnsi="宋体" w:eastAsia="宋体" w:cs="宋体"/>
                <w:color w:val="auto"/>
                <w:sz w:val="22"/>
                <w:szCs w:val="22"/>
                <w:highlight w:val="none"/>
              </w:rPr>
            </w:pPr>
          </w:p>
        </w:tc>
        <w:tc>
          <w:tcPr>
            <w:tcW w:w="741" w:type="dxa"/>
            <w:vAlign w:val="center"/>
          </w:tcPr>
          <w:p>
            <w:pPr>
              <w:spacing w:line="360" w:lineRule="exact"/>
              <w:jc w:val="center"/>
              <w:rPr>
                <w:rFonts w:hint="eastAsia" w:ascii="宋体" w:hAnsi="宋体" w:eastAsia="宋体" w:cs="宋体"/>
                <w:color w:val="auto"/>
                <w:sz w:val="22"/>
                <w:szCs w:val="22"/>
                <w:highlight w:val="none"/>
              </w:rPr>
            </w:pPr>
          </w:p>
        </w:tc>
        <w:tc>
          <w:tcPr>
            <w:tcW w:w="945" w:type="dxa"/>
            <w:vAlign w:val="center"/>
          </w:tcPr>
          <w:p>
            <w:pPr>
              <w:spacing w:line="360" w:lineRule="exact"/>
              <w:jc w:val="center"/>
              <w:rPr>
                <w:rFonts w:hint="eastAsia" w:ascii="宋体" w:hAnsi="宋体" w:eastAsia="宋体" w:cs="宋体"/>
                <w:color w:val="auto"/>
                <w:sz w:val="22"/>
                <w:szCs w:val="22"/>
                <w:highlight w:val="none"/>
              </w:rPr>
            </w:pPr>
          </w:p>
        </w:tc>
        <w:tc>
          <w:tcPr>
            <w:tcW w:w="836"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325" w:type="dxa"/>
          </w:tcPr>
          <w:p>
            <w:pPr>
              <w:spacing w:line="360" w:lineRule="exact"/>
              <w:jc w:val="center"/>
              <w:rPr>
                <w:rFonts w:hint="eastAsia" w:ascii="宋体" w:hAnsi="宋体" w:eastAsia="宋体" w:cs="宋体"/>
                <w:color w:val="auto"/>
                <w:sz w:val="22"/>
                <w:szCs w:val="22"/>
                <w:highlight w:val="none"/>
              </w:rPr>
            </w:pPr>
          </w:p>
        </w:tc>
        <w:tc>
          <w:tcPr>
            <w:tcW w:w="900" w:type="dxa"/>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648"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1522" w:type="dxa"/>
            <w:vAlign w:val="center"/>
          </w:tcPr>
          <w:p>
            <w:pPr>
              <w:spacing w:line="360" w:lineRule="exact"/>
              <w:jc w:val="center"/>
              <w:rPr>
                <w:rFonts w:hint="eastAsia" w:ascii="宋体" w:hAnsi="宋体" w:eastAsia="宋体" w:cs="宋体"/>
                <w:color w:val="auto"/>
                <w:sz w:val="22"/>
                <w:szCs w:val="22"/>
                <w:highlight w:val="none"/>
              </w:rPr>
            </w:pPr>
          </w:p>
        </w:tc>
        <w:tc>
          <w:tcPr>
            <w:tcW w:w="741" w:type="dxa"/>
            <w:vAlign w:val="center"/>
          </w:tcPr>
          <w:p>
            <w:pPr>
              <w:spacing w:line="360" w:lineRule="exact"/>
              <w:jc w:val="center"/>
              <w:rPr>
                <w:rFonts w:hint="eastAsia" w:ascii="宋体" w:hAnsi="宋体" w:eastAsia="宋体" w:cs="宋体"/>
                <w:color w:val="auto"/>
                <w:sz w:val="22"/>
                <w:szCs w:val="22"/>
                <w:highlight w:val="none"/>
              </w:rPr>
            </w:pPr>
          </w:p>
        </w:tc>
        <w:tc>
          <w:tcPr>
            <w:tcW w:w="945" w:type="dxa"/>
            <w:vAlign w:val="center"/>
          </w:tcPr>
          <w:p>
            <w:pPr>
              <w:spacing w:line="360" w:lineRule="exact"/>
              <w:jc w:val="center"/>
              <w:rPr>
                <w:rFonts w:hint="eastAsia" w:ascii="宋体" w:hAnsi="宋体" w:eastAsia="宋体" w:cs="宋体"/>
                <w:color w:val="auto"/>
                <w:sz w:val="22"/>
                <w:szCs w:val="22"/>
                <w:highlight w:val="none"/>
              </w:rPr>
            </w:pPr>
          </w:p>
        </w:tc>
        <w:tc>
          <w:tcPr>
            <w:tcW w:w="836"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325" w:type="dxa"/>
          </w:tcPr>
          <w:p>
            <w:pPr>
              <w:spacing w:line="360" w:lineRule="exact"/>
              <w:jc w:val="center"/>
              <w:rPr>
                <w:rFonts w:hint="eastAsia" w:ascii="宋体" w:hAnsi="宋体" w:eastAsia="宋体" w:cs="宋体"/>
                <w:color w:val="auto"/>
                <w:sz w:val="22"/>
                <w:szCs w:val="22"/>
                <w:highlight w:val="none"/>
              </w:rPr>
            </w:pPr>
          </w:p>
        </w:tc>
        <w:tc>
          <w:tcPr>
            <w:tcW w:w="900" w:type="dxa"/>
            <w:vAlign w:val="center"/>
          </w:tcPr>
          <w:p>
            <w:pPr>
              <w:spacing w:line="3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trPr>
        <w:tc>
          <w:tcPr>
            <w:tcW w:w="648" w:type="dxa"/>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1522" w:type="dxa"/>
            <w:vAlign w:val="center"/>
          </w:tcPr>
          <w:p>
            <w:pPr>
              <w:spacing w:line="360" w:lineRule="exact"/>
              <w:jc w:val="center"/>
              <w:rPr>
                <w:rFonts w:hint="eastAsia" w:ascii="宋体" w:hAnsi="宋体" w:eastAsia="宋体" w:cs="宋体"/>
                <w:color w:val="auto"/>
                <w:sz w:val="22"/>
                <w:szCs w:val="22"/>
                <w:highlight w:val="none"/>
              </w:rPr>
            </w:pPr>
          </w:p>
        </w:tc>
        <w:tc>
          <w:tcPr>
            <w:tcW w:w="741" w:type="dxa"/>
            <w:vAlign w:val="center"/>
          </w:tcPr>
          <w:p>
            <w:pPr>
              <w:spacing w:line="360" w:lineRule="exact"/>
              <w:jc w:val="center"/>
              <w:rPr>
                <w:rFonts w:hint="eastAsia" w:ascii="宋体" w:hAnsi="宋体" w:eastAsia="宋体" w:cs="宋体"/>
                <w:color w:val="auto"/>
                <w:sz w:val="22"/>
                <w:szCs w:val="22"/>
                <w:highlight w:val="none"/>
              </w:rPr>
            </w:pPr>
          </w:p>
        </w:tc>
        <w:tc>
          <w:tcPr>
            <w:tcW w:w="945" w:type="dxa"/>
            <w:vAlign w:val="center"/>
          </w:tcPr>
          <w:p>
            <w:pPr>
              <w:spacing w:line="360" w:lineRule="exact"/>
              <w:jc w:val="center"/>
              <w:rPr>
                <w:rFonts w:hint="eastAsia" w:ascii="宋体" w:hAnsi="宋体" w:eastAsia="宋体" w:cs="宋体"/>
                <w:color w:val="auto"/>
                <w:sz w:val="22"/>
                <w:szCs w:val="22"/>
                <w:highlight w:val="none"/>
              </w:rPr>
            </w:pPr>
          </w:p>
        </w:tc>
        <w:tc>
          <w:tcPr>
            <w:tcW w:w="836"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288" w:type="dxa"/>
            <w:vAlign w:val="center"/>
          </w:tcPr>
          <w:p>
            <w:pPr>
              <w:spacing w:line="360" w:lineRule="exact"/>
              <w:jc w:val="center"/>
              <w:rPr>
                <w:rFonts w:hint="eastAsia" w:ascii="宋体" w:hAnsi="宋体" w:eastAsia="宋体" w:cs="宋体"/>
                <w:color w:val="auto"/>
                <w:sz w:val="22"/>
                <w:szCs w:val="22"/>
                <w:highlight w:val="none"/>
              </w:rPr>
            </w:pPr>
          </w:p>
        </w:tc>
        <w:tc>
          <w:tcPr>
            <w:tcW w:w="1325" w:type="dxa"/>
          </w:tcPr>
          <w:p>
            <w:pPr>
              <w:spacing w:line="360" w:lineRule="exact"/>
              <w:jc w:val="center"/>
              <w:rPr>
                <w:rFonts w:hint="eastAsia" w:ascii="宋体" w:hAnsi="宋体" w:eastAsia="宋体" w:cs="宋体"/>
                <w:color w:val="auto"/>
                <w:sz w:val="22"/>
                <w:szCs w:val="22"/>
                <w:highlight w:val="none"/>
              </w:rPr>
            </w:pPr>
          </w:p>
        </w:tc>
        <w:tc>
          <w:tcPr>
            <w:tcW w:w="900" w:type="dxa"/>
            <w:vAlign w:val="center"/>
          </w:tcPr>
          <w:p>
            <w:pPr>
              <w:spacing w:line="360" w:lineRule="exact"/>
              <w:jc w:val="center"/>
              <w:rPr>
                <w:rFonts w:hint="eastAsia" w:ascii="宋体" w:hAnsi="宋体" w:eastAsia="宋体" w:cs="宋体"/>
                <w:color w:val="auto"/>
                <w:sz w:val="22"/>
                <w:szCs w:val="22"/>
                <w:highlight w:val="none"/>
              </w:rPr>
            </w:pPr>
          </w:p>
        </w:tc>
      </w:tr>
    </w:tbl>
    <w:p>
      <w:pPr>
        <w:pStyle w:val="18"/>
        <w:ind w:left="420"/>
        <w:rPr>
          <w:rFonts w:hint="eastAsia" w:ascii="宋体" w:hAnsi="宋体" w:eastAsia="宋体" w:cs="宋体"/>
          <w:color w:val="auto"/>
          <w:highlight w:val="none"/>
        </w:rPr>
      </w:pPr>
    </w:p>
    <w:p>
      <w:pP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注：1、本表应附人员相关证明材料。</w:t>
      </w:r>
    </w:p>
    <w:p>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2、以上在服务期内不得更换，如遇特殊情况更换的需经采购人同意。</w:t>
      </w:r>
    </w:p>
    <w:p>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3、本表可在不改变格式的情况下根据具体需要自行增减。</w:t>
      </w:r>
    </w:p>
    <w:p>
      <w:pPr>
        <w:pStyle w:val="17"/>
        <w:spacing w:line="360" w:lineRule="auto"/>
        <w:rPr>
          <w:rFonts w:hint="eastAsia" w:ascii="宋体" w:hAnsi="宋体" w:eastAsia="宋体" w:cs="宋体"/>
          <w:bCs/>
          <w:color w:val="auto"/>
          <w:kern w:val="2"/>
          <w:sz w:val="22"/>
          <w:szCs w:val="22"/>
          <w:highlight w:val="none"/>
        </w:rPr>
      </w:pPr>
    </w:p>
    <w:p>
      <w:pPr>
        <w:pStyle w:val="17"/>
        <w:spacing w:line="360" w:lineRule="auto"/>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投标供应商全称（电子签章或公章）：</w:t>
      </w:r>
    </w:p>
    <w:p>
      <w:p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法定代表人或授权代表（签字或盖章）：</w:t>
      </w:r>
    </w:p>
    <w:p>
      <w:p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w:t>
      </w:r>
    </w:p>
    <w:p>
      <w:pPr>
        <w:pStyle w:val="17"/>
        <w:snapToGrid w:val="0"/>
        <w:spacing w:line="324" w:lineRule="auto"/>
        <w:jc w:val="both"/>
        <w:rPr>
          <w:rFonts w:hint="eastAsia" w:ascii="宋体" w:hAnsi="宋体" w:eastAsia="宋体" w:cs="宋体"/>
          <w:b/>
          <w:color w:val="auto"/>
          <w:sz w:val="24"/>
          <w:highlight w:val="none"/>
        </w:rPr>
      </w:pPr>
      <w:r>
        <w:rPr>
          <w:rFonts w:hint="eastAsia" w:ascii="宋体" w:hAnsi="宋体" w:eastAsia="宋体" w:cs="宋体"/>
          <w:b/>
          <w:color w:val="auto"/>
          <w:sz w:val="30"/>
          <w:highlight w:val="none"/>
        </w:rPr>
        <w:br w:type="page"/>
      </w:r>
      <w:r>
        <w:rPr>
          <w:rFonts w:hint="eastAsia" w:ascii="宋体" w:hAnsi="宋体" w:eastAsia="宋体" w:cs="宋体"/>
          <w:b/>
          <w:color w:val="auto"/>
          <w:sz w:val="24"/>
          <w:highlight w:val="none"/>
        </w:rPr>
        <w:t>附件15</w:t>
      </w:r>
    </w:p>
    <w:p>
      <w:pPr>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国企采购供应商廉洁自律承诺书</w:t>
      </w:r>
    </w:p>
    <w:p>
      <w:pPr>
        <w:snapToGrid w:val="0"/>
        <w:spacing w:line="360" w:lineRule="auto"/>
        <w:rPr>
          <w:rFonts w:hint="eastAsia" w:ascii="宋体" w:hAnsi="宋体" w:eastAsia="宋体" w:cs="宋体"/>
          <w:b/>
          <w:bCs/>
          <w:color w:val="auto"/>
          <w:sz w:val="24"/>
          <w:highlight w:val="none"/>
        </w:rPr>
      </w:pPr>
    </w:p>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bCs/>
          <w:color w:val="auto"/>
          <w:spacing w:val="-6"/>
          <w:sz w:val="22"/>
          <w:szCs w:val="22"/>
          <w:highlight w:val="none"/>
        </w:rPr>
        <w:t>致：</w:t>
      </w:r>
      <w:r>
        <w:rPr>
          <w:rFonts w:hint="eastAsia" w:ascii="宋体" w:hAnsi="宋体" w:eastAsia="宋体" w:cs="宋体"/>
          <w:color w:val="auto"/>
          <w:sz w:val="22"/>
          <w:szCs w:val="22"/>
          <w:highlight w:val="none"/>
        </w:rPr>
        <w:t>温州市公用事业发展集团有限公司、温州市城市建设发展集团有限公司、</w:t>
      </w:r>
    </w:p>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温州市现代服务业发展集团有限公司、温州市交通运输集团有限公司、</w:t>
      </w:r>
    </w:p>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温州市工业与能源发展集团有限公司、温州市交通发展集团有限公司、</w:t>
      </w:r>
    </w:p>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温州市铁路与轨道交通投资集团有限公司、温州市国有资本投资运营有限公司、</w:t>
      </w:r>
    </w:p>
    <w:p>
      <w:pPr>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温州建设集团有限公司、温州设计集团有限公司、浙江乐诚工程咨询有限公司</w:t>
      </w:r>
      <w:r>
        <w:rPr>
          <w:rFonts w:hint="eastAsia" w:ascii="宋体" w:hAnsi="宋体" w:eastAsia="宋体" w:cs="宋体"/>
          <w:b/>
          <w:color w:val="auto"/>
          <w:sz w:val="22"/>
          <w:szCs w:val="22"/>
          <w:highlight w:val="none"/>
        </w:rPr>
        <w:t>：</w:t>
      </w:r>
    </w:p>
    <w:p>
      <w:pPr>
        <w:autoSpaceDE w:val="0"/>
        <w:autoSpaceDN w:val="0"/>
        <w:spacing w:line="360" w:lineRule="auto"/>
        <w:ind w:left="2" w:leftChars="1" w:firstLine="440" w:firstLineChars="200"/>
        <w:jc w:val="left"/>
        <w:rPr>
          <w:rFonts w:hint="eastAsia" w:ascii="宋体" w:hAnsi="宋体" w:eastAsia="宋体" w:cs="宋体"/>
          <w:color w:val="auto"/>
          <w:kern w:val="0"/>
          <w:sz w:val="22"/>
          <w:szCs w:val="22"/>
          <w:highlight w:val="none"/>
          <w:lang w:val="zh-CN"/>
        </w:rPr>
      </w:pPr>
    </w:p>
    <w:p>
      <w:pPr>
        <w:autoSpaceDE w:val="0"/>
        <w:autoSpaceDN w:val="0"/>
        <w:spacing w:line="360" w:lineRule="auto"/>
        <w:ind w:left="2" w:leftChars="1" w:firstLine="440" w:firstLineChars="200"/>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我单位响应你</w:t>
      </w:r>
      <w:r>
        <w:rPr>
          <w:rFonts w:hint="eastAsia" w:ascii="宋体" w:hAnsi="宋体" w:eastAsia="宋体" w:cs="宋体"/>
          <w:color w:val="auto"/>
          <w:sz w:val="22"/>
          <w:szCs w:val="22"/>
          <w:highlight w:val="none"/>
        </w:rPr>
        <w:t>单位</w:t>
      </w:r>
      <w:r>
        <w:rPr>
          <w:rFonts w:hint="eastAsia" w:ascii="宋体" w:hAnsi="宋体" w:eastAsia="宋体" w:cs="宋体"/>
          <w:color w:val="auto"/>
          <w:sz w:val="22"/>
          <w:szCs w:val="22"/>
          <w:highlight w:val="none"/>
          <w:u w:val="single"/>
        </w:rPr>
        <w:t>市属国有企业评估服务供应商库采购（两年）</w:t>
      </w:r>
      <w:r>
        <w:rPr>
          <w:rFonts w:hint="eastAsia" w:ascii="宋体" w:hAnsi="宋体" w:eastAsia="宋体" w:cs="宋体"/>
          <w:color w:val="auto"/>
          <w:sz w:val="22"/>
          <w:szCs w:val="22"/>
          <w:highlight w:val="none"/>
        </w:rPr>
        <w:t>项目（标项：</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WGSS-GYJT-X-2024041</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lang w:val="zh-CN"/>
        </w:rPr>
        <w:t>招标要求参加投标。在这次投标过程中和中标后，我们将严格遵守国家法律法规要求，并郑重承诺：</w:t>
      </w:r>
    </w:p>
    <w:p>
      <w:pPr>
        <w:autoSpaceDE w:val="0"/>
        <w:autoSpaceDN w:val="0"/>
        <w:spacing w:line="360" w:lineRule="auto"/>
        <w:ind w:left="2" w:leftChars="1" w:firstLine="440" w:firstLineChars="200"/>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40" w:firstLineChars="200"/>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 xml:space="preserve">二、不为项目有关人员及部门报销应由你方单位或个人支付的费用； </w:t>
      </w:r>
    </w:p>
    <w:p>
      <w:pPr>
        <w:autoSpaceDE w:val="0"/>
        <w:autoSpaceDN w:val="0"/>
        <w:spacing w:line="360" w:lineRule="auto"/>
        <w:ind w:left="2" w:leftChars="1" w:firstLine="440" w:firstLineChars="200"/>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 xml:space="preserve">三、不向项目有关人员及部门提供有可能影响公正的宴请和健身娱乐等活动； </w:t>
      </w:r>
    </w:p>
    <w:p>
      <w:pPr>
        <w:autoSpaceDE w:val="0"/>
        <w:autoSpaceDN w:val="0"/>
        <w:spacing w:line="360" w:lineRule="auto"/>
        <w:ind w:left="2" w:leftChars="1" w:firstLine="440" w:firstLineChars="200"/>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四、不为项目有关人员及部门出国（境）、旅游等提供方便；</w:t>
      </w:r>
    </w:p>
    <w:p>
      <w:pPr>
        <w:autoSpaceDE w:val="0"/>
        <w:autoSpaceDN w:val="0"/>
        <w:spacing w:line="360" w:lineRule="auto"/>
        <w:ind w:left="481" w:leftChars="229"/>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五、不为项目有关人员个人装修住房、婚丧嫁娶、配偶子女工作安排等提供</w:t>
      </w:r>
    </w:p>
    <w:p>
      <w:pPr>
        <w:autoSpaceDE w:val="0"/>
        <w:autoSpaceDN w:val="0"/>
        <w:spacing w:line="360" w:lineRule="auto"/>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好处；</w:t>
      </w:r>
    </w:p>
    <w:p>
      <w:pPr>
        <w:autoSpaceDE w:val="0"/>
        <w:autoSpaceDN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六、严格遵守《温州市市属国有企业采购管理办法（试行）》《中华人民共和国民法典》等法律法规，诚实守信，合法经营，坚决抵制各种违法违纪行为。 </w:t>
      </w:r>
    </w:p>
    <w:p>
      <w:pPr>
        <w:autoSpaceDE w:val="0"/>
        <w:autoSpaceDN w:val="0"/>
        <w:spacing w:line="360" w:lineRule="auto"/>
        <w:ind w:firstLine="440" w:firstLineChars="200"/>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lang w:val="zh-CN"/>
        </w:rPr>
        <w:t>如违反上述承诺，你单位有权立即</w:t>
      </w:r>
      <w:r>
        <w:rPr>
          <w:rFonts w:hint="eastAsia" w:ascii="宋体" w:hAnsi="宋体" w:eastAsia="宋体" w:cs="宋体"/>
          <w:color w:val="auto"/>
          <w:kern w:val="0"/>
          <w:sz w:val="22"/>
          <w:szCs w:val="22"/>
          <w:highlight w:val="none"/>
          <w:lang w:val="zh-CN"/>
        </w:rPr>
        <w:t>取消我单位投标、中标或在建项目的建设资格，有权拒绝我单位在一定时期内进入你</w:t>
      </w:r>
      <w:r>
        <w:rPr>
          <w:rFonts w:hint="eastAsia" w:ascii="宋体" w:hAnsi="宋体" w:eastAsia="宋体" w:cs="宋体"/>
          <w:color w:val="auto"/>
          <w:sz w:val="22"/>
          <w:szCs w:val="22"/>
          <w:highlight w:val="none"/>
        </w:rPr>
        <w:t>单位</w:t>
      </w:r>
      <w:r>
        <w:rPr>
          <w:rFonts w:hint="eastAsia" w:ascii="宋体" w:hAnsi="宋体" w:eastAsia="宋体" w:cs="宋体"/>
          <w:color w:val="auto"/>
          <w:kern w:val="0"/>
          <w:sz w:val="22"/>
          <w:szCs w:val="22"/>
          <w:highlight w:val="none"/>
          <w:lang w:val="zh-CN"/>
        </w:rPr>
        <w:t>进行项目建设或其他经营活动，并通报市财政局。由此引起的相应损失均由我单位承担。</w:t>
      </w:r>
    </w:p>
    <w:p>
      <w:pPr>
        <w:autoSpaceDE w:val="0"/>
        <w:autoSpaceDN w:val="0"/>
        <w:spacing w:line="360" w:lineRule="auto"/>
        <w:jc w:val="left"/>
        <w:rPr>
          <w:rFonts w:hint="eastAsia" w:ascii="宋体" w:hAnsi="宋体" w:eastAsia="宋体" w:cs="宋体"/>
          <w:color w:val="auto"/>
          <w:kern w:val="0"/>
          <w:sz w:val="22"/>
          <w:szCs w:val="22"/>
          <w:highlight w:val="none"/>
          <w:lang w:val="zh-CN"/>
        </w:rPr>
      </w:pPr>
    </w:p>
    <w:p>
      <w:pPr>
        <w:pStyle w:val="17"/>
        <w:spacing w:line="360" w:lineRule="auto"/>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投标供应商全称（电子签章或公章）：</w:t>
      </w:r>
    </w:p>
    <w:p>
      <w:p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法定代表人或授权代表（签字或盖章）：</w:t>
      </w:r>
    </w:p>
    <w:p>
      <w:p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w:t>
      </w:r>
    </w:p>
    <w:p>
      <w:pPr>
        <w:pStyle w:val="17"/>
        <w:snapToGrid w:val="0"/>
        <w:spacing w:line="324" w:lineRule="auto"/>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附件16</w:t>
      </w:r>
    </w:p>
    <w:p>
      <w:pPr>
        <w:pStyle w:val="17"/>
        <w:snapToGrid w:val="0"/>
        <w:spacing w:line="324"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评估服务承诺</w:t>
      </w:r>
    </w:p>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bCs/>
          <w:color w:val="auto"/>
          <w:spacing w:val="-6"/>
          <w:sz w:val="22"/>
          <w:szCs w:val="22"/>
          <w:highlight w:val="none"/>
        </w:rPr>
        <w:t>致：</w:t>
      </w:r>
      <w:r>
        <w:rPr>
          <w:rFonts w:hint="eastAsia" w:ascii="宋体" w:hAnsi="宋体" w:eastAsia="宋体" w:cs="宋体"/>
          <w:color w:val="auto"/>
          <w:sz w:val="22"/>
          <w:szCs w:val="22"/>
          <w:highlight w:val="none"/>
        </w:rPr>
        <w:t>温州市公用事业发展集团有限公司、温州市城市建设发展集团有限公司、</w:t>
      </w:r>
    </w:p>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温州市现代服务业发展集团有限公司、温州市交通运输集团有限公司、</w:t>
      </w:r>
    </w:p>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温州市工业与能源发展集团有限公司、温州市交通发展集团有限公司、</w:t>
      </w:r>
    </w:p>
    <w:p>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温州市铁路与轨道交通投资集团有限公司、温州市国有资本投资运营有限公司、</w:t>
      </w:r>
    </w:p>
    <w:p>
      <w:pPr>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温州建设集团有限公司、温州设计集团有限公司、浙江乐诚工程咨询有限公司</w:t>
      </w:r>
      <w:r>
        <w:rPr>
          <w:rFonts w:hint="eastAsia" w:ascii="宋体" w:hAnsi="宋体" w:eastAsia="宋体" w:cs="宋体"/>
          <w:b/>
          <w:color w:val="auto"/>
          <w:sz w:val="22"/>
          <w:szCs w:val="22"/>
          <w:highlight w:val="none"/>
        </w:rPr>
        <w:t>：</w:t>
      </w:r>
    </w:p>
    <w:p>
      <w:pPr>
        <w:spacing w:line="360" w:lineRule="auto"/>
        <w:ind w:firstLine="62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本企业郑重承诺：</w:t>
      </w:r>
    </w:p>
    <w:p>
      <w:pPr>
        <w:spacing w:line="360" w:lineRule="auto"/>
        <w:ind w:firstLine="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1、我方完全接受本项目采购文件的规定咨询费用计算标准，同时我方承诺并接受当采购文件未有规定或产生歧义时，采购人（代理机构）有全权解释的权力。</w:t>
      </w:r>
    </w:p>
    <w:p>
      <w:pPr>
        <w:spacing w:line="360" w:lineRule="auto"/>
        <w:ind w:firstLine="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2、我方完全接受采购文件注明的分派任务的方式方法，同时我方承诺贵方有对项目规模、内容等进行调整和修改以及对有关条款全权解释的权力。</w:t>
      </w:r>
    </w:p>
    <w:p>
      <w:pPr>
        <w:spacing w:line="360" w:lineRule="auto"/>
        <w:ind w:firstLine="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一旦我方中标，我方保证将按照投标文件提交的项目组人员配置完成贵方委托的全部评估工作；同时实行项目负责人负责制，强化管理，热情服务，不推诿，不扯皮。恪守评估人员职业道德规范，坚持文明评估，遇事尊重事实讲道理，虚心听取意见，言行举止文明。对来访人员热情接待，耐心解疑，维护评估机构的良好形象。</w:t>
      </w:r>
    </w:p>
    <w:p>
      <w:pPr>
        <w:spacing w:line="360" w:lineRule="auto"/>
        <w:ind w:firstLine="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4、我方保证按照委托合同约定的时间完成评估工作。</w:t>
      </w:r>
    </w:p>
    <w:p>
      <w:pPr>
        <w:spacing w:line="360" w:lineRule="auto"/>
        <w:ind w:firstLine="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保证评估报告质量符合《企业国有资产评估报告指南》、《温州市市属国有企业资产评估项目备案工作指引》、《温州市市属国有企业资产评估项目核准工作指引》之要求，且评估质量不得低于本次投标评估报告样本质量，如因评估报告质量问题导致该评估项目不能备案或核准，视为未完成评估项目，不收取评估费用。</w:t>
      </w:r>
    </w:p>
    <w:p>
      <w:pPr>
        <w:spacing w:line="360" w:lineRule="auto"/>
        <w:ind w:firstLine="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6、如我方与评估的第三方有可能影响审计客观公正时，将主动向贵方申报。</w:t>
      </w:r>
    </w:p>
    <w:p>
      <w:pPr>
        <w:spacing w:line="360" w:lineRule="auto"/>
        <w:ind w:firstLine="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7、严格纪律，廉洁从业。加强监督检查，严惩违纪人员，杜绝以权谋私。</w:t>
      </w:r>
    </w:p>
    <w:p>
      <w:pPr>
        <w:spacing w:line="360" w:lineRule="auto"/>
        <w:ind w:firstLine="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8、接受市国资委的监督检查和跟踪指导，支持配合市国资委评估监管工作（如有），包括但不限于：</w:t>
      </w:r>
    </w:p>
    <w:p>
      <w:pPr>
        <w:spacing w:line="360" w:lineRule="auto"/>
        <w:ind w:firstLine="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（1）评估机构和评估人员有下列情形之一的，接受市国资委给予的警告、通报、暂停国资项目业务以及淘汰出评估中介机构库的处罚： </w:t>
      </w:r>
    </w:p>
    <w:p>
      <w:pPr>
        <w:spacing w:line="360" w:lineRule="auto"/>
        <w:ind w:firstLine="5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1）在申请入库和承接项目中有弄虚作假、恶意串通等行为，或将承接的业务转包、分包的；</w:t>
      </w:r>
    </w:p>
    <w:p>
      <w:pPr>
        <w:spacing w:line="360" w:lineRule="auto"/>
        <w:ind w:firstLine="5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2）泄露企业商业秘密，或者因工作失误造成被评估单位或委托方重大损失的；</w:t>
      </w:r>
    </w:p>
    <w:p>
      <w:pPr>
        <w:spacing w:line="360" w:lineRule="auto"/>
        <w:ind w:firstLine="5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3）在评估工作中存在重大过错，致使评估报告存在重大问题，评估结果严重失实的；</w:t>
      </w:r>
    </w:p>
    <w:p>
      <w:pPr>
        <w:spacing w:line="360" w:lineRule="auto"/>
        <w:ind w:firstLine="5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4）对市国资委依法实施的跟踪指导和监督抽查不予配合的；</w:t>
      </w:r>
    </w:p>
    <w:p>
      <w:pPr>
        <w:spacing w:line="360" w:lineRule="auto"/>
        <w:ind w:firstLine="5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5）对未按国资管理规定审批的经济行为出具评估报告或其他鉴证报告的； </w:t>
      </w:r>
    </w:p>
    <w:p>
      <w:pPr>
        <w:spacing w:line="360" w:lineRule="auto"/>
        <w:ind w:firstLine="5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6）未按入库标书、承诺和业务约定书规定的要求完成评估并按时出具符合质量的资产评估报告的； </w:t>
      </w:r>
    </w:p>
    <w:p>
      <w:pPr>
        <w:spacing w:line="360" w:lineRule="auto"/>
        <w:ind w:firstLine="5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7）专家评审会对评估报告提出修改意见，但修改后仍被专家评审会否决两次以上的； </w:t>
      </w:r>
    </w:p>
    <w:p>
      <w:pPr>
        <w:spacing w:line="360" w:lineRule="auto"/>
        <w:ind w:firstLine="5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8）未在规定时间内向市国资委申报审验（如有）、或虽申报但未通过审验的；</w:t>
      </w:r>
    </w:p>
    <w:p>
      <w:pPr>
        <w:spacing w:line="360" w:lineRule="auto"/>
        <w:ind w:left="108" w:hanging="107" w:hangingChars="49"/>
        <w:rPr>
          <w:rFonts w:hint="eastAsia" w:ascii="宋体" w:hAnsi="宋体" w:eastAsia="宋体" w:cs="宋体"/>
          <w:color w:val="auto"/>
          <w:sz w:val="22"/>
          <w:szCs w:val="22"/>
          <w:highlight w:val="none"/>
        </w:rPr>
      </w:pPr>
    </w:p>
    <w:p>
      <w:pPr>
        <w:pStyle w:val="17"/>
        <w:spacing w:line="360" w:lineRule="auto"/>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投标供应商全称（电子签章或公章）：</w:t>
      </w:r>
    </w:p>
    <w:p>
      <w:p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法定代表人或授权代表（签字或盖章）：</w:t>
      </w:r>
    </w:p>
    <w:p>
      <w:p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w:t>
      </w:r>
    </w:p>
    <w:p>
      <w:pP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附件17</w:t>
      </w:r>
    </w:p>
    <w:p>
      <w:pPr>
        <w:pStyle w:val="68"/>
        <w:spacing w:line="500" w:lineRule="exact"/>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国企采购活动现场确认声明书</w:t>
      </w:r>
    </w:p>
    <w:p>
      <w:pPr>
        <w:spacing w:line="360" w:lineRule="auto"/>
        <w:jc w:val="left"/>
        <w:outlineLvl w:val="9"/>
        <w:rPr>
          <w:rFonts w:hint="eastAsia" w:ascii="宋体" w:hAnsi="宋体" w:eastAsia="宋体" w:cs="宋体"/>
          <w:color w:val="auto"/>
          <w:sz w:val="24"/>
          <w:highlight w:val="none"/>
        </w:rPr>
      </w:pPr>
    </w:p>
    <w:p>
      <w:pPr>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温州市公用事业发展集团有限公司、温州市城市建设发展集团有限公司、</w:t>
      </w:r>
    </w:p>
    <w:p>
      <w:pPr>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温州市现代服务业发展集团有限公司、温州市交通运输集团有限公司、</w:t>
      </w:r>
    </w:p>
    <w:p>
      <w:pPr>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温州市工业与能源发展集团有限公司、温州市交通发展集团有限公司、</w:t>
      </w:r>
    </w:p>
    <w:p>
      <w:pPr>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温州市铁路与轨道交通投资集团有限公司、温州市国有资本投资运营有限公司、</w:t>
      </w:r>
    </w:p>
    <w:p>
      <w:pPr>
        <w:spacing w:line="360" w:lineRule="auto"/>
        <w:jc w:val="left"/>
        <w:outlineLvl w:val="9"/>
        <w:rPr>
          <w:rFonts w:hint="eastAsia" w:ascii="宋体" w:hAnsi="宋体" w:eastAsia="宋体" w:cs="宋体"/>
          <w:color w:val="auto"/>
          <w:spacing w:val="6"/>
          <w:sz w:val="24"/>
          <w:highlight w:val="none"/>
          <w:u w:val="single"/>
        </w:rPr>
      </w:pPr>
      <w:r>
        <w:rPr>
          <w:rFonts w:hint="eastAsia" w:ascii="宋体" w:hAnsi="宋体" w:eastAsia="宋体" w:cs="宋体"/>
          <w:color w:val="auto"/>
          <w:sz w:val="24"/>
          <w:highlight w:val="none"/>
        </w:rPr>
        <w:t>温州建设集团有限公司、温州设计集团有限公司、浙江乐诚工程咨询有限公司</w:t>
      </w:r>
      <w:r>
        <w:rPr>
          <w:rFonts w:hint="eastAsia" w:ascii="宋体" w:hAnsi="宋体" w:eastAsia="宋体" w:cs="宋体"/>
          <w:b/>
          <w:color w:val="auto"/>
          <w:sz w:val="24"/>
          <w:highlight w:val="none"/>
        </w:rPr>
        <w:t>：</w:t>
      </w:r>
    </w:p>
    <w:p>
      <w:pPr>
        <w:pStyle w:val="68"/>
        <w:spacing w:line="500" w:lineRule="exact"/>
        <w:ind w:firstLine="504" w:firstLineChars="200"/>
        <w:jc w:val="both"/>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本人经由</w:t>
      </w:r>
      <w:r>
        <w:rPr>
          <w:rFonts w:hint="eastAsia" w:ascii="宋体" w:hAnsi="宋体" w:eastAsia="宋体" w:cs="宋体"/>
          <w:b/>
          <w:color w:val="auto"/>
          <w:spacing w:val="6"/>
          <w:sz w:val="24"/>
          <w:highlight w:val="none"/>
          <w:u w:val="single"/>
        </w:rPr>
        <w:t>（单位名称）</w:t>
      </w:r>
      <w:r>
        <w:rPr>
          <w:rFonts w:hint="eastAsia" w:ascii="宋体" w:hAnsi="宋体" w:eastAsia="宋体" w:cs="宋体"/>
          <w:color w:val="auto"/>
          <w:spacing w:val="6"/>
          <w:sz w:val="24"/>
          <w:highlight w:val="none"/>
        </w:rPr>
        <w:t>法定代表人</w:t>
      </w:r>
      <w:r>
        <w:rPr>
          <w:rFonts w:hint="eastAsia" w:ascii="宋体" w:hAnsi="宋体" w:eastAsia="宋体" w:cs="宋体"/>
          <w:b/>
          <w:color w:val="auto"/>
          <w:spacing w:val="6"/>
          <w:sz w:val="24"/>
          <w:highlight w:val="none"/>
          <w:u w:val="single"/>
        </w:rPr>
        <w:t>（法人姓名）</w:t>
      </w:r>
      <w:r>
        <w:rPr>
          <w:rFonts w:hint="eastAsia" w:ascii="宋体" w:hAnsi="宋体" w:eastAsia="宋体" w:cs="宋体"/>
          <w:color w:val="auto"/>
          <w:spacing w:val="6"/>
          <w:sz w:val="24"/>
          <w:highlight w:val="none"/>
        </w:rPr>
        <w:t>合法授权参加市属国有企业评估服务供应商库采购（两年）项目（编号：WGSS-GYJT-X-2024041）采购活动，经与本单位法人代表（负责人）联系确认，现就有关公平竞争事项郑重声明如下：</w:t>
      </w:r>
    </w:p>
    <w:p>
      <w:pPr>
        <w:pStyle w:val="69"/>
        <w:widowControl/>
        <w:snapToGrid w:val="0"/>
        <w:spacing w:line="500" w:lineRule="exact"/>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一、本单位与采购人之间 □</w:t>
      </w:r>
      <w:r>
        <w:rPr>
          <w:rFonts w:hint="eastAsia" w:ascii="宋体" w:hAnsi="宋体" w:eastAsia="宋体" w:cs="宋体"/>
          <w:b/>
          <w:color w:val="auto"/>
          <w:kern w:val="0"/>
          <w:sz w:val="24"/>
          <w:highlight w:val="none"/>
        </w:rPr>
        <w:t>不存在利害关系</w:t>
      </w:r>
      <w:r>
        <w:rPr>
          <w:rFonts w:hint="eastAsia" w:ascii="宋体" w:hAnsi="宋体" w:eastAsia="宋体" w:cs="宋体"/>
          <w:color w:val="auto"/>
          <w:kern w:val="0"/>
          <w:sz w:val="24"/>
          <w:highlight w:val="none"/>
        </w:rPr>
        <w:t xml:space="preserve"> □</w:t>
      </w:r>
      <w:r>
        <w:rPr>
          <w:rFonts w:hint="eastAsia" w:ascii="宋体" w:hAnsi="宋体" w:eastAsia="宋体" w:cs="宋体"/>
          <w:b/>
          <w:color w:val="auto"/>
          <w:kern w:val="0"/>
          <w:sz w:val="24"/>
          <w:highlight w:val="none"/>
        </w:rPr>
        <w:t>存在下列利害关系</w:t>
      </w:r>
      <w:r>
        <w:rPr>
          <w:rFonts w:hint="eastAsia" w:ascii="宋体" w:hAnsi="宋体" w:eastAsia="宋体" w:cs="宋体"/>
          <w:color w:val="auto"/>
          <w:kern w:val="0"/>
          <w:sz w:val="24"/>
          <w:highlight w:val="none"/>
        </w:rPr>
        <w:t>：</w:t>
      </w:r>
    </w:p>
    <w:p>
      <w:pPr>
        <w:pStyle w:val="69"/>
        <w:widowControl/>
        <w:snapToGrid w:val="0"/>
        <w:spacing w:line="500" w:lineRule="exact"/>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A.投资关系    B.行政隶属关系    C.业务指导关系</w:t>
      </w:r>
    </w:p>
    <w:p>
      <w:pPr>
        <w:pStyle w:val="69"/>
        <w:widowControl/>
        <w:snapToGrid w:val="0"/>
        <w:spacing w:line="500" w:lineRule="exact"/>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D.其他可能</w:t>
      </w:r>
      <w:r>
        <w:rPr>
          <w:rFonts w:hint="eastAsia" w:ascii="宋体" w:hAnsi="宋体" w:eastAsia="宋体" w:cs="宋体"/>
          <w:color w:val="auto"/>
          <w:sz w:val="24"/>
          <w:highlight w:val="none"/>
        </w:rPr>
        <w:t>影响采购公正的</w:t>
      </w:r>
      <w:r>
        <w:rPr>
          <w:rFonts w:hint="eastAsia" w:ascii="宋体" w:hAnsi="宋体" w:eastAsia="宋体" w:cs="宋体"/>
          <w:color w:val="auto"/>
          <w:kern w:val="0"/>
          <w:sz w:val="24"/>
          <w:highlight w:val="none"/>
        </w:rPr>
        <w:t>利害关系</w:t>
      </w:r>
      <w:r>
        <w:rPr>
          <w:rFonts w:hint="eastAsia" w:ascii="宋体" w:hAnsi="宋体" w:eastAsia="宋体" w:cs="宋体"/>
          <w:color w:val="auto"/>
          <w:kern w:val="0"/>
          <w:sz w:val="24"/>
          <w:highlight w:val="none"/>
          <w:u w:val="single"/>
        </w:rPr>
        <w:t xml:space="preserve">（如有，请如实说明）                 </w:t>
      </w:r>
      <w:r>
        <w:rPr>
          <w:rFonts w:hint="eastAsia" w:ascii="宋体" w:hAnsi="宋体" w:eastAsia="宋体" w:cs="宋体"/>
          <w:color w:val="auto"/>
          <w:kern w:val="0"/>
          <w:sz w:val="24"/>
          <w:highlight w:val="none"/>
        </w:rPr>
        <w:t>。</w:t>
      </w:r>
    </w:p>
    <w:p>
      <w:pPr>
        <w:pStyle w:val="69"/>
        <w:widowControl/>
        <w:snapToGrid w:val="0"/>
        <w:spacing w:line="500" w:lineRule="exact"/>
        <w:ind w:firstLine="504"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spacing w:val="6"/>
          <w:sz w:val="24"/>
          <w:highlight w:val="none"/>
        </w:rPr>
        <w:t>二、</w:t>
      </w:r>
      <w:r>
        <w:rPr>
          <w:rFonts w:hint="eastAsia" w:ascii="宋体" w:hAnsi="宋体" w:eastAsia="宋体" w:cs="宋体"/>
          <w:color w:val="auto"/>
          <w:kern w:val="0"/>
          <w:sz w:val="24"/>
          <w:highlight w:val="none"/>
        </w:rPr>
        <w:t>现已清楚知道参加本项目采购活动的其他所有供应商名称，本单位 □</w:t>
      </w:r>
      <w:r>
        <w:rPr>
          <w:rFonts w:hint="eastAsia" w:ascii="宋体" w:hAnsi="宋体" w:eastAsia="宋体" w:cs="宋体"/>
          <w:b/>
          <w:color w:val="auto"/>
          <w:kern w:val="0"/>
          <w:sz w:val="24"/>
          <w:highlight w:val="none"/>
        </w:rPr>
        <w:t>与其他所有供应商</w:t>
      </w:r>
      <w:r>
        <w:rPr>
          <w:rFonts w:hint="eastAsia" w:ascii="宋体" w:hAnsi="宋体" w:eastAsia="宋体" w:cs="宋体"/>
          <w:color w:val="auto"/>
          <w:kern w:val="0"/>
          <w:sz w:val="24"/>
          <w:highlight w:val="none"/>
        </w:rPr>
        <w:t>之间均不存在利害关系 □与</w:t>
      </w:r>
      <w:r>
        <w:rPr>
          <w:rFonts w:hint="eastAsia" w:ascii="宋体" w:hAnsi="宋体" w:eastAsia="宋体" w:cs="宋体"/>
          <w:color w:val="auto"/>
          <w:kern w:val="0"/>
          <w:sz w:val="24"/>
          <w:highlight w:val="none"/>
          <w:u w:val="single"/>
        </w:rPr>
        <w:t xml:space="preserve">                      （供应商名称）</w:t>
      </w:r>
      <w:r>
        <w:rPr>
          <w:rFonts w:hint="eastAsia" w:ascii="宋体" w:hAnsi="宋体" w:eastAsia="宋体" w:cs="宋体"/>
          <w:color w:val="auto"/>
          <w:kern w:val="0"/>
          <w:sz w:val="24"/>
          <w:highlight w:val="none"/>
        </w:rPr>
        <w:t>之间存在下列利害关系：</w:t>
      </w:r>
    </w:p>
    <w:p>
      <w:pPr>
        <w:pStyle w:val="68"/>
        <w:spacing w:line="500" w:lineRule="exact"/>
        <w:ind w:firstLine="480" w:firstLineChars="2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A.法定代表人或负责人或实际控制人是同一人</w:t>
      </w:r>
    </w:p>
    <w:p>
      <w:pPr>
        <w:pStyle w:val="68"/>
        <w:spacing w:line="500" w:lineRule="exact"/>
        <w:ind w:firstLine="480" w:firstLineChars="2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B.法定代表人或负责人或实际控制人是夫妻关系</w:t>
      </w:r>
    </w:p>
    <w:p>
      <w:pPr>
        <w:pStyle w:val="68"/>
        <w:spacing w:line="500" w:lineRule="exact"/>
        <w:ind w:firstLine="480" w:firstLineChars="2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C.法定代表人或负责人或实际控制人是直系血亲关系</w:t>
      </w:r>
    </w:p>
    <w:p>
      <w:pPr>
        <w:pStyle w:val="68"/>
        <w:spacing w:line="500" w:lineRule="exact"/>
        <w:ind w:firstLine="480" w:firstLineChars="2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D.法定代表人或负责人或实际控制人存在三代以内旁系血亲关系</w:t>
      </w:r>
    </w:p>
    <w:p>
      <w:pPr>
        <w:pStyle w:val="68"/>
        <w:spacing w:line="500" w:lineRule="exact"/>
        <w:ind w:firstLine="480" w:firstLineChars="2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E.法定代表人或负责人或实际控制人存在近姻亲关系</w:t>
      </w:r>
    </w:p>
    <w:p>
      <w:pPr>
        <w:pStyle w:val="68"/>
        <w:spacing w:line="500" w:lineRule="exact"/>
        <w:ind w:firstLine="480" w:firstLineChars="2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F.法定代表人或负责人或实际控制人存在股份控制或实际控制关系</w:t>
      </w:r>
    </w:p>
    <w:p>
      <w:pPr>
        <w:pStyle w:val="68"/>
        <w:spacing w:line="500" w:lineRule="exact"/>
        <w:ind w:firstLine="480" w:firstLineChars="2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G.存在共同直接或间接投资设立子公司、联营企业和合营企业情况</w:t>
      </w:r>
    </w:p>
    <w:p>
      <w:pPr>
        <w:pStyle w:val="68"/>
        <w:spacing w:line="500" w:lineRule="exact"/>
        <w:ind w:firstLine="480" w:firstLineChars="2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H.存在分级代理或代销关系、同一生产制造商关系、管理关系、重要业务（占主营业务收入50%以上）或重要财务往来关系（如融资）等其他实质性控制关系</w:t>
      </w:r>
    </w:p>
    <w:p>
      <w:pPr>
        <w:pStyle w:val="68"/>
        <w:spacing w:line="500" w:lineRule="exact"/>
        <w:ind w:firstLine="480" w:firstLineChars="200"/>
        <w:jc w:val="both"/>
        <w:outlineLvl w:val="9"/>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rPr>
        <w:t>I</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其他利害关系情况</w:t>
      </w:r>
      <w:r>
        <w:rPr>
          <w:rFonts w:hint="eastAsia" w:ascii="宋体" w:hAnsi="宋体" w:eastAsia="宋体" w:cs="宋体"/>
          <w:color w:val="auto"/>
          <w:kern w:val="0"/>
          <w:sz w:val="24"/>
          <w:highlight w:val="none"/>
        </w:rPr>
        <w:t>。</w:t>
      </w:r>
    </w:p>
    <w:p>
      <w:pPr>
        <w:pStyle w:val="69"/>
        <w:widowControl/>
        <w:numPr>
          <w:ilvl w:val="0"/>
          <w:numId w:val="18"/>
        </w:numPr>
        <w:snapToGrid w:val="0"/>
        <w:spacing w:line="500" w:lineRule="exact"/>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现已清楚知道并</w:t>
      </w:r>
      <w:r>
        <w:rPr>
          <w:rFonts w:hint="eastAsia" w:ascii="宋体" w:hAnsi="宋体" w:eastAsia="宋体" w:cs="宋体"/>
          <w:color w:val="auto"/>
          <w:kern w:val="0"/>
          <w:sz w:val="24"/>
          <w:highlight w:val="none"/>
        </w:rPr>
        <w:t>严格遵守国有企业采购法律法规和现场纪律。</w:t>
      </w:r>
    </w:p>
    <w:p>
      <w:pPr>
        <w:pStyle w:val="69"/>
        <w:widowControl/>
        <w:numPr>
          <w:ilvl w:val="0"/>
          <w:numId w:val="18"/>
        </w:numPr>
        <w:snapToGrid w:val="0"/>
        <w:spacing w:line="500" w:lineRule="exact"/>
        <w:ind w:firstLine="453" w:firstLineChars="189"/>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我发现供应商之间存在或可能存在上述第二条第项利害关系。</w:t>
      </w:r>
    </w:p>
    <w:p>
      <w:pPr>
        <w:pStyle w:val="68"/>
        <w:spacing w:line="500" w:lineRule="exact"/>
        <w:ind w:firstLine="480" w:firstLineChars="200"/>
        <w:jc w:val="both"/>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法定代表人或授权代表（签字）</w:t>
      </w:r>
      <w:r>
        <w:rPr>
          <w:rFonts w:hint="eastAsia" w:ascii="宋体" w:hAnsi="宋体" w:eastAsia="宋体" w:cs="宋体"/>
          <w:color w:val="auto"/>
          <w:sz w:val="24"/>
          <w:highlight w:val="none"/>
        </w:rPr>
        <w:t>：</w:t>
      </w:r>
    </w:p>
    <w:p>
      <w:pPr>
        <w:pStyle w:val="68"/>
        <w:spacing w:line="500" w:lineRule="exact"/>
        <w:ind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年  月  日</w:t>
      </w:r>
    </w:p>
    <w:p>
      <w:pPr>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"mailto:投标人在投标文件解密后，通过电子邮件形式，向邮箱地址（2812799762@qq.com）发送《政府采购活动现场确认声明书》（上表）。" </w:instrText>
      </w:r>
      <w:r>
        <w:rPr>
          <w:rFonts w:hint="eastAsia" w:ascii="宋体" w:hAnsi="宋体" w:eastAsia="宋体" w:cs="宋体"/>
          <w:color w:val="auto"/>
          <w:highlight w:val="none"/>
        </w:rPr>
        <w:fldChar w:fldCharType="separate"/>
      </w:r>
      <w:r>
        <w:rPr>
          <w:rStyle w:val="41"/>
          <w:rFonts w:hint="eastAsia" w:ascii="宋体" w:hAnsi="宋体" w:eastAsia="宋体" w:cs="宋体"/>
          <w:b/>
          <w:bCs/>
          <w:color w:val="auto"/>
          <w:sz w:val="24"/>
          <w:highlight w:val="none"/>
        </w:rPr>
        <w:t>投标供应商在投标文件解密后，通过电子邮件形式，向邮箱地址（2812799762@qq.com）发送《国企采购活动现场确认声明书》（上表）。</w:t>
      </w:r>
      <w:r>
        <w:rPr>
          <w:rStyle w:val="41"/>
          <w:rFonts w:hint="eastAsia" w:ascii="宋体" w:hAnsi="宋体" w:eastAsia="宋体" w:cs="宋体"/>
          <w:b/>
          <w:bCs/>
          <w:color w:val="auto"/>
          <w:sz w:val="24"/>
          <w:highlight w:val="none"/>
        </w:rPr>
        <w:fldChar w:fldCharType="end"/>
      </w:r>
    </w:p>
    <w:p>
      <w:pPr>
        <w:jc w:val="center"/>
        <w:outlineLvl w:val="0"/>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bookmarkStart w:id="255" w:name="_Toc6685"/>
      <w:bookmarkStart w:id="256" w:name="_Toc15335"/>
      <w:bookmarkStart w:id="257" w:name="_Toc24879"/>
      <w:bookmarkStart w:id="258" w:name="_Toc26140"/>
      <w:bookmarkStart w:id="259" w:name="_Toc10940"/>
      <w:bookmarkStart w:id="260" w:name="_Toc10019"/>
      <w:bookmarkStart w:id="261" w:name="_Toc6748"/>
      <w:r>
        <w:rPr>
          <w:rFonts w:hint="eastAsia" w:ascii="宋体" w:hAnsi="宋体" w:eastAsia="宋体" w:cs="宋体"/>
          <w:b/>
          <w:color w:val="auto"/>
          <w:sz w:val="30"/>
          <w:highlight w:val="none"/>
        </w:rPr>
        <w:t>第四部分</w:t>
      </w:r>
      <w:bookmarkStart w:id="262" w:name="_Toc221356958"/>
      <w:bookmarkStart w:id="263" w:name="_Toc221356895"/>
      <w:r>
        <w:rPr>
          <w:rFonts w:hint="eastAsia" w:ascii="宋体" w:hAnsi="宋体" w:eastAsia="宋体" w:cs="宋体"/>
          <w:b/>
          <w:color w:val="auto"/>
          <w:sz w:val="30"/>
          <w:highlight w:val="none"/>
        </w:rPr>
        <w:t xml:space="preserve"> 采购需求</w:t>
      </w:r>
      <w:bookmarkEnd w:id="255"/>
      <w:bookmarkEnd w:id="256"/>
      <w:bookmarkEnd w:id="257"/>
      <w:bookmarkEnd w:id="258"/>
      <w:bookmarkEnd w:id="259"/>
      <w:bookmarkEnd w:id="260"/>
      <w:bookmarkEnd w:id="261"/>
    </w:p>
    <w:bookmarkEnd w:id="262"/>
    <w:bookmarkEnd w:id="263"/>
    <w:p>
      <w:pPr>
        <w:pStyle w:val="3"/>
        <w:adjustRightInd w:val="0"/>
        <w:snapToGrid w:val="0"/>
        <w:spacing w:line="360" w:lineRule="auto"/>
        <w:outlineLvl w:val="9"/>
        <w:rPr>
          <w:rFonts w:hint="eastAsia" w:ascii="宋体" w:hAnsi="宋体" w:eastAsia="宋体" w:cs="宋体"/>
          <w:b/>
          <w:bCs/>
          <w:color w:val="auto"/>
          <w:sz w:val="22"/>
          <w:szCs w:val="22"/>
          <w:highlight w:val="none"/>
        </w:rPr>
      </w:pPr>
      <w:bookmarkStart w:id="264" w:name="_Toc7869"/>
      <w:bookmarkStart w:id="265" w:name="_Toc32099"/>
      <w:bookmarkStart w:id="266" w:name="_Toc26874"/>
      <w:bookmarkStart w:id="267" w:name="_Toc12750"/>
      <w:bookmarkStart w:id="268" w:name="_Toc4253"/>
      <w:r>
        <w:rPr>
          <w:rFonts w:hint="eastAsia" w:ascii="宋体" w:hAnsi="宋体" w:eastAsia="宋体" w:cs="宋体"/>
          <w:b/>
          <w:bCs/>
          <w:color w:val="auto"/>
          <w:sz w:val="22"/>
          <w:szCs w:val="22"/>
          <w:highlight w:val="none"/>
        </w:rPr>
        <w:t>一、总述</w:t>
      </w:r>
    </w:p>
    <w:p>
      <w:pPr>
        <w:pStyle w:val="3"/>
        <w:adjustRightInd w:val="0"/>
        <w:snapToGrid w:val="0"/>
        <w:spacing w:line="360" w:lineRule="auto"/>
        <w:ind w:firstLine="440" w:firstLineChars="200"/>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招标内容：本项目为市属国有企业评估服务供应商库采购。即通过公开招标方式确定具有承接温州市属10家国有企业及下属各级全资或控股子企业（以下简称企业）的评估项目资格的社会中介机构综合评估类10家，房地产评估类8家。</w:t>
      </w:r>
    </w:p>
    <w:p>
      <w:pPr>
        <w:pStyle w:val="3"/>
        <w:adjustRightInd w:val="0"/>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2、服务期限：</w:t>
      </w:r>
      <w:r>
        <w:rPr>
          <w:rFonts w:hint="eastAsia" w:ascii="宋体" w:hAnsi="宋体" w:eastAsia="宋体" w:cs="宋体"/>
          <w:color w:val="auto"/>
          <w:sz w:val="22"/>
          <w:szCs w:val="22"/>
          <w:highlight w:val="none"/>
        </w:rPr>
        <w:t>本项目服务期限为 2年。</w:t>
      </w:r>
    </w:p>
    <w:p>
      <w:pPr>
        <w:pStyle w:val="3"/>
        <w:adjustRightInd w:val="0"/>
        <w:snapToGrid w:val="0"/>
        <w:spacing w:line="360" w:lineRule="auto"/>
        <w:ind w:firstLine="442" w:firstLineChars="200"/>
        <w:outlineLvl w:val="9"/>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eastAsia="宋体" w:cs="宋体"/>
          <w:b/>
          <w:bCs/>
          <w:color w:val="auto"/>
          <w:sz w:val="22"/>
          <w:szCs w:val="22"/>
          <w:highlight w:val="none"/>
          <w:u w:val="single"/>
        </w:rPr>
        <w:t>▲</w:t>
      </w:r>
      <w:r>
        <w:rPr>
          <w:rFonts w:hint="eastAsia" w:ascii="宋体" w:hAnsi="宋体" w:eastAsia="宋体" w:cs="宋体"/>
          <w:b/>
          <w:color w:val="auto"/>
          <w:sz w:val="22"/>
          <w:szCs w:val="22"/>
          <w:highlight w:val="none"/>
          <w:u w:val="single"/>
        </w:rPr>
        <w:t>本项目投标供应商可</w:t>
      </w:r>
      <w:r>
        <w:rPr>
          <w:rFonts w:hint="eastAsia" w:ascii="宋体" w:hAnsi="宋体" w:eastAsia="宋体" w:cs="宋体"/>
          <w:b/>
          <w:bCs/>
          <w:color w:val="auto"/>
          <w:sz w:val="22"/>
          <w:szCs w:val="22"/>
          <w:highlight w:val="none"/>
          <w:u w:val="single"/>
        </w:rPr>
        <w:t>根据本单位的综合实力</w:t>
      </w:r>
      <w:r>
        <w:rPr>
          <w:rFonts w:hint="eastAsia" w:ascii="宋体" w:hAnsi="宋体" w:eastAsia="宋体" w:cs="宋体"/>
          <w:b/>
          <w:color w:val="auto"/>
          <w:sz w:val="22"/>
          <w:szCs w:val="22"/>
          <w:highlight w:val="none"/>
          <w:u w:val="single"/>
        </w:rPr>
        <w:t>仅能选择参与其中的任一个标项的投标</w:t>
      </w:r>
      <w:r>
        <w:rPr>
          <w:rFonts w:hint="eastAsia" w:ascii="宋体" w:hAnsi="宋体" w:eastAsia="宋体" w:cs="宋体"/>
          <w:b/>
          <w:bCs/>
          <w:color w:val="auto"/>
          <w:sz w:val="22"/>
          <w:szCs w:val="22"/>
          <w:highlight w:val="none"/>
        </w:rPr>
        <w:t>。</w:t>
      </w:r>
    </w:p>
    <w:p>
      <w:pPr>
        <w:pStyle w:val="3"/>
        <w:adjustRightInd w:val="0"/>
        <w:snapToGrid w:val="0"/>
        <w:spacing w:line="360" w:lineRule="auto"/>
        <w:ind w:firstLine="440" w:firstLineChars="200"/>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4、本项目按标项分别评标授标。</w:t>
      </w:r>
    </w:p>
    <w:p>
      <w:pPr>
        <w:pStyle w:val="3"/>
        <w:adjustRightInd w:val="0"/>
        <w:snapToGrid w:val="0"/>
        <w:spacing w:line="360" w:lineRule="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二、服务程序及要求</w:t>
      </w:r>
    </w:p>
    <w:p>
      <w:pPr>
        <w:widowControl/>
        <w:spacing w:line="360" w:lineRule="auto"/>
        <w:ind w:firstLine="440" w:firstLineChars="200"/>
        <w:outlineLvl w:val="9"/>
        <w:rPr>
          <w:rFonts w:hint="eastAsia" w:ascii="宋体" w:hAnsi="宋体" w:eastAsia="宋体" w:cs="宋体"/>
          <w:b/>
          <w:bCs/>
          <w:color w:val="auto"/>
          <w:kern w:val="0"/>
          <w:sz w:val="22"/>
          <w:szCs w:val="22"/>
          <w:highlight w:val="none"/>
        </w:rPr>
      </w:pPr>
      <w:r>
        <w:rPr>
          <w:rFonts w:hint="eastAsia" w:ascii="宋体" w:hAnsi="宋体" w:eastAsia="宋体" w:cs="宋体"/>
          <w:bCs/>
          <w:color w:val="auto"/>
          <w:sz w:val="22"/>
          <w:szCs w:val="22"/>
          <w:highlight w:val="none"/>
        </w:rPr>
        <w:t>1、采购人及其下属的各级全资或控股子企业的资产评估业务，针对具体评估项目，按照</w:t>
      </w:r>
      <w:r>
        <w:rPr>
          <w:rFonts w:hint="eastAsia" w:ascii="宋体" w:hAnsi="宋体" w:eastAsia="宋体" w:cs="宋体"/>
          <w:color w:val="auto"/>
          <w:kern w:val="0"/>
          <w:sz w:val="22"/>
          <w:szCs w:val="22"/>
          <w:highlight w:val="none"/>
        </w:rPr>
        <w:t>《温州市市属国有企业资产评估管理暂行办法》的规定，</w:t>
      </w:r>
      <w:r>
        <w:rPr>
          <w:rFonts w:hint="eastAsia" w:ascii="宋体" w:hAnsi="宋体" w:eastAsia="宋体" w:cs="宋体"/>
          <w:bCs/>
          <w:color w:val="auto"/>
          <w:sz w:val="22"/>
          <w:szCs w:val="22"/>
          <w:highlight w:val="none"/>
        </w:rPr>
        <w:t>公平公正的选择评估中介机构，由采购人委托资产评估业务，签订评估业务约定书。</w:t>
      </w:r>
    </w:p>
    <w:p>
      <w:pPr>
        <w:widowControl/>
        <w:spacing w:line="360" w:lineRule="auto"/>
        <w:ind w:firstLine="440" w:firstLineChars="200"/>
        <w:jc w:val="left"/>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评估中介机构要认真执行《资产评估准则》、《企业国有资产评估报告指南》以及有关法律法规的规定，坚持资产评估原则，采用科学的评估方法，按照必要的评估程序，对评估对象在评估基准日特定目的下的价值进行分析、估算并出具《资产评估报告》。对于正常生产经营企业的企业价值评估，应当在通常评估方法（成本法、收益法、市场法）中的选择两种评估方法进行评估。</w:t>
      </w:r>
    </w:p>
    <w:p>
      <w:pPr>
        <w:widowControl/>
        <w:spacing w:line="360" w:lineRule="auto"/>
        <w:ind w:firstLine="440" w:firstLineChars="200"/>
        <w:jc w:val="left"/>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3、根据评估工作需要，接受委托的评估中介机构指导被评估单位进行全面资产清查、填报资产以及收集准备资料。被评估单位应当在业务约定书约定时间内完成全面资产清查工作、提供评估所需资料。</w:t>
      </w:r>
    </w:p>
    <w:p>
      <w:pPr>
        <w:widowControl/>
        <w:spacing w:line="360" w:lineRule="auto"/>
        <w:ind w:firstLine="440" w:firstLineChars="200"/>
        <w:jc w:val="left"/>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4、评估中介机构应对申报评估资产进行抽查核实，实地调查，实事求是地对资产进行调查勘察。资产抽查核实数量比例和金额比例应在评估说明中充分披露。</w:t>
      </w:r>
    </w:p>
    <w:p>
      <w:pPr>
        <w:widowControl/>
        <w:spacing w:line="360" w:lineRule="auto"/>
        <w:ind w:firstLine="442" w:firstLineChars="200"/>
        <w:jc w:val="left"/>
        <w:outlineLvl w:val="9"/>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▲5、提供评估报告样本。评估报告样本的形式要件必须符合《评估报告样本的形式要件要求》（见本部分“三、评估报告样本的形式要件要求”）。</w:t>
      </w:r>
    </w:p>
    <w:p>
      <w:pPr>
        <w:widowControl/>
        <w:spacing w:line="360" w:lineRule="auto"/>
        <w:ind w:firstLine="442" w:firstLineChars="200"/>
        <w:jc w:val="left"/>
        <w:outlineLvl w:val="9"/>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▲6、投标供应商在提供评估服务时，须履行《评估服务承诺》（见附件十六）。</w:t>
      </w:r>
    </w:p>
    <w:p>
      <w:pPr>
        <w:widowControl/>
        <w:numPr>
          <w:ilvl w:val="0"/>
          <w:numId w:val="19"/>
        </w:numPr>
        <w:spacing w:line="360" w:lineRule="auto"/>
        <w:jc w:val="left"/>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评估报告样本的形式要件要求（如与中评协[2017]42号《企业国有资产评估报告指南》内容有矛盾，一律以《企业国有资产评估报告指南》的标准要求执行），包括但不限于以下：</w:t>
      </w:r>
    </w:p>
    <w:p>
      <w:pPr>
        <w:widowControl/>
        <w:numPr>
          <w:ilvl w:val="0"/>
          <w:numId w:val="20"/>
        </w:numPr>
        <w:spacing w:line="360" w:lineRule="auto"/>
        <w:ind w:firstLine="442" w:firstLineChars="200"/>
        <w:jc w:val="left"/>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评估报告必须具备以下形式要件：</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（一）标题；</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（二）文号；</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（三）声明；</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（四）摘要；</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（五）正文；</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（六）附件；</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（七）评估明细表；</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（八）评估说明。</w:t>
      </w:r>
    </w:p>
    <w:p>
      <w:pPr>
        <w:widowControl/>
        <w:spacing w:line="360" w:lineRule="auto"/>
        <w:ind w:firstLine="442" w:firstLineChars="200"/>
        <w:jc w:val="left"/>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2、评估报告正文的形式要件应当包括：</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（一）绪言；</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（二）委托方、被评估单位（或者产权持有单位）和业务约定书约定的其他评估报告使用者概况；</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（三）评估目的；</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（四）评估对象和评估范围；</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（五）价值类型；</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（六）评估基准日；</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（七）评估依据；</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（八）评估方法（其中，标项一投标单位的评估报告应当以企业价值评估项目为样本，采取包括收益法在内的2种以上评估方法）；</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（九）评估程序实施过程和情况；</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（十）评估假设；</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（十一）评估结论；</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（十二）特别事项说明；</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（十三）评估报告使用限制说明；</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（十四）资产评估报告日；</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（十五）签字盖章。</w:t>
      </w:r>
    </w:p>
    <w:p>
      <w:pPr>
        <w:widowControl/>
        <w:spacing w:line="360" w:lineRule="auto"/>
        <w:ind w:firstLine="442" w:firstLineChars="200"/>
        <w:jc w:val="left"/>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3、评估报告附件的形式要件包括：</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（一）与评估目的相对应的经济行为文件；</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（二）被评估单位专项审计报告；</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（三）委托人和被评估单位法人营业执照；</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（四）委托人和被评估单位产权登记证；</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（五）评估对象涉及的主要权属证明资料；</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（六）委托人和其他相关当事人的承诺函；</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（七）签名资产评估师的承诺函（参照《企业国有资产评估报告指南》——“资产评估师承诺函指引”编写）；</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（八）资产评估机构备案文件或者资格证明文件；</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（九）资产评估机构法人营业执照副本；</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（十）负责该评估业务的资产评估师资格证明文件；</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（十一）资产评估委托合同；</w:t>
      </w:r>
    </w:p>
    <w:p>
      <w:pPr>
        <w:widowControl/>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（十二）其他重要文件。</w:t>
      </w:r>
    </w:p>
    <w:p>
      <w:pPr>
        <w:widowControl/>
        <w:shd w:val="clear" w:color="auto" w:fill="FFFFFF"/>
        <w:wordWrap w:val="0"/>
        <w:spacing w:line="360" w:lineRule="auto"/>
        <w:ind w:firstLine="442" w:firstLineChars="200"/>
        <w:jc w:val="left"/>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4、评估明细表的形式要件应包括(收益法)：</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（一）资产负债、利润调整表（如果有调整时）；</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（二）现金流量测算表；</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（三）营业收入预测表；</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（四）营业成本预测表；</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（五）营业税金及附加预测表；</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（六）销售费用预测表；</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（七）管理费用预测表；</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（八）财务费用预测表；</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（九）营运资金预测表；</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（十）折旧摊销预测表；</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（十一）资本性支出预测表；</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（十二）折现率计算表；</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（十三）溢余资产和非经营性资产分析表。</w:t>
      </w:r>
    </w:p>
    <w:p>
      <w:pPr>
        <w:widowControl/>
        <w:shd w:val="clear" w:color="auto" w:fill="FFFFFF"/>
        <w:wordWrap w:val="0"/>
        <w:spacing w:line="360" w:lineRule="auto"/>
        <w:ind w:firstLine="442" w:firstLineChars="200"/>
        <w:jc w:val="left"/>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5、评估说明的形式要件应包括：</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第一部分   评估说明封面、目录</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第二部分   评估说明使用范围声明；</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第三部分   企业关于进行资产评估有关事项的说明</w:t>
      </w:r>
    </w:p>
    <w:p>
      <w:pPr>
        <w:widowControl/>
        <w:shd w:val="clear" w:color="auto" w:fill="FFFFFF"/>
        <w:wordWrap w:val="0"/>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第四部分   资产评估说明，包括：1、评估对象与评估范围说明；2、资产核实总体情况说明；3、评估技术说明；4、评估结论及分析。</w:t>
      </w:r>
    </w:p>
    <w:p>
      <w:pPr>
        <w:widowControl/>
        <w:shd w:val="clear" w:color="auto" w:fill="FFFFFF"/>
        <w:wordWrap w:val="0"/>
        <w:spacing w:line="360" w:lineRule="auto"/>
        <w:jc w:val="left"/>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四、费率要求</w:t>
      </w:r>
    </w:p>
    <w:p>
      <w:pPr>
        <w:widowControl/>
        <w:shd w:val="clear" w:color="auto" w:fill="FFFFFF"/>
        <w:wordWrap w:val="0"/>
        <w:spacing w:line="360" w:lineRule="auto"/>
        <w:ind w:firstLine="442" w:firstLineChars="200"/>
        <w:jc w:val="left"/>
        <w:outlineLvl w:val="9"/>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▲投标报价按《浙江省物价局关于制定资产评估收费标准的通知》（浙价服【2011】90号）文件规定的收费基准报折扣率。</w:t>
      </w:r>
    </w:p>
    <w:p>
      <w:pPr>
        <w:widowControl/>
        <w:shd w:val="clear" w:color="auto" w:fill="FFFFFF"/>
        <w:wordWrap w:val="0"/>
        <w:spacing w:line="360" w:lineRule="auto"/>
        <w:ind w:firstLine="442" w:firstLineChars="200"/>
        <w:jc w:val="left"/>
        <w:outlineLvl w:val="9"/>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▲具体承接项目时，按《浙江省物价局关于制定资产评估收费标准的通知》（浙价服【2011】90号）文件规定的收费标准，由委托双方协商，不得高于投标报价。</w:t>
      </w:r>
    </w:p>
    <w:p>
      <w:pPr>
        <w:widowControl/>
        <w:shd w:val="clear" w:color="auto" w:fill="FFFFFF"/>
        <w:wordWrap w:val="0"/>
        <w:spacing w:line="360" w:lineRule="auto"/>
        <w:jc w:val="left"/>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五、入围中标供应商库的具体选定聘请评估单位的规定；</w:t>
      </w:r>
    </w:p>
    <w:p>
      <w:pPr>
        <w:widowControl/>
        <w:shd w:val="clear" w:color="auto" w:fill="FFFFFF"/>
        <w:wordWrap w:val="0"/>
        <w:spacing w:line="360" w:lineRule="auto"/>
        <w:ind w:firstLine="442" w:firstLineChars="200"/>
        <w:jc w:val="left"/>
        <w:outlineLvl w:val="9"/>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各采购人及各级子公司在聘请评估机构执行具体业务时，由各采购人根据</w:t>
      </w:r>
      <w:r>
        <w:rPr>
          <w:rFonts w:hint="eastAsia" w:ascii="宋体" w:hAnsi="宋体" w:eastAsia="宋体" w:cs="宋体"/>
          <w:b/>
          <w:bCs/>
          <w:color w:val="auto"/>
          <w:sz w:val="22"/>
          <w:szCs w:val="22"/>
          <w:highlight w:val="none"/>
          <w:lang w:val="en-US" w:eastAsia="zh-CN"/>
        </w:rPr>
        <w:t>相关</w:t>
      </w:r>
      <w:r>
        <w:rPr>
          <w:rFonts w:hint="eastAsia" w:ascii="宋体" w:hAnsi="宋体" w:eastAsia="宋体" w:cs="宋体"/>
          <w:b/>
          <w:bCs/>
          <w:color w:val="auto"/>
          <w:sz w:val="22"/>
          <w:szCs w:val="22"/>
          <w:highlight w:val="none"/>
        </w:rPr>
        <w:t>管理办法确定，具体按《关于规范市属国有企业国有资产评估项目评估机构选聘工作的通知》</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温国资委〔2021〕123号</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执行。</w:t>
      </w:r>
    </w:p>
    <w:p>
      <w:pPr>
        <w:widowControl/>
        <w:shd w:val="clear" w:color="auto" w:fill="FFFFFF"/>
        <w:wordWrap w:val="0"/>
        <w:spacing w:line="360" w:lineRule="auto"/>
        <w:jc w:val="left"/>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六、其他</w:t>
      </w:r>
      <w:bookmarkEnd w:id="264"/>
      <w:bookmarkEnd w:id="265"/>
      <w:bookmarkEnd w:id="266"/>
      <w:bookmarkEnd w:id="267"/>
      <w:bookmarkEnd w:id="268"/>
    </w:p>
    <w:p>
      <w:pPr>
        <w:spacing w:line="400" w:lineRule="exact"/>
        <w:ind w:firstLine="442" w:firstLineChars="200"/>
        <w:outlineLvl w:val="9"/>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中标入围评估机构接受采购人的评估质量考核评价及评价结果处理（</w:t>
      </w:r>
      <w:r>
        <w:rPr>
          <w:rFonts w:hint="eastAsia" w:ascii="宋体" w:hAnsi="宋体" w:eastAsia="宋体" w:cs="宋体"/>
          <w:b/>
          <w:bCs/>
          <w:color w:val="auto"/>
          <w:sz w:val="22"/>
          <w:szCs w:val="22"/>
          <w:highlight w:val="none"/>
          <w:lang w:eastAsia="zh-CN"/>
        </w:rPr>
        <w:t>《温州市市属国有企业评估中介机构质量评价及机构调整规程》（温国资委〔2018〕99号）</w:t>
      </w:r>
      <w:r>
        <w:rPr>
          <w:rFonts w:hint="eastAsia" w:ascii="宋体" w:hAnsi="宋体" w:eastAsia="宋体" w:cs="宋体"/>
          <w:b/>
          <w:bCs/>
          <w:color w:val="auto"/>
          <w:sz w:val="22"/>
          <w:szCs w:val="22"/>
          <w:highlight w:val="none"/>
        </w:rPr>
        <w:t>）。如考核不合格的评估服务机构，采购人有权取消评估资格。</w:t>
      </w:r>
    </w:p>
    <w:p>
      <w:pPr>
        <w:spacing w:line="400" w:lineRule="exact"/>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七、特别说明</w:t>
      </w:r>
    </w:p>
    <w:p>
      <w:pPr>
        <w:numPr>
          <w:ilvl w:val="0"/>
          <w:numId w:val="21"/>
        </w:numPr>
        <w:spacing w:line="400" w:lineRule="exact"/>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除采购文件中所明确的采购需求外，欢迎其他能满足本项目采购需求且性能相当于或高于所明确采购需求的标准参加投标报价。同时在采购需求偏离表中作出详细对比说明。</w:t>
      </w:r>
    </w:p>
    <w:p>
      <w:pPr>
        <w:numPr>
          <w:ilvl w:val="0"/>
          <w:numId w:val="21"/>
        </w:numPr>
        <w:spacing w:line="400" w:lineRule="exact"/>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带“▲且加下划线”的有关条款为实质性条款，投标供应商必须做出实质性响应，否则视为投标无效。</w:t>
      </w:r>
    </w:p>
    <w:p>
      <w:pPr>
        <w:pStyle w:val="3"/>
        <w:numPr>
          <w:ilvl w:val="0"/>
          <w:numId w:val="21"/>
        </w:numPr>
        <w:adjustRightInd w:val="0"/>
        <w:snapToGrid w:val="0"/>
        <w:spacing w:line="360" w:lineRule="auto"/>
        <w:outlineLvl w:val="9"/>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如采购需求中未特别注明</w:t>
      </w:r>
      <w:r>
        <w:rPr>
          <w:rFonts w:hint="eastAsia" w:ascii="宋体" w:hAnsi="宋体" w:eastAsia="宋体" w:cs="宋体"/>
          <w:b/>
          <w:color w:val="auto"/>
          <w:sz w:val="22"/>
          <w:szCs w:val="22"/>
          <w:highlight w:val="none"/>
        </w:rPr>
        <w:t>需执行的国家相关标准、行业标准、地方标准或者其他标准、规范，则统一执行最新标准、规范。</w:t>
      </w:r>
    </w:p>
    <w:p>
      <w:pPr>
        <w:spacing w:line="380" w:lineRule="exact"/>
        <w:ind w:firstLine="4400" w:firstLineChars="2000"/>
        <w:outlineLvl w:val="9"/>
        <w:rPr>
          <w:rFonts w:hint="eastAsia" w:ascii="宋体" w:hAnsi="宋体" w:eastAsia="宋体" w:cs="宋体"/>
          <w:color w:val="auto"/>
          <w:sz w:val="22"/>
          <w:szCs w:val="22"/>
          <w:highlight w:val="none"/>
        </w:rPr>
      </w:pPr>
    </w:p>
    <w:p>
      <w:pPr>
        <w:spacing w:line="380" w:lineRule="exact"/>
        <w:ind w:firstLine="4400" w:firstLineChars="2000"/>
        <w:rPr>
          <w:rFonts w:hint="eastAsia" w:ascii="宋体" w:hAnsi="宋体" w:eastAsia="宋体" w:cs="宋体"/>
          <w:color w:val="auto"/>
          <w:sz w:val="22"/>
          <w:szCs w:val="22"/>
          <w:highlight w:val="none"/>
        </w:rPr>
      </w:pPr>
    </w:p>
    <w:p>
      <w:pPr>
        <w:jc w:val="center"/>
        <w:outlineLvl w:val="0"/>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bookmarkStart w:id="269" w:name="_Toc5445"/>
      <w:bookmarkStart w:id="270" w:name="_Toc10043"/>
      <w:bookmarkStart w:id="271" w:name="_Toc2108"/>
      <w:bookmarkStart w:id="272" w:name="_Toc20882"/>
      <w:bookmarkStart w:id="273" w:name="_Toc22456"/>
      <w:bookmarkStart w:id="274" w:name="_Toc28215"/>
      <w:bookmarkStart w:id="275" w:name="_Toc26905"/>
      <w:r>
        <w:rPr>
          <w:rFonts w:hint="eastAsia" w:ascii="宋体" w:hAnsi="宋体" w:eastAsia="宋体" w:cs="宋体"/>
          <w:b/>
          <w:color w:val="auto"/>
          <w:sz w:val="30"/>
          <w:highlight w:val="none"/>
        </w:rPr>
        <w:t>第五部分 评标原则及方法</w:t>
      </w:r>
      <w:bookmarkEnd w:id="269"/>
      <w:bookmarkEnd w:id="270"/>
      <w:bookmarkEnd w:id="271"/>
      <w:bookmarkEnd w:id="272"/>
      <w:bookmarkEnd w:id="273"/>
      <w:bookmarkEnd w:id="274"/>
      <w:bookmarkEnd w:id="275"/>
    </w:p>
    <w:p>
      <w:pPr>
        <w:pStyle w:val="3"/>
        <w:spacing w:line="360" w:lineRule="auto"/>
        <w:ind w:firstLine="410" w:firstLineChars="200"/>
        <w:jc w:val="left"/>
        <w:rPr>
          <w:rFonts w:hint="eastAsia" w:ascii="宋体" w:hAnsi="宋体" w:eastAsia="宋体" w:cs="宋体"/>
          <w:b/>
          <w:bCs/>
          <w:color w:val="auto"/>
          <w:spacing w:val="-8"/>
          <w:sz w:val="22"/>
          <w:szCs w:val="22"/>
          <w:highlight w:val="none"/>
        </w:rPr>
      </w:pPr>
      <w:bookmarkStart w:id="276" w:name="_Toc4888"/>
      <w:bookmarkStart w:id="277" w:name="_Toc25070"/>
      <w:bookmarkStart w:id="278" w:name="_Toc11772"/>
      <w:bookmarkStart w:id="279" w:name="_Toc21888"/>
      <w:bookmarkStart w:id="280" w:name="_Toc6828"/>
      <w:r>
        <w:rPr>
          <w:rFonts w:hint="eastAsia" w:ascii="宋体" w:hAnsi="宋体" w:eastAsia="宋体" w:cs="宋体"/>
          <w:b/>
          <w:bCs/>
          <w:color w:val="auto"/>
          <w:spacing w:val="-8"/>
          <w:sz w:val="22"/>
          <w:szCs w:val="22"/>
          <w:highlight w:val="none"/>
        </w:rPr>
        <w:t>根据《温州市市属国有企业采购管理办法（试行）》规定特制定以下评标办法。</w:t>
      </w:r>
      <w:bookmarkEnd w:id="276"/>
      <w:bookmarkEnd w:id="277"/>
      <w:bookmarkEnd w:id="278"/>
      <w:bookmarkEnd w:id="279"/>
      <w:bookmarkEnd w:id="280"/>
    </w:p>
    <w:p>
      <w:pPr>
        <w:pStyle w:val="3"/>
        <w:spacing w:line="360" w:lineRule="auto"/>
        <w:jc w:val="left"/>
        <w:outlineLvl w:val="1"/>
        <w:rPr>
          <w:rFonts w:hint="eastAsia" w:ascii="宋体" w:hAnsi="宋体" w:eastAsia="宋体" w:cs="宋体"/>
          <w:b/>
          <w:bCs/>
          <w:color w:val="auto"/>
          <w:spacing w:val="-8"/>
          <w:sz w:val="22"/>
          <w:szCs w:val="22"/>
          <w:highlight w:val="none"/>
        </w:rPr>
      </w:pPr>
      <w:bookmarkStart w:id="281" w:name="_Toc26092"/>
      <w:bookmarkStart w:id="282" w:name="_Toc16521"/>
      <w:bookmarkStart w:id="283" w:name="_Toc6329"/>
      <w:bookmarkStart w:id="284" w:name="_Toc12862"/>
      <w:bookmarkStart w:id="285" w:name="_Toc168"/>
      <w:bookmarkStart w:id="286" w:name="_Toc9696"/>
      <w:r>
        <w:rPr>
          <w:rFonts w:hint="eastAsia" w:ascii="宋体" w:hAnsi="宋体" w:eastAsia="宋体" w:cs="宋体"/>
          <w:b/>
          <w:bCs/>
          <w:color w:val="auto"/>
          <w:spacing w:val="-8"/>
          <w:sz w:val="22"/>
          <w:szCs w:val="22"/>
          <w:highlight w:val="none"/>
        </w:rPr>
        <w:t>一、总 则</w:t>
      </w:r>
      <w:bookmarkEnd w:id="281"/>
      <w:bookmarkEnd w:id="282"/>
      <w:bookmarkEnd w:id="283"/>
      <w:bookmarkEnd w:id="284"/>
      <w:bookmarkEnd w:id="285"/>
      <w:bookmarkEnd w:id="286"/>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采购文件的商务、技术要求，对投标文件进行综合评定，提出优选方案，编写评标报告。对落标单位，评委会不作任何落标解释。投标供应商不得以任何方式干扰招投标工作的进行，一经发现其投标文件将被拒绝。</w:t>
      </w:r>
    </w:p>
    <w:p>
      <w:pPr>
        <w:pStyle w:val="3"/>
        <w:spacing w:line="360" w:lineRule="auto"/>
        <w:jc w:val="left"/>
        <w:outlineLvl w:val="1"/>
        <w:rPr>
          <w:rFonts w:hint="eastAsia" w:ascii="宋体" w:hAnsi="宋体" w:eastAsia="宋体" w:cs="宋体"/>
          <w:b/>
          <w:bCs/>
          <w:color w:val="auto"/>
          <w:spacing w:val="-8"/>
          <w:sz w:val="22"/>
          <w:szCs w:val="22"/>
          <w:highlight w:val="none"/>
        </w:rPr>
      </w:pPr>
      <w:bookmarkStart w:id="287" w:name="_Toc21855"/>
      <w:bookmarkStart w:id="288" w:name="_Toc13029"/>
      <w:bookmarkStart w:id="289" w:name="_Toc20155"/>
      <w:bookmarkStart w:id="290" w:name="_Toc7542"/>
      <w:bookmarkStart w:id="291" w:name="_Toc12336"/>
      <w:bookmarkStart w:id="292" w:name="_Toc27899"/>
      <w:r>
        <w:rPr>
          <w:rFonts w:hint="eastAsia" w:ascii="宋体" w:hAnsi="宋体" w:eastAsia="宋体" w:cs="宋体"/>
          <w:b/>
          <w:bCs/>
          <w:color w:val="auto"/>
          <w:spacing w:val="-8"/>
          <w:sz w:val="22"/>
          <w:szCs w:val="22"/>
          <w:highlight w:val="none"/>
        </w:rPr>
        <w:t>二、评标组织</w:t>
      </w:r>
      <w:bookmarkEnd w:id="287"/>
      <w:bookmarkEnd w:id="288"/>
      <w:bookmarkEnd w:id="289"/>
      <w:bookmarkEnd w:id="290"/>
      <w:bookmarkEnd w:id="291"/>
      <w:bookmarkEnd w:id="292"/>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评标工作由采购人组建的评审小组负责，评标全过程由有关部门指导监督。</w:t>
      </w:r>
    </w:p>
    <w:p>
      <w:pPr>
        <w:pStyle w:val="3"/>
        <w:spacing w:line="360" w:lineRule="auto"/>
        <w:jc w:val="left"/>
        <w:outlineLvl w:val="1"/>
        <w:rPr>
          <w:rFonts w:hint="eastAsia" w:ascii="宋体" w:hAnsi="宋体" w:eastAsia="宋体" w:cs="宋体"/>
          <w:b/>
          <w:bCs/>
          <w:color w:val="auto"/>
          <w:spacing w:val="-8"/>
          <w:sz w:val="22"/>
          <w:szCs w:val="22"/>
          <w:highlight w:val="none"/>
        </w:rPr>
      </w:pPr>
      <w:bookmarkStart w:id="293" w:name="_Toc28577"/>
      <w:bookmarkStart w:id="294" w:name="_Toc2849"/>
      <w:bookmarkStart w:id="295" w:name="_Toc13850"/>
      <w:bookmarkStart w:id="296" w:name="_Toc24232"/>
      <w:bookmarkStart w:id="297" w:name="_Toc21741"/>
      <w:bookmarkStart w:id="298" w:name="_Toc13901"/>
      <w:r>
        <w:rPr>
          <w:rFonts w:hint="eastAsia" w:ascii="宋体" w:hAnsi="宋体" w:eastAsia="宋体" w:cs="宋体"/>
          <w:b/>
          <w:bCs/>
          <w:color w:val="auto"/>
          <w:spacing w:val="-8"/>
          <w:sz w:val="22"/>
          <w:szCs w:val="22"/>
          <w:highlight w:val="none"/>
        </w:rPr>
        <w:t>三、评标程序</w:t>
      </w:r>
      <w:bookmarkEnd w:id="293"/>
      <w:bookmarkEnd w:id="294"/>
      <w:bookmarkEnd w:id="295"/>
      <w:bookmarkEnd w:id="296"/>
      <w:bookmarkEnd w:id="297"/>
      <w:bookmarkEnd w:id="298"/>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评标委员按照采购文件中规定的评标方法和标准，对投标文件进行商务和技术评估，综合比较与评价</w:t>
      </w:r>
      <w:r>
        <w:rPr>
          <w:rFonts w:hint="eastAsia" w:ascii="宋体" w:hAnsi="宋体" w:eastAsia="宋体" w:cs="宋体"/>
          <w:color w:val="auto"/>
          <w:sz w:val="22"/>
          <w:szCs w:val="22"/>
          <w:highlight w:val="none"/>
        </w:rPr>
        <w:t>，根据综合评审结果，提交评审报告。</w:t>
      </w:r>
    </w:p>
    <w:p>
      <w:pPr>
        <w:pStyle w:val="3"/>
        <w:spacing w:line="360" w:lineRule="auto"/>
        <w:jc w:val="left"/>
        <w:outlineLvl w:val="1"/>
        <w:rPr>
          <w:rFonts w:hint="eastAsia" w:ascii="宋体" w:hAnsi="宋体" w:eastAsia="宋体" w:cs="宋体"/>
          <w:b/>
          <w:bCs/>
          <w:color w:val="auto"/>
          <w:spacing w:val="-8"/>
          <w:sz w:val="22"/>
          <w:szCs w:val="22"/>
          <w:highlight w:val="none"/>
        </w:rPr>
      </w:pPr>
      <w:bookmarkStart w:id="299" w:name="_Toc21677"/>
      <w:bookmarkStart w:id="300" w:name="_Toc27010"/>
      <w:bookmarkStart w:id="301" w:name="_Toc21768"/>
      <w:bookmarkStart w:id="302" w:name="_Toc22585"/>
      <w:bookmarkStart w:id="303" w:name="_Toc17942"/>
      <w:bookmarkStart w:id="304" w:name="_Toc24855"/>
      <w:r>
        <w:rPr>
          <w:rFonts w:hint="eastAsia" w:ascii="宋体" w:hAnsi="宋体" w:eastAsia="宋体" w:cs="宋体"/>
          <w:b/>
          <w:bCs/>
          <w:color w:val="auto"/>
          <w:spacing w:val="-8"/>
          <w:sz w:val="22"/>
          <w:szCs w:val="22"/>
          <w:highlight w:val="none"/>
        </w:rPr>
        <w:t>四、评标办法</w:t>
      </w:r>
      <w:bookmarkEnd w:id="299"/>
      <w:bookmarkEnd w:id="300"/>
      <w:bookmarkEnd w:id="301"/>
      <w:bookmarkEnd w:id="302"/>
      <w:bookmarkEnd w:id="303"/>
      <w:bookmarkEnd w:id="304"/>
    </w:p>
    <w:p>
      <w:pP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本次采购采用百分制综合评分法，即投标供应商最大限度地满足采购文件实质性要求的基础上，按照采购文件的各项因素进行综合评审后，按评审后得分（即商务技术分与报价分之和）由高到低顺序排序，确定中标候选供应商的评标方法。根据采购要求，</w:t>
      </w:r>
      <w:r>
        <w:rPr>
          <w:rFonts w:hint="eastAsia" w:ascii="宋体" w:hAnsi="宋体" w:eastAsia="宋体" w:cs="宋体"/>
          <w:b/>
          <w:color w:val="auto"/>
          <w:sz w:val="22"/>
          <w:szCs w:val="22"/>
          <w:highlight w:val="none"/>
        </w:rPr>
        <w:t>总分设定为</w:t>
      </w:r>
      <w:r>
        <w:rPr>
          <w:rFonts w:hint="eastAsia" w:ascii="宋体" w:hAnsi="宋体" w:eastAsia="宋体" w:cs="宋体"/>
          <w:b/>
          <w:color w:val="auto"/>
          <w:sz w:val="22"/>
          <w:szCs w:val="22"/>
          <w:highlight w:val="none"/>
          <w:lang w:val="en-US" w:eastAsia="zh-CN"/>
        </w:rPr>
        <w:t>80</w:t>
      </w:r>
      <w:r>
        <w:rPr>
          <w:rFonts w:hint="eastAsia" w:ascii="宋体" w:hAnsi="宋体" w:eastAsia="宋体" w:cs="宋体"/>
          <w:b/>
          <w:color w:val="auto"/>
          <w:sz w:val="22"/>
          <w:szCs w:val="22"/>
          <w:highlight w:val="none"/>
        </w:rPr>
        <w:t>分：商务技术分</w:t>
      </w:r>
      <w:r>
        <w:rPr>
          <w:rFonts w:hint="eastAsia" w:ascii="宋体" w:hAnsi="宋体" w:eastAsia="宋体" w:cs="宋体"/>
          <w:b/>
          <w:color w:val="auto"/>
          <w:sz w:val="22"/>
          <w:szCs w:val="22"/>
          <w:highlight w:val="none"/>
          <w:lang w:val="en-US" w:eastAsia="zh-CN"/>
        </w:rPr>
        <w:t>80</w:t>
      </w:r>
      <w:r>
        <w:rPr>
          <w:rFonts w:hint="eastAsia" w:ascii="宋体" w:hAnsi="宋体" w:eastAsia="宋体" w:cs="宋体"/>
          <w:b/>
          <w:color w:val="auto"/>
          <w:sz w:val="22"/>
          <w:szCs w:val="22"/>
          <w:highlight w:val="none"/>
        </w:rPr>
        <w:t>分（权值</w:t>
      </w:r>
      <w:r>
        <w:rPr>
          <w:rFonts w:hint="eastAsia" w:ascii="宋体" w:hAnsi="宋体" w:eastAsia="宋体" w:cs="宋体"/>
          <w:b/>
          <w:color w:val="auto"/>
          <w:sz w:val="22"/>
          <w:szCs w:val="22"/>
          <w:highlight w:val="none"/>
          <w:lang w:val="en-US" w:eastAsia="zh-CN"/>
        </w:rPr>
        <w:t>80</w:t>
      </w:r>
      <w:r>
        <w:rPr>
          <w:rFonts w:hint="eastAsia" w:ascii="宋体" w:hAnsi="宋体" w:eastAsia="宋体" w:cs="宋体"/>
          <w:b/>
          <w:color w:val="auto"/>
          <w:sz w:val="22"/>
          <w:szCs w:val="22"/>
          <w:highlight w:val="none"/>
        </w:rPr>
        <w:t>%），报价分</w:t>
      </w:r>
      <w:r>
        <w:rPr>
          <w:rFonts w:hint="eastAsia" w:ascii="宋体" w:hAnsi="宋体" w:eastAsia="宋体" w:cs="宋体"/>
          <w:b/>
          <w:color w:val="auto"/>
          <w:sz w:val="22"/>
          <w:szCs w:val="22"/>
          <w:highlight w:val="none"/>
          <w:lang w:val="en-US" w:eastAsia="zh-CN"/>
        </w:rPr>
        <w:t>20</w:t>
      </w:r>
      <w:r>
        <w:rPr>
          <w:rFonts w:hint="eastAsia" w:ascii="宋体" w:hAnsi="宋体" w:eastAsia="宋体" w:cs="宋体"/>
          <w:b/>
          <w:color w:val="auto"/>
          <w:sz w:val="22"/>
          <w:szCs w:val="22"/>
          <w:highlight w:val="none"/>
        </w:rPr>
        <w:t>分（权值</w:t>
      </w:r>
      <w:r>
        <w:rPr>
          <w:rFonts w:hint="eastAsia" w:ascii="宋体" w:hAnsi="宋体" w:eastAsia="宋体" w:cs="宋体"/>
          <w:b/>
          <w:color w:val="auto"/>
          <w:sz w:val="22"/>
          <w:szCs w:val="22"/>
          <w:highlight w:val="none"/>
          <w:lang w:val="en-US" w:eastAsia="zh-CN"/>
        </w:rPr>
        <w:t>20</w:t>
      </w:r>
      <w:r>
        <w:rPr>
          <w:rFonts w:hint="eastAsia" w:ascii="宋体" w:hAnsi="宋体" w:eastAsia="宋体" w:cs="宋体"/>
          <w:b/>
          <w:color w:val="auto"/>
          <w:sz w:val="22"/>
          <w:szCs w:val="22"/>
          <w:highlight w:val="none"/>
        </w:rPr>
        <w:t>%）。</w:t>
      </w:r>
    </w:p>
    <w:p>
      <w:pPr>
        <w:pStyle w:val="3"/>
        <w:spacing w:line="360" w:lineRule="auto"/>
        <w:jc w:val="left"/>
        <w:outlineLvl w:val="1"/>
        <w:rPr>
          <w:rFonts w:hint="eastAsia" w:ascii="宋体" w:hAnsi="宋体" w:eastAsia="宋体" w:cs="宋体"/>
          <w:b/>
          <w:bCs/>
          <w:color w:val="auto"/>
          <w:spacing w:val="-8"/>
          <w:sz w:val="22"/>
          <w:szCs w:val="22"/>
          <w:highlight w:val="none"/>
        </w:rPr>
      </w:pPr>
      <w:bookmarkStart w:id="305" w:name="_Toc24301"/>
      <w:bookmarkStart w:id="306" w:name="_Toc365"/>
      <w:bookmarkStart w:id="307" w:name="_Toc6481"/>
      <w:bookmarkStart w:id="308" w:name="_Toc11345"/>
      <w:bookmarkStart w:id="309" w:name="_Toc26138"/>
      <w:bookmarkStart w:id="310" w:name="_Toc1110"/>
      <w:r>
        <w:rPr>
          <w:rFonts w:hint="eastAsia" w:ascii="宋体" w:hAnsi="宋体" w:eastAsia="宋体" w:cs="宋体"/>
          <w:b/>
          <w:bCs/>
          <w:color w:val="auto"/>
          <w:spacing w:val="-8"/>
          <w:sz w:val="22"/>
          <w:szCs w:val="22"/>
          <w:highlight w:val="none"/>
        </w:rPr>
        <w:t>五、评分细则</w:t>
      </w:r>
      <w:bookmarkEnd w:id="305"/>
      <w:bookmarkEnd w:id="306"/>
      <w:bookmarkEnd w:id="307"/>
      <w:bookmarkEnd w:id="308"/>
      <w:bookmarkEnd w:id="309"/>
      <w:bookmarkEnd w:id="310"/>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1.商务技术分的评定：商务技术</w:t>
      </w:r>
      <w:r>
        <w:rPr>
          <w:rFonts w:hint="eastAsia" w:ascii="宋体" w:hAnsi="宋体" w:eastAsia="宋体" w:cs="宋体"/>
          <w:b/>
          <w:color w:val="auto"/>
          <w:sz w:val="22"/>
          <w:szCs w:val="22"/>
          <w:highlight w:val="none"/>
          <w:lang w:val="en-US" w:eastAsia="zh-CN"/>
        </w:rPr>
        <w:t>80</w:t>
      </w:r>
      <w:r>
        <w:rPr>
          <w:rFonts w:hint="eastAsia" w:ascii="宋体" w:hAnsi="宋体" w:eastAsia="宋体" w:cs="宋体"/>
          <w:b/>
          <w:color w:val="auto"/>
          <w:sz w:val="22"/>
          <w:szCs w:val="22"/>
          <w:highlight w:val="none"/>
        </w:rPr>
        <w:t>分（权值</w:t>
      </w:r>
      <w:r>
        <w:rPr>
          <w:rFonts w:hint="eastAsia" w:ascii="宋体" w:hAnsi="宋体" w:eastAsia="宋体" w:cs="宋体"/>
          <w:b/>
          <w:color w:val="auto"/>
          <w:sz w:val="22"/>
          <w:szCs w:val="22"/>
          <w:highlight w:val="none"/>
          <w:lang w:val="en-US" w:eastAsia="zh-CN"/>
        </w:rPr>
        <w:t>80</w:t>
      </w:r>
      <w:r>
        <w:rPr>
          <w:rFonts w:hint="eastAsia" w:ascii="宋体" w:hAnsi="宋体" w:eastAsia="宋体" w:cs="宋体"/>
          <w:b/>
          <w:color w:val="auto"/>
          <w:sz w:val="22"/>
          <w:szCs w:val="22"/>
          <w:highlight w:val="none"/>
        </w:rPr>
        <w:t xml:space="preserve">%）        </w:t>
      </w:r>
    </w:p>
    <w:p>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评委成员按下列评分项目进行评判，每人一张评分计算票，并记名。投标文件各项评分内容由评审小组成员各自评分，如某张票的一个因素项目超过规定的范围，则该张票无效。各评审小组成员对各投标供应商的各项评分内容评分的算术平均值为各投标供应商商务技术分得分（小数点后按四舍五入保留2位）。</w:t>
      </w:r>
    </w:p>
    <w:p>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标项1</w:t>
      </w:r>
    </w:p>
    <w:tbl>
      <w:tblPr>
        <w:tblStyle w:val="34"/>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471"/>
        <w:gridCol w:w="800"/>
        <w:gridCol w:w="7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375"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471"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评审项目</w:t>
            </w:r>
          </w:p>
        </w:tc>
        <w:tc>
          <w:tcPr>
            <w:tcW w:w="80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分值范围</w:t>
            </w:r>
          </w:p>
        </w:tc>
        <w:tc>
          <w:tcPr>
            <w:tcW w:w="7079"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7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2"/>
                <w:szCs w:val="22"/>
                <w:highlight w:val="none"/>
                <w:lang w:val="en-US" w:eastAsia="zh-CN" w:bidi="ar-SA"/>
              </w:rPr>
            </w:pPr>
          </w:p>
        </w:tc>
        <w:tc>
          <w:tcPr>
            <w:tcW w:w="1471" w:type="dxa"/>
            <w:vMerge w:val="restart"/>
            <w:noWrap w:val="0"/>
            <w:vAlign w:val="center"/>
          </w:tcPr>
          <w:p>
            <w:pPr>
              <w:jc w:val="center"/>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sz w:val="22"/>
                <w:szCs w:val="22"/>
                <w:highlight w:val="none"/>
                <w:lang w:eastAsia="zh-CN"/>
              </w:rPr>
              <w:t>投标供应商综合</w:t>
            </w:r>
            <w:r>
              <w:rPr>
                <w:rFonts w:hint="eastAsia" w:ascii="宋体" w:hAnsi="宋体" w:eastAsia="宋体" w:cs="宋体"/>
                <w:color w:val="auto"/>
                <w:sz w:val="22"/>
                <w:szCs w:val="22"/>
                <w:highlight w:val="none"/>
              </w:rPr>
              <w:t>实力</w:t>
            </w:r>
          </w:p>
        </w:tc>
        <w:tc>
          <w:tcPr>
            <w:tcW w:w="800" w:type="dxa"/>
            <w:noWrap w:val="0"/>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0-10</w:t>
            </w:r>
          </w:p>
        </w:tc>
        <w:tc>
          <w:tcPr>
            <w:tcW w:w="7079" w:type="dxa"/>
            <w:noWrap w:val="0"/>
            <w:vAlign w:val="center"/>
          </w:tcPr>
          <w:p>
            <w:pP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的行业影响力、行业信誉度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企业规模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市场知名度、</w:t>
            </w:r>
            <w:r>
              <w:rPr>
                <w:rFonts w:hint="eastAsia" w:ascii="宋体" w:hAnsi="宋体" w:eastAsia="宋体" w:cs="宋体"/>
                <w:color w:val="auto"/>
                <w:sz w:val="22"/>
                <w:szCs w:val="22"/>
                <w:highlight w:val="none"/>
              </w:rPr>
              <w:t>资产评估师人数等，由评委打分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优：</w:t>
            </w:r>
            <w:r>
              <w:rPr>
                <w:rFonts w:hint="eastAsia" w:ascii="宋体" w:hAnsi="宋体" w:eastAsia="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6.1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良：</w:t>
            </w:r>
            <w:r>
              <w:rPr>
                <w:rFonts w:hint="eastAsia" w:ascii="宋体" w:hAnsi="宋体" w:eastAsia="宋体" w:cs="宋体"/>
                <w:color w:val="auto"/>
                <w:kern w:val="0"/>
                <w:sz w:val="22"/>
                <w:szCs w:val="22"/>
                <w:highlight w:val="none"/>
                <w:lang w:val="en-US" w:eastAsia="zh-CN"/>
              </w:rPr>
              <w:t>6-4.1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差：</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p>
            <w:pP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zh-CN" w:eastAsia="zh-CN"/>
              </w:rPr>
              <w:t>备注：</w:t>
            </w:r>
            <w:r>
              <w:rPr>
                <w:rFonts w:hint="eastAsia" w:ascii="宋体" w:hAnsi="宋体" w:eastAsia="宋体" w:cs="宋体"/>
                <w:color w:val="auto"/>
                <w:sz w:val="22"/>
                <w:szCs w:val="22"/>
                <w:highlight w:val="none"/>
              </w:rPr>
              <w:t>资产评估师</w:t>
            </w:r>
            <w:r>
              <w:rPr>
                <w:rFonts w:hint="eastAsia" w:ascii="宋体" w:hAnsi="宋体" w:cs="宋体"/>
                <w:color w:val="auto"/>
                <w:sz w:val="22"/>
                <w:szCs w:val="22"/>
                <w:highlight w:val="none"/>
                <w:lang w:val="en-US" w:eastAsia="zh-CN"/>
              </w:rPr>
              <w:t>人数以投标供应商</w:t>
            </w:r>
            <w:r>
              <w:rPr>
                <w:rFonts w:ascii="Segoe UI" w:hAnsi="Segoe UI" w:eastAsia="Segoe UI" w:cs="Segoe UI"/>
                <w:i w:val="0"/>
                <w:iCs w:val="0"/>
                <w:caps w:val="0"/>
                <w:color w:val="auto"/>
                <w:spacing w:val="0"/>
                <w:sz w:val="22"/>
                <w:szCs w:val="22"/>
                <w:highlight w:val="none"/>
                <w:shd w:val="clear" w:fill="FDFDFE"/>
              </w:rPr>
              <w:t>为其实际缴纳的社保人数为准</w:t>
            </w:r>
            <w:r>
              <w:rPr>
                <w:rFonts w:hint="eastAsia" w:ascii="宋体" w:hAnsi="宋体" w:cs="宋体"/>
                <w:color w:val="auto"/>
                <w:sz w:val="22"/>
                <w:szCs w:val="22"/>
                <w:highlight w:val="none"/>
                <w:lang w:val="en-US" w:eastAsia="zh-CN"/>
              </w:rPr>
              <w:t>（提供</w:t>
            </w:r>
            <w:r>
              <w:rPr>
                <w:rFonts w:hint="eastAsia" w:ascii="宋体" w:hAnsi="宋体" w:eastAsia="宋体" w:cs="宋体"/>
                <w:color w:val="auto"/>
                <w:kern w:val="0"/>
                <w:sz w:val="22"/>
                <w:szCs w:val="22"/>
                <w:highlight w:val="none"/>
              </w:rPr>
              <w:t>2024年02月01日至本项目投标截止时间止</w:t>
            </w:r>
            <w:r>
              <w:rPr>
                <w:rFonts w:hint="eastAsia" w:ascii="宋体" w:hAnsi="宋体" w:eastAsia="宋体" w:cs="宋体"/>
                <w:color w:val="auto"/>
                <w:kern w:val="0"/>
                <w:sz w:val="22"/>
                <w:szCs w:val="22"/>
                <w:highlight w:val="none"/>
                <w:lang w:val="en-US" w:eastAsia="zh-CN"/>
              </w:rPr>
              <w:t>连续3个月的</w:t>
            </w:r>
            <w:r>
              <w:rPr>
                <w:rFonts w:hint="eastAsia" w:ascii="宋体" w:hAnsi="宋体" w:eastAsia="宋体" w:cs="宋体"/>
                <w:color w:val="auto"/>
                <w:kern w:val="0"/>
                <w:sz w:val="22"/>
                <w:szCs w:val="22"/>
                <w:highlight w:val="none"/>
                <w:lang w:val="zh-CN"/>
              </w:rPr>
              <w:t>社保证明</w:t>
            </w:r>
            <w:r>
              <w:rPr>
                <w:rFonts w:hint="eastAsia" w:ascii="宋体" w:hAnsi="宋体" w:eastAsia="宋体" w:cs="宋体"/>
                <w:color w:val="auto"/>
                <w:sz w:val="22"/>
                <w:szCs w:val="22"/>
                <w:highlight w:val="none"/>
                <w:lang w:val="zh-CN" w:eastAsia="zh-CN"/>
              </w:rPr>
              <w:t>复印件并</w:t>
            </w:r>
            <w:r>
              <w:rPr>
                <w:rFonts w:hint="eastAsia" w:ascii="宋体" w:hAnsi="宋体" w:eastAsia="宋体" w:cs="宋体"/>
                <w:color w:val="auto"/>
                <w:sz w:val="22"/>
                <w:szCs w:val="22"/>
                <w:highlight w:val="none"/>
                <w:lang w:val="en-US" w:eastAsia="zh-CN"/>
              </w:rPr>
              <w:t>加盖</w:t>
            </w:r>
            <w:r>
              <w:rPr>
                <w:rFonts w:hint="eastAsia" w:ascii="宋体" w:hAnsi="宋体" w:eastAsia="宋体" w:cs="宋体"/>
                <w:color w:val="auto"/>
                <w:kern w:val="0"/>
                <w:sz w:val="22"/>
                <w:szCs w:val="22"/>
                <w:highlight w:val="none"/>
                <w:lang w:val="zh-CN"/>
              </w:rPr>
              <w:t>投标供应商电子签章或公章</w:t>
            </w:r>
            <w:r>
              <w:rPr>
                <w:rFonts w:hint="eastAsia" w:ascii="宋体" w:hAnsi="宋体" w:cs="宋体"/>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7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p>
        </w:tc>
        <w:tc>
          <w:tcPr>
            <w:tcW w:w="147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zh-CN"/>
              </w:rPr>
            </w:pPr>
          </w:p>
        </w:tc>
        <w:tc>
          <w:tcPr>
            <w:tcW w:w="800" w:type="dxa"/>
            <w:noWrap w:val="0"/>
            <w:vAlign w:val="center"/>
          </w:tcPr>
          <w:p>
            <w:pPr>
              <w:jc w:val="center"/>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sz w:val="22"/>
                <w:szCs w:val="22"/>
                <w:highlight w:val="none"/>
                <w:lang w:val="en-US" w:eastAsia="zh-CN"/>
              </w:rPr>
              <w:t>0-6</w:t>
            </w:r>
          </w:p>
        </w:tc>
        <w:tc>
          <w:tcPr>
            <w:tcW w:w="7079" w:type="dxa"/>
            <w:noWrap w:val="0"/>
            <w:vAlign w:val="center"/>
          </w:tcPr>
          <w:p>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投标供应商从事证券服务业务并取得有关部门备案的</w:t>
            </w:r>
            <w:r>
              <w:rPr>
                <w:rFonts w:hint="eastAsia" w:ascii="宋体" w:hAnsi="宋体" w:eastAsia="宋体" w:cs="宋体"/>
                <w:b/>
                <w:bCs/>
                <w:color w:val="auto"/>
                <w:kern w:val="2"/>
                <w:sz w:val="22"/>
                <w:szCs w:val="22"/>
                <w:highlight w:val="none"/>
                <w:lang w:val="en-US" w:eastAsia="zh-CN" w:bidi="ar-SA"/>
              </w:rPr>
              <w:t>（提供以证监会从事证券服务业务资产评估机构名录</w:t>
            </w:r>
            <w:r>
              <w:rPr>
                <w:rFonts w:hint="eastAsia" w:ascii="宋体" w:hAnsi="宋体" w:eastAsia="宋体" w:cs="宋体"/>
                <w:b/>
                <w:bCs/>
                <w:color w:val="auto"/>
                <w:kern w:val="0"/>
                <w:sz w:val="22"/>
                <w:szCs w:val="22"/>
                <w:highlight w:val="none"/>
                <w:lang w:val="zh-CN"/>
              </w:rPr>
              <w:t>复印件并加盖投标供应商电子签章或公章</w:t>
            </w:r>
            <w:r>
              <w:rPr>
                <w:rFonts w:hint="eastAsia" w:ascii="宋体" w:hAnsi="宋体" w:eastAsia="宋体" w:cs="宋体"/>
                <w:b/>
                <w:bCs/>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得6分，其余不得分。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471"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项目负责人情况</w:t>
            </w:r>
          </w:p>
        </w:tc>
        <w:tc>
          <w:tcPr>
            <w:tcW w:w="80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7</w:t>
            </w:r>
          </w:p>
        </w:tc>
        <w:tc>
          <w:tcPr>
            <w:tcW w:w="7079" w:type="dxa"/>
            <w:noWrap w:val="0"/>
            <w:vAlign w:val="center"/>
          </w:tcPr>
          <w:p>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项目负责人能力水平、个人业绩、实践经验等，由评委打分。</w:t>
            </w:r>
          </w:p>
          <w:p>
            <w:pP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备注：提供</w:t>
            </w:r>
            <w:r>
              <w:rPr>
                <w:rFonts w:hint="eastAsia" w:ascii="宋体" w:hAnsi="宋体" w:eastAsia="宋体" w:cs="宋体"/>
                <w:color w:val="auto"/>
                <w:sz w:val="22"/>
                <w:szCs w:val="22"/>
                <w:highlight w:val="none"/>
                <w:lang w:val="en-US" w:eastAsia="zh-CN"/>
              </w:rPr>
              <w:t>证明材料和</w:t>
            </w:r>
            <w:r>
              <w:rPr>
                <w:rFonts w:hint="eastAsia" w:ascii="宋体" w:hAnsi="宋体" w:eastAsia="宋体" w:cs="宋体"/>
                <w:color w:val="auto"/>
                <w:kern w:val="0"/>
                <w:sz w:val="22"/>
                <w:szCs w:val="22"/>
                <w:highlight w:val="none"/>
              </w:rPr>
              <w:t>2024年02月01日至本项目投标截止时间止</w:t>
            </w:r>
            <w:r>
              <w:rPr>
                <w:rFonts w:hint="eastAsia" w:ascii="宋体" w:hAnsi="宋体" w:eastAsia="宋体" w:cs="宋体"/>
                <w:color w:val="auto"/>
                <w:kern w:val="0"/>
                <w:sz w:val="22"/>
                <w:szCs w:val="22"/>
                <w:highlight w:val="none"/>
                <w:lang w:val="en-US" w:eastAsia="zh-CN"/>
              </w:rPr>
              <w:t>连续3个月的</w:t>
            </w:r>
            <w:r>
              <w:rPr>
                <w:rFonts w:hint="eastAsia" w:ascii="宋体" w:hAnsi="宋体" w:eastAsia="宋体" w:cs="宋体"/>
                <w:color w:val="auto"/>
                <w:kern w:val="0"/>
                <w:sz w:val="22"/>
                <w:szCs w:val="22"/>
                <w:highlight w:val="none"/>
                <w:lang w:val="zh-CN"/>
              </w:rPr>
              <w:t>社保证明</w:t>
            </w:r>
            <w:r>
              <w:rPr>
                <w:rFonts w:hint="eastAsia" w:ascii="宋体" w:hAnsi="宋体" w:eastAsia="宋体" w:cs="宋体"/>
                <w:color w:val="auto"/>
                <w:sz w:val="22"/>
                <w:szCs w:val="22"/>
                <w:highlight w:val="none"/>
                <w:lang w:val="zh-CN" w:eastAsia="zh-CN"/>
              </w:rPr>
              <w:t>复印件并</w:t>
            </w:r>
            <w:r>
              <w:rPr>
                <w:rFonts w:hint="eastAsia" w:ascii="宋体" w:hAnsi="宋体" w:eastAsia="宋体" w:cs="宋体"/>
                <w:color w:val="auto"/>
                <w:sz w:val="22"/>
                <w:szCs w:val="22"/>
                <w:highlight w:val="none"/>
                <w:lang w:val="en-US" w:eastAsia="zh-CN"/>
              </w:rPr>
              <w:t>加盖</w:t>
            </w:r>
            <w:r>
              <w:rPr>
                <w:rFonts w:hint="eastAsia" w:ascii="宋体" w:hAnsi="宋体" w:eastAsia="宋体" w:cs="宋体"/>
                <w:color w:val="auto"/>
                <w:kern w:val="0"/>
                <w:sz w:val="22"/>
                <w:szCs w:val="22"/>
                <w:highlight w:val="none"/>
                <w:lang w:val="zh-CN"/>
              </w:rPr>
              <w:t>投标供应商电子签章或公章</w:t>
            </w:r>
            <w:r>
              <w:rPr>
                <w:rFonts w:hint="eastAsia" w:ascii="宋体" w:hAnsi="宋体" w:eastAsia="宋体" w:cs="宋体"/>
                <w:color w:val="auto"/>
                <w:sz w:val="22"/>
                <w:szCs w:val="22"/>
                <w:highlight w:val="none"/>
                <w:lang w:val="zh-CN" w:eastAsia="zh-CN"/>
              </w:rPr>
              <w:t>，否则不予认可。</w:t>
            </w:r>
          </w:p>
          <w:p>
            <w:pP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优：7-4.6分；良：4.5-2.1分，差：2-0分。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375"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471"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项目团队</w:t>
            </w:r>
          </w:p>
        </w:tc>
        <w:tc>
          <w:tcPr>
            <w:tcW w:w="80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7</w:t>
            </w:r>
          </w:p>
        </w:tc>
        <w:tc>
          <w:tcPr>
            <w:tcW w:w="7079" w:type="dxa"/>
            <w:noWrap w:val="0"/>
            <w:vAlign w:val="center"/>
          </w:tcPr>
          <w:p>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eastAsia="zh-CN"/>
              </w:rPr>
              <w:t>投标供应商整体项目团队人员（</w:t>
            </w:r>
            <w:r>
              <w:rPr>
                <w:rFonts w:hint="eastAsia" w:ascii="宋体" w:hAnsi="宋体" w:eastAsia="宋体" w:cs="宋体"/>
                <w:color w:val="auto"/>
                <w:sz w:val="22"/>
                <w:szCs w:val="22"/>
                <w:highlight w:val="none"/>
                <w:lang w:val="en-US" w:eastAsia="zh-CN"/>
              </w:rPr>
              <w:t>除项目负责人外</w:t>
            </w:r>
            <w:r>
              <w:rPr>
                <w:rFonts w:hint="eastAsia" w:ascii="宋体" w:hAnsi="宋体" w:eastAsia="宋体" w:cs="宋体"/>
                <w:color w:val="auto"/>
                <w:sz w:val="22"/>
                <w:szCs w:val="22"/>
                <w:highlight w:val="none"/>
                <w:lang w:val="zh-CN" w:eastAsia="zh-CN"/>
              </w:rPr>
              <w:t>）配置合理性、科学性、</w:t>
            </w:r>
            <w:r>
              <w:rPr>
                <w:rFonts w:hint="eastAsia" w:ascii="宋体" w:hAnsi="宋体" w:eastAsia="宋体" w:cs="宋体"/>
                <w:color w:val="auto"/>
                <w:sz w:val="22"/>
                <w:szCs w:val="22"/>
                <w:highlight w:val="none"/>
                <w:lang w:val="en-US" w:eastAsia="zh-CN"/>
              </w:rPr>
              <w:t>学历、资质、工作经验、相关业绩、各类人员数量、各岗位人员配备等，由评委打分。</w:t>
            </w:r>
          </w:p>
          <w:p>
            <w:pP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备注：提供</w:t>
            </w:r>
            <w:r>
              <w:rPr>
                <w:rFonts w:hint="eastAsia" w:ascii="宋体" w:hAnsi="宋体" w:eastAsia="宋体" w:cs="宋体"/>
                <w:color w:val="auto"/>
                <w:sz w:val="22"/>
                <w:szCs w:val="22"/>
                <w:highlight w:val="none"/>
                <w:lang w:val="en-US" w:eastAsia="zh-CN"/>
              </w:rPr>
              <w:t>证明材料和</w:t>
            </w:r>
            <w:r>
              <w:rPr>
                <w:rFonts w:hint="eastAsia" w:ascii="宋体" w:hAnsi="宋体" w:eastAsia="宋体" w:cs="宋体"/>
                <w:color w:val="auto"/>
                <w:kern w:val="0"/>
                <w:sz w:val="22"/>
                <w:szCs w:val="22"/>
                <w:highlight w:val="none"/>
              </w:rPr>
              <w:t>2024年02月01日至本项目投标截止时间止</w:t>
            </w:r>
            <w:r>
              <w:rPr>
                <w:rFonts w:hint="eastAsia" w:ascii="宋体" w:hAnsi="宋体" w:eastAsia="宋体" w:cs="宋体"/>
                <w:color w:val="auto"/>
                <w:kern w:val="0"/>
                <w:sz w:val="22"/>
                <w:szCs w:val="22"/>
                <w:highlight w:val="none"/>
                <w:lang w:val="en-US" w:eastAsia="zh-CN"/>
              </w:rPr>
              <w:t>连续3个月的</w:t>
            </w:r>
            <w:r>
              <w:rPr>
                <w:rFonts w:hint="eastAsia" w:ascii="宋体" w:hAnsi="宋体" w:eastAsia="宋体" w:cs="宋体"/>
                <w:color w:val="auto"/>
                <w:kern w:val="0"/>
                <w:sz w:val="22"/>
                <w:szCs w:val="22"/>
                <w:highlight w:val="none"/>
                <w:lang w:val="zh-CN"/>
              </w:rPr>
              <w:t>社保证明</w:t>
            </w:r>
            <w:r>
              <w:rPr>
                <w:rFonts w:hint="eastAsia" w:ascii="宋体" w:hAnsi="宋体" w:eastAsia="宋体" w:cs="宋体"/>
                <w:color w:val="auto"/>
                <w:sz w:val="22"/>
                <w:szCs w:val="22"/>
                <w:highlight w:val="none"/>
                <w:lang w:val="zh-CN" w:eastAsia="zh-CN"/>
              </w:rPr>
              <w:t>复印件并</w:t>
            </w:r>
            <w:r>
              <w:rPr>
                <w:rFonts w:hint="eastAsia" w:ascii="宋体" w:hAnsi="宋体" w:eastAsia="宋体" w:cs="宋体"/>
                <w:color w:val="auto"/>
                <w:sz w:val="22"/>
                <w:szCs w:val="22"/>
                <w:highlight w:val="none"/>
                <w:lang w:val="en-US" w:eastAsia="zh-CN"/>
              </w:rPr>
              <w:t>加盖</w:t>
            </w:r>
            <w:r>
              <w:rPr>
                <w:rFonts w:hint="eastAsia" w:ascii="宋体" w:hAnsi="宋体" w:eastAsia="宋体" w:cs="宋体"/>
                <w:color w:val="auto"/>
                <w:kern w:val="0"/>
                <w:sz w:val="22"/>
                <w:szCs w:val="22"/>
                <w:highlight w:val="none"/>
                <w:lang w:val="zh-CN"/>
              </w:rPr>
              <w:t>投标供应商电子签章或公章</w:t>
            </w:r>
            <w:r>
              <w:rPr>
                <w:rFonts w:hint="eastAsia" w:ascii="宋体" w:hAnsi="宋体" w:eastAsia="宋体" w:cs="宋体"/>
                <w:color w:val="auto"/>
                <w:sz w:val="22"/>
                <w:szCs w:val="22"/>
                <w:highlight w:val="none"/>
                <w:lang w:val="zh-CN" w:eastAsia="zh-CN"/>
              </w:rPr>
              <w:t>，否则不予认可。</w:t>
            </w:r>
          </w:p>
          <w:p>
            <w:pP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优：7-4.6分；良：4.5-2.1分，差：2-0分。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75" w:type="dxa"/>
            <w:vMerge w:val="restart"/>
            <w:noWrap w:val="0"/>
            <w:vAlign w:val="center"/>
          </w:tcPr>
          <w:p>
            <w:pPr>
              <w:pStyle w:val="2"/>
              <w:rPr>
                <w:rFonts w:hint="eastAsia" w:ascii="宋体" w:hAnsi="宋体" w:eastAsia="宋体" w:cs="宋体"/>
                <w:color w:val="auto"/>
                <w:sz w:val="22"/>
                <w:szCs w:val="22"/>
                <w:highlight w:val="none"/>
                <w:lang w:val="en-US" w:eastAsia="zh-CN"/>
              </w:rPr>
            </w:pPr>
          </w:p>
          <w:p>
            <w:pPr>
              <w:bidi w:val="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1471" w:type="dxa"/>
            <w:vMerge w:val="restart"/>
            <w:noWrap w:val="0"/>
            <w:vAlign w:val="center"/>
          </w:tcPr>
          <w:p>
            <w:pPr>
              <w:widowControl/>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rPr>
              <w:t>服务承诺、响应及合理化建议</w:t>
            </w:r>
          </w:p>
        </w:tc>
        <w:tc>
          <w:tcPr>
            <w:tcW w:w="80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6</w:t>
            </w:r>
          </w:p>
        </w:tc>
        <w:tc>
          <w:tcPr>
            <w:tcW w:w="7079" w:type="dxa"/>
            <w:noWrap w:val="0"/>
            <w:vAlign w:val="center"/>
          </w:tcPr>
          <w:p>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rPr>
              <w:t>①</w:t>
            </w: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提供服务的方便程度、服务措施、服务承诺等。</w:t>
            </w:r>
          </w:p>
          <w:p>
            <w:pPr>
              <w:widowControl/>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eastAsia="zh-CN"/>
              </w:rPr>
              <w:t>优：</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4.1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良：</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差：</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75" w:type="dxa"/>
            <w:vMerge w:val="continue"/>
            <w:noWrap w:val="0"/>
            <w:vAlign w:val="center"/>
          </w:tcPr>
          <w:p>
            <w:pPr>
              <w:pStyle w:val="2"/>
              <w:rPr>
                <w:rFonts w:hint="eastAsia" w:ascii="宋体" w:hAnsi="宋体" w:eastAsia="宋体" w:cs="宋体"/>
                <w:color w:val="auto"/>
                <w:sz w:val="22"/>
                <w:szCs w:val="22"/>
                <w:highlight w:val="none"/>
              </w:rPr>
            </w:pPr>
          </w:p>
        </w:tc>
        <w:tc>
          <w:tcPr>
            <w:tcW w:w="1471" w:type="dxa"/>
            <w:vMerge w:val="continue"/>
            <w:noWrap w:val="0"/>
            <w:vAlign w:val="center"/>
          </w:tcPr>
          <w:p>
            <w:pPr>
              <w:widowControl/>
              <w:jc w:val="center"/>
              <w:rPr>
                <w:rFonts w:hint="eastAsia" w:ascii="宋体" w:hAnsi="宋体" w:eastAsia="宋体" w:cs="宋体"/>
                <w:color w:val="auto"/>
                <w:kern w:val="0"/>
                <w:sz w:val="22"/>
                <w:szCs w:val="22"/>
                <w:highlight w:val="none"/>
              </w:rPr>
            </w:pPr>
          </w:p>
        </w:tc>
        <w:tc>
          <w:tcPr>
            <w:tcW w:w="80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6</w:t>
            </w:r>
          </w:p>
        </w:tc>
        <w:tc>
          <w:tcPr>
            <w:tcW w:w="7079" w:type="dxa"/>
            <w:noWrap w:val="0"/>
            <w:vAlign w:val="center"/>
          </w:tcPr>
          <w:p>
            <w:pPr>
              <w:widowControl/>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eastAsia="zh-CN"/>
              </w:rPr>
              <w:t>②投标供应商</w:t>
            </w:r>
            <w:r>
              <w:rPr>
                <w:rFonts w:hint="eastAsia" w:ascii="宋体" w:hAnsi="宋体" w:eastAsia="宋体" w:cs="宋体"/>
                <w:color w:val="auto"/>
                <w:kern w:val="0"/>
                <w:sz w:val="22"/>
                <w:szCs w:val="22"/>
                <w:highlight w:val="none"/>
              </w:rPr>
              <w:t>承诺接采购人通知后现场勘察</w:t>
            </w:r>
            <w:r>
              <w:rPr>
                <w:rFonts w:hint="eastAsia" w:ascii="宋体" w:hAnsi="宋体" w:eastAsia="宋体" w:cs="宋体"/>
                <w:color w:val="auto"/>
                <w:kern w:val="0"/>
                <w:sz w:val="22"/>
                <w:szCs w:val="22"/>
                <w:highlight w:val="none"/>
                <w:lang w:eastAsia="zh-CN"/>
              </w:rPr>
              <w:t>评估物</w:t>
            </w:r>
            <w:r>
              <w:rPr>
                <w:rFonts w:hint="eastAsia" w:ascii="宋体" w:hAnsi="宋体" w:eastAsia="宋体" w:cs="宋体"/>
                <w:color w:val="auto"/>
                <w:kern w:val="0"/>
                <w:sz w:val="22"/>
                <w:szCs w:val="22"/>
                <w:highlight w:val="none"/>
              </w:rPr>
              <w:t>的</w:t>
            </w:r>
            <w:r>
              <w:rPr>
                <w:rFonts w:hint="eastAsia" w:ascii="宋体" w:hAnsi="宋体" w:eastAsia="宋体" w:cs="宋体"/>
                <w:color w:val="auto"/>
                <w:kern w:val="0"/>
                <w:sz w:val="22"/>
                <w:szCs w:val="22"/>
                <w:highlight w:val="none"/>
                <w:lang w:eastAsia="zh-CN"/>
              </w:rPr>
              <w:t>响应</w:t>
            </w:r>
            <w:r>
              <w:rPr>
                <w:rFonts w:hint="eastAsia" w:ascii="宋体" w:hAnsi="宋体" w:eastAsia="宋体" w:cs="宋体"/>
                <w:color w:val="auto"/>
                <w:kern w:val="0"/>
                <w:sz w:val="22"/>
                <w:szCs w:val="22"/>
                <w:highlight w:val="none"/>
              </w:rPr>
              <w:t>时间</w:t>
            </w:r>
            <w:r>
              <w:rPr>
                <w:rFonts w:hint="eastAsia" w:ascii="宋体" w:hAnsi="宋体" w:eastAsia="宋体" w:cs="宋体"/>
                <w:color w:val="auto"/>
                <w:kern w:val="0"/>
                <w:sz w:val="22"/>
                <w:szCs w:val="22"/>
                <w:highlight w:val="none"/>
                <w:lang w:eastAsia="zh-CN"/>
              </w:rPr>
              <w:t>及</w:t>
            </w:r>
            <w:r>
              <w:rPr>
                <w:rFonts w:hint="eastAsia" w:ascii="宋体" w:hAnsi="宋体" w:eastAsia="宋体" w:cs="宋体"/>
                <w:color w:val="auto"/>
                <w:kern w:val="0"/>
                <w:sz w:val="22"/>
                <w:szCs w:val="22"/>
                <w:highlight w:val="none"/>
              </w:rPr>
              <w:t>实地勘察</w:t>
            </w:r>
            <w:r>
              <w:rPr>
                <w:rFonts w:hint="eastAsia" w:ascii="宋体" w:hAnsi="宋体" w:eastAsia="宋体" w:cs="宋体"/>
                <w:color w:val="auto"/>
                <w:kern w:val="0"/>
                <w:sz w:val="22"/>
                <w:szCs w:val="22"/>
                <w:highlight w:val="none"/>
                <w:lang w:eastAsia="zh-CN"/>
              </w:rPr>
              <w:t>评估物</w:t>
            </w:r>
            <w:r>
              <w:rPr>
                <w:rFonts w:hint="eastAsia" w:ascii="宋体" w:hAnsi="宋体" w:eastAsia="宋体" w:cs="宋体"/>
                <w:color w:val="auto"/>
                <w:kern w:val="0"/>
                <w:sz w:val="22"/>
                <w:szCs w:val="22"/>
                <w:highlight w:val="none"/>
              </w:rPr>
              <w:t>后出具初步价格评估单的时间</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承诺出具评估报告的时间</w:t>
            </w:r>
            <w:r>
              <w:rPr>
                <w:rFonts w:hint="eastAsia" w:ascii="宋体" w:hAnsi="宋体" w:eastAsia="宋体" w:cs="宋体"/>
                <w:color w:val="auto"/>
                <w:sz w:val="22"/>
                <w:szCs w:val="22"/>
                <w:highlight w:val="none"/>
                <w:lang w:eastAsia="zh-CN"/>
              </w:rPr>
              <w:t>。</w:t>
            </w:r>
          </w:p>
          <w:p>
            <w:pPr>
              <w:widowControl/>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eastAsia="zh-CN"/>
              </w:rPr>
              <w:t>优：</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4.1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良：</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差：</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75" w:type="dxa"/>
            <w:vMerge w:val="continue"/>
            <w:noWrap w:val="0"/>
            <w:vAlign w:val="center"/>
          </w:tcPr>
          <w:p>
            <w:pPr>
              <w:pStyle w:val="2"/>
              <w:rPr>
                <w:rFonts w:hint="eastAsia" w:ascii="宋体" w:hAnsi="宋体" w:eastAsia="宋体" w:cs="宋体"/>
                <w:color w:val="auto"/>
                <w:sz w:val="22"/>
                <w:szCs w:val="22"/>
                <w:highlight w:val="none"/>
              </w:rPr>
            </w:pPr>
          </w:p>
        </w:tc>
        <w:tc>
          <w:tcPr>
            <w:tcW w:w="1471" w:type="dxa"/>
            <w:vMerge w:val="continue"/>
            <w:noWrap w:val="0"/>
            <w:vAlign w:val="center"/>
          </w:tcPr>
          <w:p>
            <w:pPr>
              <w:widowControl/>
              <w:jc w:val="center"/>
              <w:rPr>
                <w:rFonts w:hint="eastAsia" w:ascii="宋体" w:hAnsi="宋体" w:eastAsia="宋体" w:cs="宋体"/>
                <w:color w:val="auto"/>
                <w:kern w:val="0"/>
                <w:sz w:val="22"/>
                <w:szCs w:val="22"/>
                <w:highlight w:val="none"/>
              </w:rPr>
            </w:pPr>
          </w:p>
        </w:tc>
        <w:tc>
          <w:tcPr>
            <w:tcW w:w="80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6</w:t>
            </w:r>
          </w:p>
        </w:tc>
        <w:tc>
          <w:tcPr>
            <w:tcW w:w="7079" w:type="dxa"/>
            <w:noWrap w:val="0"/>
            <w:vAlign w:val="center"/>
          </w:tcPr>
          <w:p>
            <w:pPr>
              <w:widowControl/>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③</w:t>
            </w: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提供的在合同履行期间其对需方服务需求响应的及时性、问题解决的有效性及其针对本</w:t>
            </w:r>
            <w:r>
              <w:rPr>
                <w:rFonts w:hint="eastAsia" w:ascii="宋体" w:hAnsi="宋体" w:eastAsia="宋体" w:cs="宋体"/>
                <w:color w:val="auto"/>
                <w:sz w:val="22"/>
                <w:szCs w:val="22"/>
                <w:highlight w:val="none"/>
                <w:lang w:eastAsia="zh-CN"/>
              </w:rPr>
              <w:t>服务</w:t>
            </w:r>
            <w:r>
              <w:rPr>
                <w:rFonts w:hint="eastAsia" w:ascii="宋体" w:hAnsi="宋体" w:eastAsia="宋体" w:cs="宋体"/>
                <w:color w:val="auto"/>
                <w:sz w:val="22"/>
                <w:szCs w:val="22"/>
                <w:highlight w:val="none"/>
              </w:rPr>
              <w:t>项目的合理化建议。</w:t>
            </w:r>
          </w:p>
          <w:p>
            <w:pPr>
              <w:widowControl/>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eastAsia="zh-CN"/>
              </w:rPr>
              <w:t>优：</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4.1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良：</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差：</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75"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471" w:type="dxa"/>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质量控制方案</w:t>
            </w:r>
          </w:p>
        </w:tc>
        <w:tc>
          <w:tcPr>
            <w:tcW w:w="80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5</w:t>
            </w:r>
          </w:p>
        </w:tc>
        <w:tc>
          <w:tcPr>
            <w:tcW w:w="7079" w:type="dxa"/>
            <w:noWrap w:val="0"/>
            <w:vAlign w:val="center"/>
          </w:tcPr>
          <w:p>
            <w:pPr>
              <w:widowControl/>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提供的质量控制制度及方案是否符合中评协[2017]46号</w:t>
            </w:r>
            <w:r>
              <w:rPr>
                <w:rFonts w:hint="eastAsia" w:ascii="宋体" w:hAnsi="宋体" w:eastAsia="宋体" w:cs="宋体"/>
                <w:bCs/>
                <w:color w:val="auto"/>
                <w:kern w:val="36"/>
                <w:sz w:val="22"/>
                <w:szCs w:val="22"/>
                <w:highlight w:val="none"/>
              </w:rPr>
              <w:t>《资产评估机构业务质量控制指南》的规定（制度内容包括：对业务质量承担的领导责任；职业道德规范；客户关系和具体业务的接受与保持；人力资源；业务执行；业务工作底稿；监控）</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eastAsia="zh-CN"/>
              </w:rPr>
              <w:t>优：</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3.6</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良：</w:t>
            </w:r>
            <w:r>
              <w:rPr>
                <w:rFonts w:hint="eastAsia" w:ascii="宋体" w:hAnsi="宋体" w:eastAsia="宋体" w:cs="宋体"/>
                <w:color w:val="auto"/>
                <w:kern w:val="0"/>
                <w:sz w:val="22"/>
                <w:szCs w:val="22"/>
                <w:highlight w:val="none"/>
                <w:lang w:val="en-US" w:eastAsia="zh-CN"/>
              </w:rPr>
              <w:t>3.5</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差：</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75"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1471" w:type="dxa"/>
            <w:noWrap w:val="0"/>
            <w:vAlign w:val="center"/>
          </w:tcPr>
          <w:p>
            <w:pPr>
              <w:widowControl/>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提交的评估报告（样本）</w:t>
            </w:r>
          </w:p>
        </w:tc>
        <w:tc>
          <w:tcPr>
            <w:tcW w:w="80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5</w:t>
            </w:r>
          </w:p>
        </w:tc>
        <w:tc>
          <w:tcPr>
            <w:tcW w:w="7079" w:type="dxa"/>
            <w:noWrap w:val="0"/>
            <w:vAlign w:val="center"/>
          </w:tcPr>
          <w:p>
            <w:pPr>
              <w:widowControl/>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根据</w:t>
            </w:r>
            <w:r>
              <w:rPr>
                <w:rFonts w:hint="eastAsia" w:ascii="宋体" w:hAnsi="宋体" w:eastAsia="宋体" w:cs="宋体"/>
                <w:bCs/>
                <w:color w:val="auto"/>
                <w:sz w:val="22"/>
                <w:szCs w:val="22"/>
                <w:highlight w:val="none"/>
              </w:rPr>
              <w:t>《资产评估</w:t>
            </w:r>
            <w:r>
              <w:rPr>
                <w:rFonts w:hint="eastAsia" w:ascii="宋体" w:hAnsi="宋体" w:eastAsia="宋体" w:cs="宋体"/>
                <w:bCs/>
                <w:color w:val="auto"/>
                <w:sz w:val="22"/>
                <w:szCs w:val="22"/>
                <w:highlight w:val="none"/>
                <w:lang w:eastAsia="zh-CN"/>
              </w:rPr>
              <w:t>基本</w:t>
            </w:r>
            <w:r>
              <w:rPr>
                <w:rFonts w:hint="eastAsia" w:ascii="宋体" w:hAnsi="宋体" w:eastAsia="宋体" w:cs="宋体"/>
                <w:bCs/>
                <w:color w:val="auto"/>
                <w:sz w:val="22"/>
                <w:szCs w:val="22"/>
                <w:highlight w:val="none"/>
              </w:rPr>
              <w:t>准则》、</w:t>
            </w:r>
            <w:r>
              <w:rPr>
                <w:rFonts w:hint="eastAsia" w:ascii="宋体" w:hAnsi="宋体" w:eastAsia="宋体" w:cs="宋体"/>
                <w:color w:val="auto"/>
                <w:sz w:val="22"/>
                <w:szCs w:val="22"/>
                <w:highlight w:val="none"/>
              </w:rPr>
              <w:t>《企业国有资产评估报告指南》要求，符合资产评估准则和评估操作规范，影响被评资产价值的因素考虑全面、正确；评估依据充分；评估方法科学合理；评估计算准确；评估结果成立前提条件明确、适宜。由评委打分。</w:t>
            </w:r>
            <w:r>
              <w:rPr>
                <w:rFonts w:hint="eastAsia" w:ascii="宋体" w:hAnsi="宋体" w:eastAsia="宋体" w:cs="宋体"/>
                <w:color w:val="auto"/>
                <w:kern w:val="0"/>
                <w:sz w:val="22"/>
                <w:szCs w:val="22"/>
                <w:highlight w:val="none"/>
                <w:lang w:eastAsia="zh-CN"/>
              </w:rPr>
              <w:t>优：</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3.6</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良：</w:t>
            </w:r>
            <w:r>
              <w:rPr>
                <w:rFonts w:hint="eastAsia" w:ascii="宋体" w:hAnsi="宋体" w:eastAsia="宋体" w:cs="宋体"/>
                <w:color w:val="auto"/>
                <w:kern w:val="0"/>
                <w:sz w:val="22"/>
                <w:szCs w:val="22"/>
                <w:highlight w:val="none"/>
                <w:lang w:val="en-US" w:eastAsia="zh-CN"/>
              </w:rPr>
              <w:t>3.5</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差：</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75"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1471" w:type="dxa"/>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内部管理制度</w:t>
            </w:r>
          </w:p>
        </w:tc>
        <w:tc>
          <w:tcPr>
            <w:tcW w:w="80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5</w:t>
            </w:r>
          </w:p>
        </w:tc>
        <w:tc>
          <w:tcPr>
            <w:tcW w:w="7079" w:type="dxa"/>
            <w:noWrap w:val="0"/>
            <w:vAlign w:val="center"/>
          </w:tcPr>
          <w:p>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提供的公司内部管理制度进行打分。</w:t>
            </w:r>
          </w:p>
          <w:p>
            <w:pPr>
              <w:widowControl/>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eastAsia="zh-CN"/>
              </w:rPr>
              <w:t>优：</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3.6</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良：</w:t>
            </w:r>
            <w:r>
              <w:rPr>
                <w:rFonts w:hint="eastAsia" w:ascii="宋体" w:hAnsi="宋体" w:eastAsia="宋体" w:cs="宋体"/>
                <w:color w:val="auto"/>
                <w:kern w:val="0"/>
                <w:sz w:val="22"/>
                <w:szCs w:val="22"/>
                <w:highlight w:val="none"/>
                <w:lang w:val="en-US" w:eastAsia="zh-CN"/>
              </w:rPr>
              <w:t>3.5</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差：</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75"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471" w:type="dxa"/>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服务的保障措施、增值服务及其它优惠措施</w:t>
            </w:r>
          </w:p>
        </w:tc>
        <w:tc>
          <w:tcPr>
            <w:tcW w:w="80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5</w:t>
            </w:r>
          </w:p>
        </w:tc>
        <w:tc>
          <w:tcPr>
            <w:tcW w:w="7079" w:type="dxa"/>
            <w:noWrap w:val="0"/>
            <w:vAlign w:val="center"/>
          </w:tcPr>
          <w:p>
            <w:pPr>
              <w:widowControl/>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根据各</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服务的保障措施和增值服务及其它优惠措施</w:t>
            </w:r>
            <w:r>
              <w:rPr>
                <w:rFonts w:hint="eastAsia" w:ascii="宋体" w:hAnsi="宋体" w:eastAsia="宋体" w:cs="宋体"/>
                <w:color w:val="auto"/>
                <w:kern w:val="0"/>
                <w:sz w:val="22"/>
                <w:szCs w:val="22"/>
                <w:highlight w:val="none"/>
              </w:rPr>
              <w:t>。</w:t>
            </w:r>
          </w:p>
          <w:p>
            <w:pPr>
              <w:pStyle w:val="2"/>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eastAsia="zh-CN"/>
              </w:rPr>
              <w:t>优：</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3.6</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良：</w:t>
            </w:r>
            <w:r>
              <w:rPr>
                <w:rFonts w:hint="eastAsia" w:ascii="宋体" w:hAnsi="宋体" w:eastAsia="宋体" w:cs="宋体"/>
                <w:color w:val="auto"/>
                <w:kern w:val="0"/>
                <w:sz w:val="22"/>
                <w:szCs w:val="22"/>
                <w:highlight w:val="none"/>
                <w:lang w:val="en-US" w:eastAsia="zh-CN"/>
              </w:rPr>
              <w:t>3.5</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差：</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375"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471"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rPr>
              <w:t>投标类似业绩情况</w:t>
            </w:r>
          </w:p>
        </w:tc>
        <w:tc>
          <w:tcPr>
            <w:tcW w:w="80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0-12</w:t>
            </w:r>
          </w:p>
        </w:tc>
        <w:tc>
          <w:tcPr>
            <w:tcW w:w="7079" w:type="dxa"/>
            <w:noWrap w:val="0"/>
            <w:vAlign w:val="center"/>
          </w:tcPr>
          <w:p>
            <w:pPr>
              <w:rPr>
                <w:rFonts w:hint="eastAsia" w:ascii="宋体" w:hAnsi="宋体" w:eastAsia="宋体" w:cs="宋体"/>
                <w:color w:val="auto"/>
                <w:sz w:val="22"/>
                <w:szCs w:val="22"/>
                <w:highlight w:val="none"/>
              </w:rPr>
            </w:pPr>
            <w:r>
              <w:rPr>
                <w:rFonts w:hint="eastAsia" w:ascii="宋体" w:hAnsi="宋体" w:eastAsia="宋体" w:cs="宋体"/>
                <w:strike w:val="0"/>
                <w:dstrike w:val="0"/>
                <w:color w:val="auto"/>
                <w:sz w:val="22"/>
                <w:szCs w:val="22"/>
                <w:highlight w:val="none"/>
                <w:lang w:val="en-US" w:eastAsia="zh-CN"/>
              </w:rPr>
              <w:t>提供</w:t>
            </w:r>
            <w:r>
              <w:rPr>
                <w:rFonts w:hint="eastAsia" w:ascii="宋体" w:hAnsi="宋体" w:eastAsia="宋体" w:cs="宋体"/>
                <w:color w:val="auto"/>
                <w:sz w:val="22"/>
                <w:szCs w:val="22"/>
                <w:highlight w:val="none"/>
                <w:lang w:val="en-US" w:eastAsia="zh-CN"/>
              </w:rPr>
              <w:t>2021年01月01日（以评估合同时间为准）以来评估报告。</w:t>
            </w:r>
            <w:r>
              <w:rPr>
                <w:rFonts w:hint="eastAsia" w:ascii="宋体" w:hAnsi="宋体" w:eastAsia="宋体" w:cs="宋体"/>
                <w:color w:val="auto"/>
                <w:sz w:val="22"/>
                <w:szCs w:val="22"/>
                <w:highlight w:val="none"/>
              </w:rPr>
              <w:t>本项最多得</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分。</w:t>
            </w:r>
          </w:p>
          <w:p>
            <w:pPr>
              <w:ind w:left="-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单份</w:t>
            </w:r>
            <w:r>
              <w:rPr>
                <w:rFonts w:hint="eastAsia" w:ascii="宋体" w:hAnsi="宋体" w:eastAsia="宋体" w:cs="宋体"/>
                <w:color w:val="auto"/>
                <w:sz w:val="22"/>
                <w:szCs w:val="22"/>
                <w:highlight w:val="none"/>
              </w:rPr>
              <w:t>评估</w:t>
            </w:r>
            <w:r>
              <w:rPr>
                <w:rFonts w:hint="eastAsia" w:ascii="宋体" w:hAnsi="宋体" w:eastAsia="宋体" w:cs="宋体"/>
                <w:color w:val="auto"/>
                <w:sz w:val="22"/>
                <w:szCs w:val="22"/>
                <w:highlight w:val="none"/>
                <w:lang w:val="en-US" w:eastAsia="zh-CN"/>
              </w:rPr>
              <w:t>标的物的评估值，</w:t>
            </w:r>
            <w:r>
              <w:rPr>
                <w:rFonts w:hint="eastAsia" w:ascii="宋体" w:hAnsi="宋体" w:eastAsia="宋体" w:cs="宋体"/>
                <w:color w:val="auto"/>
                <w:sz w:val="22"/>
                <w:szCs w:val="22"/>
                <w:highlight w:val="none"/>
              </w:rPr>
              <w:t>每提供一个5000万元</w:t>
            </w:r>
            <w:r>
              <w:rPr>
                <w:rFonts w:hint="eastAsia" w:ascii="宋体" w:hAnsi="宋体" w:eastAsia="宋体" w:cs="宋体"/>
                <w:color w:val="auto"/>
                <w:sz w:val="22"/>
                <w:szCs w:val="22"/>
                <w:highlight w:val="none"/>
                <w:lang w:eastAsia="zh-CN"/>
              </w:rPr>
              <w:t>（含）</w:t>
            </w:r>
            <w:r>
              <w:rPr>
                <w:rFonts w:hint="eastAsia" w:ascii="宋体" w:hAnsi="宋体" w:eastAsia="宋体" w:cs="宋体"/>
                <w:color w:val="auto"/>
                <w:sz w:val="22"/>
                <w:szCs w:val="22"/>
                <w:highlight w:val="none"/>
                <w:lang w:val="en-US" w:eastAsia="zh-CN"/>
              </w:rPr>
              <w:t>-5亿元（不含）</w:t>
            </w:r>
            <w:r>
              <w:rPr>
                <w:rFonts w:hint="eastAsia" w:ascii="宋体" w:hAnsi="宋体" w:eastAsia="宋体" w:cs="宋体"/>
                <w:color w:val="auto"/>
                <w:sz w:val="22"/>
                <w:szCs w:val="22"/>
                <w:highlight w:val="none"/>
              </w:rPr>
              <w:t>的得1分；每提供一个5亿元</w:t>
            </w:r>
            <w:r>
              <w:rPr>
                <w:rFonts w:hint="eastAsia" w:ascii="宋体" w:hAnsi="宋体" w:eastAsia="宋体" w:cs="宋体"/>
                <w:color w:val="auto"/>
                <w:sz w:val="22"/>
                <w:szCs w:val="22"/>
                <w:highlight w:val="none"/>
                <w:lang w:eastAsia="zh-CN"/>
              </w:rPr>
              <w:t>及</w:t>
            </w:r>
            <w:r>
              <w:rPr>
                <w:rFonts w:hint="eastAsia" w:ascii="宋体" w:hAnsi="宋体" w:eastAsia="宋体" w:cs="宋体"/>
                <w:color w:val="auto"/>
                <w:sz w:val="22"/>
                <w:szCs w:val="22"/>
                <w:highlight w:val="none"/>
              </w:rPr>
              <w:t>以上的得2分。</w:t>
            </w:r>
          </w:p>
          <w:p>
            <w:pPr>
              <w:pStyle w:val="2"/>
              <w:ind w:left="0" w:leftChars="0"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rPr>
              <w:t>备注：提供评估合同及评估成果证明资料</w:t>
            </w:r>
            <w:r>
              <w:rPr>
                <w:rFonts w:hint="eastAsia" w:ascii="宋体" w:hAnsi="宋体" w:eastAsia="宋体" w:cs="宋体"/>
                <w:b/>
                <w:bCs/>
                <w:color w:val="auto"/>
                <w:kern w:val="0"/>
                <w:sz w:val="22"/>
                <w:szCs w:val="22"/>
                <w:highlight w:val="none"/>
                <w:lang w:val="zh-CN"/>
              </w:rPr>
              <w:t>复印件并加盖投标供应商电子签章或公章，</w:t>
            </w:r>
            <w:r>
              <w:rPr>
                <w:rFonts w:hint="eastAsia" w:ascii="宋体" w:hAnsi="宋体" w:eastAsia="宋体" w:cs="宋体"/>
                <w:b/>
                <w:bCs/>
                <w:color w:val="auto"/>
                <w:kern w:val="0"/>
                <w:sz w:val="22"/>
                <w:szCs w:val="22"/>
                <w:highlight w:val="none"/>
              </w:rPr>
              <w:t>两者缺一不可</w:t>
            </w:r>
            <w:r>
              <w:rPr>
                <w:rFonts w:hint="eastAsia" w:ascii="宋体" w:hAnsi="宋体" w:eastAsia="宋体" w:cs="宋体"/>
                <w:b/>
                <w:bCs/>
                <w:color w:val="auto"/>
                <w:kern w:val="0"/>
                <w:sz w:val="22"/>
                <w:szCs w:val="22"/>
                <w:highlight w:val="none"/>
                <w:lang w:val="zh-CN"/>
              </w:rPr>
              <w:t>，否则不得分</w:t>
            </w:r>
            <w:r>
              <w:rPr>
                <w:rFonts w:hint="eastAsia" w:ascii="宋体" w:hAnsi="宋体" w:eastAsia="宋体" w:cs="宋体"/>
                <w:b/>
                <w:bCs/>
                <w:color w:val="auto"/>
                <w:kern w:val="0"/>
                <w:sz w:val="22"/>
                <w:szCs w:val="22"/>
                <w:highlight w:val="none"/>
              </w:rPr>
              <w:t>。</w:t>
            </w:r>
          </w:p>
        </w:tc>
      </w:tr>
    </w:tbl>
    <w:p>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标项2</w:t>
      </w:r>
    </w:p>
    <w:tbl>
      <w:tblPr>
        <w:tblStyle w:val="3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613"/>
        <w:gridCol w:w="690"/>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trPr>
        <w:tc>
          <w:tcPr>
            <w:tcW w:w="397"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613"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评审项目</w:t>
            </w:r>
          </w:p>
        </w:tc>
        <w:tc>
          <w:tcPr>
            <w:tcW w:w="69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分值范围</w:t>
            </w:r>
          </w:p>
        </w:tc>
        <w:tc>
          <w:tcPr>
            <w:tcW w:w="7154"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97"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613" w:type="dxa"/>
            <w:vMerge w:val="restart"/>
            <w:noWrap w:val="0"/>
            <w:vAlign w:val="center"/>
          </w:tcPr>
          <w:p>
            <w:pPr>
              <w:jc w:val="center"/>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sz w:val="22"/>
                <w:szCs w:val="22"/>
                <w:highlight w:val="none"/>
                <w:lang w:eastAsia="zh-CN"/>
              </w:rPr>
              <w:t>投标供应商综合</w:t>
            </w:r>
            <w:r>
              <w:rPr>
                <w:rFonts w:hint="eastAsia" w:ascii="宋体" w:hAnsi="宋体" w:eastAsia="宋体" w:cs="宋体"/>
                <w:color w:val="auto"/>
                <w:sz w:val="22"/>
                <w:szCs w:val="22"/>
                <w:highlight w:val="none"/>
              </w:rPr>
              <w:t>实力</w:t>
            </w:r>
          </w:p>
        </w:tc>
        <w:tc>
          <w:tcPr>
            <w:tcW w:w="690" w:type="dxa"/>
            <w:noWrap w:val="0"/>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0-10</w:t>
            </w:r>
          </w:p>
        </w:tc>
        <w:tc>
          <w:tcPr>
            <w:tcW w:w="7154" w:type="dxa"/>
            <w:noWrap w:val="0"/>
            <w:vAlign w:val="center"/>
          </w:tcPr>
          <w:p>
            <w:pP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的行业影响力、行业信誉度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企业规模</w:t>
            </w:r>
            <w:r>
              <w:rPr>
                <w:rFonts w:hint="eastAsia" w:ascii="宋体" w:hAnsi="宋体" w:eastAsia="宋体" w:cs="宋体"/>
                <w:color w:val="auto"/>
                <w:sz w:val="22"/>
                <w:szCs w:val="22"/>
                <w:highlight w:val="none"/>
                <w:lang w:eastAsia="zh-CN"/>
              </w:rPr>
              <w:t>、房地产估价师或土地估价师人数</w:t>
            </w:r>
            <w:r>
              <w:rPr>
                <w:rFonts w:hint="eastAsia" w:ascii="宋体" w:hAnsi="宋体" w:eastAsia="宋体" w:cs="宋体"/>
                <w:color w:val="auto"/>
                <w:sz w:val="22"/>
                <w:szCs w:val="22"/>
                <w:highlight w:val="none"/>
              </w:rPr>
              <w:t>等，由评委打分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优：</w:t>
            </w:r>
            <w:r>
              <w:rPr>
                <w:rFonts w:hint="eastAsia" w:ascii="宋体" w:hAnsi="宋体" w:eastAsia="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6.1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良：</w:t>
            </w:r>
            <w:r>
              <w:rPr>
                <w:rFonts w:hint="eastAsia" w:ascii="宋体" w:hAnsi="宋体" w:eastAsia="宋体" w:cs="宋体"/>
                <w:color w:val="auto"/>
                <w:kern w:val="0"/>
                <w:sz w:val="22"/>
                <w:szCs w:val="22"/>
                <w:highlight w:val="none"/>
                <w:lang w:val="en-US" w:eastAsia="zh-CN"/>
              </w:rPr>
              <w:t>6-4.1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差：</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p>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zh-CN" w:eastAsia="zh-CN"/>
              </w:rPr>
              <w:t>备注：</w:t>
            </w:r>
            <w:r>
              <w:rPr>
                <w:rFonts w:hint="eastAsia" w:ascii="宋体" w:hAnsi="宋体" w:eastAsia="宋体" w:cs="宋体"/>
                <w:color w:val="auto"/>
                <w:kern w:val="0"/>
                <w:sz w:val="22"/>
                <w:szCs w:val="22"/>
                <w:highlight w:val="none"/>
                <w:lang w:eastAsia="zh-CN"/>
              </w:rPr>
              <w:t>房地产估价师或土地估价师</w:t>
            </w:r>
            <w:r>
              <w:rPr>
                <w:rFonts w:hint="eastAsia" w:ascii="宋体" w:hAnsi="宋体" w:eastAsia="宋体" w:cs="宋体"/>
                <w:color w:val="auto"/>
                <w:kern w:val="0"/>
                <w:sz w:val="22"/>
                <w:szCs w:val="22"/>
                <w:highlight w:val="none"/>
                <w:lang w:val="en-US" w:eastAsia="zh-CN"/>
              </w:rPr>
              <w:t>人</w:t>
            </w:r>
            <w:r>
              <w:rPr>
                <w:rFonts w:hint="eastAsia" w:ascii="宋体" w:hAnsi="宋体" w:cs="宋体"/>
                <w:color w:val="auto"/>
                <w:sz w:val="22"/>
                <w:szCs w:val="22"/>
                <w:highlight w:val="none"/>
                <w:lang w:val="en-US" w:eastAsia="zh-CN"/>
              </w:rPr>
              <w:t>数以投标供应商</w:t>
            </w:r>
            <w:r>
              <w:rPr>
                <w:rFonts w:ascii="Segoe UI" w:hAnsi="Segoe UI" w:eastAsia="Segoe UI" w:cs="Segoe UI"/>
                <w:i w:val="0"/>
                <w:iCs w:val="0"/>
                <w:caps w:val="0"/>
                <w:color w:val="auto"/>
                <w:spacing w:val="0"/>
                <w:sz w:val="22"/>
                <w:szCs w:val="22"/>
                <w:highlight w:val="none"/>
                <w:shd w:val="clear" w:fill="FDFDFE"/>
              </w:rPr>
              <w:t>为其实际缴纳的社保人数为准</w:t>
            </w:r>
            <w:r>
              <w:rPr>
                <w:rFonts w:hint="eastAsia" w:ascii="宋体" w:hAnsi="宋体" w:cs="宋体"/>
                <w:color w:val="auto"/>
                <w:sz w:val="22"/>
                <w:szCs w:val="22"/>
                <w:highlight w:val="none"/>
                <w:lang w:val="en-US" w:eastAsia="zh-CN"/>
              </w:rPr>
              <w:t>（提供</w:t>
            </w:r>
            <w:r>
              <w:rPr>
                <w:rFonts w:hint="eastAsia" w:ascii="宋体" w:hAnsi="宋体" w:eastAsia="宋体" w:cs="宋体"/>
                <w:color w:val="auto"/>
                <w:kern w:val="0"/>
                <w:sz w:val="22"/>
                <w:szCs w:val="22"/>
                <w:highlight w:val="none"/>
              </w:rPr>
              <w:t>2024年02月01日至本项目投标截止时间止</w:t>
            </w:r>
            <w:r>
              <w:rPr>
                <w:rFonts w:hint="eastAsia" w:ascii="宋体" w:hAnsi="宋体" w:eastAsia="宋体" w:cs="宋体"/>
                <w:color w:val="auto"/>
                <w:kern w:val="0"/>
                <w:sz w:val="22"/>
                <w:szCs w:val="22"/>
                <w:highlight w:val="none"/>
                <w:lang w:val="en-US" w:eastAsia="zh-CN"/>
              </w:rPr>
              <w:t>连续3个月的</w:t>
            </w:r>
            <w:r>
              <w:rPr>
                <w:rFonts w:hint="eastAsia" w:ascii="宋体" w:hAnsi="宋体" w:eastAsia="宋体" w:cs="宋体"/>
                <w:color w:val="auto"/>
                <w:kern w:val="0"/>
                <w:sz w:val="22"/>
                <w:szCs w:val="22"/>
                <w:highlight w:val="none"/>
                <w:lang w:val="zh-CN"/>
              </w:rPr>
              <w:t>社保证明</w:t>
            </w:r>
            <w:r>
              <w:rPr>
                <w:rFonts w:hint="eastAsia" w:ascii="宋体" w:hAnsi="宋体" w:eastAsia="宋体" w:cs="宋体"/>
                <w:color w:val="auto"/>
                <w:sz w:val="22"/>
                <w:szCs w:val="22"/>
                <w:highlight w:val="none"/>
                <w:lang w:val="zh-CN" w:eastAsia="zh-CN"/>
              </w:rPr>
              <w:t>复印件并</w:t>
            </w:r>
            <w:r>
              <w:rPr>
                <w:rFonts w:hint="eastAsia" w:ascii="宋体" w:hAnsi="宋体" w:eastAsia="宋体" w:cs="宋体"/>
                <w:color w:val="auto"/>
                <w:sz w:val="22"/>
                <w:szCs w:val="22"/>
                <w:highlight w:val="none"/>
                <w:lang w:val="en-US" w:eastAsia="zh-CN"/>
              </w:rPr>
              <w:t>加盖</w:t>
            </w:r>
            <w:r>
              <w:rPr>
                <w:rFonts w:hint="eastAsia" w:ascii="宋体" w:hAnsi="宋体" w:eastAsia="宋体" w:cs="宋体"/>
                <w:color w:val="auto"/>
                <w:kern w:val="0"/>
                <w:sz w:val="22"/>
                <w:szCs w:val="22"/>
                <w:highlight w:val="none"/>
                <w:lang w:val="zh-CN"/>
              </w:rPr>
              <w:t>投标供应商电子签章或公章</w:t>
            </w:r>
            <w:r>
              <w:rPr>
                <w:rFonts w:hint="eastAsia" w:ascii="宋体" w:hAnsi="宋体" w:cs="宋体"/>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9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p>
        </w:tc>
        <w:tc>
          <w:tcPr>
            <w:tcW w:w="1613" w:type="dxa"/>
            <w:vMerge w:val="continue"/>
            <w:noWrap w:val="0"/>
            <w:vAlign w:val="center"/>
          </w:tcPr>
          <w:p>
            <w:pPr>
              <w:rPr>
                <w:rFonts w:hint="eastAsia" w:ascii="宋体" w:hAnsi="宋体" w:eastAsia="宋体" w:cs="宋体"/>
                <w:color w:val="auto"/>
                <w:kern w:val="2"/>
                <w:sz w:val="22"/>
                <w:szCs w:val="22"/>
                <w:highlight w:val="none"/>
                <w:lang w:val="zh-CN" w:eastAsia="zh-CN" w:bidi="ar-SA"/>
              </w:rPr>
            </w:pPr>
          </w:p>
        </w:tc>
        <w:tc>
          <w:tcPr>
            <w:tcW w:w="690" w:type="dxa"/>
            <w:noWrap w:val="0"/>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0-6</w:t>
            </w:r>
          </w:p>
        </w:tc>
        <w:tc>
          <w:tcPr>
            <w:tcW w:w="7154" w:type="dxa"/>
            <w:noWrap w:val="0"/>
            <w:vAlign w:val="center"/>
          </w:tcPr>
          <w:p>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获得</w:t>
            </w:r>
            <w:r>
              <w:rPr>
                <w:rFonts w:hint="eastAsia" w:ascii="宋体" w:hAnsi="宋体" w:eastAsia="宋体" w:cs="宋体"/>
                <w:color w:val="auto"/>
                <w:sz w:val="22"/>
                <w:szCs w:val="22"/>
                <w:highlight w:val="none"/>
                <w:lang w:eastAsia="zh-CN"/>
              </w:rPr>
              <w:t>相关</w:t>
            </w:r>
            <w:r>
              <w:rPr>
                <w:rFonts w:hint="eastAsia" w:ascii="宋体" w:hAnsi="宋体" w:eastAsia="宋体" w:cs="宋体"/>
                <w:color w:val="auto"/>
                <w:sz w:val="22"/>
                <w:szCs w:val="22"/>
                <w:highlight w:val="none"/>
                <w:lang w:val="en-US" w:eastAsia="zh-CN"/>
              </w:rPr>
              <w:t>资质等级情况，</w:t>
            </w:r>
            <w:r>
              <w:rPr>
                <w:rFonts w:hint="eastAsia" w:ascii="宋体" w:hAnsi="宋体" w:eastAsia="宋体" w:cs="宋体"/>
                <w:b/>
                <w:bCs/>
                <w:color w:val="auto"/>
                <w:sz w:val="22"/>
                <w:szCs w:val="22"/>
                <w:highlight w:val="none"/>
                <w:lang w:val="en-US" w:eastAsia="zh-CN"/>
              </w:rPr>
              <w:t>提供有效期内《房地产估价机构备案证书》或《土地评估中介机构资信等级证书》</w:t>
            </w:r>
            <w:r>
              <w:rPr>
                <w:rFonts w:hint="eastAsia" w:ascii="宋体" w:hAnsi="宋体" w:eastAsia="宋体" w:cs="宋体"/>
                <w:b/>
                <w:bCs/>
                <w:color w:val="auto"/>
                <w:kern w:val="0"/>
                <w:sz w:val="22"/>
                <w:szCs w:val="22"/>
                <w:highlight w:val="none"/>
                <w:lang w:val="zh-CN"/>
              </w:rPr>
              <w:t>复印件并加盖投标供应商电子签章或公章</w:t>
            </w:r>
            <w:r>
              <w:rPr>
                <w:rFonts w:hint="eastAsia" w:ascii="宋体" w:hAnsi="宋体" w:eastAsia="宋体" w:cs="宋体"/>
                <w:color w:val="auto"/>
                <w:sz w:val="22"/>
                <w:szCs w:val="22"/>
                <w:highlight w:val="none"/>
                <w:lang w:val="en-US" w:eastAsia="zh-CN"/>
              </w:rPr>
              <w:t>。</w:t>
            </w:r>
          </w:p>
          <w:p>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一级6</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二级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三级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397"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613"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rPr>
              <w:t>项目负责人情况</w:t>
            </w:r>
          </w:p>
        </w:tc>
        <w:tc>
          <w:tcPr>
            <w:tcW w:w="69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7</w:t>
            </w:r>
          </w:p>
        </w:tc>
        <w:tc>
          <w:tcPr>
            <w:tcW w:w="7154" w:type="dxa"/>
            <w:noWrap w:val="0"/>
            <w:vAlign w:val="center"/>
          </w:tcPr>
          <w:p>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项目负责人能力水平、个人业绩、实践经验等，由评委打分。</w:t>
            </w:r>
          </w:p>
          <w:p>
            <w:pP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备注：提供</w:t>
            </w:r>
            <w:r>
              <w:rPr>
                <w:rFonts w:hint="eastAsia" w:ascii="宋体" w:hAnsi="宋体" w:eastAsia="宋体" w:cs="宋体"/>
                <w:color w:val="auto"/>
                <w:sz w:val="22"/>
                <w:szCs w:val="22"/>
                <w:highlight w:val="none"/>
                <w:lang w:val="en-US" w:eastAsia="zh-CN"/>
              </w:rPr>
              <w:t>证明材料和</w:t>
            </w:r>
            <w:r>
              <w:rPr>
                <w:rFonts w:hint="eastAsia" w:ascii="宋体" w:hAnsi="宋体" w:eastAsia="宋体" w:cs="宋体"/>
                <w:color w:val="auto"/>
                <w:kern w:val="0"/>
                <w:sz w:val="22"/>
                <w:szCs w:val="22"/>
                <w:highlight w:val="none"/>
              </w:rPr>
              <w:t>2024年02月01日至本项目投标截止时间止</w:t>
            </w:r>
            <w:r>
              <w:rPr>
                <w:rFonts w:hint="eastAsia" w:ascii="宋体" w:hAnsi="宋体" w:eastAsia="宋体" w:cs="宋体"/>
                <w:color w:val="auto"/>
                <w:kern w:val="0"/>
                <w:sz w:val="22"/>
                <w:szCs w:val="22"/>
                <w:highlight w:val="none"/>
                <w:lang w:val="en-US" w:eastAsia="zh-CN"/>
              </w:rPr>
              <w:t>连续3个月的</w:t>
            </w:r>
            <w:r>
              <w:rPr>
                <w:rFonts w:hint="eastAsia" w:ascii="宋体" w:hAnsi="宋体" w:eastAsia="宋体" w:cs="宋体"/>
                <w:color w:val="auto"/>
                <w:kern w:val="0"/>
                <w:sz w:val="22"/>
                <w:szCs w:val="22"/>
                <w:highlight w:val="none"/>
                <w:lang w:val="zh-CN"/>
              </w:rPr>
              <w:t>社保证明</w:t>
            </w:r>
            <w:r>
              <w:rPr>
                <w:rFonts w:hint="eastAsia" w:ascii="宋体" w:hAnsi="宋体" w:eastAsia="宋体" w:cs="宋体"/>
                <w:color w:val="auto"/>
                <w:sz w:val="22"/>
                <w:szCs w:val="22"/>
                <w:highlight w:val="none"/>
                <w:lang w:val="zh-CN" w:eastAsia="zh-CN"/>
              </w:rPr>
              <w:t>复印件并</w:t>
            </w:r>
            <w:r>
              <w:rPr>
                <w:rFonts w:hint="eastAsia" w:ascii="宋体" w:hAnsi="宋体" w:eastAsia="宋体" w:cs="宋体"/>
                <w:color w:val="auto"/>
                <w:sz w:val="22"/>
                <w:szCs w:val="22"/>
                <w:highlight w:val="none"/>
                <w:lang w:val="en-US" w:eastAsia="zh-CN"/>
              </w:rPr>
              <w:t>加盖</w:t>
            </w:r>
            <w:r>
              <w:rPr>
                <w:rFonts w:hint="eastAsia" w:ascii="宋体" w:hAnsi="宋体" w:eastAsia="宋体" w:cs="宋体"/>
                <w:color w:val="auto"/>
                <w:kern w:val="0"/>
                <w:sz w:val="22"/>
                <w:szCs w:val="22"/>
                <w:highlight w:val="none"/>
                <w:lang w:val="zh-CN"/>
              </w:rPr>
              <w:t>投标供应商电子签章或公章</w:t>
            </w:r>
            <w:r>
              <w:rPr>
                <w:rFonts w:hint="eastAsia" w:ascii="宋体" w:hAnsi="宋体" w:eastAsia="宋体" w:cs="宋体"/>
                <w:color w:val="auto"/>
                <w:sz w:val="22"/>
                <w:szCs w:val="22"/>
                <w:highlight w:val="none"/>
                <w:lang w:val="zh-CN" w:eastAsia="zh-CN"/>
              </w:rPr>
              <w:t>，否则不予认可。</w:t>
            </w:r>
          </w:p>
          <w:p>
            <w:pPr>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sz w:val="22"/>
                <w:szCs w:val="22"/>
                <w:highlight w:val="none"/>
                <w:lang w:val="en-US" w:eastAsia="zh-CN"/>
              </w:rPr>
              <w:t>优：7-4.6分；良：4.5-2.1分，差：2-0分。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97"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613"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rPr>
              <w:t>项目团队</w:t>
            </w:r>
          </w:p>
        </w:tc>
        <w:tc>
          <w:tcPr>
            <w:tcW w:w="69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7</w:t>
            </w:r>
          </w:p>
        </w:tc>
        <w:tc>
          <w:tcPr>
            <w:tcW w:w="7154" w:type="dxa"/>
            <w:noWrap w:val="0"/>
            <w:vAlign w:val="center"/>
          </w:tcPr>
          <w:p>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eastAsia="zh-CN"/>
              </w:rPr>
              <w:t>投标供应商整体项目团队人员（</w:t>
            </w:r>
            <w:r>
              <w:rPr>
                <w:rFonts w:hint="eastAsia" w:ascii="宋体" w:hAnsi="宋体" w:eastAsia="宋体" w:cs="宋体"/>
                <w:color w:val="auto"/>
                <w:sz w:val="22"/>
                <w:szCs w:val="22"/>
                <w:highlight w:val="none"/>
                <w:lang w:val="en-US" w:eastAsia="zh-CN"/>
              </w:rPr>
              <w:t>除项目负责人外</w:t>
            </w:r>
            <w:r>
              <w:rPr>
                <w:rFonts w:hint="eastAsia" w:ascii="宋体" w:hAnsi="宋体" w:eastAsia="宋体" w:cs="宋体"/>
                <w:color w:val="auto"/>
                <w:sz w:val="22"/>
                <w:szCs w:val="22"/>
                <w:highlight w:val="none"/>
                <w:lang w:val="zh-CN" w:eastAsia="zh-CN"/>
              </w:rPr>
              <w:t>）配置合理性、科学性、</w:t>
            </w:r>
            <w:r>
              <w:rPr>
                <w:rFonts w:hint="eastAsia" w:ascii="宋体" w:hAnsi="宋体" w:eastAsia="宋体" w:cs="宋体"/>
                <w:color w:val="auto"/>
                <w:sz w:val="22"/>
                <w:szCs w:val="22"/>
                <w:highlight w:val="none"/>
                <w:lang w:val="en-US" w:eastAsia="zh-CN"/>
              </w:rPr>
              <w:t>学历、资质、工作经验、相关业绩、各类人员数量、各岗位人员配备等，由评委打分。</w:t>
            </w:r>
          </w:p>
          <w:p>
            <w:pP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备注：提供</w:t>
            </w:r>
            <w:r>
              <w:rPr>
                <w:rFonts w:hint="eastAsia" w:ascii="宋体" w:hAnsi="宋体" w:eastAsia="宋体" w:cs="宋体"/>
                <w:color w:val="auto"/>
                <w:sz w:val="22"/>
                <w:szCs w:val="22"/>
                <w:highlight w:val="none"/>
                <w:lang w:val="en-US" w:eastAsia="zh-CN"/>
              </w:rPr>
              <w:t>证明材料和</w:t>
            </w:r>
            <w:r>
              <w:rPr>
                <w:rFonts w:hint="eastAsia" w:ascii="宋体" w:hAnsi="宋体" w:eastAsia="宋体" w:cs="宋体"/>
                <w:color w:val="auto"/>
                <w:kern w:val="0"/>
                <w:sz w:val="22"/>
                <w:szCs w:val="22"/>
                <w:highlight w:val="none"/>
              </w:rPr>
              <w:t>2024年02月01日至本项目投标截止时间止</w:t>
            </w:r>
            <w:r>
              <w:rPr>
                <w:rFonts w:hint="eastAsia" w:ascii="宋体" w:hAnsi="宋体" w:eastAsia="宋体" w:cs="宋体"/>
                <w:color w:val="auto"/>
                <w:kern w:val="0"/>
                <w:sz w:val="22"/>
                <w:szCs w:val="22"/>
                <w:highlight w:val="none"/>
                <w:lang w:val="en-US" w:eastAsia="zh-CN"/>
              </w:rPr>
              <w:t>连续3个月的</w:t>
            </w:r>
            <w:r>
              <w:rPr>
                <w:rFonts w:hint="eastAsia" w:ascii="宋体" w:hAnsi="宋体" w:eastAsia="宋体" w:cs="宋体"/>
                <w:color w:val="auto"/>
                <w:kern w:val="0"/>
                <w:sz w:val="22"/>
                <w:szCs w:val="22"/>
                <w:highlight w:val="none"/>
                <w:lang w:val="zh-CN"/>
              </w:rPr>
              <w:t>社保证明</w:t>
            </w:r>
            <w:r>
              <w:rPr>
                <w:rFonts w:hint="eastAsia" w:ascii="宋体" w:hAnsi="宋体" w:eastAsia="宋体" w:cs="宋体"/>
                <w:color w:val="auto"/>
                <w:sz w:val="22"/>
                <w:szCs w:val="22"/>
                <w:highlight w:val="none"/>
                <w:lang w:val="zh-CN" w:eastAsia="zh-CN"/>
              </w:rPr>
              <w:t>复印件并</w:t>
            </w:r>
            <w:r>
              <w:rPr>
                <w:rFonts w:hint="eastAsia" w:ascii="宋体" w:hAnsi="宋体" w:eastAsia="宋体" w:cs="宋体"/>
                <w:color w:val="auto"/>
                <w:sz w:val="22"/>
                <w:szCs w:val="22"/>
                <w:highlight w:val="none"/>
                <w:lang w:val="en-US" w:eastAsia="zh-CN"/>
              </w:rPr>
              <w:t>加盖</w:t>
            </w:r>
            <w:r>
              <w:rPr>
                <w:rFonts w:hint="eastAsia" w:ascii="宋体" w:hAnsi="宋体" w:eastAsia="宋体" w:cs="宋体"/>
                <w:color w:val="auto"/>
                <w:kern w:val="0"/>
                <w:sz w:val="22"/>
                <w:szCs w:val="22"/>
                <w:highlight w:val="none"/>
                <w:lang w:val="zh-CN"/>
              </w:rPr>
              <w:t>投标供应商电子签章或公章</w:t>
            </w:r>
            <w:r>
              <w:rPr>
                <w:rFonts w:hint="eastAsia" w:ascii="宋体" w:hAnsi="宋体" w:eastAsia="宋体" w:cs="宋体"/>
                <w:color w:val="auto"/>
                <w:sz w:val="22"/>
                <w:szCs w:val="22"/>
                <w:highlight w:val="none"/>
                <w:lang w:val="zh-CN" w:eastAsia="zh-CN"/>
              </w:rPr>
              <w:t>，否则不予认可。</w:t>
            </w:r>
          </w:p>
          <w:p>
            <w:pPr>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sz w:val="22"/>
                <w:szCs w:val="22"/>
                <w:highlight w:val="none"/>
                <w:lang w:val="en-US" w:eastAsia="zh-CN"/>
              </w:rPr>
              <w:t>优：7-4.6分；良：4.5-2.1分，差：2-0分。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97" w:type="dxa"/>
            <w:vMerge w:val="restart"/>
            <w:noWrap w:val="0"/>
            <w:vAlign w:val="center"/>
          </w:tcPr>
          <w:p>
            <w:pPr>
              <w:pStyle w:val="2"/>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1613" w:type="dxa"/>
            <w:vMerge w:val="restart"/>
            <w:noWrap w:val="0"/>
            <w:vAlign w:val="center"/>
          </w:tcPr>
          <w:p>
            <w:pPr>
              <w:widowControl/>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rPr>
              <w:t>服务承诺、响应及合理化建议</w:t>
            </w:r>
          </w:p>
          <w:p>
            <w:pPr>
              <w:widowControl/>
              <w:jc w:val="center"/>
              <w:rPr>
                <w:rFonts w:hint="eastAsia" w:ascii="宋体" w:hAnsi="宋体" w:eastAsia="宋体" w:cs="宋体"/>
                <w:color w:val="auto"/>
                <w:kern w:val="0"/>
                <w:sz w:val="22"/>
                <w:szCs w:val="22"/>
                <w:highlight w:val="none"/>
                <w:lang w:val="zh-CN" w:eastAsia="zh-CN" w:bidi="ar-SA"/>
              </w:rPr>
            </w:pPr>
          </w:p>
        </w:tc>
        <w:tc>
          <w:tcPr>
            <w:tcW w:w="69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6</w:t>
            </w:r>
          </w:p>
        </w:tc>
        <w:tc>
          <w:tcPr>
            <w:tcW w:w="7154" w:type="dxa"/>
            <w:noWrap w:val="0"/>
            <w:vAlign w:val="center"/>
          </w:tcPr>
          <w:p>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rPr>
              <w:t>①</w:t>
            </w: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提供服务的方便程度、服务措施、服务承诺等。</w:t>
            </w:r>
          </w:p>
          <w:p>
            <w:pPr>
              <w:widowControl/>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eastAsia="zh-CN"/>
              </w:rPr>
              <w:t>优：</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4.1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良：</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差：</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7" w:type="dxa"/>
            <w:vMerge w:val="continue"/>
            <w:noWrap w:val="0"/>
            <w:vAlign w:val="center"/>
          </w:tcPr>
          <w:p>
            <w:pPr>
              <w:pStyle w:val="2"/>
              <w:rPr>
                <w:rFonts w:hint="eastAsia" w:ascii="宋体" w:hAnsi="宋体" w:eastAsia="宋体" w:cs="宋体"/>
                <w:color w:val="auto"/>
                <w:sz w:val="22"/>
                <w:szCs w:val="22"/>
                <w:highlight w:val="none"/>
              </w:rPr>
            </w:pPr>
          </w:p>
        </w:tc>
        <w:tc>
          <w:tcPr>
            <w:tcW w:w="1613" w:type="dxa"/>
            <w:vMerge w:val="continue"/>
            <w:noWrap w:val="0"/>
            <w:vAlign w:val="center"/>
          </w:tcPr>
          <w:p>
            <w:pPr>
              <w:widowControl/>
              <w:jc w:val="center"/>
              <w:rPr>
                <w:rFonts w:hint="eastAsia" w:ascii="宋体" w:hAnsi="宋体" w:eastAsia="宋体" w:cs="宋体"/>
                <w:color w:val="auto"/>
                <w:kern w:val="0"/>
                <w:sz w:val="22"/>
                <w:szCs w:val="22"/>
                <w:highlight w:val="none"/>
              </w:rPr>
            </w:pPr>
          </w:p>
        </w:tc>
        <w:tc>
          <w:tcPr>
            <w:tcW w:w="69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6</w:t>
            </w:r>
          </w:p>
        </w:tc>
        <w:tc>
          <w:tcPr>
            <w:tcW w:w="7154" w:type="dxa"/>
            <w:noWrap w:val="0"/>
            <w:vAlign w:val="center"/>
          </w:tcPr>
          <w:p>
            <w:pPr>
              <w:widowControl/>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eastAsia="zh-CN"/>
              </w:rPr>
              <w:t>②投标供应商</w:t>
            </w:r>
            <w:r>
              <w:rPr>
                <w:rFonts w:hint="eastAsia" w:ascii="宋体" w:hAnsi="宋体" w:eastAsia="宋体" w:cs="宋体"/>
                <w:color w:val="auto"/>
                <w:kern w:val="0"/>
                <w:sz w:val="22"/>
                <w:szCs w:val="22"/>
                <w:highlight w:val="none"/>
              </w:rPr>
              <w:t>承诺接采购人通知后现场勘察</w:t>
            </w:r>
            <w:r>
              <w:rPr>
                <w:rFonts w:hint="eastAsia" w:ascii="宋体" w:hAnsi="宋体" w:eastAsia="宋体" w:cs="宋体"/>
                <w:color w:val="auto"/>
                <w:kern w:val="0"/>
                <w:sz w:val="22"/>
                <w:szCs w:val="22"/>
                <w:highlight w:val="none"/>
                <w:lang w:eastAsia="zh-CN"/>
              </w:rPr>
              <w:t>评估物</w:t>
            </w:r>
            <w:r>
              <w:rPr>
                <w:rFonts w:hint="eastAsia" w:ascii="宋体" w:hAnsi="宋体" w:eastAsia="宋体" w:cs="宋体"/>
                <w:color w:val="auto"/>
                <w:kern w:val="0"/>
                <w:sz w:val="22"/>
                <w:szCs w:val="22"/>
                <w:highlight w:val="none"/>
              </w:rPr>
              <w:t>的</w:t>
            </w:r>
            <w:r>
              <w:rPr>
                <w:rFonts w:hint="eastAsia" w:ascii="宋体" w:hAnsi="宋体" w:eastAsia="宋体" w:cs="宋体"/>
                <w:color w:val="auto"/>
                <w:kern w:val="0"/>
                <w:sz w:val="22"/>
                <w:szCs w:val="22"/>
                <w:highlight w:val="none"/>
                <w:lang w:eastAsia="zh-CN"/>
              </w:rPr>
              <w:t>响应</w:t>
            </w:r>
            <w:r>
              <w:rPr>
                <w:rFonts w:hint="eastAsia" w:ascii="宋体" w:hAnsi="宋体" w:eastAsia="宋体" w:cs="宋体"/>
                <w:color w:val="auto"/>
                <w:kern w:val="0"/>
                <w:sz w:val="22"/>
                <w:szCs w:val="22"/>
                <w:highlight w:val="none"/>
              </w:rPr>
              <w:t>时间</w:t>
            </w:r>
            <w:r>
              <w:rPr>
                <w:rFonts w:hint="eastAsia" w:ascii="宋体" w:hAnsi="宋体" w:eastAsia="宋体" w:cs="宋体"/>
                <w:color w:val="auto"/>
                <w:kern w:val="0"/>
                <w:sz w:val="22"/>
                <w:szCs w:val="22"/>
                <w:highlight w:val="none"/>
                <w:lang w:eastAsia="zh-CN"/>
              </w:rPr>
              <w:t>及</w:t>
            </w:r>
            <w:r>
              <w:rPr>
                <w:rFonts w:hint="eastAsia" w:ascii="宋体" w:hAnsi="宋体" w:eastAsia="宋体" w:cs="宋体"/>
                <w:color w:val="auto"/>
                <w:kern w:val="0"/>
                <w:sz w:val="22"/>
                <w:szCs w:val="22"/>
                <w:highlight w:val="none"/>
              </w:rPr>
              <w:t>实地勘察</w:t>
            </w:r>
            <w:r>
              <w:rPr>
                <w:rFonts w:hint="eastAsia" w:ascii="宋体" w:hAnsi="宋体" w:eastAsia="宋体" w:cs="宋体"/>
                <w:color w:val="auto"/>
                <w:kern w:val="0"/>
                <w:sz w:val="22"/>
                <w:szCs w:val="22"/>
                <w:highlight w:val="none"/>
                <w:lang w:eastAsia="zh-CN"/>
              </w:rPr>
              <w:t>评估物</w:t>
            </w:r>
            <w:r>
              <w:rPr>
                <w:rFonts w:hint="eastAsia" w:ascii="宋体" w:hAnsi="宋体" w:eastAsia="宋体" w:cs="宋体"/>
                <w:color w:val="auto"/>
                <w:kern w:val="0"/>
                <w:sz w:val="22"/>
                <w:szCs w:val="22"/>
                <w:highlight w:val="none"/>
              </w:rPr>
              <w:t>后出具初步价格评估单的时间</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承诺出具评估报告的时间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优：</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4.1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良：</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差：</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97" w:type="dxa"/>
            <w:vMerge w:val="continue"/>
            <w:noWrap w:val="0"/>
            <w:vAlign w:val="center"/>
          </w:tcPr>
          <w:p>
            <w:pPr>
              <w:pStyle w:val="2"/>
              <w:rPr>
                <w:rFonts w:hint="eastAsia" w:ascii="宋体" w:hAnsi="宋体" w:eastAsia="宋体" w:cs="宋体"/>
                <w:color w:val="auto"/>
                <w:sz w:val="22"/>
                <w:szCs w:val="22"/>
                <w:highlight w:val="none"/>
              </w:rPr>
            </w:pPr>
          </w:p>
        </w:tc>
        <w:tc>
          <w:tcPr>
            <w:tcW w:w="1613" w:type="dxa"/>
            <w:vMerge w:val="continue"/>
            <w:noWrap w:val="0"/>
            <w:vAlign w:val="center"/>
          </w:tcPr>
          <w:p>
            <w:pPr>
              <w:widowControl/>
              <w:jc w:val="center"/>
              <w:rPr>
                <w:rFonts w:hint="eastAsia" w:ascii="宋体" w:hAnsi="宋体" w:eastAsia="宋体" w:cs="宋体"/>
                <w:color w:val="auto"/>
                <w:kern w:val="0"/>
                <w:sz w:val="22"/>
                <w:szCs w:val="22"/>
                <w:highlight w:val="none"/>
              </w:rPr>
            </w:pPr>
          </w:p>
        </w:tc>
        <w:tc>
          <w:tcPr>
            <w:tcW w:w="69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6</w:t>
            </w:r>
          </w:p>
        </w:tc>
        <w:tc>
          <w:tcPr>
            <w:tcW w:w="7154" w:type="dxa"/>
            <w:noWrap w:val="0"/>
            <w:vAlign w:val="center"/>
          </w:tcPr>
          <w:p>
            <w:pPr>
              <w:widowControl/>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③</w:t>
            </w: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提供的在合同履行期间其对需方服务需求响应的及时性、问题解决的有效性及其针对本</w:t>
            </w:r>
            <w:r>
              <w:rPr>
                <w:rFonts w:hint="eastAsia" w:ascii="宋体" w:hAnsi="宋体" w:eastAsia="宋体" w:cs="宋体"/>
                <w:color w:val="auto"/>
                <w:sz w:val="22"/>
                <w:szCs w:val="22"/>
                <w:highlight w:val="none"/>
                <w:lang w:eastAsia="zh-CN"/>
              </w:rPr>
              <w:t>服务</w:t>
            </w:r>
            <w:r>
              <w:rPr>
                <w:rFonts w:hint="eastAsia" w:ascii="宋体" w:hAnsi="宋体" w:eastAsia="宋体" w:cs="宋体"/>
                <w:color w:val="auto"/>
                <w:sz w:val="22"/>
                <w:szCs w:val="22"/>
                <w:highlight w:val="none"/>
              </w:rPr>
              <w:t>项目的合理化建议。</w:t>
            </w:r>
          </w:p>
          <w:p>
            <w:pPr>
              <w:widowControl/>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eastAsia="zh-CN"/>
              </w:rPr>
              <w:t>优：</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4.1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良：</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差：</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397"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613" w:type="dxa"/>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质量控制方案</w:t>
            </w:r>
          </w:p>
        </w:tc>
        <w:tc>
          <w:tcPr>
            <w:tcW w:w="69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5</w:t>
            </w:r>
          </w:p>
        </w:tc>
        <w:tc>
          <w:tcPr>
            <w:tcW w:w="7154" w:type="dxa"/>
            <w:noWrap w:val="0"/>
            <w:vAlign w:val="center"/>
          </w:tcPr>
          <w:p>
            <w:pPr>
              <w:widowControl/>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提供的质量控制制度及方案是否符合中评协[2017]46号</w:t>
            </w:r>
            <w:r>
              <w:rPr>
                <w:rFonts w:hint="eastAsia" w:ascii="宋体" w:hAnsi="宋体" w:eastAsia="宋体" w:cs="宋体"/>
                <w:bCs/>
                <w:color w:val="auto"/>
                <w:kern w:val="36"/>
                <w:sz w:val="22"/>
                <w:szCs w:val="22"/>
                <w:highlight w:val="none"/>
              </w:rPr>
              <w:t>《资产评估机构业务质量控制指南》的规定（制度内容包括：对业务质量承担的领导责任；职业道德规范；客户关系和具体业务的接受与保持；人力资源；业务执行；业务工作底稿；监控）</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eastAsia="zh-CN"/>
              </w:rPr>
              <w:t>优：</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3.6</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良：</w:t>
            </w:r>
            <w:r>
              <w:rPr>
                <w:rFonts w:hint="eastAsia" w:ascii="宋体" w:hAnsi="宋体" w:eastAsia="宋体" w:cs="宋体"/>
                <w:color w:val="auto"/>
                <w:kern w:val="0"/>
                <w:sz w:val="22"/>
                <w:szCs w:val="22"/>
                <w:highlight w:val="none"/>
                <w:lang w:val="en-US" w:eastAsia="zh-CN"/>
              </w:rPr>
              <w:t>3.5</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差：</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97"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1613" w:type="dxa"/>
            <w:noWrap w:val="0"/>
            <w:vAlign w:val="center"/>
          </w:tcPr>
          <w:p>
            <w:pPr>
              <w:widowControl/>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提交的评估报告（样本）</w:t>
            </w:r>
          </w:p>
        </w:tc>
        <w:tc>
          <w:tcPr>
            <w:tcW w:w="69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5</w:t>
            </w:r>
          </w:p>
        </w:tc>
        <w:tc>
          <w:tcPr>
            <w:tcW w:w="7154" w:type="dxa"/>
            <w:noWrap w:val="0"/>
            <w:vAlign w:val="center"/>
          </w:tcPr>
          <w:p>
            <w:pPr>
              <w:widowControl/>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根据</w:t>
            </w:r>
            <w:r>
              <w:rPr>
                <w:rFonts w:hint="eastAsia" w:ascii="宋体" w:hAnsi="宋体" w:eastAsia="宋体" w:cs="宋体"/>
                <w:bCs/>
                <w:color w:val="auto"/>
                <w:sz w:val="22"/>
                <w:szCs w:val="22"/>
                <w:highlight w:val="none"/>
              </w:rPr>
              <w:t>《资产评估</w:t>
            </w:r>
            <w:r>
              <w:rPr>
                <w:rFonts w:hint="eastAsia" w:ascii="宋体" w:hAnsi="宋体" w:eastAsia="宋体" w:cs="宋体"/>
                <w:bCs/>
                <w:color w:val="auto"/>
                <w:sz w:val="22"/>
                <w:szCs w:val="22"/>
                <w:highlight w:val="none"/>
                <w:lang w:eastAsia="zh-CN"/>
              </w:rPr>
              <w:t>基本</w:t>
            </w:r>
            <w:r>
              <w:rPr>
                <w:rFonts w:hint="eastAsia" w:ascii="宋体" w:hAnsi="宋体" w:eastAsia="宋体" w:cs="宋体"/>
                <w:bCs/>
                <w:color w:val="auto"/>
                <w:sz w:val="22"/>
                <w:szCs w:val="22"/>
                <w:highlight w:val="none"/>
              </w:rPr>
              <w:t>准则》、</w:t>
            </w:r>
            <w:r>
              <w:rPr>
                <w:rFonts w:hint="eastAsia" w:ascii="宋体" w:hAnsi="宋体" w:eastAsia="宋体" w:cs="宋体"/>
                <w:color w:val="auto"/>
                <w:sz w:val="22"/>
                <w:szCs w:val="22"/>
                <w:highlight w:val="none"/>
              </w:rPr>
              <w:t>《企业国有资产评估报告指南》要求，符合</w:t>
            </w:r>
            <w:r>
              <w:rPr>
                <w:rFonts w:hint="eastAsia" w:ascii="宋体" w:hAnsi="宋体" w:eastAsia="宋体" w:cs="宋体"/>
                <w:i w:val="0"/>
                <w:iCs w:val="0"/>
                <w:color w:val="auto"/>
                <w:sz w:val="22"/>
                <w:szCs w:val="22"/>
                <w:highlight w:val="none"/>
                <w:lang w:eastAsia="zh-CN"/>
              </w:rPr>
              <w:t>房地产</w:t>
            </w:r>
            <w:r>
              <w:rPr>
                <w:rFonts w:hint="eastAsia" w:ascii="宋体" w:hAnsi="宋体" w:eastAsia="宋体" w:cs="宋体"/>
                <w:color w:val="auto"/>
                <w:sz w:val="22"/>
                <w:szCs w:val="22"/>
                <w:highlight w:val="none"/>
              </w:rPr>
              <w:t>评估准则和评估操作规范，影响被评资产价值的因素考虑全面、正确；评估依据充分；评估方法科学合理；评估计算准确；评估结果成立前提条件明确、适宜。由评委打分。</w:t>
            </w:r>
            <w:r>
              <w:rPr>
                <w:rFonts w:hint="eastAsia" w:ascii="宋体" w:hAnsi="宋体" w:eastAsia="宋体" w:cs="宋体"/>
                <w:color w:val="auto"/>
                <w:kern w:val="0"/>
                <w:sz w:val="22"/>
                <w:szCs w:val="22"/>
                <w:highlight w:val="none"/>
                <w:lang w:eastAsia="zh-CN"/>
              </w:rPr>
              <w:t>优：</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3.6</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良：</w:t>
            </w:r>
            <w:r>
              <w:rPr>
                <w:rFonts w:hint="eastAsia" w:ascii="宋体" w:hAnsi="宋体" w:eastAsia="宋体" w:cs="宋体"/>
                <w:color w:val="auto"/>
                <w:kern w:val="0"/>
                <w:sz w:val="22"/>
                <w:szCs w:val="22"/>
                <w:highlight w:val="none"/>
                <w:lang w:val="en-US" w:eastAsia="zh-CN"/>
              </w:rPr>
              <w:t>3.5</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差：</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97"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1613" w:type="dxa"/>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内部管理制度</w:t>
            </w:r>
          </w:p>
        </w:tc>
        <w:tc>
          <w:tcPr>
            <w:tcW w:w="69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5</w:t>
            </w:r>
          </w:p>
        </w:tc>
        <w:tc>
          <w:tcPr>
            <w:tcW w:w="7154" w:type="dxa"/>
            <w:noWrap w:val="0"/>
            <w:vAlign w:val="center"/>
          </w:tcPr>
          <w:p>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提供的公司内部管理制度进行打分。</w:t>
            </w:r>
          </w:p>
          <w:p>
            <w:pPr>
              <w:widowControl/>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eastAsia="zh-CN"/>
              </w:rPr>
              <w:t>优：</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3.6</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良：</w:t>
            </w:r>
            <w:r>
              <w:rPr>
                <w:rFonts w:hint="eastAsia" w:ascii="宋体" w:hAnsi="宋体" w:eastAsia="宋体" w:cs="宋体"/>
                <w:color w:val="auto"/>
                <w:kern w:val="0"/>
                <w:sz w:val="22"/>
                <w:szCs w:val="22"/>
                <w:highlight w:val="none"/>
                <w:lang w:val="en-US" w:eastAsia="zh-CN"/>
              </w:rPr>
              <w:t>3.5</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差：</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97"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613" w:type="dxa"/>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服务的保障措施、增值服务及其它优惠措施</w:t>
            </w:r>
          </w:p>
        </w:tc>
        <w:tc>
          <w:tcPr>
            <w:tcW w:w="69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rPr>
              <w:t>0-</w:t>
            </w:r>
            <w:r>
              <w:rPr>
                <w:rFonts w:hint="eastAsia" w:ascii="宋体" w:hAnsi="宋体" w:eastAsia="宋体" w:cs="宋体"/>
                <w:color w:val="auto"/>
                <w:kern w:val="0"/>
                <w:sz w:val="22"/>
                <w:szCs w:val="22"/>
                <w:highlight w:val="none"/>
                <w:lang w:val="en-US" w:eastAsia="zh-CN"/>
              </w:rPr>
              <w:t>5</w:t>
            </w:r>
          </w:p>
        </w:tc>
        <w:tc>
          <w:tcPr>
            <w:tcW w:w="7154" w:type="dxa"/>
            <w:noWrap w:val="0"/>
            <w:vAlign w:val="center"/>
          </w:tcPr>
          <w:p>
            <w:pPr>
              <w:widowControl/>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根据各</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服务的保障措施和增值服务及其它优惠措施</w:t>
            </w:r>
            <w:r>
              <w:rPr>
                <w:rFonts w:hint="eastAsia" w:ascii="宋体" w:hAnsi="宋体" w:eastAsia="宋体" w:cs="宋体"/>
                <w:color w:val="auto"/>
                <w:kern w:val="0"/>
                <w:sz w:val="22"/>
                <w:szCs w:val="22"/>
                <w:highlight w:val="none"/>
              </w:rPr>
              <w:t>。</w:t>
            </w:r>
          </w:p>
          <w:p>
            <w:pPr>
              <w:pStyle w:val="2"/>
              <w:ind w:left="0" w:leftChars="0"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eastAsia="zh-CN"/>
              </w:rPr>
              <w:t>优：</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3.6</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良：</w:t>
            </w:r>
            <w:r>
              <w:rPr>
                <w:rFonts w:hint="eastAsia" w:ascii="宋体" w:hAnsi="宋体" w:eastAsia="宋体" w:cs="宋体"/>
                <w:color w:val="auto"/>
                <w:kern w:val="0"/>
                <w:sz w:val="22"/>
                <w:szCs w:val="22"/>
                <w:highlight w:val="none"/>
                <w:lang w:val="en-US" w:eastAsia="zh-CN"/>
              </w:rPr>
              <w:t>3.5</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差：</w:t>
            </w: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97"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613"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rPr>
              <w:t>投标类似业绩情况</w:t>
            </w:r>
          </w:p>
        </w:tc>
        <w:tc>
          <w:tcPr>
            <w:tcW w:w="690"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0-12</w:t>
            </w:r>
          </w:p>
        </w:tc>
        <w:tc>
          <w:tcPr>
            <w:tcW w:w="7154" w:type="dxa"/>
            <w:noWrap w:val="0"/>
            <w:vAlign w:val="center"/>
          </w:tcPr>
          <w:p>
            <w:pPr>
              <w:ind w:left="-50"/>
              <w:rPr>
                <w:rFonts w:hint="eastAsia" w:ascii="宋体" w:hAnsi="宋体" w:eastAsia="宋体" w:cs="宋体"/>
                <w:color w:val="auto"/>
                <w:sz w:val="22"/>
                <w:szCs w:val="22"/>
                <w:highlight w:val="none"/>
              </w:rPr>
            </w:pPr>
            <w:r>
              <w:rPr>
                <w:rFonts w:hint="eastAsia" w:ascii="宋体" w:hAnsi="宋体" w:eastAsia="宋体" w:cs="宋体"/>
                <w:strike w:val="0"/>
                <w:dstrike w:val="0"/>
                <w:color w:val="auto"/>
                <w:sz w:val="22"/>
                <w:szCs w:val="22"/>
                <w:highlight w:val="none"/>
                <w:lang w:val="en-US" w:eastAsia="zh-CN"/>
              </w:rPr>
              <w:t>提供</w:t>
            </w:r>
            <w:r>
              <w:rPr>
                <w:rFonts w:hint="eastAsia" w:ascii="宋体" w:hAnsi="宋体" w:eastAsia="宋体" w:cs="宋体"/>
                <w:color w:val="auto"/>
                <w:sz w:val="22"/>
                <w:szCs w:val="22"/>
                <w:highlight w:val="none"/>
                <w:lang w:val="en-US" w:eastAsia="zh-CN"/>
              </w:rPr>
              <w:t>2021年01月01日（以评估合同时间为准）以来评估报告。</w:t>
            </w:r>
            <w:r>
              <w:rPr>
                <w:rFonts w:hint="eastAsia" w:ascii="宋体" w:hAnsi="宋体" w:eastAsia="宋体" w:cs="宋体"/>
                <w:color w:val="auto"/>
                <w:sz w:val="22"/>
                <w:szCs w:val="22"/>
                <w:highlight w:val="none"/>
              </w:rPr>
              <w:t>本项最多得</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分。</w:t>
            </w:r>
          </w:p>
          <w:p>
            <w:pPr>
              <w:ind w:left="-50"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单份</w:t>
            </w:r>
            <w:r>
              <w:rPr>
                <w:rFonts w:hint="eastAsia" w:ascii="宋体" w:hAnsi="宋体" w:eastAsia="宋体" w:cs="宋体"/>
                <w:color w:val="auto"/>
                <w:sz w:val="22"/>
                <w:szCs w:val="22"/>
                <w:highlight w:val="none"/>
              </w:rPr>
              <w:t>评估</w:t>
            </w:r>
            <w:r>
              <w:rPr>
                <w:rFonts w:hint="eastAsia" w:ascii="宋体" w:hAnsi="宋体" w:eastAsia="宋体" w:cs="宋体"/>
                <w:color w:val="auto"/>
                <w:sz w:val="22"/>
                <w:szCs w:val="22"/>
                <w:highlight w:val="none"/>
                <w:lang w:val="en-US" w:eastAsia="zh-CN"/>
              </w:rPr>
              <w:t>标的物的评估值，</w:t>
            </w:r>
            <w:r>
              <w:rPr>
                <w:rFonts w:hint="eastAsia" w:ascii="宋体" w:hAnsi="宋体" w:eastAsia="宋体" w:cs="宋体"/>
                <w:color w:val="auto"/>
                <w:sz w:val="22"/>
                <w:szCs w:val="22"/>
                <w:highlight w:val="none"/>
              </w:rPr>
              <w:t>每提供一个5000万元</w:t>
            </w:r>
            <w:r>
              <w:rPr>
                <w:rFonts w:hint="eastAsia" w:ascii="宋体" w:hAnsi="宋体" w:eastAsia="宋体" w:cs="宋体"/>
                <w:color w:val="auto"/>
                <w:sz w:val="22"/>
                <w:szCs w:val="22"/>
                <w:highlight w:val="none"/>
                <w:lang w:eastAsia="zh-CN"/>
              </w:rPr>
              <w:t>（含）</w:t>
            </w:r>
            <w:r>
              <w:rPr>
                <w:rFonts w:hint="eastAsia" w:ascii="宋体" w:hAnsi="宋体" w:eastAsia="宋体" w:cs="宋体"/>
                <w:color w:val="auto"/>
                <w:sz w:val="22"/>
                <w:szCs w:val="22"/>
                <w:highlight w:val="none"/>
                <w:lang w:val="en-US" w:eastAsia="zh-CN"/>
              </w:rPr>
              <w:t>-2亿元（不含）</w:t>
            </w:r>
            <w:r>
              <w:rPr>
                <w:rFonts w:hint="eastAsia" w:ascii="宋体" w:hAnsi="宋体" w:eastAsia="宋体" w:cs="宋体"/>
                <w:color w:val="auto"/>
                <w:sz w:val="22"/>
                <w:szCs w:val="22"/>
                <w:highlight w:val="none"/>
              </w:rPr>
              <w:t>的得1分；每提供一个</w:t>
            </w:r>
            <w:r>
              <w:rPr>
                <w:rFonts w:hint="eastAsia" w:ascii="宋体" w:hAnsi="宋体" w:eastAsia="宋体" w:cs="宋体"/>
                <w:color w:val="auto"/>
                <w:sz w:val="22"/>
                <w:szCs w:val="22"/>
                <w:highlight w:val="none"/>
                <w:lang w:val="en-US" w:eastAsia="zh-CN"/>
              </w:rPr>
              <w:t>2亿</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及</w:t>
            </w:r>
            <w:r>
              <w:rPr>
                <w:rFonts w:hint="eastAsia" w:ascii="宋体" w:hAnsi="宋体" w:eastAsia="宋体" w:cs="宋体"/>
                <w:color w:val="auto"/>
                <w:sz w:val="22"/>
                <w:szCs w:val="22"/>
                <w:highlight w:val="none"/>
              </w:rPr>
              <w:t>以上的得2分。</w:t>
            </w:r>
          </w:p>
          <w:p>
            <w:pPr>
              <w:ind w:left="-50" w:left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kern w:val="0"/>
                <w:sz w:val="22"/>
                <w:szCs w:val="22"/>
                <w:highlight w:val="none"/>
              </w:rPr>
              <w:t>备注：提供评估合同及评估成果证明资料</w:t>
            </w:r>
            <w:r>
              <w:rPr>
                <w:rFonts w:hint="eastAsia" w:ascii="宋体" w:hAnsi="宋体" w:eastAsia="宋体" w:cs="宋体"/>
                <w:b/>
                <w:bCs/>
                <w:color w:val="auto"/>
                <w:kern w:val="0"/>
                <w:sz w:val="22"/>
                <w:szCs w:val="22"/>
                <w:highlight w:val="none"/>
                <w:lang w:val="zh-CN"/>
              </w:rPr>
              <w:t>复印件并加盖投标供应商电子签章或公章，</w:t>
            </w:r>
            <w:r>
              <w:rPr>
                <w:rFonts w:hint="eastAsia" w:ascii="宋体" w:hAnsi="宋体" w:eastAsia="宋体" w:cs="宋体"/>
                <w:b/>
                <w:bCs/>
                <w:color w:val="auto"/>
                <w:kern w:val="0"/>
                <w:sz w:val="22"/>
                <w:szCs w:val="22"/>
                <w:highlight w:val="none"/>
              </w:rPr>
              <w:t>两者缺一不可</w:t>
            </w:r>
            <w:r>
              <w:rPr>
                <w:rFonts w:hint="eastAsia" w:ascii="宋体" w:hAnsi="宋体" w:eastAsia="宋体" w:cs="宋体"/>
                <w:b/>
                <w:bCs/>
                <w:color w:val="auto"/>
                <w:kern w:val="0"/>
                <w:sz w:val="22"/>
                <w:szCs w:val="22"/>
                <w:highlight w:val="none"/>
                <w:lang w:val="zh-CN"/>
              </w:rPr>
              <w:t>，否则不得分</w:t>
            </w:r>
            <w:r>
              <w:rPr>
                <w:rFonts w:hint="eastAsia" w:ascii="宋体" w:hAnsi="宋体" w:eastAsia="宋体" w:cs="宋体"/>
                <w:b/>
                <w:bCs/>
                <w:color w:val="auto"/>
                <w:kern w:val="0"/>
                <w:sz w:val="22"/>
                <w:szCs w:val="22"/>
                <w:highlight w:val="none"/>
              </w:rPr>
              <w:t>。</w:t>
            </w:r>
          </w:p>
        </w:tc>
      </w:tr>
    </w:tbl>
    <w:p>
      <w:pPr>
        <w:pStyle w:val="2"/>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p>
    <w:p>
      <w:pPr>
        <w:pStyle w:val="2"/>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技术评分标准中，“优”档以该分项评分项的表述详尽、科学、操作性强、可信度高等为划分标准；“良”档以该分项评分项的表述细致度、可操作性、科学性等方面满足采购需求基本要求为划分标准；“差”档以该分项评分项的表述细致度、可操作性、科学性等方面较差为划分标准。</w:t>
      </w:r>
    </w:p>
    <w:p>
      <w:pPr>
        <w:pStyle w:val="2"/>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（2）投标文件未提供评分项目内容的，该项按零分处理。</w:t>
      </w:r>
    </w:p>
    <w:p>
      <w:pPr>
        <w:pStyle w:val="13"/>
        <w:spacing w:line="360" w:lineRule="auto"/>
        <w:ind w:left="0" w:firstLine="0"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2.报价评分（权值</w:t>
      </w:r>
      <w:r>
        <w:rPr>
          <w:rFonts w:hint="eastAsia" w:ascii="宋体" w:hAnsi="宋体" w:eastAsia="宋体" w:cs="宋体"/>
          <w:b/>
          <w:color w:val="auto"/>
          <w:sz w:val="22"/>
          <w:szCs w:val="22"/>
          <w:highlight w:val="none"/>
          <w:lang w:val="en-US" w:eastAsia="zh-CN"/>
        </w:rPr>
        <w:t>20</w:t>
      </w:r>
      <w:r>
        <w:rPr>
          <w:rFonts w:hint="eastAsia" w:ascii="宋体" w:hAnsi="宋体" w:eastAsia="宋体" w:cs="宋体"/>
          <w:b/>
          <w:color w:val="auto"/>
          <w:sz w:val="22"/>
          <w:szCs w:val="22"/>
          <w:highlight w:val="none"/>
        </w:rPr>
        <w:t>%）：</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2.1资格及符合性审查通过的有效投标供应商进入报价评分。</w:t>
      </w:r>
    </w:p>
    <w:p>
      <w:pPr>
        <w:spacing w:line="360" w:lineRule="auto"/>
        <w:ind w:firstLine="440" w:firstLineChars="200"/>
        <w:rPr>
          <w:rFonts w:hint="eastAsia" w:ascii="宋体" w:hAnsi="宋体" w:eastAsia="宋体" w:cs="宋体"/>
          <w:color w:val="auto"/>
          <w:sz w:val="22"/>
          <w:szCs w:val="22"/>
          <w:highlight w:val="none"/>
        </w:rPr>
      </w:pPr>
      <w:bookmarkStart w:id="311" w:name="_Toc24449"/>
      <w:bookmarkStart w:id="312" w:name="_Toc28863"/>
      <w:bookmarkStart w:id="313" w:name="_Toc28502"/>
      <w:bookmarkStart w:id="314" w:name="_Toc25084"/>
      <w:bookmarkStart w:id="315" w:name="_Toc1221"/>
      <w:r>
        <w:rPr>
          <w:rFonts w:hint="eastAsia" w:ascii="宋体" w:hAnsi="宋体" w:eastAsia="宋体" w:cs="宋体"/>
          <w:color w:val="auto"/>
          <w:sz w:val="22"/>
          <w:szCs w:val="22"/>
          <w:highlight w:val="none"/>
        </w:rPr>
        <w:t>2.1.1报价评分采用低价优先法计算，即满足采购文件要求且投标报价最低的为评标基准价，其价格分为满分。</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注：评标基准价由评审小组依据上述方法计算，除计算差错外确认后的评标基准价在本次采购期间保持不变。</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计算差错，仅限于以下两种情况：①纯算术性四则运算差错；②未按约定的计算方法的。由于评标差错，导致否决投标错误，重新评标纠正；中标候选供应商被取消中标资格等其他情况，不属于计算差错。</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2.2.2其他投标供应商的报价分按照下列公式计算：</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报价分=（评标基准价/投标报价）×</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注：以上四舍五入后保留小数2位</w:t>
      </w:r>
    </w:p>
    <w:p>
      <w:pPr>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 有效投标供应商的综合得分为商务技术分和报价分的总和。</w:t>
      </w:r>
    </w:p>
    <w:p>
      <w:pPr>
        <w:pStyle w:val="3"/>
        <w:spacing w:line="360" w:lineRule="auto"/>
        <w:jc w:val="left"/>
        <w:outlineLvl w:val="1"/>
        <w:rPr>
          <w:rFonts w:hint="eastAsia" w:ascii="宋体" w:hAnsi="宋体" w:eastAsia="宋体" w:cs="宋体"/>
          <w:b/>
          <w:bCs/>
          <w:color w:val="auto"/>
          <w:spacing w:val="-8"/>
          <w:sz w:val="22"/>
          <w:szCs w:val="22"/>
          <w:highlight w:val="none"/>
        </w:rPr>
      </w:pPr>
      <w:bookmarkStart w:id="316" w:name="_Toc25359"/>
      <w:r>
        <w:rPr>
          <w:rFonts w:hint="eastAsia" w:ascii="宋体" w:hAnsi="宋体" w:eastAsia="宋体" w:cs="宋体"/>
          <w:b/>
          <w:bCs/>
          <w:color w:val="auto"/>
          <w:spacing w:val="-8"/>
          <w:sz w:val="22"/>
          <w:szCs w:val="22"/>
          <w:highlight w:val="none"/>
        </w:rPr>
        <w:t>六、投标供应商义务</w:t>
      </w:r>
      <w:bookmarkEnd w:id="311"/>
      <w:bookmarkEnd w:id="312"/>
      <w:bookmarkEnd w:id="313"/>
      <w:bookmarkEnd w:id="314"/>
      <w:bookmarkEnd w:id="315"/>
      <w:bookmarkEnd w:id="316"/>
    </w:p>
    <w:p>
      <w:pPr>
        <w:pStyle w:val="2"/>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投标供应商应随时接受评审小组的询标，解答包括有关的商务、技术问题等。评标结束，所有评标资料交由采购人存档。</w:t>
      </w:r>
    </w:p>
    <w:p>
      <w:pPr>
        <w:spacing w:line="360" w:lineRule="auto"/>
        <w:rPr>
          <w:rFonts w:hint="eastAsia" w:ascii="宋体" w:hAnsi="宋体" w:eastAsia="宋体" w:cs="宋体"/>
          <w:color w:val="auto"/>
          <w:sz w:val="22"/>
          <w:szCs w:val="22"/>
          <w:highlight w:val="none"/>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pPr>
    <w:r>
      <w:pict>
        <v:shape id="_x0000_s1026" o:spid="_x0000_s1026" o:spt="202" type="#_x0000_t202" style="position:absolute;left:0pt;margin-top:0pt;height:11.65pt;width:36.05pt;mso-position-horizontal:right;mso-position-horizontal-relative:margin;mso-wrap-style:none;z-index:251663360;mso-width-relative:page;mso-height-relative:page;" filled="f" stroked="f" coordsize="21600,21600">
          <v:path/>
          <v:fill on="f" focussize="0,0"/>
          <v:stroke on="f" weight="1.25pt" joinstyle="miter"/>
          <v:imagedata o:title=""/>
          <o:lock v:ext="edit"/>
          <v:textbox inset="0mm,0mm,0mm,0mm" style="mso-fit-shape-to-text:t;">
            <w:txbxContent>
              <w:p>
                <w:pPr>
                  <w:pStyle w:val="22"/>
                </w:pPr>
                <w:r>
                  <w:t xml:space="preserve">第 </w:t>
                </w:r>
                <w:r>
                  <w:fldChar w:fldCharType="begin"/>
                </w:r>
                <w:r>
                  <w:instrText xml:space="preserve"> PAGE  \* MERGEFORMAT </w:instrText>
                </w:r>
                <w:r>
                  <w:fldChar w:fldCharType="separate"/>
                </w:r>
                <w:r>
                  <w:t>72</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6" w:space="0"/>
      </w:pBdr>
      <w:jc w:val="both"/>
    </w:pPr>
    <w:r>
      <w:rPr>
        <w:rFonts w:hint="eastAsia"/>
      </w:rPr>
      <w:t>温州市国有企业采购文件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F8B72"/>
    <w:multiLevelType w:val="singleLevel"/>
    <w:tmpl w:val="8A6F8B72"/>
    <w:lvl w:ilvl="0" w:tentative="0">
      <w:start w:val="3"/>
      <w:numFmt w:val="chineseCounting"/>
      <w:suff w:val="space"/>
      <w:lvlText w:val="第%1条"/>
      <w:lvlJc w:val="left"/>
      <w:rPr>
        <w:rFonts w:hint="eastAsia"/>
      </w:rPr>
    </w:lvl>
  </w:abstractNum>
  <w:abstractNum w:abstractNumId="1">
    <w:nsid w:val="A048BC4B"/>
    <w:multiLevelType w:val="multilevel"/>
    <w:tmpl w:val="A048BC4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B6B55DAD"/>
    <w:multiLevelType w:val="singleLevel"/>
    <w:tmpl w:val="B6B55DAD"/>
    <w:lvl w:ilvl="0" w:tentative="0">
      <w:start w:val="1"/>
      <w:numFmt w:val="decimal"/>
      <w:suff w:val="nothing"/>
      <w:lvlText w:val="%1．"/>
      <w:lvlJc w:val="left"/>
      <w:pPr>
        <w:ind w:left="0" w:firstLine="400"/>
      </w:pPr>
      <w:rPr>
        <w:rFonts w:hint="default"/>
      </w:rPr>
    </w:lvl>
  </w:abstractNum>
  <w:abstractNum w:abstractNumId="3">
    <w:nsid w:val="BB6616B5"/>
    <w:multiLevelType w:val="singleLevel"/>
    <w:tmpl w:val="BB6616B5"/>
    <w:lvl w:ilvl="0" w:tentative="0">
      <w:start w:val="1"/>
      <w:numFmt w:val="decimal"/>
      <w:lvlText w:val="(%1)"/>
      <w:lvlJc w:val="left"/>
      <w:pPr>
        <w:ind w:left="425" w:hanging="425"/>
      </w:pPr>
      <w:rPr>
        <w:rFonts w:hint="default"/>
      </w:rPr>
    </w:lvl>
  </w:abstractNum>
  <w:abstractNum w:abstractNumId="4">
    <w:nsid w:val="BE88A41A"/>
    <w:multiLevelType w:val="singleLevel"/>
    <w:tmpl w:val="BE88A41A"/>
    <w:lvl w:ilvl="0" w:tentative="0">
      <w:start w:val="1"/>
      <w:numFmt w:val="decimal"/>
      <w:suff w:val="nothing"/>
      <w:lvlText w:val="%1．"/>
      <w:lvlJc w:val="left"/>
      <w:pPr>
        <w:ind w:left="0" w:firstLine="400"/>
      </w:pPr>
      <w:rPr>
        <w:rFonts w:hint="default"/>
      </w:rPr>
    </w:lvl>
  </w:abstractNum>
  <w:abstractNum w:abstractNumId="5">
    <w:nsid w:val="D0ECDCEE"/>
    <w:multiLevelType w:val="singleLevel"/>
    <w:tmpl w:val="D0ECDCEE"/>
    <w:lvl w:ilvl="0" w:tentative="0">
      <w:start w:val="3"/>
      <w:numFmt w:val="chineseCounting"/>
      <w:suff w:val="nothing"/>
      <w:lvlText w:val="%1、"/>
      <w:lvlJc w:val="left"/>
      <w:rPr>
        <w:rFonts w:hint="eastAsia"/>
      </w:rPr>
    </w:lvl>
  </w:abstractNum>
  <w:abstractNum w:abstractNumId="6">
    <w:nsid w:val="DBB66F64"/>
    <w:multiLevelType w:val="singleLevel"/>
    <w:tmpl w:val="DBB66F64"/>
    <w:lvl w:ilvl="0" w:tentative="0">
      <w:start w:val="1"/>
      <w:numFmt w:val="decimal"/>
      <w:suff w:val="nothing"/>
      <w:lvlText w:val="%1．"/>
      <w:lvlJc w:val="left"/>
      <w:pPr>
        <w:ind w:left="0" w:firstLine="400"/>
      </w:pPr>
      <w:rPr>
        <w:rFonts w:hint="default"/>
      </w:rPr>
    </w:lvl>
  </w:abstractNum>
  <w:abstractNum w:abstractNumId="7">
    <w:nsid w:val="F9EC2A9F"/>
    <w:multiLevelType w:val="singleLevel"/>
    <w:tmpl w:val="F9EC2A9F"/>
    <w:lvl w:ilvl="0" w:tentative="0">
      <w:start w:val="1"/>
      <w:numFmt w:val="decimal"/>
      <w:lvlText w:val="%1."/>
      <w:lvlJc w:val="left"/>
      <w:pPr>
        <w:tabs>
          <w:tab w:val="left" w:pos="312"/>
        </w:tabs>
      </w:pPr>
    </w:lvl>
  </w:abstractNum>
  <w:abstractNum w:abstractNumId="8">
    <w:nsid w:val="154DF866"/>
    <w:multiLevelType w:val="singleLevel"/>
    <w:tmpl w:val="154DF866"/>
    <w:lvl w:ilvl="0" w:tentative="0">
      <w:start w:val="1"/>
      <w:numFmt w:val="decimal"/>
      <w:suff w:val="nothing"/>
      <w:lvlText w:val="%1．"/>
      <w:lvlJc w:val="left"/>
      <w:pPr>
        <w:ind w:left="20" w:firstLine="400"/>
      </w:pPr>
      <w:rPr>
        <w:rFonts w:hint="default"/>
      </w:rPr>
    </w:lvl>
  </w:abstractNum>
  <w:abstractNum w:abstractNumId="9">
    <w:nsid w:val="1D463414"/>
    <w:multiLevelType w:val="multilevel"/>
    <w:tmpl w:val="1D463414"/>
    <w:lvl w:ilvl="0" w:tentative="0">
      <w:start w:val="1"/>
      <w:numFmt w:val="decimal"/>
      <w:lvlText w:val="%1."/>
      <w:lvlJc w:val="left"/>
      <w:pPr>
        <w:ind w:left="846" w:hanging="420"/>
      </w:pPr>
    </w:lvl>
    <w:lvl w:ilvl="1" w:tentative="0">
      <w:start w:val="1"/>
      <w:numFmt w:val="lowerLetter"/>
      <w:lvlText w:val="%2)"/>
      <w:lvlJc w:val="left"/>
      <w:pPr>
        <w:ind w:left="1340" w:hanging="420"/>
      </w:pPr>
    </w:lvl>
    <w:lvl w:ilvl="2" w:tentative="0">
      <w:start w:val="1"/>
      <w:numFmt w:val="lowerRoman"/>
      <w:lvlText w:val="%3."/>
      <w:lvlJc w:val="right"/>
      <w:pPr>
        <w:ind w:left="1760" w:hanging="420"/>
      </w:pPr>
    </w:lvl>
    <w:lvl w:ilvl="3" w:tentative="0">
      <w:start w:val="1"/>
      <w:numFmt w:val="decimal"/>
      <w:lvlText w:val="%4."/>
      <w:lvlJc w:val="left"/>
      <w:pPr>
        <w:ind w:left="2180" w:hanging="420"/>
      </w:pPr>
    </w:lvl>
    <w:lvl w:ilvl="4" w:tentative="0">
      <w:start w:val="1"/>
      <w:numFmt w:val="lowerLetter"/>
      <w:lvlText w:val="%5)"/>
      <w:lvlJc w:val="left"/>
      <w:pPr>
        <w:ind w:left="2600" w:hanging="420"/>
      </w:pPr>
    </w:lvl>
    <w:lvl w:ilvl="5" w:tentative="0">
      <w:start w:val="1"/>
      <w:numFmt w:val="lowerRoman"/>
      <w:lvlText w:val="%6."/>
      <w:lvlJc w:val="right"/>
      <w:pPr>
        <w:ind w:left="3020" w:hanging="420"/>
      </w:pPr>
    </w:lvl>
    <w:lvl w:ilvl="6" w:tentative="0">
      <w:start w:val="1"/>
      <w:numFmt w:val="decimal"/>
      <w:lvlText w:val="%7."/>
      <w:lvlJc w:val="left"/>
      <w:pPr>
        <w:ind w:left="3440" w:hanging="420"/>
      </w:pPr>
    </w:lvl>
    <w:lvl w:ilvl="7" w:tentative="0">
      <w:start w:val="1"/>
      <w:numFmt w:val="lowerLetter"/>
      <w:lvlText w:val="%8)"/>
      <w:lvlJc w:val="left"/>
      <w:pPr>
        <w:ind w:left="3860" w:hanging="420"/>
      </w:pPr>
    </w:lvl>
    <w:lvl w:ilvl="8" w:tentative="0">
      <w:start w:val="1"/>
      <w:numFmt w:val="lowerRoman"/>
      <w:lvlText w:val="%9."/>
      <w:lvlJc w:val="right"/>
      <w:pPr>
        <w:ind w:left="4280" w:hanging="420"/>
      </w:pPr>
    </w:lvl>
  </w:abstractNum>
  <w:abstractNum w:abstractNumId="10">
    <w:nsid w:val="1E34533D"/>
    <w:multiLevelType w:val="singleLevel"/>
    <w:tmpl w:val="1E34533D"/>
    <w:lvl w:ilvl="0" w:tentative="0">
      <w:start w:val="1"/>
      <w:numFmt w:val="decimal"/>
      <w:suff w:val="nothing"/>
      <w:lvlText w:val="%1．"/>
      <w:lvlJc w:val="left"/>
      <w:pPr>
        <w:ind w:left="0" w:firstLine="400"/>
      </w:pPr>
      <w:rPr>
        <w:rFonts w:hint="default"/>
      </w:rPr>
    </w:lvl>
  </w:abstractNum>
  <w:abstractNum w:abstractNumId="11">
    <w:nsid w:val="254A4EAA"/>
    <w:multiLevelType w:val="multilevel"/>
    <w:tmpl w:val="254A4EAA"/>
    <w:lvl w:ilvl="0" w:tentative="0">
      <w:start w:val="1"/>
      <w:numFmt w:val="decimal"/>
      <w:lvlText w:val="%1."/>
      <w:lvlJc w:val="left"/>
      <w:pPr>
        <w:ind w:left="562"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2">
    <w:nsid w:val="346946BE"/>
    <w:multiLevelType w:val="singleLevel"/>
    <w:tmpl w:val="346946BE"/>
    <w:lvl w:ilvl="0" w:tentative="0">
      <w:start w:val="1"/>
      <w:numFmt w:val="decimal"/>
      <w:suff w:val="nothing"/>
      <w:lvlText w:val="%1．"/>
      <w:lvlJc w:val="left"/>
      <w:pPr>
        <w:ind w:left="0" w:firstLine="400"/>
      </w:pPr>
      <w:rPr>
        <w:rFonts w:hint="default"/>
      </w:rPr>
    </w:lvl>
  </w:abstractNum>
  <w:abstractNum w:abstractNumId="13">
    <w:nsid w:val="4260EA3E"/>
    <w:multiLevelType w:val="singleLevel"/>
    <w:tmpl w:val="4260EA3E"/>
    <w:lvl w:ilvl="0" w:tentative="0">
      <w:start w:val="1"/>
      <w:numFmt w:val="decimal"/>
      <w:suff w:val="nothing"/>
      <w:lvlText w:val="（%1）"/>
      <w:lvlJc w:val="left"/>
    </w:lvl>
  </w:abstractNum>
  <w:abstractNum w:abstractNumId="14">
    <w:nsid w:val="447CD41A"/>
    <w:multiLevelType w:val="singleLevel"/>
    <w:tmpl w:val="447CD41A"/>
    <w:lvl w:ilvl="0" w:tentative="0">
      <w:start w:val="1"/>
      <w:numFmt w:val="decimal"/>
      <w:suff w:val="nothing"/>
      <w:lvlText w:val="%1．"/>
      <w:lvlJc w:val="left"/>
      <w:pPr>
        <w:ind w:left="0" w:firstLine="400"/>
      </w:pPr>
      <w:rPr>
        <w:rFonts w:hint="default"/>
      </w:rPr>
    </w:lvl>
  </w:abstractNum>
  <w:abstractNum w:abstractNumId="15">
    <w:nsid w:val="5285F149"/>
    <w:multiLevelType w:val="singleLevel"/>
    <w:tmpl w:val="5285F149"/>
    <w:lvl w:ilvl="0" w:tentative="0">
      <w:start w:val="1"/>
      <w:numFmt w:val="decimal"/>
      <w:suff w:val="nothing"/>
      <w:lvlText w:val="%1．"/>
      <w:lvlJc w:val="left"/>
      <w:pPr>
        <w:ind w:left="0" w:firstLine="400"/>
      </w:pPr>
      <w:rPr>
        <w:rFonts w:hint="default"/>
      </w:rPr>
    </w:lvl>
  </w:abstractNum>
  <w:abstractNum w:abstractNumId="16">
    <w:nsid w:val="557FD3DA"/>
    <w:multiLevelType w:val="singleLevel"/>
    <w:tmpl w:val="557FD3DA"/>
    <w:lvl w:ilvl="0" w:tentative="0">
      <w:start w:val="3"/>
      <w:numFmt w:val="chineseCounting"/>
      <w:suff w:val="nothing"/>
      <w:lvlText w:val="%1、"/>
      <w:lvlJc w:val="left"/>
      <w:rPr>
        <w:rFonts w:cs="Times New Roman"/>
      </w:rPr>
    </w:lvl>
  </w:abstractNum>
  <w:abstractNum w:abstractNumId="17">
    <w:nsid w:val="61ACBDC5"/>
    <w:multiLevelType w:val="singleLevel"/>
    <w:tmpl w:val="61ACBDC5"/>
    <w:lvl w:ilvl="0" w:tentative="0">
      <w:start w:val="1"/>
      <w:numFmt w:val="decimal"/>
      <w:suff w:val="nothing"/>
      <w:lvlText w:val="%1、"/>
      <w:lvlJc w:val="left"/>
    </w:lvl>
  </w:abstractNum>
  <w:abstractNum w:abstractNumId="18">
    <w:nsid w:val="633AEA69"/>
    <w:multiLevelType w:val="singleLevel"/>
    <w:tmpl w:val="633AEA69"/>
    <w:lvl w:ilvl="0" w:tentative="0">
      <w:start w:val="1"/>
      <w:numFmt w:val="decimal"/>
      <w:suff w:val="nothing"/>
      <w:lvlText w:val="%1．"/>
      <w:lvlJc w:val="left"/>
      <w:pPr>
        <w:ind w:left="0" w:firstLine="400"/>
      </w:pPr>
      <w:rPr>
        <w:rFonts w:hint="default"/>
      </w:rPr>
    </w:lvl>
  </w:abstractNum>
  <w:abstractNum w:abstractNumId="19">
    <w:nsid w:val="697B2274"/>
    <w:multiLevelType w:val="singleLevel"/>
    <w:tmpl w:val="697B2274"/>
    <w:lvl w:ilvl="0" w:tentative="0">
      <w:start w:val="2"/>
      <w:numFmt w:val="decimal"/>
      <w:suff w:val="space"/>
      <w:lvlText w:val="%1."/>
      <w:lvlJc w:val="left"/>
    </w:lvl>
  </w:abstractNum>
  <w:abstractNum w:abstractNumId="20">
    <w:nsid w:val="6EC1DE1A"/>
    <w:multiLevelType w:val="singleLevel"/>
    <w:tmpl w:val="6EC1DE1A"/>
    <w:lvl w:ilvl="0" w:tentative="0">
      <w:start w:val="1"/>
      <w:numFmt w:val="decimal"/>
      <w:suff w:val="nothing"/>
      <w:lvlText w:val="%1．"/>
      <w:lvlJc w:val="left"/>
      <w:pPr>
        <w:ind w:left="0" w:firstLine="400"/>
      </w:pPr>
      <w:rPr>
        <w:rFonts w:hint="default"/>
      </w:rPr>
    </w:lvl>
  </w:abstractNum>
  <w:num w:numId="1">
    <w:abstractNumId w:val="7"/>
  </w:num>
  <w:num w:numId="2">
    <w:abstractNumId w:val="3"/>
  </w:num>
  <w:num w:numId="3">
    <w:abstractNumId w:val="19"/>
  </w:num>
  <w:num w:numId="4">
    <w:abstractNumId w:val="13"/>
  </w:num>
  <w:num w:numId="5">
    <w:abstractNumId w:val="0"/>
  </w:num>
  <w:num w:numId="6">
    <w:abstractNumId w:val="11"/>
  </w:num>
  <w:num w:numId="7">
    <w:abstractNumId w:val="9"/>
  </w:num>
  <w:num w:numId="8">
    <w:abstractNumId w:val="8"/>
  </w:num>
  <w:num w:numId="9">
    <w:abstractNumId w:val="15"/>
  </w:num>
  <w:num w:numId="10">
    <w:abstractNumId w:val="18"/>
  </w:num>
  <w:num w:numId="11">
    <w:abstractNumId w:val="6"/>
  </w:num>
  <w:num w:numId="12">
    <w:abstractNumId w:val="20"/>
  </w:num>
  <w:num w:numId="13">
    <w:abstractNumId w:val="10"/>
  </w:num>
  <w:num w:numId="14">
    <w:abstractNumId w:val="14"/>
  </w:num>
  <w:num w:numId="15">
    <w:abstractNumId w:val="4"/>
  </w:num>
  <w:num w:numId="16">
    <w:abstractNumId w:val="1"/>
  </w:num>
  <w:num w:numId="17">
    <w:abstractNumId w:val="2"/>
  </w:num>
  <w:num w:numId="18">
    <w:abstractNumId w:val="16"/>
  </w:num>
  <w:num w:numId="19">
    <w:abstractNumId w:val="5"/>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EwNTQyMDU4ZjViYTgyY2JhMWRhOWMxODQ1Zjg1MTIifQ=="/>
  </w:docVars>
  <w:rsids>
    <w:rsidRoot w:val="002D4CD7"/>
    <w:rsid w:val="00001E18"/>
    <w:rsid w:val="00003DC3"/>
    <w:rsid w:val="000062E1"/>
    <w:rsid w:val="00006D4B"/>
    <w:rsid w:val="0000756B"/>
    <w:rsid w:val="0000786B"/>
    <w:rsid w:val="00012EDF"/>
    <w:rsid w:val="0001676B"/>
    <w:rsid w:val="000201E4"/>
    <w:rsid w:val="0002153A"/>
    <w:rsid w:val="00027287"/>
    <w:rsid w:val="0003091F"/>
    <w:rsid w:val="00035DCD"/>
    <w:rsid w:val="00036980"/>
    <w:rsid w:val="00040AED"/>
    <w:rsid w:val="00045537"/>
    <w:rsid w:val="000520B6"/>
    <w:rsid w:val="00053564"/>
    <w:rsid w:val="00054611"/>
    <w:rsid w:val="00061FD2"/>
    <w:rsid w:val="00064B2F"/>
    <w:rsid w:val="00067A09"/>
    <w:rsid w:val="00067E5F"/>
    <w:rsid w:val="00072AEC"/>
    <w:rsid w:val="00072B26"/>
    <w:rsid w:val="00074C3F"/>
    <w:rsid w:val="00074F35"/>
    <w:rsid w:val="00084644"/>
    <w:rsid w:val="00085F48"/>
    <w:rsid w:val="0008720F"/>
    <w:rsid w:val="0008729C"/>
    <w:rsid w:val="00087C43"/>
    <w:rsid w:val="00092E4C"/>
    <w:rsid w:val="00092E5C"/>
    <w:rsid w:val="00094D9E"/>
    <w:rsid w:val="000B35C5"/>
    <w:rsid w:val="000B4BB2"/>
    <w:rsid w:val="000C04D9"/>
    <w:rsid w:val="000C1BA9"/>
    <w:rsid w:val="000C3743"/>
    <w:rsid w:val="000C53B3"/>
    <w:rsid w:val="000C7091"/>
    <w:rsid w:val="000C7FE3"/>
    <w:rsid w:val="000D5268"/>
    <w:rsid w:val="000D5B87"/>
    <w:rsid w:val="000D67C2"/>
    <w:rsid w:val="000D6908"/>
    <w:rsid w:val="000E1E53"/>
    <w:rsid w:val="000E5A86"/>
    <w:rsid w:val="000E7906"/>
    <w:rsid w:val="000E7F7C"/>
    <w:rsid w:val="000F5E67"/>
    <w:rsid w:val="000F6093"/>
    <w:rsid w:val="000F71BF"/>
    <w:rsid w:val="00104835"/>
    <w:rsid w:val="001053A8"/>
    <w:rsid w:val="00107003"/>
    <w:rsid w:val="001250B1"/>
    <w:rsid w:val="00127F6F"/>
    <w:rsid w:val="001306EA"/>
    <w:rsid w:val="001313B1"/>
    <w:rsid w:val="00132DA7"/>
    <w:rsid w:val="0013366A"/>
    <w:rsid w:val="0013487F"/>
    <w:rsid w:val="00137C15"/>
    <w:rsid w:val="00140D4B"/>
    <w:rsid w:val="0014217B"/>
    <w:rsid w:val="00146BE5"/>
    <w:rsid w:val="001554C7"/>
    <w:rsid w:val="001554E5"/>
    <w:rsid w:val="001569C9"/>
    <w:rsid w:val="001573B3"/>
    <w:rsid w:val="00160F34"/>
    <w:rsid w:val="00163E3B"/>
    <w:rsid w:val="001654DF"/>
    <w:rsid w:val="001700FD"/>
    <w:rsid w:val="00173918"/>
    <w:rsid w:val="001855B9"/>
    <w:rsid w:val="001863B2"/>
    <w:rsid w:val="00194EFF"/>
    <w:rsid w:val="001959D4"/>
    <w:rsid w:val="001A23CA"/>
    <w:rsid w:val="001A352B"/>
    <w:rsid w:val="001A3F5C"/>
    <w:rsid w:val="001B0889"/>
    <w:rsid w:val="001C02F8"/>
    <w:rsid w:val="001C3DD4"/>
    <w:rsid w:val="001C57EF"/>
    <w:rsid w:val="001D1714"/>
    <w:rsid w:val="001D3F2F"/>
    <w:rsid w:val="001D76F1"/>
    <w:rsid w:val="001E0CA8"/>
    <w:rsid w:val="001E1F55"/>
    <w:rsid w:val="001E31FA"/>
    <w:rsid w:val="001E3F9E"/>
    <w:rsid w:val="001E7919"/>
    <w:rsid w:val="001F1726"/>
    <w:rsid w:val="00203CA8"/>
    <w:rsid w:val="00205B54"/>
    <w:rsid w:val="00214D10"/>
    <w:rsid w:val="0021708C"/>
    <w:rsid w:val="00223E15"/>
    <w:rsid w:val="0022787E"/>
    <w:rsid w:val="002329E4"/>
    <w:rsid w:val="00235346"/>
    <w:rsid w:val="002353DB"/>
    <w:rsid w:val="0023620C"/>
    <w:rsid w:val="00236AA3"/>
    <w:rsid w:val="002414B8"/>
    <w:rsid w:val="00255F0A"/>
    <w:rsid w:val="00257FBF"/>
    <w:rsid w:val="00262110"/>
    <w:rsid w:val="00263F67"/>
    <w:rsid w:val="00264291"/>
    <w:rsid w:val="00264BEC"/>
    <w:rsid w:val="00266041"/>
    <w:rsid w:val="00266CAD"/>
    <w:rsid w:val="00271878"/>
    <w:rsid w:val="00272BE4"/>
    <w:rsid w:val="00272DAD"/>
    <w:rsid w:val="002749FD"/>
    <w:rsid w:val="00277258"/>
    <w:rsid w:val="00280FFD"/>
    <w:rsid w:val="0028189F"/>
    <w:rsid w:val="00284503"/>
    <w:rsid w:val="00290CD2"/>
    <w:rsid w:val="00291210"/>
    <w:rsid w:val="0029516D"/>
    <w:rsid w:val="002B2076"/>
    <w:rsid w:val="002B27AD"/>
    <w:rsid w:val="002B290B"/>
    <w:rsid w:val="002B2986"/>
    <w:rsid w:val="002B2F05"/>
    <w:rsid w:val="002B5A9F"/>
    <w:rsid w:val="002C0B87"/>
    <w:rsid w:val="002C6054"/>
    <w:rsid w:val="002C6DF0"/>
    <w:rsid w:val="002D3439"/>
    <w:rsid w:val="002D472D"/>
    <w:rsid w:val="002D4CD7"/>
    <w:rsid w:val="002D59D9"/>
    <w:rsid w:val="002E05E0"/>
    <w:rsid w:val="002E2292"/>
    <w:rsid w:val="002E3A27"/>
    <w:rsid w:val="002E4269"/>
    <w:rsid w:val="002E5DA2"/>
    <w:rsid w:val="002F0BA0"/>
    <w:rsid w:val="002F200D"/>
    <w:rsid w:val="002F2C88"/>
    <w:rsid w:val="002F4EEA"/>
    <w:rsid w:val="00302754"/>
    <w:rsid w:val="00304521"/>
    <w:rsid w:val="003047DA"/>
    <w:rsid w:val="003059F8"/>
    <w:rsid w:val="00306825"/>
    <w:rsid w:val="00311FBA"/>
    <w:rsid w:val="003316D0"/>
    <w:rsid w:val="0033273F"/>
    <w:rsid w:val="00332E3E"/>
    <w:rsid w:val="00337BEB"/>
    <w:rsid w:val="0034353A"/>
    <w:rsid w:val="003440C0"/>
    <w:rsid w:val="00347019"/>
    <w:rsid w:val="003473A2"/>
    <w:rsid w:val="0035172F"/>
    <w:rsid w:val="00354D3B"/>
    <w:rsid w:val="00360B2F"/>
    <w:rsid w:val="00373223"/>
    <w:rsid w:val="0037344F"/>
    <w:rsid w:val="00373CFD"/>
    <w:rsid w:val="003742B6"/>
    <w:rsid w:val="00374395"/>
    <w:rsid w:val="00382B25"/>
    <w:rsid w:val="00382C31"/>
    <w:rsid w:val="00387B8A"/>
    <w:rsid w:val="00390D78"/>
    <w:rsid w:val="00391AA3"/>
    <w:rsid w:val="00394F8E"/>
    <w:rsid w:val="00395A58"/>
    <w:rsid w:val="00397AF7"/>
    <w:rsid w:val="003A4730"/>
    <w:rsid w:val="003A6D4E"/>
    <w:rsid w:val="003B29F9"/>
    <w:rsid w:val="003B4B19"/>
    <w:rsid w:val="003B5C0A"/>
    <w:rsid w:val="003C0894"/>
    <w:rsid w:val="003C2A01"/>
    <w:rsid w:val="003C305A"/>
    <w:rsid w:val="003D166E"/>
    <w:rsid w:val="003D1B51"/>
    <w:rsid w:val="003D65AB"/>
    <w:rsid w:val="003E22CA"/>
    <w:rsid w:val="003F0E1F"/>
    <w:rsid w:val="003F1CA8"/>
    <w:rsid w:val="003F2105"/>
    <w:rsid w:val="003F2726"/>
    <w:rsid w:val="003F3056"/>
    <w:rsid w:val="003F48E0"/>
    <w:rsid w:val="003F56EA"/>
    <w:rsid w:val="003F6BA3"/>
    <w:rsid w:val="003F7FEC"/>
    <w:rsid w:val="0040327C"/>
    <w:rsid w:val="00407189"/>
    <w:rsid w:val="00407693"/>
    <w:rsid w:val="00411F9D"/>
    <w:rsid w:val="00412465"/>
    <w:rsid w:val="0041295D"/>
    <w:rsid w:val="004134D8"/>
    <w:rsid w:val="00413E91"/>
    <w:rsid w:val="004170AC"/>
    <w:rsid w:val="0042192D"/>
    <w:rsid w:val="004236BB"/>
    <w:rsid w:val="004277F3"/>
    <w:rsid w:val="00427D84"/>
    <w:rsid w:val="00434AE8"/>
    <w:rsid w:val="00434E7D"/>
    <w:rsid w:val="00442158"/>
    <w:rsid w:val="004453AA"/>
    <w:rsid w:val="00447505"/>
    <w:rsid w:val="00451EFC"/>
    <w:rsid w:val="0045348A"/>
    <w:rsid w:val="0047028A"/>
    <w:rsid w:val="00473557"/>
    <w:rsid w:val="004760CD"/>
    <w:rsid w:val="00477644"/>
    <w:rsid w:val="00486F08"/>
    <w:rsid w:val="0048795C"/>
    <w:rsid w:val="0049107B"/>
    <w:rsid w:val="00491822"/>
    <w:rsid w:val="0049580D"/>
    <w:rsid w:val="00496B7C"/>
    <w:rsid w:val="00497142"/>
    <w:rsid w:val="00497A7A"/>
    <w:rsid w:val="004A3428"/>
    <w:rsid w:val="004A424A"/>
    <w:rsid w:val="004A437D"/>
    <w:rsid w:val="004A4DB6"/>
    <w:rsid w:val="004A7A98"/>
    <w:rsid w:val="004B0686"/>
    <w:rsid w:val="004B55BB"/>
    <w:rsid w:val="004B55DF"/>
    <w:rsid w:val="004B7B72"/>
    <w:rsid w:val="004D7416"/>
    <w:rsid w:val="004E0A69"/>
    <w:rsid w:val="004E10DD"/>
    <w:rsid w:val="004E113B"/>
    <w:rsid w:val="004E3005"/>
    <w:rsid w:val="004E4494"/>
    <w:rsid w:val="004F5C7E"/>
    <w:rsid w:val="005017C0"/>
    <w:rsid w:val="00512612"/>
    <w:rsid w:val="005207BE"/>
    <w:rsid w:val="00521069"/>
    <w:rsid w:val="005277F3"/>
    <w:rsid w:val="00531630"/>
    <w:rsid w:val="005318E1"/>
    <w:rsid w:val="00532316"/>
    <w:rsid w:val="005352A9"/>
    <w:rsid w:val="0054107E"/>
    <w:rsid w:val="0054253F"/>
    <w:rsid w:val="005427CB"/>
    <w:rsid w:val="0054566E"/>
    <w:rsid w:val="00551444"/>
    <w:rsid w:val="00554754"/>
    <w:rsid w:val="00561C0A"/>
    <w:rsid w:val="00562DF6"/>
    <w:rsid w:val="005645D5"/>
    <w:rsid w:val="00564A67"/>
    <w:rsid w:val="00564D0B"/>
    <w:rsid w:val="00564DB7"/>
    <w:rsid w:val="00565156"/>
    <w:rsid w:val="00571BC6"/>
    <w:rsid w:val="00572CEB"/>
    <w:rsid w:val="00581694"/>
    <w:rsid w:val="0058211F"/>
    <w:rsid w:val="00592ED9"/>
    <w:rsid w:val="00596B2F"/>
    <w:rsid w:val="00596BDE"/>
    <w:rsid w:val="005A1F66"/>
    <w:rsid w:val="005A32AA"/>
    <w:rsid w:val="005A6D08"/>
    <w:rsid w:val="005A7079"/>
    <w:rsid w:val="005A7BE0"/>
    <w:rsid w:val="005B2B79"/>
    <w:rsid w:val="005B3587"/>
    <w:rsid w:val="005B42D3"/>
    <w:rsid w:val="005B5D48"/>
    <w:rsid w:val="005C1D14"/>
    <w:rsid w:val="005C2CA5"/>
    <w:rsid w:val="005C3595"/>
    <w:rsid w:val="005C7C8B"/>
    <w:rsid w:val="005D10B1"/>
    <w:rsid w:val="005D1A04"/>
    <w:rsid w:val="005D2185"/>
    <w:rsid w:val="005D49FD"/>
    <w:rsid w:val="005D4F7F"/>
    <w:rsid w:val="005D628F"/>
    <w:rsid w:val="005D685F"/>
    <w:rsid w:val="005E64ED"/>
    <w:rsid w:val="005E737D"/>
    <w:rsid w:val="005E7DDB"/>
    <w:rsid w:val="005F387C"/>
    <w:rsid w:val="005F3F87"/>
    <w:rsid w:val="005F6065"/>
    <w:rsid w:val="005F661A"/>
    <w:rsid w:val="006008A2"/>
    <w:rsid w:val="00603631"/>
    <w:rsid w:val="00603B53"/>
    <w:rsid w:val="006056AC"/>
    <w:rsid w:val="0060696D"/>
    <w:rsid w:val="006073B7"/>
    <w:rsid w:val="00607BF2"/>
    <w:rsid w:val="0061130F"/>
    <w:rsid w:val="00612CF8"/>
    <w:rsid w:val="006246CD"/>
    <w:rsid w:val="00625D32"/>
    <w:rsid w:val="00626BD0"/>
    <w:rsid w:val="00630354"/>
    <w:rsid w:val="00632559"/>
    <w:rsid w:val="00644D87"/>
    <w:rsid w:val="00646EA4"/>
    <w:rsid w:val="00647AFD"/>
    <w:rsid w:val="00651376"/>
    <w:rsid w:val="00653F67"/>
    <w:rsid w:val="006607F7"/>
    <w:rsid w:val="00663672"/>
    <w:rsid w:val="0066670B"/>
    <w:rsid w:val="00667365"/>
    <w:rsid w:val="006815D1"/>
    <w:rsid w:val="00682FDF"/>
    <w:rsid w:val="00685E9F"/>
    <w:rsid w:val="00692199"/>
    <w:rsid w:val="00694854"/>
    <w:rsid w:val="006A0ABC"/>
    <w:rsid w:val="006A3872"/>
    <w:rsid w:val="006A71B6"/>
    <w:rsid w:val="006B1DD8"/>
    <w:rsid w:val="006B5252"/>
    <w:rsid w:val="006C0C0E"/>
    <w:rsid w:val="006C7979"/>
    <w:rsid w:val="006D6213"/>
    <w:rsid w:val="006E2A4D"/>
    <w:rsid w:val="006F5FEE"/>
    <w:rsid w:val="00706042"/>
    <w:rsid w:val="00710F1E"/>
    <w:rsid w:val="00713707"/>
    <w:rsid w:val="007256B5"/>
    <w:rsid w:val="007264D6"/>
    <w:rsid w:val="007337EC"/>
    <w:rsid w:val="00743281"/>
    <w:rsid w:val="007438C1"/>
    <w:rsid w:val="0074541D"/>
    <w:rsid w:val="00745B02"/>
    <w:rsid w:val="00746AA4"/>
    <w:rsid w:val="00751283"/>
    <w:rsid w:val="007537CE"/>
    <w:rsid w:val="007646C6"/>
    <w:rsid w:val="0076593D"/>
    <w:rsid w:val="00781366"/>
    <w:rsid w:val="007858F4"/>
    <w:rsid w:val="00786AB1"/>
    <w:rsid w:val="00791270"/>
    <w:rsid w:val="0079137C"/>
    <w:rsid w:val="007926B8"/>
    <w:rsid w:val="00792E52"/>
    <w:rsid w:val="00793AB9"/>
    <w:rsid w:val="00794124"/>
    <w:rsid w:val="00795A16"/>
    <w:rsid w:val="007A6722"/>
    <w:rsid w:val="007B0BBC"/>
    <w:rsid w:val="007B33B5"/>
    <w:rsid w:val="007B3EBB"/>
    <w:rsid w:val="007C005A"/>
    <w:rsid w:val="007C1CDD"/>
    <w:rsid w:val="007C66C5"/>
    <w:rsid w:val="007D17DF"/>
    <w:rsid w:val="007D1C9B"/>
    <w:rsid w:val="007D7E5B"/>
    <w:rsid w:val="007E22E7"/>
    <w:rsid w:val="007E5A59"/>
    <w:rsid w:val="007E68A0"/>
    <w:rsid w:val="007F3594"/>
    <w:rsid w:val="007F5D3A"/>
    <w:rsid w:val="007F69E8"/>
    <w:rsid w:val="0080291B"/>
    <w:rsid w:val="00802C58"/>
    <w:rsid w:val="008069F0"/>
    <w:rsid w:val="00807FEB"/>
    <w:rsid w:val="00810EAB"/>
    <w:rsid w:val="008110D8"/>
    <w:rsid w:val="008132CD"/>
    <w:rsid w:val="008170C7"/>
    <w:rsid w:val="00820BD7"/>
    <w:rsid w:val="00824C12"/>
    <w:rsid w:val="00825A26"/>
    <w:rsid w:val="00834542"/>
    <w:rsid w:val="008529B0"/>
    <w:rsid w:val="008556DB"/>
    <w:rsid w:val="008575B9"/>
    <w:rsid w:val="00857B62"/>
    <w:rsid w:val="00863250"/>
    <w:rsid w:val="00870919"/>
    <w:rsid w:val="00870EEB"/>
    <w:rsid w:val="00873D66"/>
    <w:rsid w:val="00874767"/>
    <w:rsid w:val="008748BF"/>
    <w:rsid w:val="00877C11"/>
    <w:rsid w:val="00877E4E"/>
    <w:rsid w:val="00887144"/>
    <w:rsid w:val="00894D3C"/>
    <w:rsid w:val="00895EEE"/>
    <w:rsid w:val="008966D7"/>
    <w:rsid w:val="00897F27"/>
    <w:rsid w:val="008A4B4B"/>
    <w:rsid w:val="008A6828"/>
    <w:rsid w:val="008B1BA0"/>
    <w:rsid w:val="008B295C"/>
    <w:rsid w:val="008C3741"/>
    <w:rsid w:val="008C6D93"/>
    <w:rsid w:val="008D26EF"/>
    <w:rsid w:val="008D32C9"/>
    <w:rsid w:val="008D3DDF"/>
    <w:rsid w:val="008E08DA"/>
    <w:rsid w:val="008E173E"/>
    <w:rsid w:val="008E5F54"/>
    <w:rsid w:val="008F5B15"/>
    <w:rsid w:val="008F7382"/>
    <w:rsid w:val="0090020D"/>
    <w:rsid w:val="0090181A"/>
    <w:rsid w:val="0091000A"/>
    <w:rsid w:val="00910FB4"/>
    <w:rsid w:val="00912D31"/>
    <w:rsid w:val="0092004E"/>
    <w:rsid w:val="00923B8D"/>
    <w:rsid w:val="00924D99"/>
    <w:rsid w:val="009347F3"/>
    <w:rsid w:val="009404BA"/>
    <w:rsid w:val="0094313A"/>
    <w:rsid w:val="009527CF"/>
    <w:rsid w:val="00954CEC"/>
    <w:rsid w:val="009605AB"/>
    <w:rsid w:val="0096078C"/>
    <w:rsid w:val="009626FF"/>
    <w:rsid w:val="00963EB3"/>
    <w:rsid w:val="00967332"/>
    <w:rsid w:val="009806D0"/>
    <w:rsid w:val="00982EE9"/>
    <w:rsid w:val="00986C84"/>
    <w:rsid w:val="00987295"/>
    <w:rsid w:val="0099555A"/>
    <w:rsid w:val="00995DD5"/>
    <w:rsid w:val="009966DE"/>
    <w:rsid w:val="00996829"/>
    <w:rsid w:val="0099695F"/>
    <w:rsid w:val="009A2859"/>
    <w:rsid w:val="009B23EA"/>
    <w:rsid w:val="009B5E25"/>
    <w:rsid w:val="009C0141"/>
    <w:rsid w:val="009C1AA7"/>
    <w:rsid w:val="009C466E"/>
    <w:rsid w:val="009C49E3"/>
    <w:rsid w:val="009D37CC"/>
    <w:rsid w:val="009D4A47"/>
    <w:rsid w:val="009E29F2"/>
    <w:rsid w:val="009E6EC1"/>
    <w:rsid w:val="009F01AB"/>
    <w:rsid w:val="00A04098"/>
    <w:rsid w:val="00A07A8D"/>
    <w:rsid w:val="00A11F57"/>
    <w:rsid w:val="00A15A86"/>
    <w:rsid w:val="00A22DF1"/>
    <w:rsid w:val="00A27758"/>
    <w:rsid w:val="00A31737"/>
    <w:rsid w:val="00A31C15"/>
    <w:rsid w:val="00A37B6E"/>
    <w:rsid w:val="00A445FA"/>
    <w:rsid w:val="00A53132"/>
    <w:rsid w:val="00A55846"/>
    <w:rsid w:val="00A67405"/>
    <w:rsid w:val="00A708B7"/>
    <w:rsid w:val="00A7190E"/>
    <w:rsid w:val="00A741D5"/>
    <w:rsid w:val="00A7598B"/>
    <w:rsid w:val="00A804BA"/>
    <w:rsid w:val="00A81865"/>
    <w:rsid w:val="00A843DC"/>
    <w:rsid w:val="00A85B7E"/>
    <w:rsid w:val="00A85E87"/>
    <w:rsid w:val="00A8603C"/>
    <w:rsid w:val="00A86619"/>
    <w:rsid w:val="00A8708A"/>
    <w:rsid w:val="00A878DC"/>
    <w:rsid w:val="00A966B1"/>
    <w:rsid w:val="00AA5032"/>
    <w:rsid w:val="00AB30AC"/>
    <w:rsid w:val="00AB5368"/>
    <w:rsid w:val="00AB5FDF"/>
    <w:rsid w:val="00AB7F8E"/>
    <w:rsid w:val="00AC3827"/>
    <w:rsid w:val="00AC5FDB"/>
    <w:rsid w:val="00AC68D9"/>
    <w:rsid w:val="00AD26D1"/>
    <w:rsid w:val="00AD4B62"/>
    <w:rsid w:val="00AD5505"/>
    <w:rsid w:val="00AD612E"/>
    <w:rsid w:val="00AE0E54"/>
    <w:rsid w:val="00AE2820"/>
    <w:rsid w:val="00AF09EE"/>
    <w:rsid w:val="00AF1BE3"/>
    <w:rsid w:val="00AF473F"/>
    <w:rsid w:val="00AF7412"/>
    <w:rsid w:val="00B03CD7"/>
    <w:rsid w:val="00B0681F"/>
    <w:rsid w:val="00B07D20"/>
    <w:rsid w:val="00B114D8"/>
    <w:rsid w:val="00B16C3D"/>
    <w:rsid w:val="00B23A89"/>
    <w:rsid w:val="00B25054"/>
    <w:rsid w:val="00B25D8F"/>
    <w:rsid w:val="00B30E78"/>
    <w:rsid w:val="00B328B3"/>
    <w:rsid w:val="00B4763D"/>
    <w:rsid w:val="00B525CC"/>
    <w:rsid w:val="00B5373B"/>
    <w:rsid w:val="00B53CEC"/>
    <w:rsid w:val="00B55C20"/>
    <w:rsid w:val="00B57C9E"/>
    <w:rsid w:val="00B70382"/>
    <w:rsid w:val="00B73604"/>
    <w:rsid w:val="00B82261"/>
    <w:rsid w:val="00B825BC"/>
    <w:rsid w:val="00B833A7"/>
    <w:rsid w:val="00B8364A"/>
    <w:rsid w:val="00B85961"/>
    <w:rsid w:val="00B95112"/>
    <w:rsid w:val="00BA2E21"/>
    <w:rsid w:val="00BA495E"/>
    <w:rsid w:val="00BB18EF"/>
    <w:rsid w:val="00BB1F72"/>
    <w:rsid w:val="00BB3437"/>
    <w:rsid w:val="00BB3F1C"/>
    <w:rsid w:val="00BB662E"/>
    <w:rsid w:val="00BB6722"/>
    <w:rsid w:val="00BC103B"/>
    <w:rsid w:val="00BC2D18"/>
    <w:rsid w:val="00BC3065"/>
    <w:rsid w:val="00BC4BA7"/>
    <w:rsid w:val="00BC549B"/>
    <w:rsid w:val="00BC5868"/>
    <w:rsid w:val="00BC7969"/>
    <w:rsid w:val="00BD4F71"/>
    <w:rsid w:val="00BD562C"/>
    <w:rsid w:val="00BD7001"/>
    <w:rsid w:val="00BD7666"/>
    <w:rsid w:val="00BE1639"/>
    <w:rsid w:val="00BE5682"/>
    <w:rsid w:val="00BE5EEA"/>
    <w:rsid w:val="00BE60BF"/>
    <w:rsid w:val="00BF37A7"/>
    <w:rsid w:val="00BF4DA7"/>
    <w:rsid w:val="00C004A9"/>
    <w:rsid w:val="00C05292"/>
    <w:rsid w:val="00C10175"/>
    <w:rsid w:val="00C1088A"/>
    <w:rsid w:val="00C13445"/>
    <w:rsid w:val="00C15938"/>
    <w:rsid w:val="00C1724A"/>
    <w:rsid w:val="00C242B9"/>
    <w:rsid w:val="00C263DC"/>
    <w:rsid w:val="00C360CB"/>
    <w:rsid w:val="00C36DF5"/>
    <w:rsid w:val="00C36F9C"/>
    <w:rsid w:val="00C377E7"/>
    <w:rsid w:val="00C40893"/>
    <w:rsid w:val="00C424B9"/>
    <w:rsid w:val="00C42D5D"/>
    <w:rsid w:val="00C46711"/>
    <w:rsid w:val="00C50289"/>
    <w:rsid w:val="00C5215C"/>
    <w:rsid w:val="00C528EA"/>
    <w:rsid w:val="00C55AA1"/>
    <w:rsid w:val="00C60357"/>
    <w:rsid w:val="00C60A5B"/>
    <w:rsid w:val="00C63F7E"/>
    <w:rsid w:val="00C663B9"/>
    <w:rsid w:val="00C6662D"/>
    <w:rsid w:val="00C739C9"/>
    <w:rsid w:val="00C824BC"/>
    <w:rsid w:val="00C92855"/>
    <w:rsid w:val="00C949E4"/>
    <w:rsid w:val="00C9587E"/>
    <w:rsid w:val="00C95BC4"/>
    <w:rsid w:val="00CA0B85"/>
    <w:rsid w:val="00CA2E76"/>
    <w:rsid w:val="00CA42A4"/>
    <w:rsid w:val="00CA6B12"/>
    <w:rsid w:val="00CB01D7"/>
    <w:rsid w:val="00CB1B18"/>
    <w:rsid w:val="00CB3C17"/>
    <w:rsid w:val="00CB5E4E"/>
    <w:rsid w:val="00CB6EEE"/>
    <w:rsid w:val="00CC30F5"/>
    <w:rsid w:val="00CC40B7"/>
    <w:rsid w:val="00CC4F75"/>
    <w:rsid w:val="00CC7971"/>
    <w:rsid w:val="00CC7DDD"/>
    <w:rsid w:val="00CD2283"/>
    <w:rsid w:val="00CD3AF6"/>
    <w:rsid w:val="00CD5631"/>
    <w:rsid w:val="00CD6D51"/>
    <w:rsid w:val="00CE29B8"/>
    <w:rsid w:val="00CE4278"/>
    <w:rsid w:val="00CE473B"/>
    <w:rsid w:val="00CE77A1"/>
    <w:rsid w:val="00CF18ED"/>
    <w:rsid w:val="00CF35D9"/>
    <w:rsid w:val="00D02134"/>
    <w:rsid w:val="00D051FC"/>
    <w:rsid w:val="00D07F3A"/>
    <w:rsid w:val="00D1049E"/>
    <w:rsid w:val="00D16EB6"/>
    <w:rsid w:val="00D25036"/>
    <w:rsid w:val="00D266E5"/>
    <w:rsid w:val="00D32878"/>
    <w:rsid w:val="00D404C3"/>
    <w:rsid w:val="00D40A52"/>
    <w:rsid w:val="00D4116B"/>
    <w:rsid w:val="00D41F58"/>
    <w:rsid w:val="00D428FF"/>
    <w:rsid w:val="00D53E74"/>
    <w:rsid w:val="00D552D2"/>
    <w:rsid w:val="00D574C9"/>
    <w:rsid w:val="00D620DB"/>
    <w:rsid w:val="00D7063C"/>
    <w:rsid w:val="00D70C95"/>
    <w:rsid w:val="00D74723"/>
    <w:rsid w:val="00D761AB"/>
    <w:rsid w:val="00D76373"/>
    <w:rsid w:val="00D765B2"/>
    <w:rsid w:val="00D76876"/>
    <w:rsid w:val="00D771E1"/>
    <w:rsid w:val="00D81FC6"/>
    <w:rsid w:val="00D84CA0"/>
    <w:rsid w:val="00D87EE5"/>
    <w:rsid w:val="00D91000"/>
    <w:rsid w:val="00D914EC"/>
    <w:rsid w:val="00D916E2"/>
    <w:rsid w:val="00D951A4"/>
    <w:rsid w:val="00D95A3E"/>
    <w:rsid w:val="00D96BA4"/>
    <w:rsid w:val="00D97C7E"/>
    <w:rsid w:val="00DA0D8F"/>
    <w:rsid w:val="00DA1B3F"/>
    <w:rsid w:val="00DB0EF1"/>
    <w:rsid w:val="00DB2ABD"/>
    <w:rsid w:val="00DC11FC"/>
    <w:rsid w:val="00DC4744"/>
    <w:rsid w:val="00DC71CF"/>
    <w:rsid w:val="00DD448E"/>
    <w:rsid w:val="00DE21F2"/>
    <w:rsid w:val="00DE3A7C"/>
    <w:rsid w:val="00DE7175"/>
    <w:rsid w:val="00DF1728"/>
    <w:rsid w:val="00DF6A96"/>
    <w:rsid w:val="00E0209C"/>
    <w:rsid w:val="00E02A39"/>
    <w:rsid w:val="00E053FE"/>
    <w:rsid w:val="00E07643"/>
    <w:rsid w:val="00E1041E"/>
    <w:rsid w:val="00E22E28"/>
    <w:rsid w:val="00E23753"/>
    <w:rsid w:val="00E251DC"/>
    <w:rsid w:val="00E26689"/>
    <w:rsid w:val="00E33624"/>
    <w:rsid w:val="00E3691B"/>
    <w:rsid w:val="00E36E48"/>
    <w:rsid w:val="00E4127A"/>
    <w:rsid w:val="00E41FEB"/>
    <w:rsid w:val="00E422E7"/>
    <w:rsid w:val="00E4589F"/>
    <w:rsid w:val="00E467E0"/>
    <w:rsid w:val="00E47391"/>
    <w:rsid w:val="00E54399"/>
    <w:rsid w:val="00E61A56"/>
    <w:rsid w:val="00E6219A"/>
    <w:rsid w:val="00E642E0"/>
    <w:rsid w:val="00E6608B"/>
    <w:rsid w:val="00E67DFF"/>
    <w:rsid w:val="00E81E86"/>
    <w:rsid w:val="00E82D27"/>
    <w:rsid w:val="00E9023B"/>
    <w:rsid w:val="00E927A8"/>
    <w:rsid w:val="00E92C49"/>
    <w:rsid w:val="00E92CC2"/>
    <w:rsid w:val="00E94886"/>
    <w:rsid w:val="00EA0DD1"/>
    <w:rsid w:val="00EA2E43"/>
    <w:rsid w:val="00EA38D0"/>
    <w:rsid w:val="00EB0BB0"/>
    <w:rsid w:val="00EC13B5"/>
    <w:rsid w:val="00EC1AE8"/>
    <w:rsid w:val="00EC25BB"/>
    <w:rsid w:val="00EC6C32"/>
    <w:rsid w:val="00ED719A"/>
    <w:rsid w:val="00EE406E"/>
    <w:rsid w:val="00EE4943"/>
    <w:rsid w:val="00EE5266"/>
    <w:rsid w:val="00EE5F7E"/>
    <w:rsid w:val="00EE7303"/>
    <w:rsid w:val="00EF272F"/>
    <w:rsid w:val="00EF4F78"/>
    <w:rsid w:val="00EF7CF1"/>
    <w:rsid w:val="00EF7F75"/>
    <w:rsid w:val="00F0172B"/>
    <w:rsid w:val="00F02656"/>
    <w:rsid w:val="00F05891"/>
    <w:rsid w:val="00F0637F"/>
    <w:rsid w:val="00F10154"/>
    <w:rsid w:val="00F125D9"/>
    <w:rsid w:val="00F15259"/>
    <w:rsid w:val="00F16841"/>
    <w:rsid w:val="00F20CF2"/>
    <w:rsid w:val="00F23928"/>
    <w:rsid w:val="00F250B9"/>
    <w:rsid w:val="00F259C1"/>
    <w:rsid w:val="00F26AE5"/>
    <w:rsid w:val="00F300EE"/>
    <w:rsid w:val="00F30475"/>
    <w:rsid w:val="00F3286B"/>
    <w:rsid w:val="00F36BB4"/>
    <w:rsid w:val="00F5545D"/>
    <w:rsid w:val="00F56535"/>
    <w:rsid w:val="00F57FDC"/>
    <w:rsid w:val="00F72B56"/>
    <w:rsid w:val="00F77C92"/>
    <w:rsid w:val="00F81A6D"/>
    <w:rsid w:val="00F842BB"/>
    <w:rsid w:val="00F912F8"/>
    <w:rsid w:val="00F91542"/>
    <w:rsid w:val="00F925DC"/>
    <w:rsid w:val="00F94F60"/>
    <w:rsid w:val="00F97BA2"/>
    <w:rsid w:val="00FA182D"/>
    <w:rsid w:val="00FA2DE8"/>
    <w:rsid w:val="00FB488E"/>
    <w:rsid w:val="00FC03A8"/>
    <w:rsid w:val="00FC1C4E"/>
    <w:rsid w:val="00FC45CA"/>
    <w:rsid w:val="00FC4949"/>
    <w:rsid w:val="00FD0940"/>
    <w:rsid w:val="00FD4C4C"/>
    <w:rsid w:val="00FD6D8A"/>
    <w:rsid w:val="00FE0B14"/>
    <w:rsid w:val="00FE51B5"/>
    <w:rsid w:val="00FF21BA"/>
    <w:rsid w:val="00FF6E2F"/>
    <w:rsid w:val="00FF7C9C"/>
    <w:rsid w:val="014B59C4"/>
    <w:rsid w:val="016112D6"/>
    <w:rsid w:val="017D6536"/>
    <w:rsid w:val="01D22D73"/>
    <w:rsid w:val="02173325"/>
    <w:rsid w:val="02226048"/>
    <w:rsid w:val="02732FC7"/>
    <w:rsid w:val="02773EFF"/>
    <w:rsid w:val="027C6F02"/>
    <w:rsid w:val="02ED607A"/>
    <w:rsid w:val="030C692F"/>
    <w:rsid w:val="03226AEC"/>
    <w:rsid w:val="033903DC"/>
    <w:rsid w:val="034C1626"/>
    <w:rsid w:val="035A749C"/>
    <w:rsid w:val="036D6D3F"/>
    <w:rsid w:val="03734DAF"/>
    <w:rsid w:val="03DB33A8"/>
    <w:rsid w:val="03F01760"/>
    <w:rsid w:val="040D2844"/>
    <w:rsid w:val="041A356D"/>
    <w:rsid w:val="041D16B0"/>
    <w:rsid w:val="04344E29"/>
    <w:rsid w:val="04462A2D"/>
    <w:rsid w:val="04536FEB"/>
    <w:rsid w:val="04760905"/>
    <w:rsid w:val="049C7102"/>
    <w:rsid w:val="04C03364"/>
    <w:rsid w:val="051E49B4"/>
    <w:rsid w:val="053D1A98"/>
    <w:rsid w:val="057216C1"/>
    <w:rsid w:val="05835ADA"/>
    <w:rsid w:val="058773F0"/>
    <w:rsid w:val="05B403EF"/>
    <w:rsid w:val="05B57683"/>
    <w:rsid w:val="05BD7390"/>
    <w:rsid w:val="05C92D52"/>
    <w:rsid w:val="05CD44E5"/>
    <w:rsid w:val="05D07DD5"/>
    <w:rsid w:val="05FA79B6"/>
    <w:rsid w:val="0658208E"/>
    <w:rsid w:val="06951704"/>
    <w:rsid w:val="06971DFC"/>
    <w:rsid w:val="06A25C10"/>
    <w:rsid w:val="06C969ED"/>
    <w:rsid w:val="06D7776B"/>
    <w:rsid w:val="06D862FC"/>
    <w:rsid w:val="06FD5BFE"/>
    <w:rsid w:val="06FE0EC1"/>
    <w:rsid w:val="071456A3"/>
    <w:rsid w:val="075C2077"/>
    <w:rsid w:val="076818BC"/>
    <w:rsid w:val="07733B91"/>
    <w:rsid w:val="079762CA"/>
    <w:rsid w:val="07A15D2B"/>
    <w:rsid w:val="07AA0205"/>
    <w:rsid w:val="07BF77A2"/>
    <w:rsid w:val="07C9776C"/>
    <w:rsid w:val="07E444FD"/>
    <w:rsid w:val="081814EE"/>
    <w:rsid w:val="082217DB"/>
    <w:rsid w:val="083D5A28"/>
    <w:rsid w:val="0843070D"/>
    <w:rsid w:val="08535457"/>
    <w:rsid w:val="0858590A"/>
    <w:rsid w:val="086B5E23"/>
    <w:rsid w:val="0871761E"/>
    <w:rsid w:val="087D6200"/>
    <w:rsid w:val="08967EF4"/>
    <w:rsid w:val="08AA2913"/>
    <w:rsid w:val="090003D3"/>
    <w:rsid w:val="091C5483"/>
    <w:rsid w:val="091F4213"/>
    <w:rsid w:val="09266680"/>
    <w:rsid w:val="092B3AA5"/>
    <w:rsid w:val="096F6B1F"/>
    <w:rsid w:val="0977503D"/>
    <w:rsid w:val="097F2F05"/>
    <w:rsid w:val="09890D75"/>
    <w:rsid w:val="09A43AAF"/>
    <w:rsid w:val="09C04E7F"/>
    <w:rsid w:val="09C26186"/>
    <w:rsid w:val="09C83C7C"/>
    <w:rsid w:val="09C84F2E"/>
    <w:rsid w:val="09D26E9E"/>
    <w:rsid w:val="09DB09D9"/>
    <w:rsid w:val="0A0327C9"/>
    <w:rsid w:val="0A0E0FAB"/>
    <w:rsid w:val="0A2D1C4E"/>
    <w:rsid w:val="0A4501D0"/>
    <w:rsid w:val="0A9A0B25"/>
    <w:rsid w:val="0AB06729"/>
    <w:rsid w:val="0ADD271D"/>
    <w:rsid w:val="0AE27B54"/>
    <w:rsid w:val="0B137008"/>
    <w:rsid w:val="0B1A304A"/>
    <w:rsid w:val="0B2659C9"/>
    <w:rsid w:val="0B2850EF"/>
    <w:rsid w:val="0B4617EB"/>
    <w:rsid w:val="0B761D2E"/>
    <w:rsid w:val="0B8A3E5D"/>
    <w:rsid w:val="0BB21E7F"/>
    <w:rsid w:val="0BC549C0"/>
    <w:rsid w:val="0BCA75F4"/>
    <w:rsid w:val="0BDD184A"/>
    <w:rsid w:val="0C255C20"/>
    <w:rsid w:val="0C3242C1"/>
    <w:rsid w:val="0C415202"/>
    <w:rsid w:val="0C6D04EF"/>
    <w:rsid w:val="0C6D26E0"/>
    <w:rsid w:val="0C713EDC"/>
    <w:rsid w:val="0C8C4513"/>
    <w:rsid w:val="0CB50611"/>
    <w:rsid w:val="0CB8152D"/>
    <w:rsid w:val="0CC12883"/>
    <w:rsid w:val="0CDC62D9"/>
    <w:rsid w:val="0CE110F5"/>
    <w:rsid w:val="0CE97D42"/>
    <w:rsid w:val="0CF65847"/>
    <w:rsid w:val="0CFB37CE"/>
    <w:rsid w:val="0D0E6A12"/>
    <w:rsid w:val="0D1C208D"/>
    <w:rsid w:val="0D270A79"/>
    <w:rsid w:val="0D3003BB"/>
    <w:rsid w:val="0D8C0E6C"/>
    <w:rsid w:val="0D9D4236"/>
    <w:rsid w:val="0DBF3AB3"/>
    <w:rsid w:val="0DC73EE1"/>
    <w:rsid w:val="0DF4303C"/>
    <w:rsid w:val="0E00312F"/>
    <w:rsid w:val="0E050047"/>
    <w:rsid w:val="0E0C7BEA"/>
    <w:rsid w:val="0E1F05F1"/>
    <w:rsid w:val="0E697A11"/>
    <w:rsid w:val="0E7B1E22"/>
    <w:rsid w:val="0E852BBD"/>
    <w:rsid w:val="0E8D3F05"/>
    <w:rsid w:val="0E9F2C62"/>
    <w:rsid w:val="0EA85DD5"/>
    <w:rsid w:val="0EBE28C7"/>
    <w:rsid w:val="0EFB695E"/>
    <w:rsid w:val="0F092725"/>
    <w:rsid w:val="0F151962"/>
    <w:rsid w:val="0F1D5075"/>
    <w:rsid w:val="0F393146"/>
    <w:rsid w:val="0F6730EF"/>
    <w:rsid w:val="0F6A552D"/>
    <w:rsid w:val="0F7F7161"/>
    <w:rsid w:val="0F8825FE"/>
    <w:rsid w:val="0F9E34E7"/>
    <w:rsid w:val="0FD267F8"/>
    <w:rsid w:val="0FE27276"/>
    <w:rsid w:val="10142258"/>
    <w:rsid w:val="10151527"/>
    <w:rsid w:val="10186493"/>
    <w:rsid w:val="10255A96"/>
    <w:rsid w:val="102C44BA"/>
    <w:rsid w:val="102D777C"/>
    <w:rsid w:val="103146F4"/>
    <w:rsid w:val="10441341"/>
    <w:rsid w:val="104629EE"/>
    <w:rsid w:val="10555EB3"/>
    <w:rsid w:val="106D2AF9"/>
    <w:rsid w:val="109E7E4C"/>
    <w:rsid w:val="10BB477A"/>
    <w:rsid w:val="10CD3182"/>
    <w:rsid w:val="10EB3BC9"/>
    <w:rsid w:val="10F339E6"/>
    <w:rsid w:val="11011704"/>
    <w:rsid w:val="11030B0E"/>
    <w:rsid w:val="11150EB5"/>
    <w:rsid w:val="112D72CF"/>
    <w:rsid w:val="114164E4"/>
    <w:rsid w:val="1146407A"/>
    <w:rsid w:val="115F75F5"/>
    <w:rsid w:val="11627D80"/>
    <w:rsid w:val="116B61DC"/>
    <w:rsid w:val="11AA2A11"/>
    <w:rsid w:val="11F9750A"/>
    <w:rsid w:val="121B50F2"/>
    <w:rsid w:val="122322B4"/>
    <w:rsid w:val="12244889"/>
    <w:rsid w:val="1229203C"/>
    <w:rsid w:val="12314B3B"/>
    <w:rsid w:val="12423BB7"/>
    <w:rsid w:val="12424081"/>
    <w:rsid w:val="12465F57"/>
    <w:rsid w:val="125D1EBC"/>
    <w:rsid w:val="12634EE2"/>
    <w:rsid w:val="12792ACA"/>
    <w:rsid w:val="12834931"/>
    <w:rsid w:val="128F1DEE"/>
    <w:rsid w:val="12A35D3F"/>
    <w:rsid w:val="12E66B13"/>
    <w:rsid w:val="12F97A30"/>
    <w:rsid w:val="13085B4B"/>
    <w:rsid w:val="134F26AD"/>
    <w:rsid w:val="1358602A"/>
    <w:rsid w:val="13836E43"/>
    <w:rsid w:val="139258B1"/>
    <w:rsid w:val="13BA14A8"/>
    <w:rsid w:val="13C3175C"/>
    <w:rsid w:val="13D572A6"/>
    <w:rsid w:val="13DA4BC9"/>
    <w:rsid w:val="13F01FEC"/>
    <w:rsid w:val="13F92873"/>
    <w:rsid w:val="13FB7DA2"/>
    <w:rsid w:val="14105105"/>
    <w:rsid w:val="141A2FA7"/>
    <w:rsid w:val="144446D2"/>
    <w:rsid w:val="146648E6"/>
    <w:rsid w:val="14756EAE"/>
    <w:rsid w:val="14793C29"/>
    <w:rsid w:val="149E5CCD"/>
    <w:rsid w:val="14AF68B5"/>
    <w:rsid w:val="14D862BF"/>
    <w:rsid w:val="15021ADF"/>
    <w:rsid w:val="150349EB"/>
    <w:rsid w:val="15293B94"/>
    <w:rsid w:val="153C4786"/>
    <w:rsid w:val="15445EE2"/>
    <w:rsid w:val="15497FA9"/>
    <w:rsid w:val="15527EAA"/>
    <w:rsid w:val="157A6C82"/>
    <w:rsid w:val="159C79C4"/>
    <w:rsid w:val="15C85BE9"/>
    <w:rsid w:val="15CD3579"/>
    <w:rsid w:val="15DD4663"/>
    <w:rsid w:val="15E72A42"/>
    <w:rsid w:val="15E95F71"/>
    <w:rsid w:val="15FC5BAA"/>
    <w:rsid w:val="16160C7D"/>
    <w:rsid w:val="16260200"/>
    <w:rsid w:val="162942E2"/>
    <w:rsid w:val="163060C7"/>
    <w:rsid w:val="16333AF7"/>
    <w:rsid w:val="16571FC5"/>
    <w:rsid w:val="165D175C"/>
    <w:rsid w:val="166439E4"/>
    <w:rsid w:val="16716DB0"/>
    <w:rsid w:val="16802460"/>
    <w:rsid w:val="169B210B"/>
    <w:rsid w:val="16A47DEA"/>
    <w:rsid w:val="16D27E10"/>
    <w:rsid w:val="16F14098"/>
    <w:rsid w:val="1702448D"/>
    <w:rsid w:val="17120E17"/>
    <w:rsid w:val="17216096"/>
    <w:rsid w:val="17370130"/>
    <w:rsid w:val="173E5A8E"/>
    <w:rsid w:val="17467807"/>
    <w:rsid w:val="174D3001"/>
    <w:rsid w:val="17567D81"/>
    <w:rsid w:val="17960D99"/>
    <w:rsid w:val="17996F7E"/>
    <w:rsid w:val="17F976C8"/>
    <w:rsid w:val="18133DE7"/>
    <w:rsid w:val="1814654C"/>
    <w:rsid w:val="181A0ECB"/>
    <w:rsid w:val="181A13CF"/>
    <w:rsid w:val="184603C8"/>
    <w:rsid w:val="18476220"/>
    <w:rsid w:val="18554901"/>
    <w:rsid w:val="18941813"/>
    <w:rsid w:val="18A91835"/>
    <w:rsid w:val="18B231B0"/>
    <w:rsid w:val="18D433F1"/>
    <w:rsid w:val="190B169F"/>
    <w:rsid w:val="19142E81"/>
    <w:rsid w:val="19374FE9"/>
    <w:rsid w:val="194F1C72"/>
    <w:rsid w:val="196D3AEA"/>
    <w:rsid w:val="1980320B"/>
    <w:rsid w:val="198A184F"/>
    <w:rsid w:val="19AB77E4"/>
    <w:rsid w:val="19C96B2F"/>
    <w:rsid w:val="19D416CC"/>
    <w:rsid w:val="1A6457C7"/>
    <w:rsid w:val="1A6E20CA"/>
    <w:rsid w:val="1A7355EC"/>
    <w:rsid w:val="1A9408F1"/>
    <w:rsid w:val="1AAD2658"/>
    <w:rsid w:val="1AB1359F"/>
    <w:rsid w:val="1AB77271"/>
    <w:rsid w:val="1AC90731"/>
    <w:rsid w:val="1AF328E2"/>
    <w:rsid w:val="1B043E62"/>
    <w:rsid w:val="1B167AAD"/>
    <w:rsid w:val="1B1C31B5"/>
    <w:rsid w:val="1B214EF9"/>
    <w:rsid w:val="1B3217E3"/>
    <w:rsid w:val="1B537E2A"/>
    <w:rsid w:val="1B601236"/>
    <w:rsid w:val="1B836D12"/>
    <w:rsid w:val="1BAC69E8"/>
    <w:rsid w:val="1BD462F1"/>
    <w:rsid w:val="1BEB5462"/>
    <w:rsid w:val="1BF45FE2"/>
    <w:rsid w:val="1BF95F01"/>
    <w:rsid w:val="1BFB2368"/>
    <w:rsid w:val="1C232F93"/>
    <w:rsid w:val="1C7260FE"/>
    <w:rsid w:val="1C7B7E29"/>
    <w:rsid w:val="1C80381A"/>
    <w:rsid w:val="1C841A54"/>
    <w:rsid w:val="1C9104C5"/>
    <w:rsid w:val="1C98462B"/>
    <w:rsid w:val="1CAD663B"/>
    <w:rsid w:val="1CC817AA"/>
    <w:rsid w:val="1CC9328C"/>
    <w:rsid w:val="1CD05BC3"/>
    <w:rsid w:val="1CD36677"/>
    <w:rsid w:val="1CD36C67"/>
    <w:rsid w:val="1CEE22CD"/>
    <w:rsid w:val="1CF2645B"/>
    <w:rsid w:val="1D08124A"/>
    <w:rsid w:val="1D6B3E87"/>
    <w:rsid w:val="1D7770A7"/>
    <w:rsid w:val="1DAA15B9"/>
    <w:rsid w:val="1DEF2456"/>
    <w:rsid w:val="1DEF6C32"/>
    <w:rsid w:val="1E057283"/>
    <w:rsid w:val="1E0A02DE"/>
    <w:rsid w:val="1E0F6DAD"/>
    <w:rsid w:val="1E310AC0"/>
    <w:rsid w:val="1E392CA5"/>
    <w:rsid w:val="1E4723AB"/>
    <w:rsid w:val="1E647CE0"/>
    <w:rsid w:val="1E697E63"/>
    <w:rsid w:val="1E7365A2"/>
    <w:rsid w:val="1E7E566C"/>
    <w:rsid w:val="1E934CA0"/>
    <w:rsid w:val="1EB41A51"/>
    <w:rsid w:val="1EDC56D0"/>
    <w:rsid w:val="1EDD0E9A"/>
    <w:rsid w:val="1EE42CC4"/>
    <w:rsid w:val="1EF70A93"/>
    <w:rsid w:val="1EFB79A5"/>
    <w:rsid w:val="1F132999"/>
    <w:rsid w:val="1F1414CD"/>
    <w:rsid w:val="1F3355E6"/>
    <w:rsid w:val="1F4D413C"/>
    <w:rsid w:val="1F6349E0"/>
    <w:rsid w:val="1F8B2EDA"/>
    <w:rsid w:val="1FA27046"/>
    <w:rsid w:val="1FB51544"/>
    <w:rsid w:val="1FBC7BA6"/>
    <w:rsid w:val="1FC81134"/>
    <w:rsid w:val="1FE4722A"/>
    <w:rsid w:val="1FEE16D5"/>
    <w:rsid w:val="1FEF3C1D"/>
    <w:rsid w:val="20010675"/>
    <w:rsid w:val="20355C49"/>
    <w:rsid w:val="204C6159"/>
    <w:rsid w:val="205C32C5"/>
    <w:rsid w:val="2060182E"/>
    <w:rsid w:val="2079420A"/>
    <w:rsid w:val="20993516"/>
    <w:rsid w:val="20AB02D2"/>
    <w:rsid w:val="20AC7170"/>
    <w:rsid w:val="20DB034D"/>
    <w:rsid w:val="20E03657"/>
    <w:rsid w:val="20E03C5A"/>
    <w:rsid w:val="21164525"/>
    <w:rsid w:val="21164BB7"/>
    <w:rsid w:val="214034AC"/>
    <w:rsid w:val="21460966"/>
    <w:rsid w:val="21521F9B"/>
    <w:rsid w:val="216D1B64"/>
    <w:rsid w:val="2172733D"/>
    <w:rsid w:val="21772438"/>
    <w:rsid w:val="217D3D08"/>
    <w:rsid w:val="21922762"/>
    <w:rsid w:val="21B827B3"/>
    <w:rsid w:val="21E85269"/>
    <w:rsid w:val="21E9265E"/>
    <w:rsid w:val="21EC6E6E"/>
    <w:rsid w:val="227337F9"/>
    <w:rsid w:val="22976004"/>
    <w:rsid w:val="22AD05E9"/>
    <w:rsid w:val="22B760DA"/>
    <w:rsid w:val="22CC738F"/>
    <w:rsid w:val="22E128AE"/>
    <w:rsid w:val="23112B39"/>
    <w:rsid w:val="233835C5"/>
    <w:rsid w:val="23407247"/>
    <w:rsid w:val="234B1CAB"/>
    <w:rsid w:val="23511F64"/>
    <w:rsid w:val="237A4F01"/>
    <w:rsid w:val="237E1AD3"/>
    <w:rsid w:val="2380670A"/>
    <w:rsid w:val="2382393F"/>
    <w:rsid w:val="23873306"/>
    <w:rsid w:val="239D1E65"/>
    <w:rsid w:val="239E5267"/>
    <w:rsid w:val="23A205FB"/>
    <w:rsid w:val="23BD0E6E"/>
    <w:rsid w:val="23F74B28"/>
    <w:rsid w:val="241D3873"/>
    <w:rsid w:val="24322081"/>
    <w:rsid w:val="2435202D"/>
    <w:rsid w:val="243B207D"/>
    <w:rsid w:val="247227FE"/>
    <w:rsid w:val="24770708"/>
    <w:rsid w:val="24806DD5"/>
    <w:rsid w:val="248A751B"/>
    <w:rsid w:val="24B046D2"/>
    <w:rsid w:val="24CD37EF"/>
    <w:rsid w:val="25625CBA"/>
    <w:rsid w:val="256B0295"/>
    <w:rsid w:val="258C7DCD"/>
    <w:rsid w:val="25D23782"/>
    <w:rsid w:val="25D627EE"/>
    <w:rsid w:val="25E0086E"/>
    <w:rsid w:val="25F3278A"/>
    <w:rsid w:val="25F669AD"/>
    <w:rsid w:val="25FF3F02"/>
    <w:rsid w:val="263261A6"/>
    <w:rsid w:val="26497D54"/>
    <w:rsid w:val="264A5E47"/>
    <w:rsid w:val="2666519E"/>
    <w:rsid w:val="267F430E"/>
    <w:rsid w:val="26B11693"/>
    <w:rsid w:val="26CE40E8"/>
    <w:rsid w:val="26E4628D"/>
    <w:rsid w:val="26EB3E18"/>
    <w:rsid w:val="27190456"/>
    <w:rsid w:val="271B5418"/>
    <w:rsid w:val="2751737D"/>
    <w:rsid w:val="275E0818"/>
    <w:rsid w:val="2773556E"/>
    <w:rsid w:val="27903436"/>
    <w:rsid w:val="279A76A1"/>
    <w:rsid w:val="27D97E7A"/>
    <w:rsid w:val="280A3003"/>
    <w:rsid w:val="28251B64"/>
    <w:rsid w:val="283516A1"/>
    <w:rsid w:val="28582675"/>
    <w:rsid w:val="288B2DEF"/>
    <w:rsid w:val="28A76486"/>
    <w:rsid w:val="28C5149D"/>
    <w:rsid w:val="28DD5426"/>
    <w:rsid w:val="28ED6D28"/>
    <w:rsid w:val="28F21B1A"/>
    <w:rsid w:val="29316ECD"/>
    <w:rsid w:val="29437897"/>
    <w:rsid w:val="296377AE"/>
    <w:rsid w:val="298C0334"/>
    <w:rsid w:val="298E359D"/>
    <w:rsid w:val="29987707"/>
    <w:rsid w:val="29B126C5"/>
    <w:rsid w:val="29B20460"/>
    <w:rsid w:val="29B97051"/>
    <w:rsid w:val="29D2398D"/>
    <w:rsid w:val="2A23537C"/>
    <w:rsid w:val="2A5052A8"/>
    <w:rsid w:val="2A5C37EC"/>
    <w:rsid w:val="2A6A4C3D"/>
    <w:rsid w:val="2A950755"/>
    <w:rsid w:val="2AB00DF8"/>
    <w:rsid w:val="2AB51265"/>
    <w:rsid w:val="2ABA1F7B"/>
    <w:rsid w:val="2ABF42D8"/>
    <w:rsid w:val="2AC828C0"/>
    <w:rsid w:val="2ACE3E7A"/>
    <w:rsid w:val="2ACF5E1D"/>
    <w:rsid w:val="2B055F89"/>
    <w:rsid w:val="2B0E6658"/>
    <w:rsid w:val="2B0F5B2F"/>
    <w:rsid w:val="2B9D6077"/>
    <w:rsid w:val="2BBC0510"/>
    <w:rsid w:val="2BDD0C35"/>
    <w:rsid w:val="2BE272A4"/>
    <w:rsid w:val="2BEA2F35"/>
    <w:rsid w:val="2C4059A8"/>
    <w:rsid w:val="2C8D3A10"/>
    <w:rsid w:val="2C900DEA"/>
    <w:rsid w:val="2CB50564"/>
    <w:rsid w:val="2CF64078"/>
    <w:rsid w:val="2D0179B4"/>
    <w:rsid w:val="2D064DB4"/>
    <w:rsid w:val="2D080716"/>
    <w:rsid w:val="2D0A1A76"/>
    <w:rsid w:val="2D104C82"/>
    <w:rsid w:val="2D2729B8"/>
    <w:rsid w:val="2D6D47BF"/>
    <w:rsid w:val="2D7425DA"/>
    <w:rsid w:val="2D832E86"/>
    <w:rsid w:val="2D9B4FF3"/>
    <w:rsid w:val="2D9F5B83"/>
    <w:rsid w:val="2DA573B5"/>
    <w:rsid w:val="2DB672B3"/>
    <w:rsid w:val="2DBA5B41"/>
    <w:rsid w:val="2DD46642"/>
    <w:rsid w:val="2DE205F9"/>
    <w:rsid w:val="2DEB4B1F"/>
    <w:rsid w:val="2DFE5362"/>
    <w:rsid w:val="2E182840"/>
    <w:rsid w:val="2E1B51DF"/>
    <w:rsid w:val="2E223A06"/>
    <w:rsid w:val="2E6060BF"/>
    <w:rsid w:val="2E911DB7"/>
    <w:rsid w:val="2EB95C82"/>
    <w:rsid w:val="2EEC07E9"/>
    <w:rsid w:val="2EED4CAB"/>
    <w:rsid w:val="2F504C75"/>
    <w:rsid w:val="2F5B3A23"/>
    <w:rsid w:val="2F6847CC"/>
    <w:rsid w:val="2F6F5DFA"/>
    <w:rsid w:val="2F721191"/>
    <w:rsid w:val="2F8642FA"/>
    <w:rsid w:val="2F873739"/>
    <w:rsid w:val="2FBD142E"/>
    <w:rsid w:val="2FD32547"/>
    <w:rsid w:val="2FEE19D7"/>
    <w:rsid w:val="2FEE382A"/>
    <w:rsid w:val="30462AC7"/>
    <w:rsid w:val="30647499"/>
    <w:rsid w:val="306F7AFF"/>
    <w:rsid w:val="3076527D"/>
    <w:rsid w:val="30800559"/>
    <w:rsid w:val="30813544"/>
    <w:rsid w:val="309218CB"/>
    <w:rsid w:val="30AC1480"/>
    <w:rsid w:val="30B37537"/>
    <w:rsid w:val="30B83972"/>
    <w:rsid w:val="30BB1D78"/>
    <w:rsid w:val="30C34333"/>
    <w:rsid w:val="30CA6D7C"/>
    <w:rsid w:val="30CD4B79"/>
    <w:rsid w:val="30E9200A"/>
    <w:rsid w:val="30ED7C7A"/>
    <w:rsid w:val="30F744A7"/>
    <w:rsid w:val="31230025"/>
    <w:rsid w:val="31297680"/>
    <w:rsid w:val="316424B8"/>
    <w:rsid w:val="318221D9"/>
    <w:rsid w:val="31854E25"/>
    <w:rsid w:val="318919AC"/>
    <w:rsid w:val="31923CFB"/>
    <w:rsid w:val="31AA053F"/>
    <w:rsid w:val="31AA2DBE"/>
    <w:rsid w:val="31B675CB"/>
    <w:rsid w:val="31B75288"/>
    <w:rsid w:val="31B822BD"/>
    <w:rsid w:val="31C723F8"/>
    <w:rsid w:val="31CC2DC4"/>
    <w:rsid w:val="31D74304"/>
    <w:rsid w:val="31DB7F5B"/>
    <w:rsid w:val="31E6063B"/>
    <w:rsid w:val="31F36D99"/>
    <w:rsid w:val="31F41438"/>
    <w:rsid w:val="320B6517"/>
    <w:rsid w:val="3225455D"/>
    <w:rsid w:val="323A066E"/>
    <w:rsid w:val="32552FBE"/>
    <w:rsid w:val="327C53DB"/>
    <w:rsid w:val="329A32AA"/>
    <w:rsid w:val="32AC050F"/>
    <w:rsid w:val="32C2684A"/>
    <w:rsid w:val="32D97C5A"/>
    <w:rsid w:val="32E34610"/>
    <w:rsid w:val="33357ADB"/>
    <w:rsid w:val="334A3424"/>
    <w:rsid w:val="33751167"/>
    <w:rsid w:val="33842F00"/>
    <w:rsid w:val="3391505C"/>
    <w:rsid w:val="33932100"/>
    <w:rsid w:val="33975BDD"/>
    <w:rsid w:val="33AE1778"/>
    <w:rsid w:val="33E41A2F"/>
    <w:rsid w:val="33F4509C"/>
    <w:rsid w:val="34154FF4"/>
    <w:rsid w:val="34174565"/>
    <w:rsid w:val="341F7929"/>
    <w:rsid w:val="3447300A"/>
    <w:rsid w:val="34755A57"/>
    <w:rsid w:val="347C71AA"/>
    <w:rsid w:val="34883C5A"/>
    <w:rsid w:val="34906A27"/>
    <w:rsid w:val="349A2954"/>
    <w:rsid w:val="349A6F3A"/>
    <w:rsid w:val="34A24F15"/>
    <w:rsid w:val="34B25BED"/>
    <w:rsid w:val="34C91326"/>
    <w:rsid w:val="34CB203F"/>
    <w:rsid w:val="34D70C60"/>
    <w:rsid w:val="350204A8"/>
    <w:rsid w:val="35335233"/>
    <w:rsid w:val="354802EF"/>
    <w:rsid w:val="35553F8B"/>
    <w:rsid w:val="35751CA7"/>
    <w:rsid w:val="3586021D"/>
    <w:rsid w:val="35B63C7F"/>
    <w:rsid w:val="35C80F92"/>
    <w:rsid w:val="36022840"/>
    <w:rsid w:val="360369A7"/>
    <w:rsid w:val="360906DB"/>
    <w:rsid w:val="360B589E"/>
    <w:rsid w:val="360F7CA3"/>
    <w:rsid w:val="363B44C3"/>
    <w:rsid w:val="36582F22"/>
    <w:rsid w:val="365B57EC"/>
    <w:rsid w:val="36833BD0"/>
    <w:rsid w:val="36A45E44"/>
    <w:rsid w:val="36C2489F"/>
    <w:rsid w:val="36CD2C86"/>
    <w:rsid w:val="36FB0EB1"/>
    <w:rsid w:val="37171A61"/>
    <w:rsid w:val="371B1198"/>
    <w:rsid w:val="37353037"/>
    <w:rsid w:val="374A2B5F"/>
    <w:rsid w:val="374E24CB"/>
    <w:rsid w:val="375215D4"/>
    <w:rsid w:val="37693C5E"/>
    <w:rsid w:val="376F432A"/>
    <w:rsid w:val="377C1279"/>
    <w:rsid w:val="379260FC"/>
    <w:rsid w:val="3795110B"/>
    <w:rsid w:val="37CD22FE"/>
    <w:rsid w:val="37DC29BD"/>
    <w:rsid w:val="37E069AD"/>
    <w:rsid w:val="37EB7752"/>
    <w:rsid w:val="38047F0C"/>
    <w:rsid w:val="38071559"/>
    <w:rsid w:val="3814692B"/>
    <w:rsid w:val="382C19CC"/>
    <w:rsid w:val="38321A93"/>
    <w:rsid w:val="383F0A7A"/>
    <w:rsid w:val="385E5194"/>
    <w:rsid w:val="38627200"/>
    <w:rsid w:val="38760693"/>
    <w:rsid w:val="38827653"/>
    <w:rsid w:val="38A4775F"/>
    <w:rsid w:val="38B5527D"/>
    <w:rsid w:val="38C84013"/>
    <w:rsid w:val="38D4266A"/>
    <w:rsid w:val="38D57478"/>
    <w:rsid w:val="38FA60E3"/>
    <w:rsid w:val="390D5F4E"/>
    <w:rsid w:val="3920714F"/>
    <w:rsid w:val="39253F2D"/>
    <w:rsid w:val="39310E6B"/>
    <w:rsid w:val="395B061D"/>
    <w:rsid w:val="396A2E4F"/>
    <w:rsid w:val="3971009D"/>
    <w:rsid w:val="397F535D"/>
    <w:rsid w:val="39846E34"/>
    <w:rsid w:val="39AA520D"/>
    <w:rsid w:val="39AF369C"/>
    <w:rsid w:val="39C25E63"/>
    <w:rsid w:val="39E67919"/>
    <w:rsid w:val="3A027C98"/>
    <w:rsid w:val="3A0704E3"/>
    <w:rsid w:val="3A0D004A"/>
    <w:rsid w:val="3A102962"/>
    <w:rsid w:val="3A106031"/>
    <w:rsid w:val="3A192348"/>
    <w:rsid w:val="3A2B72FA"/>
    <w:rsid w:val="3A345C5F"/>
    <w:rsid w:val="3A60216A"/>
    <w:rsid w:val="3A9B7623"/>
    <w:rsid w:val="3AEF09B2"/>
    <w:rsid w:val="3AF31D8B"/>
    <w:rsid w:val="3B3B655B"/>
    <w:rsid w:val="3B4553E1"/>
    <w:rsid w:val="3B7504BA"/>
    <w:rsid w:val="3B7C41E3"/>
    <w:rsid w:val="3B8C27B5"/>
    <w:rsid w:val="3B8F652F"/>
    <w:rsid w:val="3B9626B9"/>
    <w:rsid w:val="3BA2521E"/>
    <w:rsid w:val="3BA80FE3"/>
    <w:rsid w:val="3BAE1280"/>
    <w:rsid w:val="3BAF3300"/>
    <w:rsid w:val="3BBB113C"/>
    <w:rsid w:val="3BC67BCC"/>
    <w:rsid w:val="3BCB5491"/>
    <w:rsid w:val="3BEF153F"/>
    <w:rsid w:val="3C0B37FF"/>
    <w:rsid w:val="3C121B84"/>
    <w:rsid w:val="3C1B7F49"/>
    <w:rsid w:val="3C1D10FD"/>
    <w:rsid w:val="3C2B66CB"/>
    <w:rsid w:val="3C2B7D37"/>
    <w:rsid w:val="3C2F1A88"/>
    <w:rsid w:val="3C3C1A5E"/>
    <w:rsid w:val="3C5F16AE"/>
    <w:rsid w:val="3C9B5554"/>
    <w:rsid w:val="3CAB423A"/>
    <w:rsid w:val="3CC2185C"/>
    <w:rsid w:val="3CC459E0"/>
    <w:rsid w:val="3CDF2AF8"/>
    <w:rsid w:val="3CF15B15"/>
    <w:rsid w:val="3D09319C"/>
    <w:rsid w:val="3D1054EF"/>
    <w:rsid w:val="3D1671F4"/>
    <w:rsid w:val="3D2A0A24"/>
    <w:rsid w:val="3D3242E5"/>
    <w:rsid w:val="3D505F2C"/>
    <w:rsid w:val="3D517080"/>
    <w:rsid w:val="3D53375B"/>
    <w:rsid w:val="3D67326E"/>
    <w:rsid w:val="3D692595"/>
    <w:rsid w:val="3D8B01B2"/>
    <w:rsid w:val="3D9F3493"/>
    <w:rsid w:val="3DAF57EC"/>
    <w:rsid w:val="3DC60041"/>
    <w:rsid w:val="3DD13E5F"/>
    <w:rsid w:val="3DD97EE5"/>
    <w:rsid w:val="3DEC1D6B"/>
    <w:rsid w:val="3DF75A75"/>
    <w:rsid w:val="3E00222E"/>
    <w:rsid w:val="3E2C611D"/>
    <w:rsid w:val="3E3E3251"/>
    <w:rsid w:val="3E3F0D54"/>
    <w:rsid w:val="3E4B77EE"/>
    <w:rsid w:val="3E724FE0"/>
    <w:rsid w:val="3E863989"/>
    <w:rsid w:val="3EB70D6E"/>
    <w:rsid w:val="3EBB7D61"/>
    <w:rsid w:val="3EC84256"/>
    <w:rsid w:val="3ECA56C9"/>
    <w:rsid w:val="3EDD7695"/>
    <w:rsid w:val="3EED529A"/>
    <w:rsid w:val="3F152EC6"/>
    <w:rsid w:val="3F1D7570"/>
    <w:rsid w:val="3F2009D9"/>
    <w:rsid w:val="3F415C29"/>
    <w:rsid w:val="3F4B5CC7"/>
    <w:rsid w:val="3F714C4F"/>
    <w:rsid w:val="3F794241"/>
    <w:rsid w:val="3FA3066F"/>
    <w:rsid w:val="3FC00421"/>
    <w:rsid w:val="3FCC6172"/>
    <w:rsid w:val="3FD34554"/>
    <w:rsid w:val="3FEA5070"/>
    <w:rsid w:val="400310CA"/>
    <w:rsid w:val="40194641"/>
    <w:rsid w:val="40194AA1"/>
    <w:rsid w:val="4024770E"/>
    <w:rsid w:val="404050D1"/>
    <w:rsid w:val="40540C62"/>
    <w:rsid w:val="40541C88"/>
    <w:rsid w:val="405A65B0"/>
    <w:rsid w:val="407A7B02"/>
    <w:rsid w:val="408122CB"/>
    <w:rsid w:val="40835200"/>
    <w:rsid w:val="408451EF"/>
    <w:rsid w:val="408F525F"/>
    <w:rsid w:val="409E1FB7"/>
    <w:rsid w:val="40BB2A6B"/>
    <w:rsid w:val="40E757A8"/>
    <w:rsid w:val="40F3104F"/>
    <w:rsid w:val="41087DE6"/>
    <w:rsid w:val="410F793A"/>
    <w:rsid w:val="41225DD4"/>
    <w:rsid w:val="41353120"/>
    <w:rsid w:val="414B1D63"/>
    <w:rsid w:val="415E0D9F"/>
    <w:rsid w:val="416F7E02"/>
    <w:rsid w:val="417A1E24"/>
    <w:rsid w:val="419845CC"/>
    <w:rsid w:val="419E1428"/>
    <w:rsid w:val="419F25DF"/>
    <w:rsid w:val="41DF2E16"/>
    <w:rsid w:val="41F022D8"/>
    <w:rsid w:val="41F86111"/>
    <w:rsid w:val="420826FE"/>
    <w:rsid w:val="420D42ED"/>
    <w:rsid w:val="42277EE6"/>
    <w:rsid w:val="423660DD"/>
    <w:rsid w:val="424B3349"/>
    <w:rsid w:val="42646A2A"/>
    <w:rsid w:val="42673BA8"/>
    <w:rsid w:val="426B6082"/>
    <w:rsid w:val="426D63AB"/>
    <w:rsid w:val="427C1BCE"/>
    <w:rsid w:val="429266BC"/>
    <w:rsid w:val="42947A60"/>
    <w:rsid w:val="429E3F2B"/>
    <w:rsid w:val="42B55F73"/>
    <w:rsid w:val="42BB4770"/>
    <w:rsid w:val="42C22EB7"/>
    <w:rsid w:val="42D80C0F"/>
    <w:rsid w:val="42E55BEB"/>
    <w:rsid w:val="42EF018A"/>
    <w:rsid w:val="43080BEF"/>
    <w:rsid w:val="43260936"/>
    <w:rsid w:val="43543C5F"/>
    <w:rsid w:val="435A361E"/>
    <w:rsid w:val="435C422E"/>
    <w:rsid w:val="43763F63"/>
    <w:rsid w:val="437F7DBB"/>
    <w:rsid w:val="43852738"/>
    <w:rsid w:val="43920D5D"/>
    <w:rsid w:val="43A73868"/>
    <w:rsid w:val="43C24317"/>
    <w:rsid w:val="43CF7D53"/>
    <w:rsid w:val="43F85905"/>
    <w:rsid w:val="440D1EE3"/>
    <w:rsid w:val="44193456"/>
    <w:rsid w:val="447F37E0"/>
    <w:rsid w:val="448E4D15"/>
    <w:rsid w:val="44954D6B"/>
    <w:rsid w:val="44AC7D36"/>
    <w:rsid w:val="44AF50E0"/>
    <w:rsid w:val="44B1369F"/>
    <w:rsid w:val="44B525FA"/>
    <w:rsid w:val="44B94671"/>
    <w:rsid w:val="44BF6EB5"/>
    <w:rsid w:val="44CE2EBC"/>
    <w:rsid w:val="44D61CFD"/>
    <w:rsid w:val="44D76FF0"/>
    <w:rsid w:val="44DA741C"/>
    <w:rsid w:val="45203675"/>
    <w:rsid w:val="452C13E7"/>
    <w:rsid w:val="4552552A"/>
    <w:rsid w:val="45695E07"/>
    <w:rsid w:val="457708E5"/>
    <w:rsid w:val="459F638A"/>
    <w:rsid w:val="45B777DC"/>
    <w:rsid w:val="45BA4DAA"/>
    <w:rsid w:val="45C222E5"/>
    <w:rsid w:val="45C76D3A"/>
    <w:rsid w:val="45DB262E"/>
    <w:rsid w:val="45ED14B8"/>
    <w:rsid w:val="460035EE"/>
    <w:rsid w:val="46284DCF"/>
    <w:rsid w:val="464D7467"/>
    <w:rsid w:val="468564F8"/>
    <w:rsid w:val="46A94AA8"/>
    <w:rsid w:val="46A969BC"/>
    <w:rsid w:val="46AA2280"/>
    <w:rsid w:val="46AA7F77"/>
    <w:rsid w:val="46B02E51"/>
    <w:rsid w:val="46B737EE"/>
    <w:rsid w:val="46BF1656"/>
    <w:rsid w:val="46F53F1C"/>
    <w:rsid w:val="46FE334A"/>
    <w:rsid w:val="470D2793"/>
    <w:rsid w:val="472A768C"/>
    <w:rsid w:val="472E537B"/>
    <w:rsid w:val="475344A9"/>
    <w:rsid w:val="47762C67"/>
    <w:rsid w:val="478A2990"/>
    <w:rsid w:val="47936B11"/>
    <w:rsid w:val="47976D46"/>
    <w:rsid w:val="47977F0B"/>
    <w:rsid w:val="47A35EBC"/>
    <w:rsid w:val="47AF7AF4"/>
    <w:rsid w:val="47BB4AC7"/>
    <w:rsid w:val="47C1158A"/>
    <w:rsid w:val="47CF1B0C"/>
    <w:rsid w:val="47D9688A"/>
    <w:rsid w:val="47E51E85"/>
    <w:rsid w:val="48081DE8"/>
    <w:rsid w:val="48136B68"/>
    <w:rsid w:val="482E4643"/>
    <w:rsid w:val="484C1AC1"/>
    <w:rsid w:val="486A330A"/>
    <w:rsid w:val="487E66BC"/>
    <w:rsid w:val="48A522F6"/>
    <w:rsid w:val="48DA1A1C"/>
    <w:rsid w:val="48E81CE2"/>
    <w:rsid w:val="48F367D8"/>
    <w:rsid w:val="48FD17E4"/>
    <w:rsid w:val="491634A3"/>
    <w:rsid w:val="49266932"/>
    <w:rsid w:val="49486430"/>
    <w:rsid w:val="49551E03"/>
    <w:rsid w:val="495651F8"/>
    <w:rsid w:val="49686B16"/>
    <w:rsid w:val="49702F1B"/>
    <w:rsid w:val="497431B7"/>
    <w:rsid w:val="49800538"/>
    <w:rsid w:val="49827E6E"/>
    <w:rsid w:val="498364B9"/>
    <w:rsid w:val="49A63C84"/>
    <w:rsid w:val="49E33ED5"/>
    <w:rsid w:val="49E47B29"/>
    <w:rsid w:val="49E86F6F"/>
    <w:rsid w:val="4A393D4B"/>
    <w:rsid w:val="4A3A4FAF"/>
    <w:rsid w:val="4A51210E"/>
    <w:rsid w:val="4A552C14"/>
    <w:rsid w:val="4A5B38F6"/>
    <w:rsid w:val="4A6506D9"/>
    <w:rsid w:val="4A6B099E"/>
    <w:rsid w:val="4A6D3F41"/>
    <w:rsid w:val="4A7B0496"/>
    <w:rsid w:val="4A7D66F3"/>
    <w:rsid w:val="4A930045"/>
    <w:rsid w:val="4A9515F6"/>
    <w:rsid w:val="4A991FFC"/>
    <w:rsid w:val="4AA6218E"/>
    <w:rsid w:val="4AA85F9D"/>
    <w:rsid w:val="4AB67E71"/>
    <w:rsid w:val="4ABF7219"/>
    <w:rsid w:val="4B1E2DF0"/>
    <w:rsid w:val="4B235B92"/>
    <w:rsid w:val="4B2C4D24"/>
    <w:rsid w:val="4B3E63C6"/>
    <w:rsid w:val="4B6527BF"/>
    <w:rsid w:val="4B806AB6"/>
    <w:rsid w:val="4B943BC7"/>
    <w:rsid w:val="4B986A88"/>
    <w:rsid w:val="4BA31824"/>
    <w:rsid w:val="4BB5375A"/>
    <w:rsid w:val="4BCC3A87"/>
    <w:rsid w:val="4BE90C65"/>
    <w:rsid w:val="4BF2289C"/>
    <w:rsid w:val="4C011C0F"/>
    <w:rsid w:val="4C0663FC"/>
    <w:rsid w:val="4C126C91"/>
    <w:rsid w:val="4C1617C4"/>
    <w:rsid w:val="4C35033E"/>
    <w:rsid w:val="4C3B02DB"/>
    <w:rsid w:val="4C42716F"/>
    <w:rsid w:val="4C6245F2"/>
    <w:rsid w:val="4C755E84"/>
    <w:rsid w:val="4C891699"/>
    <w:rsid w:val="4C934CE7"/>
    <w:rsid w:val="4CB6481F"/>
    <w:rsid w:val="4CDE1AAA"/>
    <w:rsid w:val="4CF545ED"/>
    <w:rsid w:val="4D1D4BDE"/>
    <w:rsid w:val="4D1E0E59"/>
    <w:rsid w:val="4D3B00CE"/>
    <w:rsid w:val="4D48531C"/>
    <w:rsid w:val="4D6B054E"/>
    <w:rsid w:val="4D7C1FE6"/>
    <w:rsid w:val="4D8745A1"/>
    <w:rsid w:val="4D880510"/>
    <w:rsid w:val="4DCF3915"/>
    <w:rsid w:val="4DD570A9"/>
    <w:rsid w:val="4E2E29A6"/>
    <w:rsid w:val="4E5D2948"/>
    <w:rsid w:val="4E7E3F70"/>
    <w:rsid w:val="4E9D2F88"/>
    <w:rsid w:val="4EEE1558"/>
    <w:rsid w:val="4EF264C5"/>
    <w:rsid w:val="4F1B37B5"/>
    <w:rsid w:val="4F2E00DD"/>
    <w:rsid w:val="4F480532"/>
    <w:rsid w:val="4F495EB7"/>
    <w:rsid w:val="4F571A3E"/>
    <w:rsid w:val="4F5A5D6D"/>
    <w:rsid w:val="4FE328E8"/>
    <w:rsid w:val="4FF00F47"/>
    <w:rsid w:val="503F5D91"/>
    <w:rsid w:val="50433108"/>
    <w:rsid w:val="5063671C"/>
    <w:rsid w:val="508E6541"/>
    <w:rsid w:val="5097778C"/>
    <w:rsid w:val="50A802D6"/>
    <w:rsid w:val="50A8119F"/>
    <w:rsid w:val="50B2474A"/>
    <w:rsid w:val="50B81797"/>
    <w:rsid w:val="50BA6503"/>
    <w:rsid w:val="50C15484"/>
    <w:rsid w:val="50CA0F97"/>
    <w:rsid w:val="50F72A27"/>
    <w:rsid w:val="510906AE"/>
    <w:rsid w:val="51280736"/>
    <w:rsid w:val="51342E07"/>
    <w:rsid w:val="51375919"/>
    <w:rsid w:val="517B693C"/>
    <w:rsid w:val="51A86C00"/>
    <w:rsid w:val="51C71D4D"/>
    <w:rsid w:val="51D9662B"/>
    <w:rsid w:val="521B067C"/>
    <w:rsid w:val="522A47E9"/>
    <w:rsid w:val="525B1A0C"/>
    <w:rsid w:val="527A440F"/>
    <w:rsid w:val="5289104B"/>
    <w:rsid w:val="52985BCF"/>
    <w:rsid w:val="52A76CE4"/>
    <w:rsid w:val="53034E18"/>
    <w:rsid w:val="5328030C"/>
    <w:rsid w:val="532C0EF0"/>
    <w:rsid w:val="532C6939"/>
    <w:rsid w:val="534810DC"/>
    <w:rsid w:val="534C4F88"/>
    <w:rsid w:val="536256A0"/>
    <w:rsid w:val="536C33F0"/>
    <w:rsid w:val="53782565"/>
    <w:rsid w:val="53822D1D"/>
    <w:rsid w:val="53B9508C"/>
    <w:rsid w:val="53BD2959"/>
    <w:rsid w:val="53C16EE6"/>
    <w:rsid w:val="53DB2C30"/>
    <w:rsid w:val="53E00070"/>
    <w:rsid w:val="53E452D3"/>
    <w:rsid w:val="541334B7"/>
    <w:rsid w:val="541F1984"/>
    <w:rsid w:val="543B62DF"/>
    <w:rsid w:val="54437230"/>
    <w:rsid w:val="547A1E96"/>
    <w:rsid w:val="54F95D74"/>
    <w:rsid w:val="54FA1E21"/>
    <w:rsid w:val="54FD53E8"/>
    <w:rsid w:val="55181983"/>
    <w:rsid w:val="5549714D"/>
    <w:rsid w:val="55982724"/>
    <w:rsid w:val="55A63461"/>
    <w:rsid w:val="55AF67B6"/>
    <w:rsid w:val="55BC4E37"/>
    <w:rsid w:val="55BD64B2"/>
    <w:rsid w:val="55D41BE0"/>
    <w:rsid w:val="55DC3A7C"/>
    <w:rsid w:val="55FE137E"/>
    <w:rsid w:val="560B6D87"/>
    <w:rsid w:val="560D592E"/>
    <w:rsid w:val="56105234"/>
    <w:rsid w:val="562F17F6"/>
    <w:rsid w:val="56390ABF"/>
    <w:rsid w:val="565D6F15"/>
    <w:rsid w:val="56660CB5"/>
    <w:rsid w:val="567A7A9F"/>
    <w:rsid w:val="569662B4"/>
    <w:rsid w:val="56CB63B9"/>
    <w:rsid w:val="571A7D99"/>
    <w:rsid w:val="57220556"/>
    <w:rsid w:val="572740E2"/>
    <w:rsid w:val="57374585"/>
    <w:rsid w:val="57507BBB"/>
    <w:rsid w:val="575C7C54"/>
    <w:rsid w:val="57700CC6"/>
    <w:rsid w:val="57A53C29"/>
    <w:rsid w:val="57BA7698"/>
    <w:rsid w:val="584E5D69"/>
    <w:rsid w:val="58552367"/>
    <w:rsid w:val="585C4B48"/>
    <w:rsid w:val="585C509E"/>
    <w:rsid w:val="58704877"/>
    <w:rsid w:val="58AD4FB7"/>
    <w:rsid w:val="58CD0FA6"/>
    <w:rsid w:val="58F22C99"/>
    <w:rsid w:val="593C594A"/>
    <w:rsid w:val="594379D6"/>
    <w:rsid w:val="598634EC"/>
    <w:rsid w:val="59ED6618"/>
    <w:rsid w:val="5A1E301B"/>
    <w:rsid w:val="5A3C5D56"/>
    <w:rsid w:val="5A3D4ECC"/>
    <w:rsid w:val="5A7C61BF"/>
    <w:rsid w:val="5A865DB7"/>
    <w:rsid w:val="5A8E35F5"/>
    <w:rsid w:val="5A945859"/>
    <w:rsid w:val="5AA92625"/>
    <w:rsid w:val="5AB574EA"/>
    <w:rsid w:val="5B081A12"/>
    <w:rsid w:val="5B5D1094"/>
    <w:rsid w:val="5B633C41"/>
    <w:rsid w:val="5B85092B"/>
    <w:rsid w:val="5BDF1E64"/>
    <w:rsid w:val="5BE85013"/>
    <w:rsid w:val="5BEA5157"/>
    <w:rsid w:val="5BF7715D"/>
    <w:rsid w:val="5C296466"/>
    <w:rsid w:val="5C7E2E2D"/>
    <w:rsid w:val="5C810681"/>
    <w:rsid w:val="5C946424"/>
    <w:rsid w:val="5C9C4398"/>
    <w:rsid w:val="5CA15C74"/>
    <w:rsid w:val="5CA813C0"/>
    <w:rsid w:val="5CB054F6"/>
    <w:rsid w:val="5CBC0C4F"/>
    <w:rsid w:val="5CCA499F"/>
    <w:rsid w:val="5CE67FD0"/>
    <w:rsid w:val="5CF975D6"/>
    <w:rsid w:val="5CFB3139"/>
    <w:rsid w:val="5CFE1BC6"/>
    <w:rsid w:val="5D047844"/>
    <w:rsid w:val="5D0F4947"/>
    <w:rsid w:val="5D30636F"/>
    <w:rsid w:val="5D3364F5"/>
    <w:rsid w:val="5D3D033C"/>
    <w:rsid w:val="5D49434E"/>
    <w:rsid w:val="5D504EFC"/>
    <w:rsid w:val="5D595A63"/>
    <w:rsid w:val="5D660CE4"/>
    <w:rsid w:val="5D6D1514"/>
    <w:rsid w:val="5D8F733F"/>
    <w:rsid w:val="5DB42FCD"/>
    <w:rsid w:val="5DD445B9"/>
    <w:rsid w:val="5DD81BBF"/>
    <w:rsid w:val="5DE60752"/>
    <w:rsid w:val="5E06496F"/>
    <w:rsid w:val="5E1B17DB"/>
    <w:rsid w:val="5E54119C"/>
    <w:rsid w:val="5E6D3EFF"/>
    <w:rsid w:val="5E7668F6"/>
    <w:rsid w:val="5EA9018C"/>
    <w:rsid w:val="5EAD418E"/>
    <w:rsid w:val="5EB368CF"/>
    <w:rsid w:val="5ED4585B"/>
    <w:rsid w:val="5EDA7E79"/>
    <w:rsid w:val="5EDD0CEA"/>
    <w:rsid w:val="5F002CB0"/>
    <w:rsid w:val="5F12463A"/>
    <w:rsid w:val="5F314D0C"/>
    <w:rsid w:val="5F54660F"/>
    <w:rsid w:val="5F5623CA"/>
    <w:rsid w:val="5F56666F"/>
    <w:rsid w:val="5F6D0F49"/>
    <w:rsid w:val="5F7100AB"/>
    <w:rsid w:val="5F951C57"/>
    <w:rsid w:val="5FA31FBF"/>
    <w:rsid w:val="5FAE32B7"/>
    <w:rsid w:val="5FF435FA"/>
    <w:rsid w:val="5FF76961"/>
    <w:rsid w:val="60046286"/>
    <w:rsid w:val="60496F78"/>
    <w:rsid w:val="608A07B1"/>
    <w:rsid w:val="60B253A2"/>
    <w:rsid w:val="60B87AC7"/>
    <w:rsid w:val="60DE32C6"/>
    <w:rsid w:val="60E91944"/>
    <w:rsid w:val="60ED2B6A"/>
    <w:rsid w:val="60ED7444"/>
    <w:rsid w:val="60ED78E7"/>
    <w:rsid w:val="61052030"/>
    <w:rsid w:val="61250647"/>
    <w:rsid w:val="6129240B"/>
    <w:rsid w:val="612B4E1B"/>
    <w:rsid w:val="612E545A"/>
    <w:rsid w:val="613E79C3"/>
    <w:rsid w:val="614F3FB0"/>
    <w:rsid w:val="6171245C"/>
    <w:rsid w:val="61975D89"/>
    <w:rsid w:val="61A33709"/>
    <w:rsid w:val="61A738E7"/>
    <w:rsid w:val="61C50CE4"/>
    <w:rsid w:val="61CA6B3A"/>
    <w:rsid w:val="62074EDB"/>
    <w:rsid w:val="62195A75"/>
    <w:rsid w:val="623B54AF"/>
    <w:rsid w:val="627C0075"/>
    <w:rsid w:val="628933C7"/>
    <w:rsid w:val="6299679F"/>
    <w:rsid w:val="62AA427C"/>
    <w:rsid w:val="6355537B"/>
    <w:rsid w:val="636B37F7"/>
    <w:rsid w:val="63872C19"/>
    <w:rsid w:val="638F6267"/>
    <w:rsid w:val="63BD3C45"/>
    <w:rsid w:val="63C27C6B"/>
    <w:rsid w:val="63DC6735"/>
    <w:rsid w:val="63DE2E44"/>
    <w:rsid w:val="64090A6F"/>
    <w:rsid w:val="6412022D"/>
    <w:rsid w:val="6428654A"/>
    <w:rsid w:val="642B753A"/>
    <w:rsid w:val="643315C7"/>
    <w:rsid w:val="64377241"/>
    <w:rsid w:val="6449666B"/>
    <w:rsid w:val="6451308E"/>
    <w:rsid w:val="64585AF4"/>
    <w:rsid w:val="6467729B"/>
    <w:rsid w:val="64736666"/>
    <w:rsid w:val="64781DDE"/>
    <w:rsid w:val="64B55CE1"/>
    <w:rsid w:val="64DC5E02"/>
    <w:rsid w:val="65195463"/>
    <w:rsid w:val="6523314F"/>
    <w:rsid w:val="652647E3"/>
    <w:rsid w:val="652D6014"/>
    <w:rsid w:val="65585EB6"/>
    <w:rsid w:val="6559453F"/>
    <w:rsid w:val="658B6ADE"/>
    <w:rsid w:val="65956566"/>
    <w:rsid w:val="65F90191"/>
    <w:rsid w:val="66053BC9"/>
    <w:rsid w:val="664622FD"/>
    <w:rsid w:val="664D620F"/>
    <w:rsid w:val="665A5362"/>
    <w:rsid w:val="66A804AE"/>
    <w:rsid w:val="66B17D31"/>
    <w:rsid w:val="66B44B72"/>
    <w:rsid w:val="66DA3F98"/>
    <w:rsid w:val="66E25909"/>
    <w:rsid w:val="66FD411C"/>
    <w:rsid w:val="67094A2A"/>
    <w:rsid w:val="671D334D"/>
    <w:rsid w:val="67416175"/>
    <w:rsid w:val="6760641C"/>
    <w:rsid w:val="676A58E0"/>
    <w:rsid w:val="677B261C"/>
    <w:rsid w:val="67810BBB"/>
    <w:rsid w:val="67D549DB"/>
    <w:rsid w:val="67D9626B"/>
    <w:rsid w:val="67DE6560"/>
    <w:rsid w:val="67E22DCF"/>
    <w:rsid w:val="67E67A79"/>
    <w:rsid w:val="67F14C20"/>
    <w:rsid w:val="682E1CA3"/>
    <w:rsid w:val="685427BA"/>
    <w:rsid w:val="68701C53"/>
    <w:rsid w:val="687922FC"/>
    <w:rsid w:val="687A3C8B"/>
    <w:rsid w:val="687B283B"/>
    <w:rsid w:val="687F181F"/>
    <w:rsid w:val="68C859FE"/>
    <w:rsid w:val="68EA6CF8"/>
    <w:rsid w:val="68F5664C"/>
    <w:rsid w:val="68FE50E6"/>
    <w:rsid w:val="691D7D9C"/>
    <w:rsid w:val="69382FEF"/>
    <w:rsid w:val="69994E33"/>
    <w:rsid w:val="69CA1A45"/>
    <w:rsid w:val="69CE2C45"/>
    <w:rsid w:val="6A047EDB"/>
    <w:rsid w:val="6A225509"/>
    <w:rsid w:val="6A3C26B1"/>
    <w:rsid w:val="6A470FCE"/>
    <w:rsid w:val="6A5554BF"/>
    <w:rsid w:val="6A72712B"/>
    <w:rsid w:val="6A86348F"/>
    <w:rsid w:val="6A984782"/>
    <w:rsid w:val="6AC8612B"/>
    <w:rsid w:val="6B3359C4"/>
    <w:rsid w:val="6B466393"/>
    <w:rsid w:val="6B4D27E2"/>
    <w:rsid w:val="6B4F3DAF"/>
    <w:rsid w:val="6B7D4F8C"/>
    <w:rsid w:val="6B850B12"/>
    <w:rsid w:val="6B8936D6"/>
    <w:rsid w:val="6B9746F6"/>
    <w:rsid w:val="6B982889"/>
    <w:rsid w:val="6BAE7CCF"/>
    <w:rsid w:val="6BB92B5F"/>
    <w:rsid w:val="6BBC63B4"/>
    <w:rsid w:val="6BE051BC"/>
    <w:rsid w:val="6BE13844"/>
    <w:rsid w:val="6BE568A4"/>
    <w:rsid w:val="6BE84A82"/>
    <w:rsid w:val="6BF65089"/>
    <w:rsid w:val="6BF8237A"/>
    <w:rsid w:val="6C025FB8"/>
    <w:rsid w:val="6C0C5960"/>
    <w:rsid w:val="6C4B7ECE"/>
    <w:rsid w:val="6C606B6B"/>
    <w:rsid w:val="6C6A38AF"/>
    <w:rsid w:val="6C707DA1"/>
    <w:rsid w:val="6C89714E"/>
    <w:rsid w:val="6C9C2100"/>
    <w:rsid w:val="6CBB50B5"/>
    <w:rsid w:val="6CCA66F0"/>
    <w:rsid w:val="6CE6631D"/>
    <w:rsid w:val="6CFB78B8"/>
    <w:rsid w:val="6CFF1E0C"/>
    <w:rsid w:val="6D02249D"/>
    <w:rsid w:val="6D051E1B"/>
    <w:rsid w:val="6D0B6912"/>
    <w:rsid w:val="6D1359E9"/>
    <w:rsid w:val="6D155393"/>
    <w:rsid w:val="6D190606"/>
    <w:rsid w:val="6D4E3045"/>
    <w:rsid w:val="6D6C4AE6"/>
    <w:rsid w:val="6D9A033C"/>
    <w:rsid w:val="6DB11B76"/>
    <w:rsid w:val="6DBA7473"/>
    <w:rsid w:val="6DBC1204"/>
    <w:rsid w:val="6DC514E0"/>
    <w:rsid w:val="6DDC6A7A"/>
    <w:rsid w:val="6E064344"/>
    <w:rsid w:val="6E1B3C5A"/>
    <w:rsid w:val="6E297B47"/>
    <w:rsid w:val="6E2C3709"/>
    <w:rsid w:val="6E4C3DDD"/>
    <w:rsid w:val="6E6411DC"/>
    <w:rsid w:val="6E8267F6"/>
    <w:rsid w:val="6E905A58"/>
    <w:rsid w:val="6E95689E"/>
    <w:rsid w:val="6E9907EF"/>
    <w:rsid w:val="6EBA0737"/>
    <w:rsid w:val="6EBD3326"/>
    <w:rsid w:val="6EC267FD"/>
    <w:rsid w:val="6ECA45D4"/>
    <w:rsid w:val="6EDB68AB"/>
    <w:rsid w:val="6EE25683"/>
    <w:rsid w:val="6EE50CB5"/>
    <w:rsid w:val="6EE76E09"/>
    <w:rsid w:val="6EE95017"/>
    <w:rsid w:val="6EEA36AE"/>
    <w:rsid w:val="6F086379"/>
    <w:rsid w:val="6F1D7A2F"/>
    <w:rsid w:val="6F3A42C4"/>
    <w:rsid w:val="6F460F95"/>
    <w:rsid w:val="6F48014F"/>
    <w:rsid w:val="6F84790C"/>
    <w:rsid w:val="6FDC0664"/>
    <w:rsid w:val="70054354"/>
    <w:rsid w:val="7010154F"/>
    <w:rsid w:val="70500106"/>
    <w:rsid w:val="705522D7"/>
    <w:rsid w:val="70862BCC"/>
    <w:rsid w:val="709C49B2"/>
    <w:rsid w:val="70AB7270"/>
    <w:rsid w:val="70CE693C"/>
    <w:rsid w:val="71105E38"/>
    <w:rsid w:val="71177BDF"/>
    <w:rsid w:val="711D08EA"/>
    <w:rsid w:val="71214955"/>
    <w:rsid w:val="71256F8B"/>
    <w:rsid w:val="712B2021"/>
    <w:rsid w:val="71413413"/>
    <w:rsid w:val="7148352E"/>
    <w:rsid w:val="714E0229"/>
    <w:rsid w:val="716011B3"/>
    <w:rsid w:val="71621883"/>
    <w:rsid w:val="71722118"/>
    <w:rsid w:val="71735E91"/>
    <w:rsid w:val="7177134B"/>
    <w:rsid w:val="71801F60"/>
    <w:rsid w:val="71991FCA"/>
    <w:rsid w:val="71A82060"/>
    <w:rsid w:val="71AD151A"/>
    <w:rsid w:val="71B82E9B"/>
    <w:rsid w:val="71B95BD8"/>
    <w:rsid w:val="7206237D"/>
    <w:rsid w:val="72192450"/>
    <w:rsid w:val="722A652C"/>
    <w:rsid w:val="7237119B"/>
    <w:rsid w:val="723D1E67"/>
    <w:rsid w:val="723E1837"/>
    <w:rsid w:val="723F3E21"/>
    <w:rsid w:val="724C5713"/>
    <w:rsid w:val="72530199"/>
    <w:rsid w:val="726211CF"/>
    <w:rsid w:val="726D5F87"/>
    <w:rsid w:val="72720D46"/>
    <w:rsid w:val="728E0FAA"/>
    <w:rsid w:val="72AE7443"/>
    <w:rsid w:val="72CF2F4D"/>
    <w:rsid w:val="72DB64DB"/>
    <w:rsid w:val="72DF60B2"/>
    <w:rsid w:val="72E11113"/>
    <w:rsid w:val="72E353B7"/>
    <w:rsid w:val="72FD696E"/>
    <w:rsid w:val="73083FF9"/>
    <w:rsid w:val="730B3A77"/>
    <w:rsid w:val="73240299"/>
    <w:rsid w:val="73342A2E"/>
    <w:rsid w:val="735657AC"/>
    <w:rsid w:val="73762BAF"/>
    <w:rsid w:val="73A02250"/>
    <w:rsid w:val="73A14DEC"/>
    <w:rsid w:val="73BA1644"/>
    <w:rsid w:val="73C952D8"/>
    <w:rsid w:val="73D14E2A"/>
    <w:rsid w:val="73D72044"/>
    <w:rsid w:val="73E677AC"/>
    <w:rsid w:val="73F20E20"/>
    <w:rsid w:val="73FA01A5"/>
    <w:rsid w:val="741B70DB"/>
    <w:rsid w:val="742F5A6B"/>
    <w:rsid w:val="74472F9D"/>
    <w:rsid w:val="74504EFF"/>
    <w:rsid w:val="7471560D"/>
    <w:rsid w:val="74777CBD"/>
    <w:rsid w:val="747D33FB"/>
    <w:rsid w:val="7486391A"/>
    <w:rsid w:val="74945783"/>
    <w:rsid w:val="74BF5D1D"/>
    <w:rsid w:val="74C642AE"/>
    <w:rsid w:val="74E51B73"/>
    <w:rsid w:val="74F3379F"/>
    <w:rsid w:val="74FE0A0D"/>
    <w:rsid w:val="750471D0"/>
    <w:rsid w:val="750C17DA"/>
    <w:rsid w:val="75182494"/>
    <w:rsid w:val="75363279"/>
    <w:rsid w:val="755A295D"/>
    <w:rsid w:val="7594403F"/>
    <w:rsid w:val="75945FF5"/>
    <w:rsid w:val="75C34B39"/>
    <w:rsid w:val="75FA5475"/>
    <w:rsid w:val="762751A3"/>
    <w:rsid w:val="763335C4"/>
    <w:rsid w:val="763B60DA"/>
    <w:rsid w:val="76595907"/>
    <w:rsid w:val="765F1DF9"/>
    <w:rsid w:val="76687368"/>
    <w:rsid w:val="7676750B"/>
    <w:rsid w:val="767B798E"/>
    <w:rsid w:val="768406B8"/>
    <w:rsid w:val="76884766"/>
    <w:rsid w:val="768D7C03"/>
    <w:rsid w:val="769C216D"/>
    <w:rsid w:val="76CD211D"/>
    <w:rsid w:val="76EB5F58"/>
    <w:rsid w:val="76FA164B"/>
    <w:rsid w:val="770D563A"/>
    <w:rsid w:val="773349C0"/>
    <w:rsid w:val="773B7D3A"/>
    <w:rsid w:val="77582387"/>
    <w:rsid w:val="77616C6F"/>
    <w:rsid w:val="77662CD6"/>
    <w:rsid w:val="77697D56"/>
    <w:rsid w:val="77757215"/>
    <w:rsid w:val="77771F99"/>
    <w:rsid w:val="777B04D9"/>
    <w:rsid w:val="777B36C3"/>
    <w:rsid w:val="778A419C"/>
    <w:rsid w:val="779F2D82"/>
    <w:rsid w:val="779F31AC"/>
    <w:rsid w:val="77C04521"/>
    <w:rsid w:val="77D53932"/>
    <w:rsid w:val="77DE0052"/>
    <w:rsid w:val="77ED15AA"/>
    <w:rsid w:val="77F67DE7"/>
    <w:rsid w:val="77F7111B"/>
    <w:rsid w:val="780C18D6"/>
    <w:rsid w:val="782F1F92"/>
    <w:rsid w:val="78456007"/>
    <w:rsid w:val="784D265B"/>
    <w:rsid w:val="78547657"/>
    <w:rsid w:val="785F384A"/>
    <w:rsid w:val="786B46F7"/>
    <w:rsid w:val="78887489"/>
    <w:rsid w:val="78897249"/>
    <w:rsid w:val="789E0306"/>
    <w:rsid w:val="78AD34FF"/>
    <w:rsid w:val="78C4396F"/>
    <w:rsid w:val="78C4397B"/>
    <w:rsid w:val="78CF6B27"/>
    <w:rsid w:val="78D80D38"/>
    <w:rsid w:val="78E14D09"/>
    <w:rsid w:val="78FA6E56"/>
    <w:rsid w:val="78FF48D1"/>
    <w:rsid w:val="79050B96"/>
    <w:rsid w:val="791F45FA"/>
    <w:rsid w:val="79216B4A"/>
    <w:rsid w:val="79376AE1"/>
    <w:rsid w:val="794C0559"/>
    <w:rsid w:val="79711D24"/>
    <w:rsid w:val="79746EB6"/>
    <w:rsid w:val="79854365"/>
    <w:rsid w:val="79863CD9"/>
    <w:rsid w:val="79A26038"/>
    <w:rsid w:val="79B0326D"/>
    <w:rsid w:val="79B04024"/>
    <w:rsid w:val="79C52FDE"/>
    <w:rsid w:val="79D50DD7"/>
    <w:rsid w:val="79E370E4"/>
    <w:rsid w:val="79EB447E"/>
    <w:rsid w:val="79FB71CD"/>
    <w:rsid w:val="79FE2955"/>
    <w:rsid w:val="7A270D15"/>
    <w:rsid w:val="7A303226"/>
    <w:rsid w:val="7A8F155D"/>
    <w:rsid w:val="7ABF623D"/>
    <w:rsid w:val="7AC54B75"/>
    <w:rsid w:val="7AC92548"/>
    <w:rsid w:val="7ACB401B"/>
    <w:rsid w:val="7ACC5100"/>
    <w:rsid w:val="7AEF44B7"/>
    <w:rsid w:val="7B1E77E7"/>
    <w:rsid w:val="7B351CA3"/>
    <w:rsid w:val="7B50564D"/>
    <w:rsid w:val="7B5708BD"/>
    <w:rsid w:val="7B5A042F"/>
    <w:rsid w:val="7B6428B0"/>
    <w:rsid w:val="7B761F41"/>
    <w:rsid w:val="7BAA3BAE"/>
    <w:rsid w:val="7BD375F0"/>
    <w:rsid w:val="7BD86DEE"/>
    <w:rsid w:val="7BEF3AB1"/>
    <w:rsid w:val="7C44207C"/>
    <w:rsid w:val="7C565D96"/>
    <w:rsid w:val="7C6C7457"/>
    <w:rsid w:val="7C790C0F"/>
    <w:rsid w:val="7CA03D75"/>
    <w:rsid w:val="7CA04795"/>
    <w:rsid w:val="7CC062EB"/>
    <w:rsid w:val="7CC42113"/>
    <w:rsid w:val="7CCF441D"/>
    <w:rsid w:val="7CDA7237"/>
    <w:rsid w:val="7CF57F6E"/>
    <w:rsid w:val="7D0E21D9"/>
    <w:rsid w:val="7D17094F"/>
    <w:rsid w:val="7D1B2E27"/>
    <w:rsid w:val="7D39640B"/>
    <w:rsid w:val="7D3C6363"/>
    <w:rsid w:val="7D60420C"/>
    <w:rsid w:val="7D6B5556"/>
    <w:rsid w:val="7D857A85"/>
    <w:rsid w:val="7D8F0C85"/>
    <w:rsid w:val="7D9D146B"/>
    <w:rsid w:val="7DA95667"/>
    <w:rsid w:val="7DAA1E89"/>
    <w:rsid w:val="7DAD428D"/>
    <w:rsid w:val="7DB050FA"/>
    <w:rsid w:val="7DED301F"/>
    <w:rsid w:val="7DF107B6"/>
    <w:rsid w:val="7DF51CCF"/>
    <w:rsid w:val="7DF84A03"/>
    <w:rsid w:val="7DFC57EA"/>
    <w:rsid w:val="7E0476D1"/>
    <w:rsid w:val="7E24767E"/>
    <w:rsid w:val="7E3C3970"/>
    <w:rsid w:val="7E7968E4"/>
    <w:rsid w:val="7E871305"/>
    <w:rsid w:val="7E912C5C"/>
    <w:rsid w:val="7E96219F"/>
    <w:rsid w:val="7EA37E23"/>
    <w:rsid w:val="7EBC0FD7"/>
    <w:rsid w:val="7ED6707D"/>
    <w:rsid w:val="7EEA1261"/>
    <w:rsid w:val="7EEF36AD"/>
    <w:rsid w:val="7EF57E26"/>
    <w:rsid w:val="7EFC466C"/>
    <w:rsid w:val="7F7C2F86"/>
    <w:rsid w:val="7F8A3060"/>
    <w:rsid w:val="7F926F0E"/>
    <w:rsid w:val="7FB37F11"/>
    <w:rsid w:val="7FC22822"/>
    <w:rsid w:val="7FC40DCB"/>
    <w:rsid w:val="7FCB5990"/>
    <w:rsid w:val="7FE52784"/>
    <w:rsid w:val="7FF1440C"/>
    <w:rsid w:val="7FF224AA"/>
    <w:rsid w:val="7FF301AC"/>
    <w:rsid w:val="7FF713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nhideWhenUsed="0" w:uiPriority="9" w:semiHidden="0" w:name="heading 4" w:locked="1"/>
    <w:lsdException w:qFormat="1" w:uiPriority="9" w:name="heading 5" w:locked="1"/>
    <w:lsdException w:qFormat="1" w:unhideWhenUsed="0" w:uiPriority="0" w:semiHidden="0" w:name="heading 6" w:locked="1"/>
    <w:lsdException w:qFormat="1" w:uiPriority="9" w:name="heading 7" w:locked="1"/>
    <w:lsdException w:qFormat="1" w:uiPriority="9" w:name="heading 8" w:locked="1"/>
    <w:lsdException w:qFormat="1" w:uiPriority="9" w:name="heading 9" w:locked="1"/>
    <w:lsdException w:qFormat="1" w:uiPriority="99"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39" w:semiHidden="0" w:name="toc 2" w:locked="1"/>
    <w:lsdException w:qFormat="1" w:uiPriority="39" w:semiHidden="0" w:name="toc 3" w:locked="1"/>
    <w:lsdException w:qFormat="1" w:uiPriority="39" w:semiHidden="0" w:name="toc 4" w:locked="1"/>
    <w:lsdException w:uiPriority="39" w:name="toc 5" w:locked="1"/>
    <w:lsdException w:qFormat="1" w:unhideWhenUsed="0" w:uiPriority="0"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qFormat="1" w:uiPriority="99" w:semiHidden="0"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qFormat="1" w:uiPriority="0" w:semiHidden="0"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iPriority="99" w:semiHidden="0" w:name="Body Text 2" w:locked="1"/>
    <w:lsdException w:uiPriority="99" w:name="Body Text 3" w:locked="1"/>
    <w:lsdException w:qFormat="1" w:unhideWhenUsed="0" w:uiPriority="0" w:semiHidden="0" w:name="Body Text Indent 2" w:locked="1"/>
    <w:lsdException w:uiPriority="99" w:name="Body Text Indent 3" w:locked="1"/>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0"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3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jc w:val="center"/>
      <w:outlineLvl w:val="0"/>
    </w:pPr>
    <w:rPr>
      <w:rFonts w:ascii="楷体_GB2312" w:eastAsia="楷体_GB2312"/>
      <w:b/>
      <w:bCs/>
    </w:rPr>
  </w:style>
  <w:style w:type="paragraph" w:styleId="5">
    <w:name w:val="heading 2"/>
    <w:basedOn w:val="1"/>
    <w:next w:val="1"/>
    <w:link w:val="45"/>
    <w:autoRedefine/>
    <w:qFormat/>
    <w:uiPriority w:val="99"/>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link w:val="46"/>
    <w:autoRedefine/>
    <w:qFormat/>
    <w:uiPriority w:val="99"/>
    <w:pPr>
      <w:keepNext/>
      <w:keepLines/>
      <w:spacing w:line="540" w:lineRule="atLeast"/>
      <w:outlineLvl w:val="2"/>
    </w:pPr>
    <w:rPr>
      <w:b/>
      <w:bCs/>
      <w:kern w:val="0"/>
      <w:sz w:val="32"/>
      <w:szCs w:val="32"/>
    </w:rPr>
  </w:style>
  <w:style w:type="paragraph" w:styleId="7">
    <w:name w:val="heading 4"/>
    <w:basedOn w:val="1"/>
    <w:next w:val="1"/>
    <w:autoRedefine/>
    <w:qFormat/>
    <w:locked/>
    <w:uiPriority w:val="9"/>
    <w:pPr>
      <w:keepNext/>
      <w:keepLines/>
      <w:spacing w:before="280" w:after="290" w:line="376" w:lineRule="auto"/>
      <w:outlineLvl w:val="3"/>
    </w:pPr>
    <w:rPr>
      <w:rFonts w:ascii="等线 Light" w:hAnsi="等线 Light" w:eastAsia="等线 Light"/>
      <w:b/>
      <w:bCs/>
      <w:sz w:val="28"/>
      <w:szCs w:val="28"/>
    </w:rPr>
  </w:style>
  <w:style w:type="paragraph" w:styleId="8">
    <w:name w:val="heading 6"/>
    <w:basedOn w:val="1"/>
    <w:next w:val="1"/>
    <w:autoRedefine/>
    <w:qFormat/>
    <w:locked/>
    <w:uiPriority w:val="0"/>
    <w:pPr>
      <w:keepNext/>
      <w:keepLines/>
      <w:spacing w:before="240" w:after="64" w:line="320" w:lineRule="auto"/>
      <w:outlineLvl w:val="5"/>
    </w:pPr>
    <w:rPr>
      <w:rFonts w:ascii="Arial" w:hAnsi="Arial" w:eastAsia="黑体"/>
      <w:b/>
      <w:bCs/>
      <w:sz w:val="24"/>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44"/>
    <w:autoRedefine/>
    <w:qFormat/>
    <w:uiPriority w:val="99"/>
    <w:pPr>
      <w:autoSpaceDE w:val="0"/>
      <w:autoSpaceDN w:val="0"/>
      <w:adjustRightInd w:val="0"/>
      <w:ind w:firstLine="420" w:firstLineChars="100"/>
      <w:jc w:val="left"/>
    </w:pPr>
  </w:style>
  <w:style w:type="paragraph" w:styleId="3">
    <w:name w:val="Body Text"/>
    <w:basedOn w:val="1"/>
    <w:next w:val="1"/>
    <w:link w:val="43"/>
    <w:autoRedefine/>
    <w:qFormat/>
    <w:uiPriority w:val="99"/>
    <w:rPr>
      <w:kern w:val="0"/>
      <w:sz w:val="24"/>
    </w:rPr>
  </w:style>
  <w:style w:type="paragraph" w:styleId="9">
    <w:name w:val="table of authorities"/>
    <w:basedOn w:val="1"/>
    <w:next w:val="1"/>
    <w:autoRedefine/>
    <w:unhideWhenUsed/>
    <w:qFormat/>
    <w:locked/>
    <w:uiPriority w:val="0"/>
    <w:pPr>
      <w:ind w:left="420" w:leftChars="200"/>
    </w:pPr>
  </w:style>
  <w:style w:type="paragraph" w:styleId="10">
    <w:name w:val="Normal Indent"/>
    <w:basedOn w:val="1"/>
    <w:next w:val="1"/>
    <w:link w:val="47"/>
    <w:autoRedefine/>
    <w:qFormat/>
    <w:uiPriority w:val="0"/>
    <w:pPr>
      <w:adjustRightInd w:val="0"/>
      <w:spacing w:line="312" w:lineRule="atLeast"/>
      <w:ind w:firstLine="420"/>
      <w:textAlignment w:val="baseline"/>
    </w:pPr>
    <w:rPr>
      <w:rFonts w:ascii="仿宋_GB2312"/>
      <w:b/>
      <w:kern w:val="0"/>
      <w:szCs w:val="32"/>
    </w:rPr>
  </w:style>
  <w:style w:type="paragraph" w:styleId="11">
    <w:name w:val="Document Map"/>
    <w:basedOn w:val="1"/>
    <w:autoRedefine/>
    <w:semiHidden/>
    <w:qFormat/>
    <w:locked/>
    <w:uiPriority w:val="0"/>
    <w:pPr>
      <w:shd w:val="clear" w:color="auto" w:fill="000080"/>
    </w:pPr>
  </w:style>
  <w:style w:type="paragraph" w:styleId="12">
    <w:name w:val="annotation text"/>
    <w:basedOn w:val="1"/>
    <w:link w:val="48"/>
    <w:autoRedefine/>
    <w:qFormat/>
    <w:uiPriority w:val="99"/>
    <w:pPr>
      <w:jc w:val="left"/>
    </w:pPr>
    <w:rPr>
      <w:sz w:val="24"/>
    </w:rPr>
  </w:style>
  <w:style w:type="paragraph" w:styleId="13">
    <w:name w:val="Body Text Indent"/>
    <w:basedOn w:val="1"/>
    <w:next w:val="1"/>
    <w:link w:val="49"/>
    <w:autoRedefine/>
    <w:qFormat/>
    <w:uiPriority w:val="99"/>
    <w:pPr>
      <w:ind w:left="480" w:hanging="480" w:hangingChars="200"/>
    </w:pPr>
    <w:rPr>
      <w:kern w:val="0"/>
      <w:sz w:val="24"/>
    </w:rPr>
  </w:style>
  <w:style w:type="paragraph" w:styleId="14">
    <w:name w:val="List 2"/>
    <w:basedOn w:val="1"/>
    <w:autoRedefine/>
    <w:qFormat/>
    <w:uiPriority w:val="99"/>
    <w:pPr>
      <w:ind w:left="100" w:leftChars="200" w:hanging="200" w:hangingChars="200"/>
    </w:pPr>
    <w:rPr>
      <w:sz w:val="28"/>
      <w:szCs w:val="28"/>
    </w:rPr>
  </w:style>
  <w:style w:type="paragraph" w:styleId="15">
    <w:name w:val="Block Text"/>
    <w:basedOn w:val="1"/>
    <w:autoRedefine/>
    <w:qFormat/>
    <w:uiPriority w:val="99"/>
    <w:pPr>
      <w:adjustRightInd w:val="0"/>
      <w:spacing w:line="300" w:lineRule="auto"/>
      <w:ind w:left="958" w:right="-120" w:rightChars="-120"/>
      <w:jc w:val="left"/>
    </w:pPr>
    <w:rPr>
      <w:rFonts w:ascii="宋体" w:hAnsi="宋体"/>
      <w:sz w:val="28"/>
    </w:rPr>
  </w:style>
  <w:style w:type="paragraph" w:styleId="16">
    <w:name w:val="toc 3"/>
    <w:basedOn w:val="1"/>
    <w:next w:val="1"/>
    <w:autoRedefine/>
    <w:unhideWhenUsed/>
    <w:qFormat/>
    <w:locked/>
    <w:uiPriority w:val="39"/>
    <w:pPr>
      <w:ind w:left="840" w:leftChars="400"/>
    </w:pPr>
  </w:style>
  <w:style w:type="paragraph" w:styleId="17">
    <w:name w:val="Plain Text"/>
    <w:basedOn w:val="1"/>
    <w:next w:val="18"/>
    <w:link w:val="50"/>
    <w:autoRedefine/>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8">
    <w:name w:val="toc 2"/>
    <w:basedOn w:val="1"/>
    <w:next w:val="1"/>
    <w:autoRedefine/>
    <w:qFormat/>
    <w:locked/>
    <w:uiPriority w:val="39"/>
    <w:pPr>
      <w:tabs>
        <w:tab w:val="right" w:leader="dot" w:pos="8302"/>
      </w:tabs>
      <w:ind w:left="200" w:leftChars="200"/>
    </w:pPr>
    <w:rPr>
      <w:b/>
      <w:sz w:val="24"/>
    </w:rPr>
  </w:style>
  <w:style w:type="paragraph" w:styleId="19">
    <w:name w:val="Date"/>
    <w:basedOn w:val="1"/>
    <w:next w:val="1"/>
    <w:link w:val="51"/>
    <w:autoRedefine/>
    <w:qFormat/>
    <w:uiPriority w:val="99"/>
    <w:pPr>
      <w:ind w:left="100" w:leftChars="2500"/>
    </w:pPr>
    <w:rPr>
      <w:kern w:val="0"/>
      <w:sz w:val="24"/>
    </w:rPr>
  </w:style>
  <w:style w:type="paragraph" w:styleId="20">
    <w:name w:val="Body Text Indent 2"/>
    <w:basedOn w:val="1"/>
    <w:autoRedefine/>
    <w:qFormat/>
    <w:locked/>
    <w:uiPriority w:val="0"/>
    <w:pPr>
      <w:spacing w:line="500" w:lineRule="exact"/>
      <w:ind w:firstLine="511" w:firstLineChars="213"/>
    </w:pPr>
    <w:rPr>
      <w:sz w:val="24"/>
    </w:rPr>
  </w:style>
  <w:style w:type="paragraph" w:styleId="21">
    <w:name w:val="Balloon Text"/>
    <w:basedOn w:val="1"/>
    <w:link w:val="52"/>
    <w:autoRedefine/>
    <w:qFormat/>
    <w:uiPriority w:val="99"/>
    <w:rPr>
      <w:sz w:val="18"/>
      <w:szCs w:val="18"/>
    </w:rPr>
  </w:style>
  <w:style w:type="paragraph" w:styleId="22">
    <w:name w:val="footer"/>
    <w:basedOn w:val="1"/>
    <w:link w:val="53"/>
    <w:autoRedefine/>
    <w:qFormat/>
    <w:uiPriority w:val="99"/>
    <w:pPr>
      <w:tabs>
        <w:tab w:val="center" w:pos="4153"/>
        <w:tab w:val="right" w:pos="8306"/>
      </w:tabs>
      <w:snapToGrid w:val="0"/>
      <w:jc w:val="left"/>
    </w:pPr>
    <w:rPr>
      <w:kern w:val="0"/>
      <w:sz w:val="18"/>
      <w:szCs w:val="18"/>
    </w:rPr>
  </w:style>
  <w:style w:type="paragraph" w:styleId="23">
    <w:name w:val="header"/>
    <w:basedOn w:val="1"/>
    <w:link w:val="54"/>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autoRedefine/>
    <w:qFormat/>
    <w:uiPriority w:val="99"/>
  </w:style>
  <w:style w:type="paragraph" w:styleId="25">
    <w:name w:val="toc 4"/>
    <w:basedOn w:val="1"/>
    <w:next w:val="1"/>
    <w:autoRedefine/>
    <w:unhideWhenUsed/>
    <w:qFormat/>
    <w:locked/>
    <w:uiPriority w:val="39"/>
    <w:pPr>
      <w:ind w:left="1260" w:leftChars="600"/>
    </w:pPr>
  </w:style>
  <w:style w:type="paragraph" w:styleId="26">
    <w:name w:val="index heading"/>
    <w:basedOn w:val="1"/>
    <w:next w:val="27"/>
    <w:autoRedefine/>
    <w:unhideWhenUsed/>
    <w:qFormat/>
    <w:locked/>
    <w:uiPriority w:val="99"/>
    <w:rPr>
      <w:rFonts w:ascii="Arial" w:hAnsi="Arial"/>
      <w:b/>
    </w:rPr>
  </w:style>
  <w:style w:type="paragraph" w:styleId="27">
    <w:name w:val="index 1"/>
    <w:basedOn w:val="1"/>
    <w:next w:val="1"/>
    <w:autoRedefine/>
    <w:unhideWhenUsed/>
    <w:qFormat/>
    <w:locked/>
    <w:uiPriority w:val="99"/>
  </w:style>
  <w:style w:type="paragraph" w:styleId="28">
    <w:name w:val="List"/>
    <w:basedOn w:val="1"/>
    <w:autoRedefine/>
    <w:qFormat/>
    <w:uiPriority w:val="99"/>
    <w:pPr>
      <w:ind w:left="200" w:hanging="200" w:hangingChars="200"/>
    </w:pPr>
  </w:style>
  <w:style w:type="paragraph" w:styleId="29">
    <w:name w:val="toc 6"/>
    <w:basedOn w:val="1"/>
    <w:next w:val="1"/>
    <w:autoRedefine/>
    <w:semiHidden/>
    <w:qFormat/>
    <w:locked/>
    <w:uiPriority w:val="0"/>
    <w:pPr>
      <w:ind w:left="1050"/>
      <w:jc w:val="left"/>
    </w:pPr>
    <w:rPr>
      <w:sz w:val="18"/>
      <w:szCs w:val="18"/>
    </w:rPr>
  </w:style>
  <w:style w:type="paragraph" w:styleId="30">
    <w:name w:val="Body Text 2"/>
    <w:basedOn w:val="1"/>
    <w:link w:val="55"/>
    <w:autoRedefine/>
    <w:unhideWhenUsed/>
    <w:qFormat/>
    <w:locked/>
    <w:uiPriority w:val="99"/>
    <w:pPr>
      <w:spacing w:after="120" w:line="480" w:lineRule="auto"/>
    </w:pPr>
  </w:style>
  <w:style w:type="paragraph" w:styleId="31">
    <w:name w:val="Normal (Web)"/>
    <w:basedOn w:val="1"/>
    <w:autoRedefine/>
    <w:qFormat/>
    <w:uiPriority w:val="99"/>
    <w:pPr>
      <w:widowControl/>
      <w:spacing w:before="100" w:beforeAutospacing="1" w:after="100" w:afterAutospacing="1"/>
      <w:jc w:val="left"/>
    </w:pPr>
    <w:rPr>
      <w:rFonts w:ascii="宋体" w:hAnsi="宋体" w:cs="宋体"/>
      <w:kern w:val="0"/>
      <w:sz w:val="24"/>
      <w:szCs w:val="22"/>
    </w:rPr>
  </w:style>
  <w:style w:type="paragraph" w:styleId="32">
    <w:name w:val="annotation subject"/>
    <w:basedOn w:val="12"/>
    <w:next w:val="12"/>
    <w:link w:val="56"/>
    <w:autoRedefine/>
    <w:qFormat/>
    <w:uiPriority w:val="99"/>
    <w:rPr>
      <w:b/>
      <w:bCs/>
    </w:rPr>
  </w:style>
  <w:style w:type="paragraph" w:styleId="33">
    <w:name w:val="Body Text First Indent 2"/>
    <w:basedOn w:val="13"/>
    <w:next w:val="1"/>
    <w:autoRedefine/>
    <w:qFormat/>
    <w:locked/>
    <w:uiPriority w:val="99"/>
    <w:pPr>
      <w:ind w:firstLine="420"/>
    </w:pPr>
  </w:style>
  <w:style w:type="table" w:styleId="35">
    <w:name w:val="Table Grid"/>
    <w:basedOn w:val="34"/>
    <w:autoRedefine/>
    <w:qFormat/>
    <w:locked/>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autoRedefine/>
    <w:qFormat/>
    <w:locked/>
    <w:uiPriority w:val="0"/>
    <w:rPr>
      <w:b/>
    </w:rPr>
  </w:style>
  <w:style w:type="character" w:styleId="38">
    <w:name w:val="page number"/>
    <w:autoRedefine/>
    <w:qFormat/>
    <w:locked/>
    <w:uiPriority w:val="0"/>
  </w:style>
  <w:style w:type="character" w:styleId="39">
    <w:name w:val="FollowedHyperlink"/>
    <w:autoRedefine/>
    <w:qFormat/>
    <w:uiPriority w:val="99"/>
    <w:rPr>
      <w:rFonts w:cs="Times New Roman"/>
      <w:color w:val="333333"/>
      <w:u w:val="none"/>
    </w:rPr>
  </w:style>
  <w:style w:type="character" w:styleId="40">
    <w:name w:val="Emphasis"/>
    <w:autoRedefine/>
    <w:qFormat/>
    <w:locked/>
    <w:uiPriority w:val="20"/>
    <w:rPr>
      <w:i/>
    </w:rPr>
  </w:style>
  <w:style w:type="character" w:styleId="41">
    <w:name w:val="Hyperlink"/>
    <w:basedOn w:val="36"/>
    <w:autoRedefine/>
    <w:qFormat/>
    <w:uiPriority w:val="99"/>
    <w:rPr>
      <w:rFonts w:cs="Times New Roman"/>
      <w:color w:val="333333"/>
      <w:u w:val="none"/>
    </w:rPr>
  </w:style>
  <w:style w:type="character" w:styleId="42">
    <w:name w:val="annotation reference"/>
    <w:autoRedefine/>
    <w:qFormat/>
    <w:uiPriority w:val="99"/>
    <w:rPr>
      <w:rFonts w:cs="Times New Roman"/>
      <w:sz w:val="21"/>
      <w:szCs w:val="21"/>
    </w:rPr>
  </w:style>
  <w:style w:type="character" w:customStyle="1" w:styleId="43">
    <w:name w:val="正文文本 Char"/>
    <w:link w:val="3"/>
    <w:autoRedefine/>
    <w:semiHidden/>
    <w:qFormat/>
    <w:locked/>
    <w:uiPriority w:val="99"/>
    <w:rPr>
      <w:rFonts w:cs="Times New Roman"/>
      <w:sz w:val="24"/>
      <w:szCs w:val="24"/>
    </w:rPr>
  </w:style>
  <w:style w:type="character" w:customStyle="1" w:styleId="44">
    <w:name w:val="正文首行缩进 Char"/>
    <w:link w:val="2"/>
    <w:autoRedefine/>
    <w:semiHidden/>
    <w:qFormat/>
    <w:locked/>
    <w:uiPriority w:val="99"/>
    <w:rPr>
      <w:rFonts w:cs="Times New Roman"/>
      <w:sz w:val="24"/>
      <w:szCs w:val="24"/>
    </w:rPr>
  </w:style>
  <w:style w:type="character" w:customStyle="1" w:styleId="45">
    <w:name w:val="标题 2 Char"/>
    <w:link w:val="5"/>
    <w:autoRedefine/>
    <w:semiHidden/>
    <w:qFormat/>
    <w:locked/>
    <w:uiPriority w:val="99"/>
    <w:rPr>
      <w:rFonts w:ascii="Calibri Light" w:hAnsi="Calibri Light" w:eastAsia="宋体" w:cs="Times New Roman"/>
      <w:b/>
      <w:bCs/>
      <w:kern w:val="2"/>
      <w:sz w:val="32"/>
      <w:szCs w:val="32"/>
    </w:rPr>
  </w:style>
  <w:style w:type="character" w:customStyle="1" w:styleId="46">
    <w:name w:val="标题 3 Char"/>
    <w:link w:val="6"/>
    <w:autoRedefine/>
    <w:semiHidden/>
    <w:qFormat/>
    <w:locked/>
    <w:uiPriority w:val="99"/>
    <w:rPr>
      <w:rFonts w:cs="Times New Roman"/>
      <w:b/>
      <w:bCs/>
      <w:sz w:val="32"/>
      <w:szCs w:val="32"/>
    </w:rPr>
  </w:style>
  <w:style w:type="character" w:customStyle="1" w:styleId="47">
    <w:name w:val="正文缩进 Char"/>
    <w:link w:val="10"/>
    <w:autoRedefine/>
    <w:qFormat/>
    <w:uiPriority w:val="0"/>
    <w:rPr>
      <w:rFonts w:ascii="仿宋_GB2312"/>
      <w:b/>
      <w:sz w:val="21"/>
      <w:szCs w:val="32"/>
    </w:rPr>
  </w:style>
  <w:style w:type="character" w:customStyle="1" w:styleId="48">
    <w:name w:val="批注文字 Char"/>
    <w:link w:val="12"/>
    <w:autoRedefine/>
    <w:qFormat/>
    <w:locked/>
    <w:uiPriority w:val="99"/>
    <w:rPr>
      <w:rFonts w:cs="Times New Roman"/>
      <w:kern w:val="2"/>
      <w:sz w:val="24"/>
      <w:szCs w:val="24"/>
    </w:rPr>
  </w:style>
  <w:style w:type="character" w:customStyle="1" w:styleId="49">
    <w:name w:val="正文文本缩进 Char"/>
    <w:link w:val="13"/>
    <w:autoRedefine/>
    <w:semiHidden/>
    <w:qFormat/>
    <w:locked/>
    <w:uiPriority w:val="99"/>
    <w:rPr>
      <w:rFonts w:cs="Times New Roman"/>
      <w:sz w:val="24"/>
      <w:szCs w:val="24"/>
    </w:rPr>
  </w:style>
  <w:style w:type="character" w:customStyle="1" w:styleId="50">
    <w:name w:val="纯文本 Char"/>
    <w:link w:val="17"/>
    <w:autoRedefine/>
    <w:qFormat/>
    <w:locked/>
    <w:uiPriority w:val="0"/>
    <w:rPr>
      <w:rFonts w:ascii="宋体" w:hAnsi="Courier New" w:cs="Courier New"/>
      <w:sz w:val="21"/>
      <w:szCs w:val="21"/>
    </w:rPr>
  </w:style>
  <w:style w:type="character" w:customStyle="1" w:styleId="51">
    <w:name w:val="日期 Char"/>
    <w:link w:val="19"/>
    <w:autoRedefine/>
    <w:qFormat/>
    <w:locked/>
    <w:uiPriority w:val="99"/>
    <w:rPr>
      <w:rFonts w:cs="Times New Roman"/>
      <w:sz w:val="24"/>
      <w:szCs w:val="24"/>
    </w:rPr>
  </w:style>
  <w:style w:type="character" w:customStyle="1" w:styleId="52">
    <w:name w:val="批注框文本 Char"/>
    <w:link w:val="21"/>
    <w:autoRedefine/>
    <w:qFormat/>
    <w:locked/>
    <w:uiPriority w:val="99"/>
    <w:rPr>
      <w:rFonts w:cs="Times New Roman"/>
      <w:kern w:val="2"/>
      <w:sz w:val="18"/>
      <w:szCs w:val="18"/>
    </w:rPr>
  </w:style>
  <w:style w:type="character" w:customStyle="1" w:styleId="53">
    <w:name w:val="页脚 Char"/>
    <w:link w:val="22"/>
    <w:autoRedefine/>
    <w:qFormat/>
    <w:locked/>
    <w:uiPriority w:val="99"/>
    <w:rPr>
      <w:rFonts w:cs="Times New Roman"/>
      <w:sz w:val="18"/>
      <w:szCs w:val="18"/>
    </w:rPr>
  </w:style>
  <w:style w:type="character" w:customStyle="1" w:styleId="54">
    <w:name w:val="页眉 Char"/>
    <w:link w:val="23"/>
    <w:autoRedefine/>
    <w:qFormat/>
    <w:locked/>
    <w:uiPriority w:val="0"/>
    <w:rPr>
      <w:rFonts w:cs="Times New Roman"/>
      <w:sz w:val="18"/>
      <w:szCs w:val="18"/>
    </w:rPr>
  </w:style>
  <w:style w:type="character" w:customStyle="1" w:styleId="55">
    <w:name w:val="正文文本 2 Char"/>
    <w:link w:val="30"/>
    <w:autoRedefine/>
    <w:semiHidden/>
    <w:qFormat/>
    <w:uiPriority w:val="99"/>
    <w:rPr>
      <w:kern w:val="2"/>
      <w:sz w:val="21"/>
      <w:szCs w:val="24"/>
    </w:rPr>
  </w:style>
  <w:style w:type="character" w:customStyle="1" w:styleId="56">
    <w:name w:val="批注主题 Char"/>
    <w:link w:val="32"/>
    <w:autoRedefine/>
    <w:qFormat/>
    <w:locked/>
    <w:uiPriority w:val="99"/>
    <w:rPr>
      <w:rFonts w:cs="Times New Roman"/>
      <w:b/>
      <w:bCs/>
      <w:kern w:val="2"/>
      <w:sz w:val="24"/>
      <w:szCs w:val="24"/>
    </w:rPr>
  </w:style>
  <w:style w:type="character" w:customStyle="1" w:styleId="57">
    <w:name w:val="页眉 Char1"/>
    <w:autoRedefine/>
    <w:qFormat/>
    <w:locked/>
    <w:uiPriority w:val="99"/>
    <w:rPr>
      <w:rFonts w:ascii="Calibri" w:hAnsi="Calibri"/>
      <w:kern w:val="2"/>
      <w:sz w:val="18"/>
      <w:szCs w:val="22"/>
    </w:rPr>
  </w:style>
  <w:style w:type="character" w:customStyle="1" w:styleId="58">
    <w:name w:val="纯文本 Char1"/>
    <w:autoRedefine/>
    <w:qFormat/>
    <w:locked/>
    <w:uiPriority w:val="99"/>
    <w:rPr>
      <w:rFonts w:ascii="宋体" w:hAnsi="Courier New"/>
      <w:kern w:val="2"/>
      <w:sz w:val="24"/>
      <w:szCs w:val="22"/>
    </w:rPr>
  </w:style>
  <w:style w:type="character" w:customStyle="1" w:styleId="59">
    <w:name w:val="font16"/>
    <w:autoRedefine/>
    <w:qFormat/>
    <w:uiPriority w:val="0"/>
    <w:rPr>
      <w:rFonts w:hint="eastAsia" w:ascii="宋体" w:hAnsi="宋体" w:eastAsia="宋体" w:cs="宋体"/>
      <w:color w:val="000000"/>
      <w:sz w:val="22"/>
      <w:szCs w:val="22"/>
      <w:u w:val="none"/>
    </w:rPr>
  </w:style>
  <w:style w:type="character" w:customStyle="1" w:styleId="60">
    <w:name w:val="NormalCharacter"/>
    <w:autoRedefine/>
    <w:semiHidden/>
    <w:qFormat/>
    <w:uiPriority w:val="0"/>
  </w:style>
  <w:style w:type="paragraph" w:customStyle="1" w:styleId="61">
    <w:name w:val="列出段落1"/>
    <w:basedOn w:val="1"/>
    <w:autoRedefine/>
    <w:qFormat/>
    <w:uiPriority w:val="99"/>
    <w:pPr>
      <w:ind w:firstLine="420" w:firstLineChars="200"/>
    </w:pPr>
  </w:style>
  <w:style w:type="paragraph" w:customStyle="1" w:styleId="62">
    <w:name w:val="列出段落2"/>
    <w:basedOn w:val="1"/>
    <w:autoRedefine/>
    <w:qFormat/>
    <w:uiPriority w:val="34"/>
    <w:pPr>
      <w:ind w:firstLine="420" w:firstLineChars="200"/>
    </w:pPr>
  </w:style>
  <w:style w:type="paragraph" w:customStyle="1" w:styleId="63">
    <w:name w:val="xl55"/>
    <w:basedOn w:val="1"/>
    <w:autoRedefine/>
    <w:qFormat/>
    <w:uiPriority w:val="99"/>
    <w:pPr>
      <w:widowControl/>
      <w:spacing w:beforeAutospacing="1" w:afterAutospacing="1"/>
      <w:jc w:val="center"/>
      <w:textAlignment w:val="center"/>
    </w:pPr>
    <w:rPr>
      <w:rFonts w:ascii="Arial Unicode MS" w:hAnsi="Arial Unicode MS"/>
      <w:kern w:val="0"/>
      <w:sz w:val="24"/>
    </w:rPr>
  </w:style>
  <w:style w:type="paragraph" w:customStyle="1" w:styleId="64">
    <w:name w:val="表内文字"/>
    <w:basedOn w:val="1"/>
    <w:autoRedefine/>
    <w:qFormat/>
    <w:uiPriority w:val="99"/>
    <w:pPr>
      <w:spacing w:line="240" w:lineRule="atLeast"/>
      <w:jc w:val="center"/>
    </w:pPr>
    <w:rPr>
      <w:rFonts w:ascii="Arial" w:hAnsi="Arial" w:cs="Arial"/>
      <w:b/>
      <w:bCs/>
    </w:rPr>
  </w:style>
  <w:style w:type="paragraph" w:customStyle="1" w:styleId="65">
    <w:name w:val="1"/>
    <w:basedOn w:val="1"/>
    <w:next w:val="61"/>
    <w:autoRedefine/>
    <w:qFormat/>
    <w:uiPriority w:val="99"/>
    <w:pPr>
      <w:ind w:firstLine="420" w:firstLineChars="200"/>
    </w:pPr>
    <w:rPr>
      <w:rFonts w:ascii="Arial" w:hAnsi="Arial"/>
    </w:rPr>
  </w:style>
  <w:style w:type="paragraph" w:styleId="66">
    <w:name w:val="List Paragraph"/>
    <w:basedOn w:val="1"/>
    <w:autoRedefine/>
    <w:qFormat/>
    <w:uiPriority w:val="34"/>
    <w:pPr>
      <w:ind w:firstLine="420" w:firstLineChars="200"/>
    </w:pPr>
    <w:rPr>
      <w:szCs w:val="21"/>
    </w:rPr>
  </w:style>
  <w:style w:type="paragraph" w:customStyle="1" w:styleId="67">
    <w:name w:val="Table Paragraph"/>
    <w:basedOn w:val="1"/>
    <w:autoRedefine/>
    <w:qFormat/>
    <w:uiPriority w:val="1"/>
    <w:pPr>
      <w:autoSpaceDE w:val="0"/>
      <w:autoSpaceDN w:val="0"/>
    </w:pPr>
    <w:rPr>
      <w:rFonts w:ascii="宋体" w:hAnsi="宋体" w:cs="宋体"/>
      <w:sz w:val="22"/>
      <w:szCs w:val="22"/>
      <w:lang w:eastAsia="en-US"/>
    </w:rPr>
  </w:style>
  <w:style w:type="paragraph" w:customStyle="1" w:styleId="68">
    <w:name w:val="纯文本1"/>
    <w:basedOn w:val="69"/>
    <w:autoRedefine/>
    <w:qFormat/>
    <w:uiPriority w:val="0"/>
    <w:pPr>
      <w:snapToGrid w:val="0"/>
      <w:jc w:val="left"/>
    </w:pPr>
    <w:rPr>
      <w:rFonts w:ascii="Century Gothic" w:hAnsi="楷体_GB2312" w:eastAsia="Century Gothic"/>
    </w:rPr>
  </w:style>
  <w:style w:type="paragraph" w:customStyle="1" w:styleId="69">
    <w:name w:val="正文1"/>
    <w:basedOn w:val="1"/>
    <w:autoRedefine/>
    <w:qFormat/>
    <w:uiPriority w:val="0"/>
    <w:rPr>
      <w:rFonts w:ascii="宋体" w:hAnsi="宋体" w:cs="宋体"/>
    </w:rPr>
  </w:style>
  <w:style w:type="paragraph" w:customStyle="1" w:styleId="70">
    <w:name w:val="List Paragraph1"/>
    <w:basedOn w:val="1"/>
    <w:autoRedefine/>
    <w:qFormat/>
    <w:uiPriority w:val="99"/>
    <w:pPr>
      <w:ind w:firstLine="420" w:firstLineChars="200"/>
    </w:pPr>
    <w:rPr>
      <w:rFonts w:ascii="Calibri" w:hAnsi="Calibri"/>
      <w:szCs w:val="22"/>
    </w:rPr>
  </w:style>
  <w:style w:type="paragraph" w:customStyle="1" w:styleId="71">
    <w:name w:val="表格文字"/>
    <w:basedOn w:val="17"/>
    <w:next w:val="3"/>
    <w:autoRedefine/>
    <w:qFormat/>
    <w:uiPriority w:val="0"/>
    <w:pPr>
      <w:spacing w:line="420" w:lineRule="atLeast"/>
    </w:pPr>
  </w:style>
  <w:style w:type="paragraph" w:customStyle="1" w:styleId="72">
    <w:name w:val="Char Char"/>
    <w:basedOn w:val="1"/>
    <w:autoRedefine/>
    <w:qFormat/>
    <w:uiPriority w:val="0"/>
    <w:rPr>
      <w:rFonts w:ascii="仿宋_GB2312" w:eastAsia="仿宋_GB2312"/>
      <w:b/>
      <w:sz w:val="32"/>
      <w:szCs w:val="32"/>
    </w:rPr>
  </w:style>
  <w:style w:type="paragraph" w:customStyle="1" w:styleId="73">
    <w:name w:val="保留正文"/>
    <w:basedOn w:val="3"/>
    <w:autoRedefine/>
    <w:qFormat/>
    <w:uiPriority w:val="99"/>
    <w:pPr>
      <w:keepNext/>
    </w:pPr>
    <w:rPr>
      <w:szCs w:val="20"/>
    </w:rPr>
  </w:style>
  <w:style w:type="paragraph" w:customStyle="1" w:styleId="74">
    <w:name w:val="正文，段落，小四，22磅行距"/>
    <w:basedOn w:val="1"/>
    <w:autoRedefine/>
    <w:qFormat/>
    <w:uiPriority w:val="99"/>
    <w:pPr>
      <w:spacing w:line="440" w:lineRule="exact"/>
      <w:ind w:firstLine="420"/>
    </w:pPr>
    <w:rPr>
      <w:kern w:val="0"/>
      <w:sz w:val="24"/>
    </w:rPr>
  </w:style>
  <w:style w:type="paragraph" w:customStyle="1" w:styleId="75">
    <w:name w:val="xl35"/>
    <w:basedOn w:val="1"/>
    <w:autoRedefine/>
    <w:qFormat/>
    <w:uiPriority w:val="99"/>
    <w:pPr>
      <w:widowControl/>
      <w:pBdr>
        <w:left w:val="single" w:color="auto" w:sz="4" w:space="0"/>
        <w:bottom w:val="single" w:color="auto" w:sz="4" w:space="0"/>
        <w:right w:val="single" w:color="auto" w:sz="4" w:space="0"/>
      </w:pBdr>
      <w:spacing w:beforeAutospacing="1" w:afterAutospacing="1"/>
      <w:textAlignment w:val="center"/>
    </w:pPr>
    <w:rPr>
      <w:rFonts w:ascii="Arial Unicode MS" w:hAnsi="Arial Unicode MS"/>
      <w:kern w:val="0"/>
      <w:szCs w:val="22"/>
    </w:rPr>
  </w:style>
  <w:style w:type="paragraph" w:customStyle="1" w:styleId="76">
    <w:name w:val="无间隔1"/>
    <w:autoRedefine/>
    <w:qFormat/>
    <w:uiPriority w:val="99"/>
    <w:pPr>
      <w:widowControl w:val="0"/>
      <w:snapToGrid w:val="0"/>
      <w:jc w:val="both"/>
    </w:pPr>
    <w:rPr>
      <w:rFonts w:ascii="Calibri" w:hAnsi="Calibri" w:eastAsia="宋体" w:cs="Times New Roman"/>
      <w:kern w:val="2"/>
      <w:sz w:val="21"/>
      <w:szCs w:val="24"/>
      <w:lang w:val="en-US" w:eastAsia="zh-CN" w:bidi="ar-SA"/>
    </w:rPr>
  </w:style>
  <w:style w:type="table" w:customStyle="1" w:styleId="77">
    <w:name w:val="Table"/>
    <w:autoRedefine/>
    <w:unhideWhenUsed/>
    <w:qFormat/>
    <w:uiPriority w:val="0"/>
    <w:tblPr>
      <w:tblCellMar>
        <w:top w:w="0" w:type="dxa"/>
        <w:left w:w="108" w:type="dxa"/>
        <w:bottom w:w="0" w:type="dxa"/>
        <w:right w:w="108" w:type="dxa"/>
      </w:tblCellMar>
    </w:tblPr>
  </w:style>
  <w:style w:type="paragraph" w:customStyle="1" w:styleId="78">
    <w:name w:val="Default"/>
    <w:next w:val="1"/>
    <w:autoRedefine/>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character" w:customStyle="1" w:styleId="79">
    <w:name w:val="font11"/>
    <w:autoRedefine/>
    <w:qFormat/>
    <w:uiPriority w:val="0"/>
    <w:rPr>
      <w:rFonts w:hint="eastAsia" w:ascii="宋体" w:hAnsi="宋体" w:eastAsia="宋体" w:cs="宋体"/>
      <w:color w:val="000000"/>
      <w:sz w:val="22"/>
      <w:szCs w:val="22"/>
      <w:u w:val="none"/>
    </w:rPr>
  </w:style>
  <w:style w:type="paragraph" w:customStyle="1" w:styleId="80">
    <w:name w:val="WPSOffice手动目录 1"/>
    <w:autoRedefine/>
    <w:qFormat/>
    <w:uiPriority w:val="0"/>
    <w:rPr>
      <w:rFonts w:ascii="Times New Roman" w:hAnsi="Times New Roman" w:eastAsia="宋体" w:cs="Times New Roman"/>
      <w:lang w:val="en-US" w:eastAsia="zh-CN" w:bidi="ar-SA"/>
    </w:rPr>
  </w:style>
  <w:style w:type="paragraph" w:customStyle="1" w:styleId="8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82">
    <w:name w:val="样式1"/>
    <w:basedOn w:val="1"/>
    <w:next w:val="26"/>
    <w:autoRedefine/>
    <w:qFormat/>
    <w:uiPriority w:val="0"/>
    <w:pPr>
      <w:spacing w:line="500" w:lineRule="exact"/>
      <w:jc w:val="center"/>
    </w:pPr>
    <w:rPr>
      <w:rFonts w:hint="eastAsia"/>
      <w:sz w:val="24"/>
    </w:rPr>
  </w:style>
  <w:style w:type="paragraph" w:customStyle="1" w:styleId="83">
    <w:name w:val="[Normal]"/>
    <w:autoRedefine/>
    <w:qFormat/>
    <w:uiPriority w:val="99"/>
    <w:rPr>
      <w:rFonts w:ascii="宋体" w:hAnsi="宋体" w:eastAsia="宋体" w:cs="Times New Roman"/>
      <w:sz w:val="24"/>
      <w:szCs w:val="22"/>
      <w:lang w:val="zh-CN" w:eastAsia="zh-CN" w:bidi="ar-SA"/>
    </w:rPr>
  </w:style>
  <w:style w:type="paragraph" w:customStyle="1" w:styleId="84">
    <w:name w:val="列出段落3"/>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8"/>
    <customShpInfo spid="_x0000_s2062"/>
    <customShpInfo spid="_x0000_s2063"/>
    <customShpInfo spid="_x0000_s2064"/>
    <customShpInfo spid="_x0000_s2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73</Pages>
  <Words>40763</Words>
  <Characters>43005</Characters>
  <Lines>53</Lines>
  <Paragraphs>91</Paragraphs>
  <TotalTime>33</TotalTime>
  <ScaleCrop>false</ScaleCrop>
  <LinksUpToDate>false</LinksUpToDate>
  <CharactersWithSpaces>43954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2023-01-18T00:20:00Z</dcterms:created>
  <dc:creator>me</dc:creator>
  <cp:lastModifiedBy></cp:lastModifiedBy>
  <cp:lastPrinted>2021-04-02T02:15:00Z</cp:lastPrinted>
  <dcterms:modified xsi:type="dcterms:W3CDTF">2024-05-22T10:19:45Z</dcterms:modified>
  <dc:title>温州市国有企业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9E824AB2BF2549E9938899F757AC2AD8</vt:lpwstr>
  </property>
  <property fmtid="{D5CDD505-2E9C-101B-9397-08002B2CF9AE}" pid="4" name="pwk">
    <vt:lpwstr>招标文件V3.0</vt:lpwstr>
  </property>
</Properties>
</file>