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r>
        <w:rPr>
          <w:rFonts w:hint="eastAsia" w:ascii="Arial" w:hAnsi="Arial" w:eastAsia="宋体" w:cs="Arial"/>
          <w:b/>
          <w:bCs/>
          <w:color w:val="auto"/>
          <w:spacing w:val="120"/>
          <w:sz w:val="72"/>
          <w:szCs w:val="72"/>
          <w:highlight w:val="none"/>
          <w:lang w:eastAsia="zh-CN"/>
        </w:rPr>
        <w:tab/>
      </w:r>
    </w:p>
    <w:p>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lang w:val="en-US" w:eastAsia="zh-CN"/>
        </w:rPr>
      </w:pPr>
    </w:p>
    <w:p>
      <w:pPr>
        <w:overflowPunct w:val="0"/>
        <w:spacing w:line="400" w:lineRule="atLeast"/>
        <w:outlineLvl w:val="9"/>
        <w:rPr>
          <w:rFonts w:hint="default" w:ascii="Arial" w:hAnsi="Arial" w:eastAsia="宋体" w:cs="Arial"/>
          <w:b/>
          <w:color w:val="auto"/>
          <w:sz w:val="52"/>
          <w:highlight w:val="none"/>
        </w:rPr>
      </w:pPr>
    </w:p>
    <w:p>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 购</w:t>
      </w:r>
      <w:r>
        <w:rPr>
          <w:rFonts w:hint="default" w:ascii="Arial" w:hAnsi="Arial" w:eastAsia="宋体" w:cs="Arial"/>
          <w:b/>
          <w:bCs/>
          <w:color w:val="auto"/>
          <w:sz w:val="72"/>
          <w:szCs w:val="72"/>
          <w:highlight w:val="none"/>
        </w:rPr>
        <w:t xml:space="preserve"> 文 件</w:t>
      </w:r>
    </w:p>
    <w:p>
      <w:pPr>
        <w:overflowPunct w:val="0"/>
        <w:spacing w:line="400" w:lineRule="atLeast"/>
        <w:jc w:val="center"/>
        <w:outlineLvl w:val="9"/>
        <w:rPr>
          <w:rFonts w:hint="default" w:ascii="Arial" w:hAnsi="Arial" w:eastAsia="宋体" w:cs="Arial"/>
          <w:b/>
          <w:color w:val="auto"/>
          <w:sz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77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eastAsia"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WGSS-JFJT-X-2023009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77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IPO券商中介服务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77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pPr>
        <w:overflowPunct w:val="0"/>
        <w:jc w:val="center"/>
        <w:outlineLvl w:val="9"/>
        <w:rPr>
          <w:rFonts w:hint="default" w:ascii="Arial" w:hAnsi="Arial" w:eastAsia="宋体" w:cs="Arial"/>
          <w:b/>
          <w:bCs/>
          <w:color w:val="auto"/>
          <w:sz w:val="24"/>
          <w:highlight w:val="none"/>
        </w:rPr>
      </w:pPr>
    </w:p>
    <w:p>
      <w:pPr>
        <w:overflowPunct w:val="0"/>
        <w:jc w:val="center"/>
        <w:outlineLvl w:val="9"/>
        <w:rPr>
          <w:rFonts w:hint="default" w:ascii="Arial" w:hAnsi="Arial" w:eastAsia="宋体" w:cs="Arial"/>
          <w:b/>
          <w:bCs/>
          <w:color w:val="auto"/>
          <w:sz w:val="24"/>
          <w:highlight w:val="none"/>
        </w:rPr>
      </w:pPr>
    </w:p>
    <w:p>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28"/>
                <w:szCs w:val="28"/>
                <w:highlight w:val="none"/>
                <w:lang w:eastAsia="zh-CN"/>
              </w:rPr>
            </w:pPr>
            <w:r>
              <w:rPr>
                <w:rFonts w:hint="eastAsia" w:ascii="Arial" w:hAnsi="Arial" w:cs="Arial"/>
                <w:b/>
                <w:color w:val="auto"/>
                <w:spacing w:val="12"/>
                <w:sz w:val="28"/>
                <w:szCs w:val="28"/>
                <w:highlight w:val="none"/>
                <w:lang w:eastAsia="zh-CN"/>
              </w:rPr>
              <w:t>温州诚达交通发展股份有限公司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cs="Arial"/>
                <w:b/>
                <w:color w:val="auto"/>
                <w:spacing w:val="40"/>
                <w:sz w:val="28"/>
                <w:szCs w:val="28"/>
                <w:highlight w:val="none"/>
                <w:lang w:val="en-US" w:eastAsia="zh-CN"/>
              </w:rPr>
              <w:t>四</w:t>
            </w:r>
            <w:r>
              <w:rPr>
                <w:rFonts w:hint="default" w:ascii="Arial" w:hAnsi="Arial" w:eastAsia="宋体" w:cs="Arial"/>
                <w:b/>
                <w:color w:val="auto"/>
                <w:spacing w:val="40"/>
                <w:sz w:val="28"/>
                <w:szCs w:val="28"/>
                <w:highlight w:val="none"/>
              </w:rPr>
              <w:t>年</w:t>
            </w:r>
            <w:r>
              <w:rPr>
                <w:rFonts w:hint="eastAsia" w:ascii="Arial" w:hAnsi="Arial" w:cs="Arial"/>
                <w:b/>
                <w:color w:val="auto"/>
                <w:spacing w:val="40"/>
                <w:sz w:val="28"/>
                <w:szCs w:val="28"/>
                <w:highlight w:val="none"/>
                <w:lang w:val="en-US" w:eastAsia="zh-CN"/>
              </w:rPr>
              <w:t>一</w:t>
            </w:r>
            <w:r>
              <w:rPr>
                <w:rFonts w:hint="default" w:ascii="Arial" w:hAnsi="Arial" w:eastAsia="宋体" w:cs="Arial"/>
                <w:b/>
                <w:color w:val="auto"/>
                <w:spacing w:val="40"/>
                <w:sz w:val="28"/>
                <w:szCs w:val="28"/>
                <w:highlight w:val="none"/>
              </w:rPr>
              <w:t>月</w:t>
            </w:r>
          </w:p>
        </w:tc>
      </w:tr>
    </w:tbl>
    <w:p>
      <w:pPr>
        <w:overflowPunct w:val="0"/>
        <w:spacing w:line="600" w:lineRule="exact"/>
        <w:jc w:val="center"/>
        <w:outlineLvl w:val="9"/>
        <w:rPr>
          <w:rFonts w:hint="default" w:ascii="Arial" w:hAnsi="Arial" w:eastAsia="宋体" w:cs="Arial"/>
          <w:b/>
          <w:bCs/>
          <w:color w:val="auto"/>
          <w:spacing w:val="120"/>
          <w:sz w:val="72"/>
          <w:szCs w:val="72"/>
          <w:highlight w:val="none"/>
        </w:rPr>
      </w:pPr>
    </w:p>
    <w:p>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1"/>
          <w:szCs w:val="21"/>
          <w:highlight w:val="none"/>
        </w:rPr>
        <w:t>目    录</w:t>
      </w:r>
    </w:p>
    <w:p>
      <w:pPr>
        <w:spacing w:line="360" w:lineRule="auto"/>
        <w:jc w:val="center"/>
        <w:outlineLvl w:val="9"/>
        <w:rPr>
          <w:rFonts w:hint="eastAsia" w:ascii="宋体" w:hAnsi="宋体" w:eastAsia="宋体" w:cs="宋体"/>
          <w:b/>
          <w:bCs/>
          <w:color w:val="auto"/>
          <w:sz w:val="21"/>
          <w:szCs w:val="21"/>
          <w:highlight w:val="none"/>
        </w:rPr>
      </w:pP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_Toc16315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1"/>
          <w:sz w:val="21"/>
          <w:szCs w:val="21"/>
          <w:highlight w:val="none"/>
          <w:lang w:eastAsia="zh-CN"/>
        </w:rPr>
        <w:t>温州市交发集团所属温州诚达交通发展股份有限公司</w:t>
      </w:r>
      <w:r>
        <w:rPr>
          <w:rFonts w:hint="eastAsia" w:ascii="宋体" w:hAnsi="宋体" w:eastAsia="宋体" w:cs="宋体"/>
          <w:bCs/>
          <w:color w:val="auto"/>
          <w:kern w:val="1"/>
          <w:sz w:val="21"/>
          <w:szCs w:val="21"/>
          <w:highlight w:val="none"/>
        </w:rPr>
        <w:t>关于</w:t>
      </w:r>
      <w:r>
        <w:rPr>
          <w:rFonts w:hint="eastAsia" w:ascii="宋体" w:hAnsi="宋体" w:eastAsia="宋体" w:cs="宋体"/>
          <w:bCs/>
          <w:color w:val="auto"/>
          <w:kern w:val="1"/>
          <w:sz w:val="21"/>
          <w:szCs w:val="21"/>
          <w:highlight w:val="none"/>
          <w:lang w:eastAsia="zh-CN"/>
        </w:rPr>
        <w:t>IPO券商中介服务项目（</w:t>
      </w:r>
      <w:r>
        <w:rPr>
          <w:rFonts w:hint="eastAsia" w:ascii="宋体" w:hAnsi="宋体" w:eastAsia="宋体" w:cs="宋体"/>
          <w:bCs/>
          <w:color w:val="auto"/>
          <w:kern w:val="1"/>
          <w:sz w:val="21"/>
          <w:szCs w:val="21"/>
          <w:highlight w:val="none"/>
          <w:lang w:val="en-US" w:eastAsia="zh-CN"/>
        </w:rPr>
        <w:t>限额以上</w:t>
      </w:r>
      <w:r>
        <w:rPr>
          <w:rFonts w:hint="eastAsia" w:ascii="宋体" w:hAnsi="宋体" w:eastAsia="宋体" w:cs="宋体"/>
          <w:bCs/>
          <w:color w:val="auto"/>
          <w:kern w:val="1"/>
          <w:sz w:val="21"/>
          <w:szCs w:val="21"/>
          <w:highlight w:val="none"/>
          <w:lang w:eastAsia="zh-CN"/>
        </w:rPr>
        <w:t>）</w:t>
      </w:r>
      <w:r>
        <w:rPr>
          <w:rFonts w:hint="eastAsia" w:ascii="宋体" w:hAnsi="宋体" w:eastAsia="宋体" w:cs="宋体"/>
          <w:bCs/>
          <w:color w:val="auto"/>
          <w:kern w:val="1"/>
          <w:sz w:val="21"/>
          <w:szCs w:val="21"/>
          <w:highlight w:val="none"/>
        </w:rPr>
        <w:t>的</w:t>
      </w:r>
      <w:r>
        <w:rPr>
          <w:rFonts w:hint="eastAsia" w:ascii="宋体" w:hAnsi="宋体" w:eastAsia="宋体" w:cs="宋体"/>
          <w:bCs/>
          <w:color w:val="auto"/>
          <w:kern w:val="1"/>
          <w:sz w:val="21"/>
          <w:szCs w:val="21"/>
          <w:highlight w:val="none"/>
          <w:lang w:val="en-US" w:eastAsia="zh-CN"/>
        </w:rPr>
        <w:t>采购</w:t>
      </w:r>
      <w:r>
        <w:rPr>
          <w:rFonts w:hint="eastAsia" w:ascii="宋体" w:hAnsi="宋体" w:eastAsia="宋体" w:cs="宋体"/>
          <w:bCs/>
          <w:color w:val="auto"/>
          <w:kern w:val="1"/>
          <w:sz w:val="21"/>
          <w:szCs w:val="21"/>
          <w:highlight w:val="none"/>
        </w:rPr>
        <w:t>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_Toc29556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_Toc18141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 xml:space="preserve">第一部分 </w:t>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_Toc661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第二部分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_Toc26758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第三部分 附件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_Toc31382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lang w:eastAsia="zh-CN"/>
        </w:rPr>
        <w:t>第四部分</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采购内容及要求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6"/>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_Toc2863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第五部分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fldChar w:fldCharType="end"/>
      </w:r>
    </w:p>
    <w:p>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kern w:val="0"/>
          <w:sz w:val="24"/>
          <w:szCs w:val="24"/>
          <w:highlight w:val="none"/>
        </w:rPr>
        <w:t>投标报名申请表</w:t>
      </w:r>
    </w:p>
    <w:p>
      <w:pPr>
        <w:jc w:val="center"/>
        <w:outlineLvl w:val="9"/>
        <w:rPr>
          <w:rFonts w:hint="eastAsia" w:ascii="宋体" w:hAnsi="宋体" w:eastAsia="宋体" w:cs="宋体"/>
          <w:b/>
          <w:color w:val="auto"/>
          <w:kern w:val="0"/>
          <w:sz w:val="21"/>
          <w:szCs w:val="21"/>
          <w:highlight w:val="none"/>
        </w:rPr>
      </w:pPr>
    </w:p>
    <w:tbl>
      <w:tblPr>
        <w:tblStyle w:val="33"/>
        <w:tblW w:w="0" w:type="auto"/>
        <w:jc w:val="center"/>
        <w:tblLayout w:type="fixed"/>
        <w:tblCellMar>
          <w:top w:w="0" w:type="dxa"/>
          <w:left w:w="108" w:type="dxa"/>
          <w:bottom w:w="0" w:type="dxa"/>
          <w:right w:w="108" w:type="dxa"/>
        </w:tblCellMar>
      </w:tblPr>
      <w:tblGrid>
        <w:gridCol w:w="814"/>
        <w:gridCol w:w="1503"/>
        <w:gridCol w:w="3524"/>
        <w:gridCol w:w="485"/>
        <w:gridCol w:w="775"/>
        <w:gridCol w:w="14"/>
        <w:gridCol w:w="2444"/>
      </w:tblGrid>
      <w:tr>
        <w:tblPrEx>
          <w:tblCellMar>
            <w:top w:w="0" w:type="dxa"/>
            <w:left w:w="108" w:type="dxa"/>
            <w:bottom w:w="0" w:type="dxa"/>
            <w:right w:w="108" w:type="dxa"/>
          </w:tblCellMar>
        </w:tblPrEx>
        <w:trPr>
          <w:trHeight w:val="790" w:hRule="atLeast"/>
          <w:jc w:val="center"/>
        </w:trPr>
        <w:tc>
          <w:tcPr>
            <w:tcW w:w="2317" w:type="dxa"/>
            <w:gridSpan w:val="2"/>
            <w:tcBorders>
              <w:top w:val="single" w:color="auto" w:sz="1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42" w:type="dxa"/>
            <w:gridSpan w:val="5"/>
            <w:tcBorders>
              <w:top w:val="single" w:color="auto" w:sz="1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tblPrEx>
          <w:tblCellMar>
            <w:top w:w="0" w:type="dxa"/>
            <w:left w:w="108" w:type="dxa"/>
            <w:bottom w:w="0" w:type="dxa"/>
            <w:right w:w="108" w:type="dxa"/>
          </w:tblCellMar>
        </w:tblPrEx>
        <w:trPr>
          <w:trHeight w:val="812" w:hRule="atLeast"/>
          <w:jc w:val="center"/>
        </w:trPr>
        <w:tc>
          <w:tcPr>
            <w:tcW w:w="2317"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42"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IPO券商中介服务</w:t>
            </w:r>
          </w:p>
        </w:tc>
      </w:tr>
      <w:tr>
        <w:tblPrEx>
          <w:tblCellMar>
            <w:top w:w="0" w:type="dxa"/>
            <w:left w:w="108" w:type="dxa"/>
            <w:bottom w:w="0" w:type="dxa"/>
            <w:right w:w="108" w:type="dxa"/>
          </w:tblCellMar>
        </w:tblPrEx>
        <w:trPr>
          <w:trHeight w:val="822" w:hRule="atLeast"/>
          <w:jc w:val="center"/>
        </w:trPr>
        <w:tc>
          <w:tcPr>
            <w:tcW w:w="2317"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42"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WGSS-JFJT-X-2023009</w:t>
            </w:r>
          </w:p>
        </w:tc>
      </w:tr>
      <w:tr>
        <w:tblPrEx>
          <w:tblCellMar>
            <w:top w:w="0" w:type="dxa"/>
            <w:left w:w="108" w:type="dxa"/>
            <w:bottom w:w="0" w:type="dxa"/>
            <w:right w:w="108" w:type="dxa"/>
          </w:tblCellMar>
        </w:tblPrEx>
        <w:trPr>
          <w:trHeight w:val="796" w:hRule="atLeast"/>
          <w:jc w:val="center"/>
        </w:trPr>
        <w:tc>
          <w:tcPr>
            <w:tcW w:w="2317"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42"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38" w:hRule="atLeast"/>
          <w:jc w:val="center"/>
        </w:trPr>
        <w:tc>
          <w:tcPr>
            <w:tcW w:w="2317"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4"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4"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96" w:hRule="atLeast"/>
          <w:jc w:val="center"/>
        </w:trPr>
        <w:tc>
          <w:tcPr>
            <w:tcW w:w="2317"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4"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4"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55" w:hRule="atLeast"/>
          <w:jc w:val="center"/>
        </w:trPr>
        <w:tc>
          <w:tcPr>
            <w:tcW w:w="2317"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4"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4"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14" w:hRule="atLeast"/>
          <w:jc w:val="center"/>
        </w:trPr>
        <w:tc>
          <w:tcPr>
            <w:tcW w:w="2317" w:type="dxa"/>
            <w:gridSpan w:val="2"/>
            <w:tcBorders>
              <w:top w:val="single" w:color="auto" w:sz="2" w:space="0"/>
              <w:left w:val="single" w:color="auto" w:sz="12" w:space="0"/>
              <w:bottom w:val="single" w:color="auto" w:sz="1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42" w:type="dxa"/>
            <w:gridSpan w:val="5"/>
            <w:tcBorders>
              <w:top w:val="single" w:color="auto" w:sz="2" w:space="0"/>
              <w:left w:val="single" w:color="auto" w:sz="2" w:space="0"/>
              <w:bottom w:val="single" w:color="auto" w:sz="1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902" w:hRule="atLeast"/>
          <w:jc w:val="center"/>
        </w:trPr>
        <w:tc>
          <w:tcPr>
            <w:tcW w:w="9559" w:type="dxa"/>
            <w:gridSpan w:val="7"/>
            <w:tcBorders>
              <w:top w:val="single" w:color="auto" w:sz="12" w:space="0"/>
              <w:left w:val="single" w:color="auto" w:sz="12"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tblPrEx>
          <w:tblCellMar>
            <w:top w:w="0" w:type="dxa"/>
            <w:left w:w="108" w:type="dxa"/>
            <w:bottom w:w="0" w:type="dxa"/>
            <w:right w:w="108" w:type="dxa"/>
          </w:tblCellMar>
        </w:tblPrEx>
        <w:trPr>
          <w:trHeight w:val="881"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1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8"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85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1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8"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5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551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中国证监会颁发的经营证券业务（承销与保荐业务）许可证</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8"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65"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551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8"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bl>
    <w:p>
      <w:pPr>
        <w:spacing w:beforeLines="50"/>
        <w:outlineLvl w:val="9"/>
        <w:rPr>
          <w:rFonts w:hint="eastAsia" w:ascii="宋体" w:hAnsi="宋体" w:eastAsia="宋体" w:cs="宋体"/>
          <w:color w:val="auto"/>
          <w:sz w:val="21"/>
          <w:szCs w:val="21"/>
          <w:highlight w:val="none"/>
        </w:rPr>
      </w:pPr>
    </w:p>
    <w:p>
      <w:pPr>
        <w:pStyle w:val="15"/>
        <w:ind w:firstLine="200"/>
        <w:outlineLvl w:val="9"/>
        <w:rPr>
          <w:rFonts w:hint="eastAsia" w:ascii="宋体" w:hAnsi="宋体" w:eastAsia="宋体" w:cs="宋体"/>
          <w:color w:val="auto"/>
          <w:sz w:val="21"/>
          <w:szCs w:val="21"/>
          <w:highlight w:val="none"/>
        </w:rPr>
      </w:pPr>
    </w:p>
    <w:p>
      <w:pPr>
        <w:pStyle w:val="15"/>
        <w:ind w:firstLine="200"/>
        <w:outlineLvl w:val="9"/>
        <w:rPr>
          <w:rFonts w:hint="eastAsia" w:ascii="宋体" w:hAnsi="宋体" w:eastAsia="宋体" w:cs="宋体"/>
          <w:color w:val="auto"/>
          <w:sz w:val="21"/>
          <w:szCs w:val="21"/>
          <w:highlight w:val="none"/>
        </w:rPr>
      </w:pPr>
    </w:p>
    <w:p>
      <w:pPr>
        <w:pStyle w:val="15"/>
        <w:ind w:firstLine="200"/>
        <w:outlineLvl w:val="9"/>
        <w:rPr>
          <w:rFonts w:hint="eastAsia" w:ascii="宋体" w:hAnsi="宋体" w:eastAsia="宋体" w:cs="宋体"/>
          <w:color w:val="auto"/>
          <w:sz w:val="21"/>
          <w:szCs w:val="21"/>
          <w:highlight w:val="none"/>
        </w:rPr>
      </w:pPr>
    </w:p>
    <w:p>
      <w:pPr>
        <w:spacing w:line="360" w:lineRule="auto"/>
        <w:ind w:firstLine="413" w:firstLineChars="196"/>
        <w:outlineLvl w:val="9"/>
        <w:rPr>
          <w:rFonts w:hint="eastAsia" w:ascii="宋体" w:hAnsi="宋体" w:eastAsia="宋体" w:cs="宋体"/>
          <w:b/>
          <w:bCs/>
          <w:color w:val="auto"/>
          <w:sz w:val="21"/>
          <w:szCs w:val="21"/>
          <w:highlight w:val="none"/>
        </w:rPr>
      </w:pPr>
    </w:p>
    <w:p>
      <w:pPr>
        <w:spacing w:line="480" w:lineRule="auto"/>
        <w:ind w:firstLine="0" w:firstLineChars="0"/>
        <w:outlineLvl w:val="9"/>
        <w:rPr>
          <w:rFonts w:hint="eastAsia" w:ascii="宋体" w:hAnsi="宋体" w:eastAsia="宋体" w:cs="宋体"/>
          <w:color w:val="auto"/>
          <w:sz w:val="21"/>
          <w:szCs w:val="21"/>
          <w:highlight w:val="none"/>
        </w:rPr>
      </w:pPr>
      <w:bookmarkStart w:id="0" w:name="_Toc245191309"/>
      <w:bookmarkStart w:id="1" w:name="_Toc239145349"/>
      <w:bookmarkStart w:id="2" w:name="_Toc222114874"/>
      <w:bookmarkStart w:id="3" w:name="_Toc221356881"/>
      <w:bookmarkStart w:id="4" w:name="_Toc262049413"/>
      <w:bookmarkStart w:id="5" w:name="_Toc249758707"/>
      <w:bookmarkStart w:id="6" w:name="_Toc221356946"/>
      <w:bookmarkStart w:id="7" w:name="_Toc221423614"/>
      <w:bookmarkStart w:id="8" w:name="_Toc246261260"/>
      <w:bookmarkStart w:id="9" w:name="_Toc249758859"/>
      <w:bookmarkStart w:id="10" w:name="_Toc245722276"/>
      <w:bookmarkStart w:id="11" w:name="_Toc221374621"/>
      <w:bookmarkStart w:id="12" w:name="_Toc262105498"/>
      <w:bookmarkStart w:id="13" w:name="_Toc223715993"/>
      <w:bookmarkStart w:id="14" w:name="_Toc241404197"/>
    </w:p>
    <w:p>
      <w:pPr>
        <w:wordWrap w:val="0"/>
        <w:spacing w:line="360" w:lineRule="auto"/>
        <w:jc w:val="center"/>
        <w:outlineLvl w:val="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br w:type="page"/>
      </w:r>
      <w:bookmarkStart w:id="15" w:name="_Toc16315"/>
      <w:r>
        <w:rPr>
          <w:rFonts w:hint="eastAsia" w:ascii="宋体" w:hAnsi="宋体" w:eastAsia="宋体" w:cs="宋体"/>
          <w:b/>
          <w:bCs/>
          <w:color w:val="auto"/>
          <w:kern w:val="1"/>
          <w:sz w:val="32"/>
          <w:szCs w:val="32"/>
          <w:highlight w:val="none"/>
          <w:lang w:eastAsia="zh-CN"/>
        </w:rPr>
        <w:t>温州市交发集团所属</w:t>
      </w:r>
      <w:r>
        <w:rPr>
          <w:rFonts w:hint="eastAsia" w:ascii="宋体" w:hAnsi="宋体" w:cs="宋体"/>
          <w:b/>
          <w:bCs/>
          <w:color w:val="auto"/>
          <w:kern w:val="1"/>
          <w:sz w:val="32"/>
          <w:szCs w:val="32"/>
          <w:highlight w:val="none"/>
          <w:lang w:eastAsia="zh-CN"/>
        </w:rPr>
        <w:t>温州诚达交通发展股份有限公司</w:t>
      </w:r>
      <w:r>
        <w:rPr>
          <w:rFonts w:hint="eastAsia" w:ascii="宋体" w:hAnsi="宋体" w:eastAsia="宋体" w:cs="宋体"/>
          <w:b/>
          <w:bCs/>
          <w:color w:val="auto"/>
          <w:kern w:val="1"/>
          <w:sz w:val="32"/>
          <w:szCs w:val="32"/>
          <w:highlight w:val="none"/>
        </w:rPr>
        <w:t>关于</w:t>
      </w:r>
      <w:r>
        <w:rPr>
          <w:rFonts w:hint="eastAsia" w:ascii="宋体" w:hAnsi="宋体" w:cs="宋体"/>
          <w:b/>
          <w:bCs/>
          <w:color w:val="auto"/>
          <w:kern w:val="1"/>
          <w:sz w:val="32"/>
          <w:szCs w:val="32"/>
          <w:highlight w:val="none"/>
          <w:lang w:eastAsia="zh-CN"/>
        </w:rPr>
        <w:t>IPO券商中介服务</w:t>
      </w:r>
      <w:r>
        <w:rPr>
          <w:rFonts w:hint="eastAsia" w:ascii="宋体" w:hAnsi="宋体" w:cs="宋体"/>
          <w:b/>
          <w:bCs/>
          <w:color w:val="auto"/>
          <w:kern w:val="1"/>
          <w:sz w:val="32"/>
          <w:szCs w:val="32"/>
          <w:highlight w:val="none"/>
          <w:lang w:val="en-US" w:eastAsia="zh-CN"/>
        </w:rPr>
        <w:t>项目</w:t>
      </w:r>
      <w:r>
        <w:rPr>
          <w:rFonts w:hint="eastAsia" w:ascii="宋体" w:hAnsi="宋体" w:eastAsia="宋体" w:cs="宋体"/>
          <w:b/>
          <w:bCs/>
          <w:color w:val="auto"/>
          <w:kern w:val="1"/>
          <w:sz w:val="32"/>
          <w:szCs w:val="32"/>
          <w:highlight w:val="none"/>
          <w:lang w:eastAsia="zh-CN"/>
        </w:rPr>
        <w:t>（</w:t>
      </w:r>
      <w:r>
        <w:rPr>
          <w:rFonts w:hint="eastAsia" w:ascii="宋体" w:hAnsi="宋体" w:cs="宋体"/>
          <w:b/>
          <w:bCs/>
          <w:color w:val="auto"/>
          <w:kern w:val="1"/>
          <w:sz w:val="32"/>
          <w:szCs w:val="32"/>
          <w:highlight w:val="none"/>
          <w:lang w:val="en-US" w:eastAsia="zh-CN"/>
        </w:rPr>
        <w:t>限额以上</w:t>
      </w:r>
      <w:r>
        <w:rPr>
          <w:rFonts w:hint="eastAsia" w:ascii="宋体" w:hAnsi="宋体" w:eastAsia="宋体" w:cs="宋体"/>
          <w:b/>
          <w:bCs/>
          <w:color w:val="auto"/>
          <w:kern w:val="1"/>
          <w:sz w:val="32"/>
          <w:szCs w:val="32"/>
          <w:highlight w:val="none"/>
          <w:lang w:eastAsia="zh-CN"/>
        </w:rPr>
        <w:t>）</w:t>
      </w:r>
      <w:r>
        <w:rPr>
          <w:rFonts w:hint="eastAsia" w:ascii="宋体" w:hAnsi="宋体" w:eastAsia="宋体" w:cs="宋体"/>
          <w:b/>
          <w:bCs/>
          <w:color w:val="auto"/>
          <w:kern w:val="1"/>
          <w:sz w:val="32"/>
          <w:szCs w:val="32"/>
          <w:highlight w:val="none"/>
        </w:rPr>
        <w:t>的</w:t>
      </w:r>
      <w:r>
        <w:rPr>
          <w:rFonts w:hint="eastAsia" w:ascii="宋体" w:hAnsi="宋体" w:eastAsia="宋体" w:cs="宋体"/>
          <w:b/>
          <w:bCs/>
          <w:color w:val="auto"/>
          <w:kern w:val="1"/>
          <w:sz w:val="32"/>
          <w:szCs w:val="32"/>
          <w:highlight w:val="none"/>
          <w:lang w:val="en-US" w:eastAsia="zh-CN"/>
        </w:rPr>
        <w:t>采购</w:t>
      </w:r>
      <w:r>
        <w:rPr>
          <w:rFonts w:hint="eastAsia" w:ascii="宋体" w:hAnsi="宋体" w:eastAsia="宋体" w:cs="宋体"/>
          <w:b/>
          <w:bCs/>
          <w:color w:val="auto"/>
          <w:kern w:val="1"/>
          <w:sz w:val="32"/>
          <w:szCs w:val="32"/>
          <w:highlight w:val="none"/>
        </w:rPr>
        <w:t>公告</w:t>
      </w:r>
      <w:bookmarkEnd w:id="15"/>
    </w:p>
    <w:p>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《温州市</w:t>
      </w:r>
      <w:r>
        <w:rPr>
          <w:rFonts w:hint="eastAsia" w:ascii="宋体" w:hAnsi="宋体" w:eastAsia="宋体" w:cs="宋体"/>
          <w:bCs/>
          <w:color w:val="auto"/>
          <w:kern w:val="1"/>
          <w:sz w:val="21"/>
          <w:szCs w:val="21"/>
          <w:highlight w:val="none"/>
          <w:lang w:val="en-US" w:eastAsia="zh-CN"/>
        </w:rPr>
        <w:t>市属</w:t>
      </w:r>
      <w:r>
        <w:rPr>
          <w:rFonts w:hint="eastAsia" w:ascii="宋体" w:hAnsi="宋体" w:eastAsia="宋体" w:cs="宋体"/>
          <w:bCs/>
          <w:color w:val="auto"/>
          <w:kern w:val="1"/>
          <w:sz w:val="21"/>
          <w:szCs w:val="21"/>
          <w:highlight w:val="none"/>
        </w:rPr>
        <w:t>国有企业采购管理办法（试行）》</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委托，就所需</w:t>
      </w:r>
      <w:r>
        <w:rPr>
          <w:rFonts w:hint="eastAsia" w:ascii="宋体" w:hAnsi="宋体" w:cs="宋体"/>
          <w:color w:val="auto"/>
          <w:sz w:val="21"/>
          <w:szCs w:val="21"/>
          <w:highlight w:val="none"/>
          <w:lang w:eastAsia="zh-CN"/>
        </w:rPr>
        <w:t>IPO券商中介服务</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以公开招标的方式进行采购，欢迎国内合格的投标供应商前来投标。</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cs="宋体"/>
          <w:b w:val="0"/>
          <w:bCs w:val="0"/>
          <w:color w:val="auto"/>
          <w:sz w:val="21"/>
          <w:szCs w:val="21"/>
          <w:highlight w:val="none"/>
          <w:lang w:eastAsia="zh-CN"/>
        </w:rPr>
        <w:t>WGSS-JFJT-X-2023009</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val="0"/>
          <w:bCs w:val="0"/>
          <w:color w:val="auto"/>
          <w:sz w:val="21"/>
          <w:szCs w:val="21"/>
          <w:highlight w:val="none"/>
          <w:lang w:eastAsia="zh-CN"/>
        </w:rPr>
        <w:t>国企采购（非政府采购）</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3"/>
        <w:tblW w:w="9436"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615"/>
        <w:gridCol w:w="1558"/>
        <w:gridCol w:w="714"/>
        <w:gridCol w:w="823"/>
        <w:gridCol w:w="1368"/>
        <w:gridCol w:w="3610"/>
        <w:gridCol w:w="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055" w:hRule="atLeast"/>
        </w:trPr>
        <w:tc>
          <w:tcPr>
            <w:tcW w:w="615" w:type="dxa"/>
            <w:tcBorders>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558"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71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23"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368"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36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748" w:type="dxa"/>
            <w:tcBorders>
              <w:left w:val="single" w:color="000000" w:sz="4" w:space="0"/>
              <w:bottom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952" w:hRule="atLeast"/>
        </w:trPr>
        <w:tc>
          <w:tcPr>
            <w:tcW w:w="615" w:type="dxa"/>
            <w:tcBorders>
              <w:top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558"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IPO券商中介服务</w:t>
            </w:r>
          </w:p>
        </w:tc>
        <w:tc>
          <w:tcPr>
            <w:tcW w:w="71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2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1368"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224万</w:t>
            </w:r>
            <w:r>
              <w:rPr>
                <w:rFonts w:hint="eastAsia" w:ascii="宋体" w:hAnsi="宋体" w:eastAsia="宋体" w:cs="宋体"/>
                <w:bCs/>
                <w:color w:val="auto"/>
                <w:sz w:val="21"/>
                <w:szCs w:val="21"/>
                <w:highlight w:val="none"/>
                <w:lang w:val="en-US" w:eastAsia="zh-CN"/>
              </w:rPr>
              <w:t>元</w:t>
            </w:r>
          </w:p>
        </w:tc>
        <w:tc>
          <w:tcPr>
            <w:tcW w:w="36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内容及详细技术要求见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748" w:type="dxa"/>
            <w:tcBorders>
              <w:top w:val="single" w:color="000000" w:sz="4" w:space="0"/>
              <w:lef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p>
        </w:tc>
      </w:tr>
    </w:tbl>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符合《温州市市属国有企业采购管理办法（试行）》第十五条对</w:t>
      </w:r>
      <w:r>
        <w:rPr>
          <w:rFonts w:hint="eastAsia" w:ascii="宋体" w:hAnsi="宋体" w:eastAsia="宋体" w:cs="宋体"/>
          <w:bCs/>
          <w:color w:val="auto"/>
          <w:kern w:val="0"/>
          <w:sz w:val="21"/>
          <w:szCs w:val="21"/>
          <w:highlight w:val="none"/>
          <w:lang w:eastAsia="zh-CN"/>
        </w:rPr>
        <w:t>投标供应商</w:t>
      </w:r>
      <w:r>
        <w:rPr>
          <w:rFonts w:hint="eastAsia" w:ascii="宋体" w:hAnsi="宋体" w:eastAsia="宋体" w:cs="宋体"/>
          <w:bCs/>
          <w:color w:val="auto"/>
          <w:kern w:val="0"/>
          <w:sz w:val="21"/>
          <w:szCs w:val="21"/>
          <w:highlight w:val="none"/>
        </w:rPr>
        <w:t>参加国有企业采购活动应当具备的资格条件。</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w:t>
      </w:r>
      <w:r>
        <w:rPr>
          <w:rFonts w:hint="eastAsia" w:ascii="宋体" w:hAnsi="宋体" w:eastAsia="宋体" w:cs="宋体"/>
          <w:bCs/>
          <w:color w:val="auto"/>
          <w:kern w:val="0"/>
          <w:sz w:val="21"/>
          <w:szCs w:val="21"/>
          <w:highlight w:val="none"/>
          <w:lang w:eastAsia="zh-CN"/>
        </w:rPr>
        <w:t>活动。</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 xml:space="preserve">    4、具有中国证监会颁发的经营证券业务（承销与保荐业务）许可证；</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5、具有证券公司分类评级B级及以上级别（参考《中国证监会公布202</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年证券公司分类结果》）。</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6、本项目不接受联合体投标。</w:t>
      </w:r>
    </w:p>
    <w:p>
      <w:pPr>
        <w:keepNext w:val="0"/>
        <w:keepLines w:val="0"/>
        <w:pageBreakBefore w:val="0"/>
        <w:widowControl w:val="0"/>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发售采购文件时间：公告发布之日起</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00元整(售后不退)。</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采购文件发售地点：本项目暂不接受现场获取采购文件。</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网上报名（政采云报名）：请供应商登录浙江政府采购网（http://zfcg.czt.zj.gov.cn），进入“政采云”平台进行注册并报名（未注册的供应商请尽早注册，客服电话：</w:t>
      </w:r>
      <w:r>
        <w:rPr>
          <w:rFonts w:hint="eastAsia" w:ascii="宋体" w:hAnsi="宋体" w:cs="宋体"/>
          <w:color w:val="auto"/>
          <w:kern w:val="0"/>
          <w:sz w:val="21"/>
          <w:szCs w:val="21"/>
          <w:highlight w:val="none"/>
          <w:lang w:eastAsia="zh-CN"/>
        </w:rPr>
        <w:t>95763</w:t>
      </w:r>
      <w:r>
        <w:rPr>
          <w:rFonts w:hint="eastAsia" w:ascii="宋体" w:hAnsi="宋体" w:eastAsia="宋体" w:cs="宋体"/>
          <w:color w:val="auto"/>
          <w:kern w:val="0"/>
          <w:sz w:val="21"/>
          <w:szCs w:val="21"/>
          <w:highlight w:val="none"/>
          <w:lang w:eastAsia="zh-CN"/>
        </w:rPr>
        <w:t>），（操作路径：浙江政府采购网：供应商注册-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中国建设银行温州双龙支行；），将供应商报名申请表（格式详见采购文件）、企业法人营业执照副本复印件（加盖公章扫描件）、中国证监会颁发的经营证券业务（承销与保荐业务）许可证</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标书购买费用凭证（加盖公章扫描件）等发送至代理机构电子邮箱</w:t>
      </w:r>
      <w:r>
        <w:rPr>
          <w:rFonts w:hint="eastAsia" w:ascii="宋体" w:hAnsi="宋体" w:cs="宋体"/>
          <w:color w:val="auto"/>
          <w:kern w:val="0"/>
          <w:sz w:val="21"/>
          <w:szCs w:val="21"/>
          <w:highlight w:val="none"/>
          <w:lang w:val="en-US" w:eastAsia="zh-CN"/>
        </w:rPr>
        <w:t>2441880975</w:t>
      </w:r>
      <w:r>
        <w:rPr>
          <w:rFonts w:hint="eastAsia" w:ascii="宋体" w:hAnsi="宋体" w:eastAsia="宋体" w:cs="宋体"/>
          <w:color w:val="auto"/>
          <w:kern w:val="0"/>
          <w:sz w:val="21"/>
          <w:szCs w:val="21"/>
          <w:highlight w:val="none"/>
          <w:lang w:val="en-US" w:eastAsia="zh-CN"/>
        </w:rPr>
        <w:t>@qq.com）并联系采购代理公司审核。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cs="宋体"/>
          <w:color w:val="auto"/>
          <w:kern w:val="0"/>
          <w:sz w:val="21"/>
          <w:szCs w:val="21"/>
          <w:highlight w:val="none"/>
          <w:lang w:val="en-US" w:eastAsia="zh-CN"/>
        </w:rPr>
        <w:t>2024年2月1日14</w:t>
      </w:r>
      <w:r>
        <w:rPr>
          <w:rFonts w:hint="eastAsia" w:ascii="宋体" w:hAnsi="宋体" w:eastAsia="宋体" w:cs="宋体"/>
          <w:color w:val="auto"/>
          <w:kern w:val="0"/>
          <w:sz w:val="21"/>
          <w:szCs w:val="21"/>
          <w:highlight w:val="none"/>
          <w:lang w:val="en-US" w:eastAsia="zh-CN"/>
        </w:rPr>
        <w:t>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七、投标文件提交地点：温州市政务服务管理中心开标区 (温州市鹿城区会展路1268号温州市民中心A座3楼公共资源交易专区)（详见当天大厅大屏幕）</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cs="宋体"/>
          <w:color w:val="auto"/>
          <w:kern w:val="0"/>
          <w:sz w:val="21"/>
          <w:szCs w:val="21"/>
          <w:highlight w:val="none"/>
          <w:lang w:val="en-US" w:eastAsia="zh-CN"/>
        </w:rPr>
        <w:t>2024年2月1日14时30分整。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九、开标地点：温州市政务服务管理中心开标区 (温州市鹿城区会展路1268号温州市民中心A座3楼公共资源交易专区)（详见当天大厅大屏幕）</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w:t>
      </w:r>
      <w:r>
        <w:rPr>
          <w:rFonts w:hint="eastAsia" w:ascii="宋体" w:hAnsi="宋体" w:eastAsia="宋体" w:cs="宋体"/>
          <w:b/>
          <w:bCs/>
          <w:color w:val="auto"/>
          <w:kern w:val="0"/>
          <w:sz w:val="21"/>
          <w:szCs w:val="21"/>
          <w:highlight w:val="none"/>
          <w:lang w:val="en-US" w:eastAsia="zh-CN"/>
        </w:rPr>
        <w:t>人民币</w:t>
      </w:r>
      <w:r>
        <w:rPr>
          <w:rFonts w:hint="eastAsia" w:ascii="宋体" w:hAnsi="宋体" w:cs="宋体"/>
          <w:b/>
          <w:bCs/>
          <w:color w:val="auto"/>
          <w:kern w:val="0"/>
          <w:sz w:val="21"/>
          <w:szCs w:val="21"/>
          <w:highlight w:val="none"/>
          <w:lang w:val="en-US" w:eastAsia="zh-CN"/>
        </w:rPr>
        <w:t>贰</w:t>
      </w:r>
      <w:r>
        <w:rPr>
          <w:rFonts w:hint="eastAsia" w:ascii="宋体" w:hAnsi="宋体" w:eastAsia="宋体" w:cs="宋体"/>
          <w:b/>
          <w:bCs/>
          <w:color w:val="auto"/>
          <w:kern w:val="0"/>
          <w:sz w:val="21"/>
          <w:szCs w:val="21"/>
          <w:highlight w:val="none"/>
          <w:lang w:val="en-US" w:eastAsia="zh-CN"/>
        </w:rPr>
        <w:t>万元整</w:t>
      </w:r>
      <w:r>
        <w:rPr>
          <w:rFonts w:hint="eastAsia" w:ascii="宋体" w:hAnsi="宋体" w:eastAsia="宋体" w:cs="宋体"/>
          <w:color w:val="auto"/>
          <w:kern w:val="0"/>
          <w:sz w:val="21"/>
          <w:szCs w:val="21"/>
          <w:highlight w:val="none"/>
          <w:lang w:val="en-US" w:eastAsia="zh-CN"/>
        </w:rPr>
        <w:t>（投标供应商须在</w:t>
      </w:r>
      <w:r>
        <w:rPr>
          <w:rFonts w:hint="eastAsia" w:ascii="宋体" w:hAnsi="宋体" w:cs="宋体"/>
          <w:color w:val="auto"/>
          <w:kern w:val="0"/>
          <w:sz w:val="21"/>
          <w:szCs w:val="21"/>
          <w:highlight w:val="none"/>
          <w:lang w:val="en-US" w:eastAsia="zh-CN"/>
        </w:rPr>
        <w:t>2024年2月1日14</w:t>
      </w:r>
      <w:r>
        <w:rPr>
          <w:rFonts w:hint="eastAsia" w:ascii="宋体" w:hAnsi="宋体" w:eastAsia="宋体" w:cs="宋体"/>
          <w:color w:val="auto"/>
          <w:kern w:val="0"/>
          <w:sz w:val="21"/>
          <w:szCs w:val="21"/>
          <w:highlight w:val="none"/>
          <w:lang w:val="en-US" w:eastAsia="zh-CN"/>
        </w:rPr>
        <w:t>时30分前将投标保证金以银行转帐形式缴纳并到帐，汇出账号须为投标供应商银行帐户）。</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户名：大地工程咨询有限公司温州第一分公司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账号：33050162870500000188</w:t>
      </w:r>
      <w:r>
        <w:rPr>
          <w:rFonts w:hint="eastAsia" w:ascii="宋体" w:hAnsi="宋体" w:cs="宋体"/>
          <w:b/>
          <w:bCs/>
          <w:color w:val="auto"/>
          <w:kern w:val="0"/>
          <w:sz w:val="21"/>
          <w:szCs w:val="21"/>
          <w:highlight w:val="none"/>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开户行：中国建设银行温州双龙支行</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1、采购公告期限：5个工作日，从公告在浙江政府采购网上发布的次日起算；</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bookmarkStart w:id="182" w:name="_GoBack"/>
      <w:bookmarkEnd w:id="182"/>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、潜在供应商需在浙江政府采购网（http://www.zjzfcg.gov.cn/）进行注册，具体详见浙江政府采购网供应商注册要求，使用供应商账号登陆</w:t>
      </w:r>
      <w:r>
        <w:rPr>
          <w:rFonts w:hint="eastAsia" w:ascii="宋体" w:hAnsi="宋体" w:eastAsia="宋体" w:cs="宋体"/>
          <w:color w:val="auto"/>
          <w:kern w:val="0"/>
          <w:sz w:val="21"/>
          <w:szCs w:val="21"/>
          <w:highlight w:val="none"/>
          <w:lang w:val="en-US" w:eastAsia="zh-CN"/>
        </w:rPr>
        <w:t>并获取采购文件</w:t>
      </w:r>
      <w:r>
        <w:rPr>
          <w:rFonts w:hint="eastAsia" w:ascii="宋体" w:hAnsi="宋体" w:eastAsia="宋体" w:cs="宋体"/>
          <w:color w:val="auto"/>
          <w:kern w:val="0"/>
          <w:sz w:val="21"/>
          <w:szCs w:val="21"/>
          <w:highlight w:val="none"/>
        </w:rPr>
        <w:t>。</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温州市温州大道823号爱好数字园C幢5楼</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cs="宋体"/>
          <w:color w:val="auto"/>
          <w:kern w:val="0"/>
          <w:sz w:val="21"/>
          <w:szCs w:val="21"/>
          <w:highlight w:val="none"/>
          <w:lang w:val="en-US" w:eastAsia="zh-CN"/>
        </w:rPr>
        <w:t>陈少白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13295875767</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温州诚达交通发展股份有限公司</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址：温州市鹿城区</w:t>
      </w:r>
      <w:r>
        <w:rPr>
          <w:rFonts w:hint="eastAsia" w:ascii="宋体" w:hAnsi="宋体" w:eastAsia="宋体" w:cs="宋体"/>
          <w:bCs/>
          <w:color w:val="auto"/>
          <w:kern w:val="0"/>
          <w:sz w:val="21"/>
          <w:szCs w:val="21"/>
          <w:highlight w:val="none"/>
          <w:lang w:val="en-US" w:eastAsia="zh-CN"/>
        </w:rPr>
        <w:t>站南路南瓯</w:t>
      </w:r>
      <w:r>
        <w:rPr>
          <w:rFonts w:hint="eastAsia" w:ascii="宋体" w:hAnsi="宋体" w:cs="宋体"/>
          <w:bCs/>
          <w:color w:val="auto"/>
          <w:kern w:val="0"/>
          <w:sz w:val="21"/>
          <w:szCs w:val="21"/>
          <w:highlight w:val="none"/>
          <w:lang w:val="en-US" w:eastAsia="zh-CN"/>
        </w:rPr>
        <w:t>景</w:t>
      </w:r>
      <w:r>
        <w:rPr>
          <w:rFonts w:hint="eastAsia" w:ascii="宋体" w:hAnsi="宋体" w:eastAsia="宋体" w:cs="宋体"/>
          <w:bCs/>
          <w:color w:val="auto"/>
          <w:kern w:val="0"/>
          <w:sz w:val="21"/>
          <w:szCs w:val="21"/>
          <w:highlight w:val="none"/>
          <w:lang w:val="en-US" w:eastAsia="zh-CN"/>
        </w:rPr>
        <w:t>园7幢（综合楼）二楼</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 xml:space="preserve">林先生 </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电话：0577-88565573</w:t>
      </w:r>
      <w:r>
        <w:rPr>
          <w:rFonts w:hint="eastAsia" w:ascii="宋体" w:hAnsi="宋体" w:cs="宋体"/>
          <w:color w:val="auto"/>
          <w:kern w:val="0"/>
          <w:sz w:val="21"/>
          <w:szCs w:val="21"/>
          <w:highlight w:val="none"/>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温州市温州大道823号爱好数字园C幢5楼</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cs="宋体"/>
          <w:bCs/>
          <w:color w:val="auto"/>
          <w:kern w:val="0"/>
          <w:sz w:val="21"/>
          <w:szCs w:val="21"/>
          <w:highlight w:val="none"/>
          <w:lang w:val="en-US" w:eastAsia="zh-CN"/>
        </w:rPr>
        <w:t>陈先生</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cs="宋体"/>
          <w:color w:val="auto"/>
          <w:kern w:val="0"/>
          <w:sz w:val="21"/>
          <w:szCs w:val="21"/>
          <w:highlight w:val="none"/>
          <w:lang w:val="en-US" w:eastAsia="zh-CN"/>
        </w:rPr>
        <w:t>13566132267</w:t>
      </w:r>
      <w:r>
        <w:rPr>
          <w:rFonts w:hint="eastAsia" w:ascii="宋体" w:hAnsi="宋体" w:eastAsia="宋体" w:cs="宋体"/>
          <w:snapToGrid w:val="0"/>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监督管理部门</w:t>
      </w:r>
      <w:r>
        <w:rPr>
          <w:rFonts w:hint="eastAsia" w:ascii="宋体" w:hAnsi="宋体" w:eastAsia="宋体" w:cs="宋体"/>
          <w:color w:val="auto"/>
          <w:kern w:val="0"/>
          <w:sz w:val="21"/>
          <w:szCs w:val="21"/>
          <w:highlight w:val="none"/>
        </w:rPr>
        <w:t xml:space="preserve">：温州市交通发展集团有限公司纪检监察室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联系电话：0577-85559092</w:t>
      </w:r>
    </w:p>
    <w:p>
      <w:pPr>
        <w:pStyle w:val="18"/>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8"/>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温州诚达交通发展股份有限公司</w:t>
      </w:r>
    </w:p>
    <w:p>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大地工程咨询有限公司</w:t>
      </w:r>
    </w:p>
    <w:p>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417" w:header="851" w:footer="567"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日</w:t>
      </w:r>
    </w:p>
    <w:p>
      <w:pPr>
        <w:widowControl/>
        <w:spacing w:before="60" w:after="60" w:line="360" w:lineRule="auto"/>
        <w:ind w:left="62" w:right="62" w:firstLine="442"/>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cs="宋体"/>
          <w:b/>
          <w:bCs/>
          <w:color w:val="auto"/>
          <w:sz w:val="28"/>
          <w:szCs w:val="28"/>
          <w:highlight w:val="none"/>
          <w:lang w:eastAsia="zh-CN"/>
        </w:rPr>
        <w:t>温州诚达交通发展股份有限公司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IPO券商中介服务</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kern w:val="1"/>
          <w:sz w:val="28"/>
          <w:szCs w:val="28"/>
          <w:highlight w:val="none"/>
          <w:lang w:val="en-US" w:eastAsia="zh-CN"/>
        </w:rPr>
        <w:t>限额以上</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pPr>
        <w:widowControl/>
        <w:jc w:val="center"/>
        <w:outlineLvl w:val="9"/>
        <w:rPr>
          <w:rFonts w:hint="eastAsia" w:ascii="宋体" w:hAnsi="宋体" w:eastAsia="宋体" w:cs="宋体"/>
          <w:color w:val="auto"/>
          <w:sz w:val="21"/>
          <w:szCs w:val="21"/>
          <w:highlight w:val="none"/>
        </w:rPr>
      </w:pP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cs="宋体"/>
          <w:bCs/>
          <w:color w:val="auto"/>
          <w:kern w:val="0"/>
          <w:sz w:val="21"/>
          <w:szCs w:val="21"/>
          <w:highlight w:val="none"/>
          <w:lang w:eastAsia="zh-CN"/>
        </w:rPr>
        <w:t>温州诚达交通发展股份有限公司</w:t>
      </w:r>
      <w:r>
        <w:rPr>
          <w:rFonts w:hint="eastAsia" w:ascii="宋体" w:hAnsi="宋体" w:eastAsia="宋体" w:cs="宋体"/>
          <w:bCs/>
          <w:color w:val="auto"/>
          <w:kern w:val="0"/>
          <w:sz w:val="21"/>
          <w:szCs w:val="21"/>
          <w:highlight w:val="none"/>
        </w:rPr>
        <w:t>的委托，就</w:t>
      </w:r>
      <w:r>
        <w:rPr>
          <w:rFonts w:hint="eastAsia" w:ascii="宋体" w:hAnsi="宋体" w:cs="宋体"/>
          <w:bCs/>
          <w:color w:val="auto"/>
          <w:kern w:val="0"/>
          <w:sz w:val="21"/>
          <w:szCs w:val="21"/>
          <w:highlight w:val="none"/>
          <w:lang w:eastAsia="zh-CN"/>
        </w:rPr>
        <w:t>IPO券商中介服务</w:t>
      </w:r>
      <w:r>
        <w:rPr>
          <w:rFonts w:hint="eastAsia" w:ascii="宋体" w:hAnsi="宋体" w:eastAsia="宋体" w:cs="宋体"/>
          <w:bCs/>
          <w:color w:val="auto"/>
          <w:kern w:val="0"/>
          <w:sz w:val="21"/>
          <w:szCs w:val="21"/>
          <w:highlight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各投标供应商及专家提出修改理由和建议的，请于202</w:t>
      </w:r>
      <w:r>
        <w:rPr>
          <w:rFonts w:hint="eastAsia" w:ascii="宋体" w:hAnsi="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15</w:t>
      </w:r>
      <w:r>
        <w:rPr>
          <w:rFonts w:hint="eastAsia" w:ascii="宋体" w:hAnsi="宋体" w:eastAsia="宋体" w:cs="宋体"/>
          <w:bCs/>
          <w:color w:val="auto"/>
          <w:kern w:val="0"/>
          <w:sz w:val="21"/>
          <w:szCs w:val="21"/>
          <w:highlight w:val="none"/>
        </w:rPr>
        <w:t>日上午11时00分前将书面材料签字（盖公章）并密封后送至温州市温州大道823号爱好数字园C幢5楼</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cs="宋体"/>
          <w:bCs/>
          <w:color w:val="auto"/>
          <w:kern w:val="0"/>
          <w:sz w:val="21"/>
          <w:szCs w:val="21"/>
          <w:highlight w:val="none"/>
          <w:lang w:val="en-US" w:eastAsia="zh-CN"/>
        </w:rPr>
        <w:t>2441880975</w:t>
      </w:r>
      <w:r>
        <w:rPr>
          <w:rFonts w:hint="eastAsia" w:ascii="宋体" w:hAnsi="宋体" w:eastAsia="宋体" w:cs="宋体"/>
          <w:bCs/>
          <w:color w:val="auto"/>
          <w:kern w:val="0"/>
          <w:sz w:val="21"/>
          <w:szCs w:val="21"/>
          <w:highlight w:val="none"/>
        </w:rPr>
        <w:t>@qq.com，并同时将该原件寄至温州市温州大道823号爱好数字园C幢5楼。</w:t>
      </w:r>
      <w:r>
        <w:rPr>
          <w:rFonts w:hint="eastAsia" w:ascii="宋体" w:hAnsi="宋体" w:eastAsia="宋体" w:cs="宋体"/>
          <w:bCs/>
          <w:color w:val="auto"/>
          <w:kern w:val="0"/>
          <w:sz w:val="21"/>
          <w:szCs w:val="21"/>
          <w:highlight w:val="none"/>
          <w:lang w:eastAsia="zh-CN"/>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cs="宋体"/>
          <w:bCs/>
          <w:color w:val="auto"/>
          <w:kern w:val="0"/>
          <w:sz w:val="21"/>
          <w:szCs w:val="21"/>
          <w:highlight w:val="none"/>
          <w:lang w:val="en-US" w:eastAsia="zh-CN"/>
        </w:rPr>
        <w:t>陈少白</w:t>
      </w:r>
      <w:r>
        <w:rPr>
          <w:rFonts w:hint="eastAsia" w:ascii="宋体" w:hAnsi="宋体" w:eastAsia="宋体" w:cs="宋体"/>
          <w:bCs/>
          <w:color w:val="auto"/>
          <w:kern w:val="0"/>
          <w:sz w:val="21"/>
          <w:szCs w:val="21"/>
          <w:highlight w:val="none"/>
        </w:rPr>
        <w:t>，联系电话：</w:t>
      </w:r>
      <w:r>
        <w:rPr>
          <w:rFonts w:hint="eastAsia" w:ascii="宋体" w:hAnsi="宋体" w:cs="宋体"/>
          <w:bCs/>
          <w:color w:val="auto"/>
          <w:kern w:val="0"/>
          <w:sz w:val="21"/>
          <w:szCs w:val="21"/>
          <w:highlight w:val="none"/>
          <w:lang w:val="en-US" w:eastAsia="zh-CN"/>
        </w:rPr>
        <w:t>13295875767</w:t>
      </w:r>
      <w:r>
        <w:rPr>
          <w:rFonts w:hint="eastAsia" w:ascii="宋体" w:hAnsi="宋体" w:eastAsia="宋体" w:cs="宋体"/>
          <w:bCs/>
          <w:color w:val="auto"/>
          <w:kern w:val="0"/>
          <w:sz w:val="21"/>
          <w:szCs w:val="21"/>
          <w:highlight w:val="none"/>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pPr>
        <w:pStyle w:val="15"/>
        <w:spacing w:line="360" w:lineRule="auto"/>
        <w:ind w:firstLine="0" w:firstLineChars="0"/>
        <w:outlineLvl w:val="9"/>
        <w:rPr>
          <w:rFonts w:hint="eastAsia" w:ascii="宋体" w:hAnsi="宋体" w:eastAsia="宋体" w:cs="宋体"/>
          <w:color w:val="auto"/>
          <w:sz w:val="21"/>
          <w:szCs w:val="21"/>
          <w:highlight w:val="none"/>
          <w:lang w:val="en-US" w:eastAsia="zh-CN"/>
        </w:rPr>
      </w:pP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温州诚达交通发展股份有限公司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29556"/>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pPr>
        <w:spacing w:line="360" w:lineRule="auto"/>
        <w:outlineLvl w:val="9"/>
        <w:rPr>
          <w:rFonts w:hint="eastAsia" w:ascii="宋体" w:hAnsi="宋体" w:eastAsia="宋体" w:cs="宋体"/>
          <w:color w:val="auto"/>
          <w:sz w:val="21"/>
          <w:szCs w:val="21"/>
          <w:highlight w:val="none"/>
        </w:rPr>
      </w:pPr>
    </w:p>
    <w:tbl>
      <w:tblPr>
        <w:tblStyle w:val="33"/>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w:t>
            </w:r>
            <w:r>
              <w:rPr>
                <w:rFonts w:hint="eastAsia" w:ascii="宋体" w:hAnsi="宋体" w:cs="宋体"/>
                <w:color w:val="auto"/>
                <w:sz w:val="21"/>
                <w:szCs w:val="21"/>
                <w:highlight w:val="none"/>
                <w:lang w:val="en-US" w:eastAsia="zh-CN"/>
              </w:rPr>
              <w:t>温州诚达交通发展股份有限公司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地址：温州市鹿城区站南路南瓯</w:t>
            </w:r>
            <w:r>
              <w:rPr>
                <w:rFonts w:hint="eastAsia" w:ascii="宋体" w:hAnsi="宋体" w:cs="宋体"/>
                <w:color w:val="auto"/>
                <w:sz w:val="21"/>
                <w:szCs w:val="21"/>
                <w:highlight w:val="none"/>
                <w:lang w:val="en-US" w:eastAsia="zh-CN"/>
              </w:rPr>
              <w:t>景</w:t>
            </w:r>
            <w:r>
              <w:rPr>
                <w:rFonts w:hint="eastAsia" w:ascii="宋体" w:hAnsi="宋体" w:eastAsia="宋体" w:cs="宋体"/>
                <w:color w:val="auto"/>
                <w:sz w:val="21"/>
                <w:szCs w:val="21"/>
                <w:highlight w:val="none"/>
                <w:lang w:val="en-US" w:eastAsia="zh-CN"/>
              </w:rPr>
              <w:t>园7幢（综合楼）二楼</w:t>
            </w:r>
          </w:p>
          <w:p>
            <w:pPr>
              <w:keepNext w:val="0"/>
              <w:keepLines w:val="0"/>
              <w:suppressLineNumbers w:val="0"/>
              <w:spacing w:before="0" w:beforeAutospacing="0" w:after="0" w:afterAutospacing="0" w:line="300" w:lineRule="exact"/>
              <w:ind w:left="0" w:right="0"/>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联系人：林先生     </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电话：0577-88565573  </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代理机构地址：温州市温州大道823号爱好数字园C幢5楼</w:t>
            </w:r>
          </w:p>
          <w:p>
            <w:pPr>
              <w:keepNext w:val="0"/>
              <w:keepLines w:val="0"/>
              <w:suppressLineNumbers w:val="0"/>
              <w:spacing w:before="0" w:beforeAutospacing="0" w:after="0" w:afterAutospacing="0" w:line="300" w:lineRule="exact"/>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陈先生</w:t>
            </w:r>
          </w:p>
          <w:p>
            <w:pPr>
              <w:keepNext w:val="0"/>
              <w:keepLines w:val="0"/>
              <w:suppressLineNumbers w:val="0"/>
              <w:spacing w:before="0" w:beforeAutospacing="0" w:after="0" w:afterAutospacing="0" w:line="300" w:lineRule="exact"/>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w:t>
            </w:r>
            <w:r>
              <w:rPr>
                <w:rFonts w:hint="eastAsia" w:ascii="宋体" w:hAnsi="宋体" w:cs="宋体"/>
                <w:color w:val="auto"/>
                <w:sz w:val="21"/>
                <w:szCs w:val="21"/>
                <w:highlight w:val="none"/>
                <w:lang w:val="en-US" w:eastAsia="zh-CN"/>
              </w:rPr>
              <w:t>13566132267</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IPO券商中介服务</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WGSS-JFJT-X-2023009</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lang w:val="en-US" w:eastAsia="zh-CN"/>
              </w:rPr>
              <w:t>IPO券商中介服务</w:t>
            </w:r>
            <w:r>
              <w:rPr>
                <w:rFonts w:hint="eastAsia" w:ascii="宋体" w:hAnsi="宋体" w:cs="宋体"/>
                <w:color w:val="auto"/>
                <w:sz w:val="21"/>
                <w:szCs w:val="21"/>
                <w:highlight w:val="none"/>
                <w:lang w:val="en-US" w:eastAsia="zh-CN"/>
              </w:rPr>
              <w:t>项目采购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详细技术要求见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采购预算</w:t>
            </w:r>
          </w:p>
        </w:tc>
        <w:tc>
          <w:tcPr>
            <w:tcW w:w="70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本项目上市前服务费</w:t>
            </w:r>
            <w:r>
              <w:rPr>
                <w:rFonts w:hint="eastAsia" w:ascii="宋体" w:hAnsi="宋体" w:eastAsia="宋体" w:cs="宋体"/>
                <w:b/>
                <w:color w:val="auto"/>
                <w:kern w:val="0"/>
                <w:sz w:val="21"/>
                <w:szCs w:val="21"/>
                <w:highlight w:val="none"/>
                <w:lang w:eastAsia="zh-CN"/>
              </w:rPr>
              <w:t>（含税）</w:t>
            </w:r>
            <w:r>
              <w:rPr>
                <w:rFonts w:hint="eastAsia" w:ascii="宋体" w:hAnsi="宋体" w:eastAsia="宋体" w:cs="宋体"/>
                <w:b/>
                <w:color w:val="auto"/>
                <w:kern w:val="0"/>
                <w:sz w:val="21"/>
                <w:szCs w:val="21"/>
                <w:highlight w:val="none"/>
              </w:rPr>
              <w:t>总额</w:t>
            </w:r>
            <w:r>
              <w:rPr>
                <w:rFonts w:hint="eastAsia" w:ascii="宋体" w:hAnsi="宋体" w:eastAsia="宋体" w:cs="宋体"/>
                <w:b/>
                <w:color w:val="auto"/>
                <w:kern w:val="0"/>
                <w:sz w:val="21"/>
                <w:szCs w:val="21"/>
                <w:highlight w:val="none"/>
                <w:lang w:val="en-US" w:eastAsia="zh-CN"/>
              </w:rPr>
              <w:t>最高限价</w:t>
            </w:r>
            <w:r>
              <w:rPr>
                <w:rFonts w:hint="eastAsia" w:ascii="宋体" w:hAnsi="宋体" w:cs="宋体"/>
                <w:b/>
                <w:color w:val="auto"/>
                <w:kern w:val="0"/>
                <w:sz w:val="21"/>
                <w:szCs w:val="21"/>
                <w:highlight w:val="none"/>
                <w:lang w:val="en-US" w:eastAsia="zh-CN"/>
              </w:rPr>
              <w:t>224</w:t>
            </w:r>
            <w:r>
              <w:rPr>
                <w:rFonts w:hint="eastAsia" w:ascii="宋体" w:hAnsi="宋体" w:eastAsia="宋体" w:cs="宋体"/>
                <w:b/>
                <w:color w:val="auto"/>
                <w:kern w:val="0"/>
                <w:sz w:val="21"/>
                <w:szCs w:val="21"/>
                <w:highlight w:val="none"/>
              </w:rPr>
              <w:t>万元。</w:t>
            </w:r>
          </w:p>
          <w:p>
            <w:pPr>
              <w:keepNext w:val="0"/>
              <w:keepLines w:val="0"/>
              <w:widowControl/>
              <w:suppressLineNumbers w:val="0"/>
              <w:spacing w:before="0" w:beforeAutospacing="0" w:after="0" w:afterAutospacing="0" w:line="360" w:lineRule="auto"/>
              <w:ind w:left="0" w:right="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上市后的承销</w:t>
            </w:r>
            <w:r>
              <w:rPr>
                <w:rFonts w:hint="eastAsia" w:ascii="宋体" w:hAnsi="宋体" w:eastAsia="宋体" w:cs="宋体"/>
                <w:b/>
                <w:color w:val="auto"/>
                <w:kern w:val="0"/>
                <w:sz w:val="21"/>
                <w:szCs w:val="21"/>
                <w:highlight w:val="none"/>
                <w:lang w:val="en-US" w:eastAsia="zh-CN"/>
              </w:rPr>
              <w:t>最高</w:t>
            </w:r>
            <w:r>
              <w:rPr>
                <w:rFonts w:hint="eastAsia" w:ascii="宋体" w:hAnsi="宋体" w:eastAsia="宋体" w:cs="宋体"/>
                <w:b/>
                <w:color w:val="auto"/>
                <w:kern w:val="0"/>
                <w:sz w:val="21"/>
                <w:szCs w:val="21"/>
                <w:highlight w:val="none"/>
              </w:rPr>
              <w:t>费率为募集资金总额的</w:t>
            </w:r>
            <w:r>
              <w:rPr>
                <w:rFonts w:hint="eastAsia" w:ascii="宋体" w:hAnsi="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rPr>
              <w:t>% 。</w:t>
            </w:r>
          </w:p>
          <w:p>
            <w:pPr>
              <w:keepNext w:val="0"/>
              <w:keepLines w:val="0"/>
              <w:suppressLineNumbers w:val="0"/>
              <w:spacing w:before="0" w:beforeAutospacing="0" w:after="0" w:afterAutospacing="0"/>
              <w:ind w:left="0" w:right="0"/>
              <w:jc w:val="lef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single"/>
              </w:rPr>
              <w:t>如果供应商的报价超出投标最高限价</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指</w:t>
            </w:r>
            <w:r>
              <w:rPr>
                <w:rFonts w:hint="eastAsia" w:ascii="宋体" w:hAnsi="宋体" w:eastAsia="宋体" w:cs="宋体"/>
                <w:b/>
                <w:bCs/>
                <w:color w:val="auto"/>
                <w:sz w:val="21"/>
                <w:szCs w:val="21"/>
                <w:highlight w:val="none"/>
                <w:u w:val="single"/>
                <w:lang w:eastAsia="zh-CN"/>
              </w:rPr>
              <w:t>上市前服务费（含税）总额</w:t>
            </w:r>
            <w:r>
              <w:rPr>
                <w:rFonts w:hint="eastAsia" w:ascii="宋体" w:hAnsi="宋体" w:eastAsia="宋体" w:cs="宋体"/>
                <w:b/>
                <w:bCs/>
                <w:color w:val="auto"/>
                <w:sz w:val="21"/>
                <w:szCs w:val="21"/>
                <w:highlight w:val="none"/>
                <w:u w:val="single"/>
                <w:lang w:val="en-US" w:eastAsia="zh-CN"/>
              </w:rPr>
              <w:t>报价超出</w:t>
            </w:r>
            <w:r>
              <w:rPr>
                <w:rFonts w:hint="eastAsia" w:ascii="宋体" w:hAnsi="宋体" w:cs="宋体"/>
                <w:b/>
                <w:bCs/>
                <w:color w:val="auto"/>
                <w:sz w:val="21"/>
                <w:szCs w:val="21"/>
                <w:highlight w:val="none"/>
                <w:u w:val="single"/>
                <w:lang w:val="en-US" w:eastAsia="zh-CN"/>
              </w:rPr>
              <w:t>224</w:t>
            </w:r>
            <w:r>
              <w:rPr>
                <w:rFonts w:hint="eastAsia" w:ascii="宋体" w:hAnsi="宋体" w:eastAsia="宋体" w:cs="宋体"/>
                <w:b/>
                <w:bCs/>
                <w:color w:val="auto"/>
                <w:sz w:val="21"/>
                <w:szCs w:val="21"/>
                <w:highlight w:val="none"/>
                <w:u w:val="single"/>
                <w:lang w:eastAsia="zh-CN"/>
              </w:rPr>
              <w:t>万元，</w:t>
            </w:r>
            <w:r>
              <w:rPr>
                <w:rFonts w:hint="eastAsia" w:ascii="宋体" w:hAnsi="宋体" w:eastAsia="宋体" w:cs="宋体"/>
                <w:b/>
                <w:bCs/>
                <w:color w:val="auto"/>
                <w:sz w:val="21"/>
                <w:szCs w:val="21"/>
                <w:highlight w:val="none"/>
                <w:u w:val="single"/>
                <w:lang w:val="en-US" w:eastAsia="zh-CN"/>
              </w:rPr>
              <w:t>或者</w:t>
            </w:r>
            <w:r>
              <w:rPr>
                <w:rFonts w:hint="eastAsia" w:ascii="宋体" w:hAnsi="宋体" w:eastAsia="宋体" w:cs="宋体"/>
                <w:b/>
                <w:bCs/>
                <w:color w:val="auto"/>
                <w:sz w:val="21"/>
                <w:szCs w:val="21"/>
                <w:highlight w:val="none"/>
                <w:u w:val="single"/>
                <w:lang w:eastAsia="zh-CN"/>
              </w:rPr>
              <w:t>上市后的承销费率</w:t>
            </w:r>
            <w:r>
              <w:rPr>
                <w:rFonts w:hint="eastAsia" w:ascii="宋体" w:hAnsi="宋体" w:eastAsia="宋体" w:cs="宋体"/>
                <w:b/>
                <w:bCs/>
                <w:color w:val="auto"/>
                <w:sz w:val="21"/>
                <w:szCs w:val="21"/>
                <w:highlight w:val="none"/>
                <w:u w:val="single"/>
                <w:lang w:val="en-US" w:eastAsia="zh-CN"/>
              </w:rPr>
              <w:t>报价超出</w:t>
            </w:r>
            <w:r>
              <w:rPr>
                <w:rFonts w:hint="eastAsia" w:ascii="宋体" w:hAnsi="宋体" w:eastAsia="宋体" w:cs="宋体"/>
                <w:b/>
                <w:bCs/>
                <w:color w:val="auto"/>
                <w:sz w:val="21"/>
                <w:szCs w:val="21"/>
                <w:highlight w:val="none"/>
                <w:u w:val="single"/>
                <w:lang w:eastAsia="zh-CN"/>
              </w:rPr>
              <w:t>募集资金总额的</w:t>
            </w:r>
            <w:r>
              <w:rPr>
                <w:rFonts w:hint="eastAsia" w:ascii="宋体" w:hAnsi="宋体" w:cs="宋体"/>
                <w:b/>
                <w:bCs/>
                <w:color w:val="auto"/>
                <w:sz w:val="21"/>
                <w:szCs w:val="21"/>
                <w:highlight w:val="none"/>
                <w:u w:val="single"/>
                <w:lang w:val="en-US" w:eastAsia="zh-CN"/>
              </w:rPr>
              <w:t>8</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的</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，则该供应商的报价作</w:t>
            </w:r>
            <w:r>
              <w:rPr>
                <w:rFonts w:hint="eastAsia" w:ascii="宋体" w:hAnsi="宋体" w:eastAsia="宋体" w:cs="宋体"/>
                <w:b/>
                <w:bCs/>
                <w:color w:val="auto"/>
                <w:sz w:val="21"/>
                <w:szCs w:val="21"/>
                <w:highlight w:val="none"/>
                <w:u w:val="single"/>
                <w:lang w:val="en-US" w:eastAsia="zh-CN"/>
              </w:rPr>
              <w:t>无效</w:t>
            </w:r>
            <w:r>
              <w:rPr>
                <w:rFonts w:hint="eastAsia" w:ascii="宋体" w:hAnsi="宋体" w:eastAsia="宋体" w:cs="宋体"/>
                <w:b/>
                <w:bCs/>
                <w:color w:val="auto"/>
                <w:sz w:val="21"/>
                <w:szCs w:val="21"/>
                <w:highlight w:val="none"/>
                <w:u w:val="single"/>
              </w:rPr>
              <w:t>标处理</w:t>
            </w:r>
            <w:r>
              <w:rPr>
                <w:rFonts w:hint="eastAsia" w:ascii="宋体" w:hAnsi="宋体" w:eastAsia="宋体" w:cs="宋体"/>
                <w:b/>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符合《温州市市属国有企业采购管理办法（试行）》第十五条对</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参加国有企业采购活动应当具备的资格条件。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单位负责人为同一人或者存在直接控股、管理关系的不同供应商，不得参加同一合同项下的采购</w:t>
            </w:r>
            <w:r>
              <w:rPr>
                <w:rFonts w:hint="eastAsia" w:ascii="宋体" w:hAnsi="宋体" w:eastAsia="宋体" w:cs="宋体"/>
                <w:color w:val="auto"/>
                <w:kern w:val="1"/>
                <w:sz w:val="21"/>
                <w:szCs w:val="21"/>
                <w:highlight w:val="none"/>
                <w:lang w:eastAsia="zh-CN"/>
              </w:rPr>
              <w:t>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至本项目投标截止时间前</w:t>
            </w:r>
            <w:r>
              <w:rPr>
                <w:rFonts w:hint="eastAsia" w:ascii="宋体" w:hAnsi="宋体" w:eastAsia="宋体" w:cs="宋体"/>
                <w:color w:val="auto"/>
                <w:kern w:val="1"/>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 xml:space="preserve">    4、具有中国证监会颁发的经营证券业务（承销与保荐业务）许可证；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5、具有证券公司分类评级B级及以上级别（参考《中国证监会公布2022年证券公司分类结果》）。</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不</w:t>
            </w:r>
            <w:r>
              <w:rPr>
                <w:rFonts w:hint="eastAsia" w:ascii="宋体" w:hAnsi="宋体" w:eastAsia="宋体" w:cs="宋体"/>
                <w:color w:val="auto"/>
                <w:sz w:val="21"/>
                <w:szCs w:val="21"/>
                <w:highlight w:val="none"/>
              </w:rPr>
              <w:t>接受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不组织,投标供应商若需踏勘现场，请联系</w:t>
            </w:r>
            <w:r>
              <w:rPr>
                <w:rFonts w:hint="eastAsia" w:ascii="宋体" w:hAnsi="宋体" w:eastAsia="宋体" w:cs="宋体"/>
                <w:color w:val="auto"/>
                <w:sz w:val="21"/>
                <w:szCs w:val="21"/>
                <w:highlight w:val="none"/>
                <w:lang w:eastAsia="zh-CN"/>
              </w:rPr>
              <w:t>采购人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2024年2月1日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时30分整</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人民币</w:t>
            </w:r>
            <w:r>
              <w:rPr>
                <w:rFonts w:hint="eastAsia" w:ascii="宋体" w:hAnsi="宋体" w:cs="宋体"/>
                <w:b/>
                <w:bCs/>
                <w:color w:val="auto"/>
                <w:sz w:val="21"/>
                <w:szCs w:val="21"/>
                <w:highlight w:val="none"/>
                <w:lang w:val="en-US" w:eastAsia="zh-CN"/>
              </w:rPr>
              <w:t>贰</w:t>
            </w:r>
            <w:r>
              <w:rPr>
                <w:rFonts w:hint="eastAsia" w:ascii="宋体" w:hAnsi="宋体" w:eastAsia="宋体" w:cs="宋体"/>
                <w:b/>
                <w:bCs/>
                <w:color w:val="auto"/>
                <w:sz w:val="21"/>
                <w:szCs w:val="21"/>
                <w:highlight w:val="none"/>
                <w:lang w:val="en-US" w:eastAsia="zh-CN"/>
              </w:rPr>
              <w:t>万元</w:t>
            </w:r>
            <w:r>
              <w:rPr>
                <w:rFonts w:hint="eastAsia" w:ascii="宋体" w:hAnsi="宋体" w:eastAsia="宋体" w:cs="宋体"/>
                <w:b/>
                <w:bCs/>
                <w:color w:val="auto"/>
                <w:sz w:val="21"/>
                <w:szCs w:val="21"/>
                <w:highlight w:val="none"/>
              </w:rPr>
              <w:t>整</w:t>
            </w:r>
            <w:r>
              <w:rPr>
                <w:rFonts w:hint="eastAsia" w:ascii="宋体" w:hAnsi="宋体" w:eastAsia="宋体" w:cs="宋体"/>
                <w:color w:val="auto"/>
                <w:sz w:val="21"/>
                <w:szCs w:val="21"/>
                <w:highlight w:val="none"/>
              </w:rPr>
              <w:t>（投标供应商须在</w:t>
            </w:r>
            <w:r>
              <w:rPr>
                <w:rFonts w:hint="eastAsia" w:ascii="宋体" w:hAnsi="宋体" w:cs="宋体"/>
                <w:color w:val="auto"/>
                <w:kern w:val="0"/>
                <w:sz w:val="21"/>
                <w:szCs w:val="21"/>
                <w:highlight w:val="none"/>
                <w:lang w:val="en-US" w:eastAsia="zh-CN"/>
              </w:rPr>
              <w:t>2024年2月1日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时30分前将投标保证金以银行转帐形式缴纳并到帐，汇出账号须为投标供应商银行帐户）。</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户名：大地工程咨询有限公司温州第一分公司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账号：33050162870500000188 </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开户行：中国建设银行温州双龙支行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提供技术资信标一式</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份，正本一份，副本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份；</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提供商务（报价）标一式</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份，正本一份，副本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08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投标文件的技术资信标及商务（报价）标应分别密封于各自包封袋中，并在封套的封口处加盖投标供应商单位章，并由法定代表人</w:t>
            </w:r>
            <w:r>
              <w:rPr>
                <w:rFonts w:hint="eastAsia" w:ascii="宋体" w:hAnsi="宋体" w:eastAsia="宋体" w:cs="宋体"/>
                <w:color w:val="auto"/>
                <w:sz w:val="21"/>
                <w:szCs w:val="21"/>
                <w:highlight w:val="none"/>
                <w:lang w:eastAsia="zh-CN"/>
              </w:rPr>
              <w:t>（法定</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或其授权代表签字。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时30分</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递交地点：温州市政务服务管理中心收标区 (温州市鹿城区会展路1268号温州市民中心A座3楼公共资源交易专区)（详见当天大厅大屏幕）</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开标地点：温州市政务服务管理中心收标区 (温州市鹿城区会展路1268号温州市民中心A座3楼公共资源交易专区)（详见当天大厅大屏幕）</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1.宣布开标纪律；</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2.公布在投标截止时间前递交投标文件的投标人名称，并点名确认投标人是否派授权代表到场；</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3.宣布唱标人、记录人、监督人员等有关人员姓名；</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4.密封情况检查：由投标人或其推选的代表检查投标文件密封情况；</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5.开标顺序：同时开启技术资信部分投标文件、商务（报价）文件；宣读“开标一览表”中包括投标报价等内容。</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6.确认开标结果：投标人授权代表对开标记录进行当场校核及勘误，并签字确认；并同时由记录人、核对人当场签字确认。</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7.宣布开标结束。</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8.投标人授权代表未参加开标会议；未到场签字确认的，不影响开标，评标过程，视同认可开标结果；事后不得对采购相关人员、开标过程和开标结果提出异议。</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70"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除采购人代表外的专家将在浙江省政府采购云平台评标专家库中随机抽取产生。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7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pPr>
        <w:spacing w:line="360" w:lineRule="auto"/>
        <w:jc w:val="center"/>
        <w:outlineLvl w:val="0"/>
        <w:rPr>
          <w:rFonts w:hint="eastAsia" w:ascii="宋体" w:hAnsi="宋体" w:eastAsia="宋体" w:cs="宋体"/>
          <w:color w:val="auto"/>
          <w:sz w:val="21"/>
          <w:szCs w:val="21"/>
          <w:highlight w:val="none"/>
        </w:rPr>
      </w:pPr>
      <w:bookmarkStart w:id="18" w:name="_Toc246261261"/>
      <w:bookmarkStart w:id="19" w:name="_Toc239145350"/>
      <w:bookmarkStart w:id="20" w:name="_Toc221423615"/>
      <w:bookmarkStart w:id="21" w:name="_Toc221356882"/>
      <w:bookmarkStart w:id="22" w:name="_Toc222114875"/>
      <w:bookmarkStart w:id="23" w:name="_Toc245191310"/>
      <w:bookmarkStart w:id="24" w:name="_Toc7550"/>
      <w:bookmarkStart w:id="25" w:name="_Toc221356947"/>
      <w:bookmarkStart w:id="26" w:name="_Toc221374622"/>
      <w:bookmarkStart w:id="27" w:name="_Toc223715994"/>
      <w:bookmarkStart w:id="28" w:name="_Toc245722277"/>
      <w:bookmarkStart w:id="29" w:name="_Toc241404198"/>
      <w:bookmarkStart w:id="30" w:name="_Toc249758708"/>
      <w:bookmarkStart w:id="31" w:name="_Toc18141"/>
      <w:bookmarkStart w:id="32" w:name="_Toc389760260"/>
      <w:bookmarkStart w:id="33" w:name="_Toc262105499"/>
      <w:bookmarkStart w:id="34" w:name="_Toc262049414"/>
      <w:bookmarkStart w:id="35" w:name="_Toc249758860"/>
      <w:r>
        <w:rPr>
          <w:rFonts w:hint="eastAsia" w:ascii="宋体" w:hAnsi="宋体" w:eastAsia="宋体" w:cs="宋体"/>
          <w:b/>
          <w:bCs/>
          <w:color w:val="auto"/>
          <w:sz w:val="28"/>
          <w:szCs w:val="28"/>
          <w:highlight w:val="none"/>
        </w:rPr>
        <w:t xml:space="preserve">第一部分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23876"/>
      <w:bookmarkStart w:id="37" w:name="_Toc11625"/>
      <w:bookmarkStart w:id="38" w:name="_Toc18274"/>
      <w:r>
        <w:rPr>
          <w:rFonts w:hint="eastAsia" w:ascii="宋体" w:hAnsi="宋体" w:eastAsia="宋体" w:cs="宋体"/>
          <w:b/>
          <w:color w:val="auto"/>
          <w:kern w:val="1"/>
          <w:sz w:val="21"/>
          <w:szCs w:val="21"/>
          <w:highlight w:val="none"/>
        </w:rPr>
        <w:t>一、  说明</w:t>
      </w:r>
      <w:bookmarkEnd w:id="36"/>
      <w:bookmarkEnd w:id="37"/>
      <w:bookmarkEnd w:id="38"/>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本次采购是根据《温州市</w:t>
      </w:r>
      <w:r>
        <w:rPr>
          <w:rFonts w:hint="eastAsia" w:ascii="宋体" w:hAnsi="宋体" w:eastAsia="宋体" w:cs="宋体"/>
          <w:color w:val="auto"/>
          <w:kern w:val="1"/>
          <w:sz w:val="21"/>
          <w:szCs w:val="21"/>
          <w:highlight w:val="none"/>
          <w:lang w:val="en-US" w:eastAsia="zh-CN"/>
        </w:rPr>
        <w:t>市属</w:t>
      </w:r>
      <w:r>
        <w:rPr>
          <w:rFonts w:hint="eastAsia" w:ascii="宋体" w:hAnsi="宋体" w:eastAsia="宋体" w:cs="宋体"/>
          <w:color w:val="auto"/>
          <w:kern w:val="1"/>
          <w:sz w:val="21"/>
          <w:szCs w:val="21"/>
          <w:highlight w:val="none"/>
        </w:rPr>
        <w:t>国有企业采购管理办法（试行）》等</w:t>
      </w:r>
      <w:r>
        <w:rPr>
          <w:rFonts w:hint="eastAsia" w:ascii="宋体" w:hAnsi="宋体" w:eastAsia="宋体" w:cs="宋体"/>
          <w:color w:val="auto"/>
          <w:sz w:val="21"/>
          <w:szCs w:val="21"/>
          <w:highlight w:val="none"/>
        </w:rPr>
        <w:t>相关法律法规及规范性文</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件</w:t>
      </w:r>
      <w:r>
        <w:rPr>
          <w:rFonts w:hint="eastAsia" w:ascii="宋体" w:hAnsi="宋体" w:eastAsia="宋体" w:cs="宋体"/>
          <w:color w:val="auto"/>
          <w:kern w:val="1"/>
          <w:sz w:val="21"/>
          <w:szCs w:val="21"/>
          <w:highlight w:val="none"/>
        </w:rPr>
        <w:t>组织和实施的。</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合格投标供应商</w:t>
      </w:r>
    </w:p>
    <w:p>
      <w:pPr>
        <w:numPr>
          <w:ilvl w:val="1"/>
          <w:numId w:val="5"/>
        </w:numPr>
        <w:tabs>
          <w:tab w:val="left" w:pos="540"/>
          <w:tab w:val="left" w:pos="992"/>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pPr>
        <w:numPr>
          <w:ilvl w:val="1"/>
          <w:numId w:val="5"/>
        </w:numPr>
        <w:tabs>
          <w:tab w:val="left" w:pos="540"/>
          <w:tab w:val="left" w:pos="992"/>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本项目谢绝联合体形式投标。</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投标供应商代表</w:t>
      </w:r>
    </w:p>
    <w:p>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指全权代表投标供应商参加投标活动并签署投标文件的人。如果投标供应商代表不是法代表人，须持有《法定代表人授权书》。</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投标费用</w:t>
      </w:r>
    </w:p>
    <w:p>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23715996"/>
      <w:bookmarkEnd w:id="39"/>
      <w:bookmarkStart w:id="40" w:name="_Toc239145352"/>
      <w:bookmarkEnd w:id="40"/>
      <w:bookmarkStart w:id="41" w:name="_Toc458603462"/>
      <w:bookmarkEnd w:id="41"/>
      <w:bookmarkStart w:id="42" w:name="_Toc221423617"/>
      <w:bookmarkEnd w:id="42"/>
      <w:bookmarkStart w:id="43" w:name="_Toc265529381"/>
      <w:bookmarkEnd w:id="43"/>
      <w:bookmarkStart w:id="44" w:name="_Toc241404200"/>
      <w:bookmarkEnd w:id="44"/>
      <w:bookmarkStart w:id="45" w:name="_Toc221356949"/>
      <w:bookmarkEnd w:id="45"/>
      <w:bookmarkStart w:id="46" w:name="_Toc222114877"/>
      <w:bookmarkEnd w:id="46"/>
      <w:bookmarkStart w:id="47" w:name="_Toc221356884"/>
      <w:bookmarkEnd w:id="47"/>
      <w:bookmarkStart w:id="48" w:name="_Toc221374624"/>
      <w:bookmarkEnd w:id="48"/>
      <w:bookmarkStart w:id="49" w:name="_Toc27522"/>
      <w:bookmarkStart w:id="50" w:name="_Toc22626"/>
      <w:bookmarkStart w:id="51" w:name="_Toc31985"/>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pPr>
        <w:numPr>
          <w:ilvl w:val="0"/>
          <w:numId w:val="6"/>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pPr>
        <w:numPr>
          <w:ilvl w:val="0"/>
          <w:numId w:val="6"/>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知道或应知其权益受到损害之日起七个工作日内，以书面形式（包括信函、传真、下同）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或召开答疑会。如果标书答疑期内未收到有关疑问，视为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pPr>
        <w:numPr>
          <w:ilvl w:val="0"/>
          <w:numId w:val="6"/>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20312"/>
      <w:bookmarkStart w:id="53" w:name="_Toc28764"/>
      <w:bookmarkStart w:id="54" w:name="_Toc30612"/>
      <w:bookmarkStart w:id="55" w:name="_Toc2493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投标截止时间至少15日前，对采购文件以补充文件的方式进行修改，并在浙江政府采购网、温州国企采购平台及温州市交通发展集团有限公司网站等发布公告的网站上发布更正公告，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该澄清和修改的内容为采购文件的组成部分。采购人可以视采购具体情况在采购文件要求提交截止时间前，作出延长投标文件递交截止时间和开标时间的决定，并在浙江政府采购网、温州国企采购平台及温州市交通发展集团有限公司网站等发布公告的网站上发布变更公告，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pPr>
        <w:spacing w:line="440" w:lineRule="exact"/>
        <w:ind w:firstLine="420" w:firstLineChars="200"/>
        <w:jc w:val="center"/>
        <w:outlineLvl w:val="9"/>
        <w:rPr>
          <w:rFonts w:hint="eastAsia" w:ascii="宋体" w:hAnsi="宋体" w:eastAsia="宋体" w:cs="宋体"/>
          <w:color w:val="auto"/>
          <w:sz w:val="21"/>
          <w:szCs w:val="21"/>
          <w:highlight w:val="none"/>
        </w:rPr>
      </w:pPr>
      <w:bookmarkStart w:id="56" w:name="_Toc22892"/>
      <w:bookmarkStart w:id="57" w:name="_Toc6283"/>
      <w:bookmarkStart w:id="58" w:name="_Toc22751"/>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收到澄清和修改的补充文件，应立即以书面形式回复确认已收到补充文件。当采购文件、采购文件的澄清、修改、补充等在同一内容的表述上不一致时，以最后发出的书面文件</w:t>
      </w:r>
      <w:bookmarkEnd w:id="56"/>
      <w:bookmarkEnd w:id="57"/>
      <w:bookmarkEnd w:id="58"/>
    </w:p>
    <w:p>
      <w:pPr>
        <w:spacing w:line="440" w:lineRule="exact"/>
        <w:jc w:val="both"/>
        <w:outlineLvl w:val="9"/>
        <w:rPr>
          <w:rFonts w:hint="eastAsia" w:ascii="宋体" w:hAnsi="宋体" w:eastAsia="宋体" w:cs="宋体"/>
          <w:color w:val="auto"/>
          <w:sz w:val="21"/>
          <w:szCs w:val="21"/>
          <w:highlight w:val="none"/>
        </w:rPr>
      </w:pPr>
      <w:bookmarkStart w:id="60" w:name="_Toc15788"/>
      <w:bookmarkStart w:id="61" w:name="_Toc2712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7997"/>
      <w:bookmarkStart w:id="64" w:name="_Toc1873"/>
      <w:bookmarkStart w:id="65" w:name="_Toc16281"/>
      <w:bookmarkStart w:id="66" w:name="_Toc745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1423618"/>
      <w:bookmarkEnd w:id="67"/>
      <w:bookmarkStart w:id="68" w:name="_Toc223715997"/>
      <w:bookmarkEnd w:id="68"/>
      <w:bookmarkStart w:id="69" w:name="_Toc221356950"/>
      <w:bookmarkEnd w:id="69"/>
      <w:bookmarkStart w:id="70" w:name="_Toc222114878"/>
      <w:bookmarkEnd w:id="70"/>
      <w:bookmarkStart w:id="71" w:name="_Toc458603463"/>
      <w:bookmarkEnd w:id="71"/>
      <w:bookmarkStart w:id="72" w:name="_Toc221356885"/>
      <w:bookmarkEnd w:id="72"/>
      <w:bookmarkStart w:id="73" w:name="_Toc221374625"/>
      <w:bookmarkEnd w:id="73"/>
      <w:bookmarkStart w:id="74" w:name="_Toc265529382"/>
      <w:bookmarkEnd w:id="74"/>
      <w:bookmarkStart w:id="75" w:name="_Toc239145353"/>
      <w:bookmarkEnd w:id="75"/>
      <w:bookmarkStart w:id="76" w:name="_Toc241404201"/>
      <w:bookmarkEnd w:id="76"/>
      <w:bookmarkStart w:id="77" w:name="_Toc22473"/>
      <w:bookmarkStart w:id="78" w:name="_Toc11921"/>
      <w:bookmarkStart w:id="79" w:name="_Toc5578"/>
      <w:r>
        <w:rPr>
          <w:rFonts w:hint="eastAsia" w:ascii="宋体" w:hAnsi="宋体" w:eastAsia="宋体" w:cs="宋体"/>
          <w:b/>
          <w:color w:val="auto"/>
          <w:kern w:val="1"/>
          <w:sz w:val="21"/>
          <w:szCs w:val="21"/>
          <w:highlight w:val="none"/>
        </w:rPr>
        <w:t>三、 投标文件的编制</w:t>
      </w:r>
      <w:bookmarkEnd w:id="77"/>
      <w:bookmarkEnd w:id="78"/>
      <w:bookmarkEnd w:id="79"/>
    </w:p>
    <w:p>
      <w:pPr>
        <w:numPr>
          <w:ilvl w:val="0"/>
          <w:numId w:val="7"/>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各个方面做出实质性响应，导致投标被拒绝的风险由投标供应商自行承担。</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投标供应商法律责任</w:t>
      </w:r>
    </w:p>
    <w:p>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投标文件的构成：</w:t>
      </w:r>
    </w:p>
    <w:p>
      <w:pPr>
        <w:numPr>
          <w:ilvl w:val="1"/>
          <w:numId w:val="8"/>
        </w:numPr>
        <w:tabs>
          <w:tab w:val="left" w:pos="360"/>
        </w:tabs>
        <w:spacing w:line="460" w:lineRule="exact"/>
        <w:ind w:left="360" w:hanging="36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3"/>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1</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2</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3</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4</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5</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具有中国证监会颁发的经营证券业务（承销与保荐业务）许可证；</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6</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7</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具有证券公司分类评级B级及以上级别（参考《中国证监会公布2022年证券公司分类结果》）</w:t>
            </w:r>
            <w:r>
              <w:rPr>
                <w:rFonts w:hint="eastAsia" w:ascii="宋体" w:hAnsi="宋体" w:cs="宋体"/>
                <w:color w:val="auto"/>
                <w:kern w:val="1"/>
                <w:sz w:val="21"/>
                <w:szCs w:val="21"/>
                <w:highlight w:val="none"/>
                <w:u w:val="single"/>
                <w:lang w:val="en-US" w:eastAsia="zh-CN"/>
              </w:rPr>
              <w:t>，</w:t>
            </w:r>
            <w:r>
              <w:rPr>
                <w:rFonts w:hint="eastAsia" w:ascii="宋体" w:hAnsi="宋体" w:eastAsia="宋体" w:cs="宋体"/>
                <w:color w:val="auto"/>
                <w:kern w:val="1"/>
                <w:sz w:val="21"/>
                <w:szCs w:val="21"/>
                <w:highlight w:val="none"/>
                <w:u w:val="single"/>
                <w:lang w:eastAsia="zh-CN"/>
              </w:rPr>
              <w:t>加盖单位公章</w:t>
            </w:r>
            <w:r>
              <w:rPr>
                <w:rFonts w:hint="eastAsia" w:ascii="宋体" w:hAnsi="宋体" w:eastAsia="Times New Roman" w:cs="宋体"/>
                <w:color w:val="auto"/>
                <w:kern w:val="1"/>
                <w:sz w:val="21"/>
                <w:szCs w:val="21"/>
                <w:highlight w:val="none"/>
                <w:u w:val="single"/>
                <w:lang w:val="en-US" w:eastAsia="zh-CN"/>
              </w:rPr>
              <w:t>。</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rPr>
            </w:pPr>
            <w:r>
              <w:rPr>
                <w:rFonts w:hint="eastAsia" w:ascii="宋体" w:hAnsi="宋体" w:cs="宋体"/>
                <w:color w:val="auto"/>
                <w:kern w:val="1"/>
                <w:sz w:val="21"/>
                <w:szCs w:val="21"/>
                <w:highlight w:val="none"/>
                <w:lang w:eastAsia="zh-CN"/>
              </w:rPr>
              <w:t>（</w:t>
            </w:r>
            <w:r>
              <w:rPr>
                <w:rFonts w:hint="eastAsia" w:ascii="宋体" w:hAnsi="宋体" w:cs="宋体"/>
                <w:color w:val="auto"/>
                <w:kern w:val="1"/>
                <w:sz w:val="21"/>
                <w:szCs w:val="21"/>
                <w:highlight w:val="none"/>
                <w:lang w:val="en-US" w:eastAsia="zh-CN"/>
              </w:rPr>
              <w:t>7</w:t>
            </w:r>
            <w:r>
              <w:rPr>
                <w:rFonts w:hint="eastAsia" w:ascii="宋体" w:hAnsi="宋体" w:cs="宋体"/>
                <w:color w:val="auto"/>
                <w:kern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8</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Times New Roman" w:cs="宋体"/>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投标供应商基本情况表</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附件三</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Times New Roman"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技术资信证明文件（本项为评分量化内容，非强制性要求）</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Times New Roman"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项目执行机构人员配置表</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附件四</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商务、技术偏离表（</w:t>
            </w:r>
            <w:r>
              <w:rPr>
                <w:rFonts w:hint="eastAsia" w:ascii="宋体" w:hAnsi="宋体" w:eastAsia="宋体" w:cs="宋体"/>
                <w:color w:val="auto"/>
                <w:kern w:val="1"/>
                <w:sz w:val="21"/>
                <w:szCs w:val="21"/>
                <w:highlight w:val="none"/>
                <w:lang w:val="en-US" w:eastAsia="zh-CN"/>
              </w:rPr>
              <w:t>如</w:t>
            </w:r>
            <w:r>
              <w:rPr>
                <w:rFonts w:hint="eastAsia" w:ascii="宋体" w:hAnsi="宋体" w:eastAsia="宋体" w:cs="宋体"/>
                <w:color w:val="auto"/>
                <w:kern w:val="1"/>
                <w:sz w:val="21"/>
                <w:szCs w:val="21"/>
                <w:highlight w:val="none"/>
              </w:rPr>
              <w:t>有）</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cs="宋体"/>
                <w:color w:val="auto"/>
                <w:kern w:val="1"/>
                <w:sz w:val="21"/>
                <w:szCs w:val="21"/>
                <w:highlight w:val="none"/>
                <w:lang w:val="en-US" w:eastAsia="zh-CN"/>
              </w:rPr>
              <w:t>五</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类似项目业绩一览表</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附件</w:t>
            </w:r>
            <w:r>
              <w:rPr>
                <w:rFonts w:hint="eastAsia" w:ascii="宋体" w:hAnsi="宋体" w:cs="宋体"/>
                <w:color w:val="auto"/>
                <w:kern w:val="1"/>
                <w:sz w:val="21"/>
                <w:szCs w:val="21"/>
                <w:highlight w:val="none"/>
                <w:lang w:val="en-US" w:eastAsia="zh-CN"/>
              </w:rPr>
              <w:t>六</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default" w:ascii="宋体" w:hAnsi="宋体" w:eastAsia="宋体" w:cs="宋体"/>
                <w:color w:val="auto"/>
                <w:kern w:val="1"/>
                <w:sz w:val="21"/>
                <w:szCs w:val="21"/>
                <w:highlight w:val="none"/>
                <w:lang w:val="en-US" w:eastAsia="zh-CN"/>
              </w:rPr>
            </w:pPr>
            <w:r>
              <w:rPr>
                <w:rFonts w:hint="default" w:ascii="宋体" w:hAnsi="宋体" w:eastAsia="宋体" w:cs="宋体"/>
                <w:color w:val="auto"/>
                <w:kern w:val="1"/>
                <w:sz w:val="21"/>
                <w:szCs w:val="21"/>
                <w:highlight w:val="none"/>
                <w:lang w:val="en-US" w:eastAsia="zh-CN"/>
              </w:rPr>
              <w:t>项目实施进度计划表</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附件七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保密承诺书</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rPr>
            </w:pPr>
            <w:r>
              <w:rPr>
                <w:rFonts w:hint="eastAsia" w:ascii="宋体" w:hAnsi="宋体" w:cs="宋体"/>
                <w:color w:val="auto"/>
                <w:kern w:val="1"/>
                <w:sz w:val="21"/>
                <w:szCs w:val="21"/>
                <w:highlight w:val="none"/>
                <w:lang w:val="en-US" w:eastAsia="zh-CN"/>
              </w:rPr>
              <w:t>附件八</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项目承销费率报价</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val="en-US" w:eastAsia="zh-CN"/>
              </w:rPr>
              <w:t>附件九</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7</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投标供应商</w:t>
            </w:r>
            <w:r>
              <w:rPr>
                <w:rFonts w:hint="eastAsia" w:ascii="宋体" w:hAnsi="宋体" w:eastAsia="宋体" w:cs="宋体"/>
                <w:color w:val="auto"/>
                <w:kern w:val="1"/>
                <w:sz w:val="21"/>
                <w:szCs w:val="21"/>
                <w:highlight w:val="none"/>
                <w:lang w:val="en-US" w:eastAsia="zh-CN"/>
              </w:rPr>
              <w:t>的服务方案、合理化建议</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cs="宋体"/>
                <w:color w:val="auto"/>
                <w:kern w:val="1"/>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8</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leftChars="0" w:right="0" w:rightChars="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按采购文件第五部分评标原则及方法—五、评分细则相关评分内容逐项编制，格式自拟。</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9</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leftChars="0" w:right="0" w:rightChars="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投标供应商认为需要提供的其他资料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bl>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pPr>
        <w:numPr>
          <w:ilvl w:val="0"/>
          <w:numId w:val="9"/>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pPr>
        <w:numPr>
          <w:ilvl w:val="0"/>
          <w:numId w:val="9"/>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的利益。</w:t>
      </w:r>
    </w:p>
    <w:p>
      <w:pPr>
        <w:numPr>
          <w:ilvl w:val="0"/>
          <w:numId w:val="9"/>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满意。同时在技术偏离表中作出详细说明。</w:t>
      </w:r>
    </w:p>
    <w:p>
      <w:pPr>
        <w:numPr>
          <w:ilvl w:val="0"/>
          <w:numId w:val="9"/>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3"/>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23" w:hRule="atLeast"/>
        </w:trPr>
        <w:tc>
          <w:tcPr>
            <w:tcW w:w="781"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r>
              <w:rPr>
                <w:rFonts w:hint="eastAsia" w:ascii="宋体" w:hAnsi="宋体" w:eastAsia="宋体" w:cs="宋体"/>
                <w:color w:val="auto"/>
                <w:kern w:val="1"/>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十一</w:t>
            </w:r>
            <w:r>
              <w:rPr>
                <w:rFonts w:hint="eastAsia" w:ascii="宋体" w:hAnsi="宋体" w:eastAsia="宋体" w:cs="宋体"/>
                <w:color w:val="auto"/>
                <w:kern w:val="1"/>
                <w:sz w:val="21"/>
                <w:szCs w:val="21"/>
                <w:highlight w:val="none"/>
              </w:rPr>
              <w:t>）</w:t>
            </w:r>
          </w:p>
        </w:tc>
      </w:tr>
    </w:tbl>
    <w:p>
      <w:pPr>
        <w:numPr>
          <w:ilvl w:val="1"/>
          <w:numId w:val="8"/>
        </w:numPr>
        <w:tabs>
          <w:tab w:val="left" w:pos="360"/>
        </w:tabs>
        <w:spacing w:line="460" w:lineRule="exact"/>
        <w:ind w:left="360" w:hanging="36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投标文件格式</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投标报价</w:t>
      </w:r>
    </w:p>
    <w:p>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投标报价是完成本项目所提供相关服务所需的全部费用，包括但不限于供应商各项成本支出、合理的利润、应交纳的税金等，完成合同所需的一切本身和不可或缺的所有工作开支、政策性文件规定及合同包含的所有风险、责任等各项全部费用，投标供应商应根据上述因素自行考虑含入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的内容填写单价、合价及其他事项，并由法定代表人（法定负责人）或授权代表签署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pPr>
        <w:numPr>
          <w:ilvl w:val="1"/>
          <w:numId w:val="11"/>
        </w:numPr>
        <w:tabs>
          <w:tab w:val="left" w:pos="540"/>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条件签订合同的权利。</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投标报价报出后，投标供应商不得以任何理由予以变更。任何包含价格调整的要求，将被</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认为是非实质性响应投标而予以拒绝</w:t>
      </w:r>
      <w:r>
        <w:rPr>
          <w:rFonts w:hint="eastAsia" w:ascii="宋体" w:hAnsi="宋体" w:eastAsia="宋体" w:cs="宋体"/>
          <w:color w:val="auto"/>
          <w:kern w:val="1"/>
          <w:sz w:val="21"/>
          <w:szCs w:val="21"/>
          <w:highlight w:val="none"/>
          <w:u w:val="non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pPr>
        <w:numPr>
          <w:ilvl w:val="1"/>
          <w:numId w:val="12"/>
        </w:numPr>
        <w:tabs>
          <w:tab w:val="left" w:pos="535"/>
          <w:tab w:val="clear" w:pos="992"/>
        </w:tabs>
        <w:overflowPunct w:val="0"/>
        <w:spacing w:line="460" w:lineRule="exact"/>
        <w:ind w:left="535" w:hanging="53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w:t>
      </w:r>
    </w:p>
    <w:p>
      <w:pPr>
        <w:numPr>
          <w:ilvl w:val="0"/>
          <w:numId w:val="0"/>
        </w:numPr>
        <w:tabs>
          <w:tab w:val="left" w:pos="535"/>
        </w:tabs>
        <w:overflowPunct w:val="0"/>
        <w:spacing w:line="460" w:lineRule="exact"/>
        <w:ind w:left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证金汇出账户的名称须与投标供应商的名称相一致），否则采购人将不接受其投标。</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的投标保证金在中标人提交履约担保并与采购人签订了合同且合同经备案后无息退还，未中标</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的投标保证金将在确定中标人后</w:t>
      </w:r>
      <w:r>
        <w:rPr>
          <w:rFonts w:hint="eastAsia" w:ascii="宋体" w:hAnsi="宋体" w:cs="宋体"/>
          <w:color w:val="auto"/>
          <w:kern w:val="1"/>
          <w:sz w:val="21"/>
          <w:szCs w:val="21"/>
          <w:highlight w:val="none"/>
          <w:lang w:val="en-US" w:eastAsia="zh-CN"/>
        </w:rPr>
        <w:t>5日内</w:t>
      </w:r>
      <w:r>
        <w:rPr>
          <w:rFonts w:hint="eastAsia" w:ascii="宋体" w:hAnsi="宋体" w:eastAsia="宋体" w:cs="宋体"/>
          <w:color w:val="auto"/>
          <w:kern w:val="1"/>
          <w:sz w:val="21"/>
          <w:szCs w:val="21"/>
          <w:highlight w:val="none"/>
        </w:rPr>
        <w:t>无息退还。。</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中提供虚假技术指标及参数，经评标委员会确认属实的。</w:t>
      </w:r>
    </w:p>
    <w:p>
      <w:pPr>
        <w:numPr>
          <w:ilvl w:val="0"/>
          <w:numId w:val="13"/>
        </w:numPr>
        <w:tabs>
          <w:tab w:val="left" w:pos="360"/>
        </w:tabs>
        <w:spacing w:line="430" w:lineRule="exact"/>
        <w:ind w:left="720" w:hanging="7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经国企采购监督管理部门审查认定投标供应商有违反《温州市市属国有企业采购管理办法</w:t>
      </w:r>
    </w:p>
    <w:p>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（试行）》等有关法律法规的行为。</w:t>
      </w:r>
    </w:p>
    <w:p>
      <w:pPr>
        <w:numPr>
          <w:ilvl w:val="0"/>
          <w:numId w:val="0"/>
        </w:numPr>
        <w:tabs>
          <w:tab w:val="left" w:pos="420"/>
          <w:tab w:val="left" w:pos="540"/>
        </w:tabs>
        <w:spacing w:line="460" w:lineRule="exact"/>
        <w:ind w:left="0" w:firstLine="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pPr>
        <w:numPr>
          <w:ilvl w:val="1"/>
          <w:numId w:val="14"/>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1"/>
          <w:sz w:val="21"/>
          <w:szCs w:val="21"/>
          <w:highlight w:val="none"/>
          <w:u w:val="single"/>
        </w:rPr>
        <w:t>投标而予以拒绝。</w:t>
      </w:r>
    </w:p>
    <w:p>
      <w:pPr>
        <w:numPr>
          <w:ilvl w:val="1"/>
          <w:numId w:val="14"/>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15"/>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投标文件的签署和规定</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cs="宋体"/>
          <w:color w:val="auto"/>
          <w:kern w:val="1"/>
          <w:sz w:val="21"/>
          <w:szCs w:val="21"/>
          <w:highlight w:val="none"/>
          <w:u w:val="single"/>
          <w:lang w:val="en-US" w:eastAsia="zh-CN"/>
        </w:rPr>
        <w:t>陆</w:t>
      </w:r>
      <w:r>
        <w:rPr>
          <w:rFonts w:hint="eastAsia" w:ascii="宋体" w:hAnsi="宋体" w:eastAsia="宋体" w:cs="宋体"/>
          <w:color w:val="auto"/>
          <w:kern w:val="1"/>
          <w:sz w:val="21"/>
          <w:szCs w:val="21"/>
          <w:highlight w:val="none"/>
          <w:u w:val="single"/>
        </w:rPr>
        <w:t>份的投标文件，分别装订成册，其中</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正本壹份、副本</w:t>
      </w:r>
      <w:r>
        <w:rPr>
          <w:rFonts w:hint="eastAsia" w:ascii="宋体" w:hAnsi="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（法定负责人）</w:t>
      </w:r>
      <w:r>
        <w:rPr>
          <w:rFonts w:hint="eastAsia" w:ascii="宋体" w:hAnsi="宋体" w:eastAsia="宋体" w:cs="宋体"/>
          <w:color w:val="auto"/>
          <w:kern w:val="1"/>
          <w:sz w:val="21"/>
          <w:szCs w:val="21"/>
          <w:highlight w:val="none"/>
        </w:rPr>
        <w:t>或其授权代</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投标文件如有修改和增删必须由投标文件签字人在修改和增删处旁签署或盖章，方才有效</w:t>
      </w:r>
      <w:r>
        <w:rPr>
          <w:rFonts w:hint="eastAsia" w:ascii="宋体" w:hAnsi="宋体" w:eastAsia="宋体" w:cs="宋体"/>
          <w:color w:val="auto"/>
          <w:kern w:val="1"/>
          <w:sz w:val="21"/>
          <w:szCs w:val="21"/>
          <w:highlight w:val="none"/>
        </w:rPr>
        <w:t>。</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pPr>
        <w:numPr>
          <w:ilvl w:val="0"/>
          <w:numId w:val="15"/>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投标文件的密封及标记</w:t>
      </w:r>
    </w:p>
    <w:p>
      <w:pPr>
        <w:numPr>
          <w:ilvl w:val="1"/>
          <w:numId w:val="17"/>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”字样；封口处贴上封条，启封处加盖投标供应商公章并由法定代表人（法定负责人）或其授权代表签字或盖章。封皮上写明投标项目名称、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p>
    <w:p>
      <w:pPr>
        <w:numPr>
          <w:ilvl w:val="1"/>
          <w:numId w:val="17"/>
        </w:numPr>
        <w:tabs>
          <w:tab w:val="left" w:pos="540"/>
        </w:tabs>
        <w:spacing w:line="46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任。</w:t>
      </w:r>
    </w:p>
    <w:p>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39145354"/>
      <w:bookmarkEnd w:id="81"/>
      <w:bookmarkStart w:id="82" w:name="_Toc458603464"/>
      <w:bookmarkEnd w:id="82"/>
      <w:bookmarkStart w:id="83" w:name="_Toc221356887"/>
      <w:bookmarkEnd w:id="83"/>
      <w:bookmarkStart w:id="84" w:name="_Toc223715998"/>
      <w:bookmarkEnd w:id="84"/>
      <w:bookmarkStart w:id="85" w:name="_Toc222114879"/>
      <w:bookmarkEnd w:id="85"/>
      <w:bookmarkStart w:id="86" w:name="_Toc221356951"/>
      <w:bookmarkEnd w:id="86"/>
      <w:bookmarkStart w:id="87" w:name="_Toc241404202"/>
      <w:bookmarkEnd w:id="87"/>
      <w:bookmarkStart w:id="88" w:name="_Toc265529383"/>
      <w:bookmarkEnd w:id="88"/>
      <w:bookmarkStart w:id="89" w:name="_Toc221374626"/>
      <w:bookmarkEnd w:id="89"/>
      <w:bookmarkStart w:id="90" w:name="_Toc221423619"/>
      <w:bookmarkEnd w:id="90"/>
      <w:bookmarkStart w:id="91" w:name="_Toc14053"/>
      <w:bookmarkStart w:id="92" w:name="_Toc23941"/>
      <w:bookmarkStart w:id="93" w:name="_Toc11756"/>
      <w:r>
        <w:rPr>
          <w:rFonts w:hint="eastAsia" w:ascii="宋体" w:hAnsi="宋体" w:eastAsia="宋体" w:cs="宋体"/>
          <w:b/>
          <w:bCs/>
          <w:color w:val="auto"/>
          <w:kern w:val="1"/>
          <w:sz w:val="21"/>
          <w:szCs w:val="21"/>
          <w:highlight w:val="none"/>
        </w:rPr>
        <w:t>四、 投标文件的递交</w:t>
      </w:r>
      <w:bookmarkEnd w:id="91"/>
      <w:bookmarkEnd w:id="92"/>
      <w:bookmarkEnd w:id="93"/>
    </w:p>
    <w:p>
      <w:pPr>
        <w:numPr>
          <w:ilvl w:val="0"/>
          <w:numId w:val="18"/>
        </w:numPr>
        <w:tabs>
          <w:tab w:val="left" w:pos="420"/>
          <w:tab w:val="left" w:pos="54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投标文件的递交</w:t>
      </w:r>
    </w:p>
    <w:p>
      <w:pPr>
        <w:numPr>
          <w:ilvl w:val="1"/>
          <w:numId w:val="19"/>
        </w:numPr>
        <w:tabs>
          <w:tab w:val="left" w:pos="540"/>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pPr>
        <w:numPr>
          <w:ilvl w:val="1"/>
          <w:numId w:val="19"/>
        </w:numPr>
        <w:tabs>
          <w:tab w:val="left" w:pos="540"/>
        </w:tabs>
        <w:spacing w:line="46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投标保证金递交情况以投标截止时间采购代理机构提供的《保证金缴</w:t>
      </w:r>
    </w:p>
    <w:p>
      <w:pPr>
        <w:numPr>
          <w:ilvl w:val="0"/>
          <w:numId w:val="0"/>
        </w:numPr>
        <w:tabs>
          <w:tab w:val="left" w:pos="420"/>
          <w:tab w:val="left" w:pos="891"/>
          <w:tab w:val="left" w:pos="107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款汇总表》为准</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法定代表人授权书原件及授权代表有效身份证明原件（法定代表人授权书原件如密封在投标</w:t>
      </w:r>
    </w:p>
    <w:p>
      <w:pPr>
        <w:numPr>
          <w:ilvl w:val="0"/>
          <w:numId w:val="0"/>
        </w:numPr>
        <w:tabs>
          <w:tab w:val="left" w:pos="420"/>
          <w:tab w:val="left" w:pos="891"/>
          <w:tab w:val="left" w:pos="107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文件技术资信标中，在技术资信标开启后经评标委员会查验符合要求亦为有效）；</w:t>
      </w:r>
    </w:p>
    <w:p>
      <w:pPr>
        <w:numPr>
          <w:ilvl w:val="0"/>
          <w:numId w:val="18"/>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投标文件的修改和撤回</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rPr>
        <w:t>不得影响开标活动的正常进行。</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号</w:t>
      </w:r>
      <w:r>
        <w:rPr>
          <w:rFonts w:hint="eastAsia" w:ascii="宋体" w:hAnsi="宋体" w:eastAsia="宋体" w:cs="宋体"/>
          <w:bCs/>
          <w:color w:val="auto"/>
          <w:kern w:val="1"/>
          <w:sz w:val="21"/>
          <w:szCs w:val="21"/>
          <w:highlight w:val="none"/>
        </w:rPr>
        <w:t>、投标供应商名称，并注明“投标文件修改”或“投标文件撤回通知”字样。</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金将</w:t>
      </w:r>
      <w:r>
        <w:rPr>
          <w:rFonts w:hint="eastAsia" w:ascii="宋体" w:hAnsi="宋体" w:eastAsia="宋体" w:cs="宋体"/>
          <w:color w:val="auto"/>
          <w:kern w:val="1"/>
          <w:sz w:val="21"/>
          <w:szCs w:val="21"/>
          <w:highlight w:val="none"/>
        </w:rPr>
        <w:t>被不予退还。</w:t>
      </w:r>
    </w:p>
    <w:p>
      <w:pPr>
        <w:numPr>
          <w:ilvl w:val="0"/>
          <w:numId w:val="18"/>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在投标截止时间以后送达的投标文件；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未密封或未装订的投标文件及由于包装不妥在送达途中严重破损或失散的投标文件；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以电讯形式递交的投标文件。</w:t>
      </w:r>
    </w:p>
    <w:p>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23715999"/>
      <w:bookmarkEnd w:id="94"/>
      <w:bookmarkStart w:id="95" w:name="_Toc241404203"/>
      <w:bookmarkEnd w:id="95"/>
      <w:bookmarkStart w:id="96" w:name="_Toc265529384"/>
      <w:bookmarkEnd w:id="96"/>
      <w:bookmarkStart w:id="97" w:name="_Toc221356888"/>
      <w:bookmarkEnd w:id="97"/>
      <w:bookmarkStart w:id="98" w:name="_Toc222114880"/>
      <w:bookmarkEnd w:id="98"/>
      <w:bookmarkStart w:id="99" w:name="_Toc221374627"/>
      <w:bookmarkEnd w:id="99"/>
      <w:bookmarkStart w:id="100" w:name="_Toc221423620"/>
      <w:bookmarkEnd w:id="100"/>
      <w:bookmarkStart w:id="101" w:name="_Toc221356952"/>
      <w:bookmarkEnd w:id="101"/>
      <w:bookmarkStart w:id="102" w:name="_Toc239145355"/>
      <w:bookmarkEnd w:id="102"/>
      <w:bookmarkStart w:id="103" w:name="_Toc458603465"/>
      <w:bookmarkEnd w:id="103"/>
      <w:bookmarkStart w:id="104" w:name="_Toc21721"/>
      <w:bookmarkStart w:id="105" w:name="_Toc462"/>
      <w:bookmarkStart w:id="106" w:name="_Toc19925"/>
      <w:r>
        <w:rPr>
          <w:rFonts w:hint="eastAsia" w:ascii="宋体" w:hAnsi="宋体" w:eastAsia="宋体" w:cs="宋体"/>
          <w:b/>
          <w:bCs/>
          <w:color w:val="auto"/>
          <w:kern w:val="1"/>
          <w:sz w:val="21"/>
          <w:szCs w:val="21"/>
          <w:highlight w:val="none"/>
        </w:rPr>
        <w:t>五、 开标和评标</w:t>
      </w:r>
      <w:bookmarkEnd w:id="104"/>
      <w:bookmarkEnd w:id="105"/>
      <w:bookmarkEnd w:id="106"/>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w:t>
      </w:r>
    </w:p>
    <w:p>
      <w:pPr>
        <w:tabs>
          <w:tab w:val="left" w:pos="540"/>
        </w:tabs>
        <w:spacing w:line="440" w:lineRule="exact"/>
        <w:ind w:left="328"/>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按照《温州市</w:t>
      </w:r>
      <w:r>
        <w:rPr>
          <w:rFonts w:hint="eastAsia" w:ascii="宋体" w:hAnsi="宋体" w:eastAsia="宋体" w:cs="宋体"/>
          <w:color w:val="auto"/>
          <w:kern w:val="1"/>
          <w:sz w:val="21"/>
          <w:szCs w:val="21"/>
          <w:highlight w:val="none"/>
          <w:lang w:val="en-US" w:eastAsia="zh-CN"/>
        </w:rPr>
        <w:t>市属</w:t>
      </w:r>
      <w:r>
        <w:rPr>
          <w:rFonts w:hint="eastAsia" w:ascii="宋体" w:hAnsi="宋体" w:eastAsia="宋体" w:cs="宋体"/>
          <w:color w:val="auto"/>
          <w:kern w:val="1"/>
          <w:sz w:val="21"/>
          <w:szCs w:val="21"/>
          <w:highlight w:val="none"/>
        </w:rPr>
        <w:t>国有企业采购管理办法（试行）》等有关法律、法规的规定组建评标委员</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评标过程的保密性</w:t>
      </w:r>
    </w:p>
    <w:p>
      <w:pPr>
        <w:tabs>
          <w:tab w:val="left" w:pos="540"/>
        </w:tabs>
        <w:spacing w:line="440" w:lineRule="exact"/>
        <w:ind w:left="328"/>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pPr>
        <w:numPr>
          <w:ilvl w:val="0"/>
          <w:numId w:val="22"/>
        </w:numPr>
        <w:tabs>
          <w:tab w:val="left" w:pos="420"/>
          <w:tab w:val="left" w:pos="540"/>
        </w:tabs>
        <w:spacing w:line="44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开标、评标</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确认无误后开启技术资信标。</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投标文件的初审。初审分为资格审查和符合性检查。</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会认定后按无效标处理：</w:t>
      </w:r>
    </w:p>
    <w:p>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投标供应商投标报价超采购预算</w:t>
      </w:r>
      <w:r>
        <w:rPr>
          <w:rFonts w:hint="eastAsia" w:ascii="宋体" w:hAnsi="宋体" w:eastAsia="宋体" w:cs="宋体"/>
          <w:b/>
          <w:color w:val="auto"/>
          <w:kern w:val="1"/>
          <w:sz w:val="21"/>
          <w:szCs w:val="21"/>
          <w:highlight w:val="none"/>
          <w:lang w:val="en-US" w:eastAsia="zh-CN"/>
        </w:rPr>
        <w:t>金额或最高限价</w:t>
      </w:r>
      <w:r>
        <w:rPr>
          <w:rFonts w:hint="eastAsia" w:ascii="宋体" w:hAnsi="宋体" w:eastAsia="宋体" w:cs="宋体"/>
          <w:b/>
          <w:color w:val="auto"/>
          <w:kern w:val="1"/>
          <w:sz w:val="21"/>
          <w:szCs w:val="21"/>
          <w:highlight w:val="none"/>
        </w:rPr>
        <w:t>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▲有下列情形之一的，视为投标供应商串通投标，其投标无效：</w:t>
      </w:r>
    </w:p>
    <w:p>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时邀请所有投标供应商代表参加，参加开标的代表应准时出席并签名报到以</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证明其出席。投标供应商代表未参加开标会的，事后不得对开标过程和开标结果提出异议。</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唱读结束后，投标供应商代表应对唱读内容及记录结果当场进行校核和签字确认，如有异议应当场提出，否则视为默许同意。</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开标时没有启封和宣读的投标文件，原封退回给投标供应商。</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指定专人作好记录，存档备查。</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pPr>
        <w:numPr>
          <w:ilvl w:val="0"/>
          <w:numId w:val="25"/>
        </w:numPr>
        <w:tabs>
          <w:tab w:val="left" w:pos="720"/>
        </w:tabs>
        <w:spacing w:line="440" w:lineRule="exact"/>
        <w:ind w:left="720" w:hanging="72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w:t>
      </w:r>
    </w:p>
    <w:p>
      <w:pPr>
        <w:numPr>
          <w:ilvl w:val="0"/>
          <w:numId w:val="0"/>
        </w:numPr>
        <w:tabs>
          <w:tab w:val="left" w:pos="720"/>
        </w:tabs>
        <w:spacing w:line="440" w:lineRule="exact"/>
        <w:ind w:leftChars="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rPr>
        <w:t>成歧义的，则以小写金额为准。总价金额与按单价汇总金额不一致的，以单价金额计算结果为准，单价金额小数点有明显错位的，应以总价为准，并修正单价。</w:t>
      </w:r>
    </w:p>
    <w:p>
      <w:pPr>
        <w:numPr>
          <w:ilvl w:val="0"/>
          <w:numId w:val="25"/>
        </w:numPr>
        <w:tabs>
          <w:tab w:val="left" w:pos="720"/>
        </w:tabs>
        <w:spacing w:line="44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pPr>
        <w:numPr>
          <w:ilvl w:val="1"/>
          <w:numId w:val="23"/>
        </w:numPr>
        <w:tabs>
          <w:tab w:val="left" w:pos="540"/>
        </w:tabs>
        <w:spacing w:line="440" w:lineRule="exact"/>
        <w:ind w:left="540" w:hanging="54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w:t>
      </w:r>
    </w:p>
    <w:p>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val="0"/>
          <w:bCs/>
          <w:color w:val="auto"/>
          <w:kern w:val="1"/>
          <w:sz w:val="21"/>
          <w:szCs w:val="21"/>
          <w:highlight w:val="none"/>
          <w:u w:val="single"/>
        </w:rPr>
        <w:t>的偏离或保留从而使其投标成为实质上响应的投标。</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评标过程中遇到特殊情况，由评标委员会遵循公开、公正原则，采取投票方式按照少数服</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从多数原则决定。</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数量不足3家作流（废）标处理，根据《温州市市属国有</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企业采购管理办法（试行）的通知》相关条款规定，采购人将重新组织采购。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，如重新采购后，在投标截止时间止及评审期间，出现有效供应商不足三家的情形，采购人可根据实际情况决定本项目继续按原有采购方式继续进行采购活动或转变采购方式或流标。</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投标文件的澄清</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w:t>
      </w:r>
      <w:r>
        <w:rPr>
          <w:rFonts w:hint="eastAsia" w:ascii="宋体" w:hAnsi="宋体" w:eastAsia="宋体" w:cs="宋体"/>
          <w:bCs/>
          <w:color w:val="auto"/>
          <w:kern w:val="1"/>
          <w:sz w:val="21"/>
          <w:szCs w:val="21"/>
          <w:highlight w:val="none"/>
          <w:u w:val="single"/>
          <w:lang w:val="en-US" w:eastAsia="zh-CN"/>
        </w:rPr>
        <w:t>法定代表人或</w:t>
      </w:r>
      <w:r>
        <w:rPr>
          <w:rFonts w:hint="eastAsia" w:ascii="宋体" w:hAnsi="宋体" w:eastAsia="宋体" w:cs="宋体"/>
          <w:bCs/>
          <w:color w:val="auto"/>
          <w:kern w:val="1"/>
          <w:sz w:val="21"/>
          <w:szCs w:val="21"/>
          <w:highlight w:val="none"/>
          <w:u w:val="single"/>
        </w:rPr>
        <w:t>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bookmarkStart w:id="107" w:name="_Toc221356953"/>
      <w:bookmarkEnd w:id="107"/>
      <w:bookmarkStart w:id="108" w:name="_Toc239145356"/>
      <w:bookmarkEnd w:id="108"/>
      <w:bookmarkStart w:id="109" w:name="_Toc222114881"/>
      <w:bookmarkEnd w:id="109"/>
      <w:bookmarkStart w:id="110" w:name="_Toc241404204"/>
      <w:bookmarkEnd w:id="110"/>
      <w:bookmarkStart w:id="111" w:name="_Toc223716000"/>
      <w:bookmarkEnd w:id="111"/>
      <w:bookmarkStart w:id="112" w:name="_Toc221423621"/>
      <w:bookmarkEnd w:id="112"/>
      <w:bookmarkStart w:id="113" w:name="_Toc265529385"/>
      <w:bookmarkEnd w:id="113"/>
      <w:bookmarkStart w:id="114" w:name="_Toc221356889"/>
      <w:bookmarkEnd w:id="114"/>
      <w:bookmarkStart w:id="115" w:name="_Toc221374628"/>
      <w:bookmarkEnd w:id="115"/>
      <w:r>
        <w:rPr>
          <w:rFonts w:hint="eastAsia" w:ascii="宋体" w:hAnsi="宋体" w:eastAsia="宋体" w:cs="宋体"/>
          <w:bCs/>
          <w:color w:val="auto"/>
          <w:kern w:val="1"/>
          <w:sz w:val="21"/>
          <w:szCs w:val="21"/>
          <w:highlight w:val="none"/>
        </w:rPr>
        <w:t>确定中标候选人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w:t>
      </w:r>
      <w:r>
        <w:rPr>
          <w:rFonts w:hint="eastAsia" w:ascii="宋体" w:hAnsi="宋体" w:eastAsia="宋体" w:cs="宋体"/>
          <w:color w:val="auto"/>
          <w:kern w:val="1"/>
          <w:sz w:val="21"/>
          <w:szCs w:val="21"/>
          <w:highlight w:val="none"/>
        </w:rPr>
        <w:t>中标候选人，</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根据评标委员会的推荐结果进行最终确认。</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24.2评标委员会依据法律、法规及</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有关规定在有效标中按投标供应商的最终得分（即技术</w:t>
      </w:r>
      <w:r>
        <w:rPr>
          <w:rFonts w:hint="eastAsia" w:ascii="宋体" w:hAnsi="宋体" w:eastAsia="宋体" w:cs="宋体"/>
          <w:color w:val="auto"/>
          <w:kern w:val="1"/>
          <w:sz w:val="21"/>
          <w:szCs w:val="21"/>
          <w:highlight w:val="none"/>
          <w:lang w:val="en-US" w:eastAsia="zh-CN"/>
        </w:rPr>
        <w:t>资信</w:t>
      </w:r>
      <w:r>
        <w:rPr>
          <w:rFonts w:hint="eastAsia" w:ascii="宋体" w:hAnsi="宋体" w:eastAsia="宋体" w:cs="宋体"/>
          <w:color w:val="auto"/>
          <w:kern w:val="1"/>
          <w:sz w:val="21"/>
          <w:szCs w:val="21"/>
          <w:highlight w:val="none"/>
        </w:rPr>
        <w:t>分与商务分之和）高低进行排序，得分</w:t>
      </w:r>
      <w:r>
        <w:rPr>
          <w:rFonts w:hint="eastAsia" w:ascii="宋体" w:hAnsi="宋体" w:eastAsia="宋体" w:cs="宋体"/>
          <w:color w:val="auto"/>
          <w:kern w:val="1"/>
          <w:sz w:val="21"/>
          <w:szCs w:val="21"/>
          <w:highlight w:val="none"/>
          <w:lang w:val="en-US" w:eastAsia="zh-CN"/>
        </w:rPr>
        <w:t>第一</w:t>
      </w:r>
      <w:r>
        <w:rPr>
          <w:rFonts w:hint="eastAsia" w:ascii="宋体" w:hAnsi="宋体" w:eastAsia="宋体" w:cs="宋体"/>
          <w:color w:val="auto"/>
          <w:kern w:val="1"/>
          <w:sz w:val="21"/>
          <w:szCs w:val="21"/>
          <w:highlight w:val="none"/>
        </w:rPr>
        <w:t>名的投标供应商推荐为中标候选人（</w:t>
      </w:r>
      <w:r>
        <w:rPr>
          <w:rFonts w:hint="eastAsia" w:ascii="宋体" w:hAnsi="宋体" w:eastAsia="宋体" w:cs="宋体"/>
          <w:color w:val="auto"/>
          <w:sz w:val="21"/>
          <w:szCs w:val="21"/>
          <w:highlight w:val="none"/>
          <w:lang w:bidi="he-IL"/>
        </w:rPr>
        <w:t>综合得分相同的，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24.3排名第一的中标候选人放弃中标；因不可抗力提出不能履行合同；或者</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规定应当提交履约保证金而在规定的期限内未能提交的；或未能在规定时间内与采购单位签订合同的；或者经质疑，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审查后，确因排名第一的候选人在本次采购活动中存在违法违规行为或其他原因使质疑成立的，本次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失败，重新</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对决标结果不做任何解释，也不保证最低价中标。</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评标细则详见“评标原则及方法”。</w:t>
      </w:r>
    </w:p>
    <w:p>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6279"/>
      <w:bookmarkStart w:id="118" w:name="_Toc10395"/>
      <w:bookmarkStart w:id="119" w:name="_Toc19318"/>
      <w:r>
        <w:rPr>
          <w:rFonts w:hint="eastAsia" w:ascii="宋体" w:hAnsi="宋体" w:eastAsia="宋体" w:cs="宋体"/>
          <w:b/>
          <w:color w:val="auto"/>
          <w:kern w:val="1"/>
          <w:sz w:val="21"/>
          <w:szCs w:val="21"/>
          <w:highlight w:val="none"/>
        </w:rPr>
        <w:t>六、 授予合同</w:t>
      </w:r>
      <w:bookmarkEnd w:id="117"/>
      <w:bookmarkEnd w:id="118"/>
      <w:bookmarkEnd w:id="119"/>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评标委员会推荐的中标候选人经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确认后发布项目采购公告的网站上公示，各投标供应商</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 中标通知书</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27.1中标供应商确定后，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 xml:space="preserve">将向中标供应商发出中标通知书。 </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和中标供应商均具有同等法律效力。</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28.1中标供应商应按中标通知书规定的时间、地点签订合同。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可以与排位在中标供应商之后的第一位的中标候选人签订合同。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pPr>
        <w:spacing w:line="440" w:lineRule="exact"/>
        <w:ind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中标供应商接到中标通知书后，在规定时间内借故否认已经承诺的条件而拒签合同的，以违约处理，其投标保证金将被不予退还。</w:t>
      </w:r>
    </w:p>
    <w:p>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p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w:t>
      </w:r>
      <w:r>
        <w:rPr>
          <w:rFonts w:hint="eastAsia" w:ascii="宋体" w:hAnsi="宋体" w:cs="宋体"/>
          <w:caps w:val="0"/>
          <w:smallCaps w:val="0"/>
          <w:color w:val="auto"/>
          <w:spacing w:val="0"/>
          <w:kern w:val="1"/>
          <w:sz w:val="21"/>
          <w:szCs w:val="21"/>
          <w:highlight w:val="none"/>
          <w:lang w:val="en-US" w:eastAsia="zh-CN"/>
        </w:rPr>
        <w:t>10000</w:t>
      </w:r>
      <w:r>
        <w:rPr>
          <w:rFonts w:hint="eastAsia" w:ascii="宋体" w:hAnsi="宋体" w:eastAsia="宋体" w:cs="宋体"/>
          <w:caps w:val="0"/>
          <w:smallCaps w:val="0"/>
          <w:color w:val="auto"/>
          <w:spacing w:val="0"/>
          <w:kern w:val="1"/>
          <w:sz w:val="21"/>
          <w:szCs w:val="21"/>
          <w:highlight w:val="none"/>
          <w:lang w:val="en-US" w:eastAsia="zh-CN"/>
        </w:rPr>
        <w:t>元计取，请投标供应商在投标报价中综合考虑，中标单位在领取中标通知书前向采购代理机构缴纳，由中标供应商在</w:t>
      </w:r>
      <w:r>
        <w:rPr>
          <w:rFonts w:hint="eastAsia" w:ascii="宋体" w:hAnsi="宋体" w:eastAsia="宋体" w:cs="宋体"/>
          <w:color w:val="auto"/>
          <w:kern w:val="1"/>
          <w:sz w:val="21"/>
          <w:szCs w:val="21"/>
          <w:highlight w:val="none"/>
        </w:rPr>
        <w:t>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pPr>
        <w:numPr>
          <w:ilvl w:val="0"/>
          <w:numId w:val="0"/>
        </w:numPr>
        <w:tabs>
          <w:tab w:val="left" w:pos="540"/>
        </w:tabs>
        <w:spacing w:line="440" w:lineRule="exact"/>
        <w:ind w:left="0" w:firstLine="0"/>
        <w:outlineLvl w:val="9"/>
        <w:rPr>
          <w:rFonts w:hint="eastAsia" w:ascii="宋体" w:hAnsi="宋体" w:eastAsia="宋体" w:cs="宋体"/>
          <w:color w:val="auto"/>
          <w:spacing w:val="0"/>
          <w:kern w:val="1"/>
          <w:sz w:val="21"/>
          <w:szCs w:val="21"/>
          <w:highlight w:val="none"/>
        </w:rPr>
      </w:pPr>
      <w:r>
        <w:rPr>
          <w:rFonts w:hint="eastAsia" w:ascii="宋体" w:hAnsi="宋体" w:eastAsia="宋体" w:cs="宋体"/>
          <w:color w:val="auto"/>
          <w:spacing w:val="0"/>
          <w:kern w:val="1"/>
          <w:sz w:val="21"/>
          <w:szCs w:val="21"/>
          <w:highlight w:val="none"/>
          <w:lang w:val="en-US" w:eastAsia="zh-CN"/>
        </w:rPr>
        <w:t>29.2</w:t>
      </w:r>
      <w:r>
        <w:rPr>
          <w:rFonts w:hint="eastAsia" w:ascii="宋体" w:hAnsi="宋体" w:eastAsia="宋体" w:cs="宋体"/>
          <w:color w:val="auto"/>
          <w:spacing w:val="0"/>
          <w:kern w:val="1"/>
          <w:sz w:val="21"/>
          <w:szCs w:val="21"/>
          <w:highlight w:val="none"/>
          <w:lang w:eastAsia="zh-CN"/>
        </w:rPr>
        <w:t>采购代理</w:t>
      </w:r>
      <w:r>
        <w:rPr>
          <w:rFonts w:hint="eastAsia" w:ascii="宋体" w:hAnsi="宋体" w:eastAsia="宋体" w:cs="宋体"/>
          <w:color w:val="auto"/>
          <w:spacing w:val="0"/>
          <w:kern w:val="1"/>
          <w:sz w:val="21"/>
          <w:szCs w:val="21"/>
          <w:highlight w:val="none"/>
        </w:rPr>
        <w:t>服务费可以是现金</w:t>
      </w:r>
      <w:r>
        <w:rPr>
          <w:rFonts w:hint="eastAsia" w:ascii="宋体" w:hAnsi="宋体" w:eastAsia="宋体" w:cs="宋体"/>
          <w:color w:val="auto"/>
          <w:spacing w:val="0"/>
          <w:kern w:val="1"/>
          <w:sz w:val="21"/>
          <w:szCs w:val="21"/>
          <w:highlight w:val="none"/>
          <w:lang w:val="en-US" w:eastAsia="zh-CN"/>
        </w:rPr>
        <w:t>或转账</w:t>
      </w:r>
      <w:r>
        <w:rPr>
          <w:rFonts w:hint="eastAsia" w:ascii="宋体" w:hAnsi="宋体" w:eastAsia="宋体" w:cs="宋体"/>
          <w:color w:val="auto"/>
          <w:spacing w:val="0"/>
          <w:kern w:val="1"/>
          <w:sz w:val="21"/>
          <w:szCs w:val="21"/>
          <w:highlight w:val="none"/>
        </w:rPr>
        <w:t>。</w:t>
      </w:r>
    </w:p>
    <w:p>
      <w:pPr>
        <w:numPr>
          <w:ilvl w:val="0"/>
          <w:numId w:val="0"/>
        </w:numPr>
        <w:tabs>
          <w:tab w:val="left" w:pos="540"/>
        </w:tabs>
        <w:spacing w:line="440" w:lineRule="exact"/>
        <w:outlineLvl w:val="9"/>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29.3  政采云技术服务费</w:t>
      </w:r>
    </w:p>
    <w:p>
      <w:pPr>
        <w:numPr>
          <w:ilvl w:val="0"/>
          <w:numId w:val="0"/>
        </w:numPr>
        <w:tabs>
          <w:tab w:val="left" w:pos="540"/>
        </w:tabs>
        <w:spacing w:line="440" w:lineRule="exact"/>
        <w:outlineLvl w:val="9"/>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1）不涉及具体金额的采购项目，技术服务费800元/件；</w:t>
      </w:r>
    </w:p>
    <w:p>
      <w:pPr>
        <w:numPr>
          <w:ilvl w:val="0"/>
          <w:numId w:val="0"/>
        </w:numPr>
        <w:tabs>
          <w:tab w:val="left" w:pos="540"/>
        </w:tabs>
        <w:spacing w:line="440" w:lineRule="exact"/>
        <w:outlineLvl w:val="9"/>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2）涉及具体金额的采购项目，根据标的额，按照以下比例收取技术服务费；</w:t>
      </w:r>
    </w:p>
    <w:p>
      <w:pPr>
        <w:numPr>
          <w:ilvl w:val="0"/>
          <w:numId w:val="0"/>
        </w:numPr>
        <w:tabs>
          <w:tab w:val="left" w:pos="540"/>
        </w:tabs>
        <w:spacing w:line="440" w:lineRule="exact"/>
        <w:outlineLvl w:val="9"/>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fldChar w:fldCharType="begin"/>
      </w:r>
      <w:r>
        <w:rPr>
          <w:rFonts w:hint="eastAsia" w:ascii="宋体" w:hAnsi="宋体" w:eastAsia="宋体" w:cs="宋体"/>
          <w:color w:val="auto"/>
          <w:kern w:val="1"/>
          <w:szCs w:val="21"/>
          <w:highlight w:val="none"/>
          <w:lang w:val="en-US" w:eastAsia="zh-CN"/>
        </w:rPr>
        <w:instrText xml:space="preserve"> = 1 \* GB3 \* MERGEFORMAT </w:instrText>
      </w:r>
      <w:r>
        <w:rPr>
          <w:rFonts w:hint="eastAsia" w:ascii="宋体" w:hAnsi="宋体" w:eastAsia="宋体" w:cs="宋体"/>
          <w:color w:val="auto"/>
          <w:kern w:val="1"/>
          <w:szCs w:val="21"/>
          <w:highlight w:val="none"/>
          <w:lang w:val="en-US" w:eastAsia="zh-CN"/>
        </w:rPr>
        <w:fldChar w:fldCharType="separate"/>
      </w:r>
      <w:r>
        <w:rPr>
          <w:rFonts w:hint="eastAsia" w:ascii="宋体" w:hAnsi="宋体" w:eastAsia="宋体" w:cs="宋体"/>
          <w:color w:val="auto"/>
          <w:kern w:val="1"/>
          <w:szCs w:val="21"/>
          <w:highlight w:val="none"/>
          <w:lang w:val="en-US" w:eastAsia="zh-CN"/>
        </w:rPr>
        <w:t>①</w:t>
      </w:r>
      <w:r>
        <w:rPr>
          <w:rFonts w:hint="eastAsia" w:ascii="宋体" w:hAnsi="宋体" w:eastAsia="宋体" w:cs="宋体"/>
          <w:color w:val="auto"/>
          <w:kern w:val="1"/>
          <w:szCs w:val="21"/>
          <w:highlight w:val="none"/>
          <w:lang w:val="en-US" w:eastAsia="zh-CN"/>
        </w:rPr>
        <w:fldChar w:fldCharType="end"/>
      </w:r>
      <w:r>
        <w:rPr>
          <w:rFonts w:hint="eastAsia" w:ascii="宋体" w:hAnsi="宋体" w:eastAsia="宋体" w:cs="宋体"/>
          <w:color w:val="auto"/>
          <w:kern w:val="1"/>
          <w:szCs w:val="21"/>
          <w:highlight w:val="none"/>
          <w:lang w:val="en-US" w:eastAsia="zh-CN"/>
        </w:rPr>
        <w:t>中标价80万元以下(含80万元的)：按800元收取；</w:t>
      </w:r>
    </w:p>
    <w:p>
      <w:pPr>
        <w:numPr>
          <w:ilvl w:val="0"/>
          <w:numId w:val="0"/>
        </w:numPr>
        <w:tabs>
          <w:tab w:val="left" w:pos="540"/>
        </w:tabs>
        <w:spacing w:line="440" w:lineRule="exact"/>
        <w:outlineLvl w:val="9"/>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fldChar w:fldCharType="begin"/>
      </w:r>
      <w:r>
        <w:rPr>
          <w:rFonts w:hint="eastAsia" w:ascii="宋体" w:hAnsi="宋体" w:eastAsia="宋体" w:cs="宋体"/>
          <w:color w:val="auto"/>
          <w:kern w:val="1"/>
          <w:szCs w:val="21"/>
          <w:highlight w:val="none"/>
          <w:lang w:val="en-US" w:eastAsia="zh-CN"/>
        </w:rPr>
        <w:instrText xml:space="preserve"> = 2 \* GB3 \* MERGEFORMAT </w:instrText>
      </w:r>
      <w:r>
        <w:rPr>
          <w:rFonts w:hint="eastAsia" w:ascii="宋体" w:hAnsi="宋体" w:eastAsia="宋体" w:cs="宋体"/>
          <w:color w:val="auto"/>
          <w:kern w:val="1"/>
          <w:szCs w:val="21"/>
          <w:highlight w:val="none"/>
          <w:lang w:val="en-US" w:eastAsia="zh-CN"/>
        </w:rPr>
        <w:fldChar w:fldCharType="separate"/>
      </w:r>
      <w:r>
        <w:rPr>
          <w:rFonts w:hint="eastAsia" w:ascii="宋体" w:hAnsi="宋体" w:eastAsia="宋体" w:cs="宋体"/>
          <w:color w:val="auto"/>
          <w:kern w:val="1"/>
          <w:szCs w:val="21"/>
          <w:highlight w:val="none"/>
          <w:lang w:val="en-US" w:eastAsia="zh-CN"/>
        </w:rPr>
        <w:t>②</w:t>
      </w:r>
      <w:r>
        <w:rPr>
          <w:rFonts w:hint="eastAsia" w:ascii="宋体" w:hAnsi="宋体" w:eastAsia="宋体" w:cs="宋体"/>
          <w:color w:val="auto"/>
          <w:kern w:val="1"/>
          <w:szCs w:val="21"/>
          <w:highlight w:val="none"/>
          <w:lang w:val="en-US" w:eastAsia="zh-CN"/>
        </w:rPr>
        <w:fldChar w:fldCharType="end"/>
      </w:r>
      <w:r>
        <w:rPr>
          <w:rFonts w:hint="eastAsia" w:ascii="宋体" w:hAnsi="宋体" w:eastAsia="宋体" w:cs="宋体"/>
          <w:color w:val="auto"/>
          <w:kern w:val="1"/>
          <w:szCs w:val="21"/>
          <w:highlight w:val="none"/>
          <w:lang w:val="en-US" w:eastAsia="zh-CN"/>
        </w:rPr>
        <w:t>中标价超过80万元的：中标价的千分之一 (0.1%)，以30000元封顶。</w:t>
      </w:r>
    </w:p>
    <w:p>
      <w:pPr>
        <w:numPr>
          <w:ilvl w:val="0"/>
          <w:numId w:val="0"/>
        </w:numPr>
        <w:tabs>
          <w:tab w:val="left" w:pos="540"/>
        </w:tabs>
        <w:spacing w:line="440" w:lineRule="exact"/>
        <w:outlineLvl w:val="9"/>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政采云技术服务费由中标人在中标后支付给政采云公司。</w:t>
      </w:r>
    </w:p>
    <w:p>
      <w:pPr>
        <w:pStyle w:val="30"/>
        <w:jc w:val="both"/>
        <w:rPr>
          <w:rFonts w:hint="eastAsia"/>
        </w:rPr>
      </w:pPr>
    </w:p>
    <w:p>
      <w:pPr>
        <w:spacing w:line="440" w:lineRule="exact"/>
        <w:ind w:left="552" w:hanging="552" w:hangingChars="250"/>
        <w:jc w:val="center"/>
        <w:outlineLvl w:val="0"/>
        <w:rPr>
          <w:rFonts w:hint="eastAsia" w:ascii="Arial" w:hAnsi="Arial" w:eastAsia="宋体" w:cs="Arial"/>
          <w:color w:val="auto"/>
          <w:sz w:val="32"/>
          <w:szCs w:val="32"/>
          <w:highlight w:val="none"/>
          <w:lang w:eastAsia="zh-CN"/>
        </w:rPr>
      </w:pPr>
      <w:r>
        <w:rPr>
          <w:rFonts w:hint="default" w:ascii="Arial" w:hAnsi="Arial" w:eastAsia="宋体" w:cs="Arial"/>
          <w:b/>
          <w:color w:val="auto"/>
          <w:kern w:val="1"/>
          <w:sz w:val="22"/>
          <w:szCs w:val="22"/>
          <w:highlight w:val="none"/>
        </w:rPr>
        <w:br w:type="page"/>
      </w:r>
      <w:bookmarkStart w:id="120" w:name="_Toc661"/>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default" w:ascii="Arial" w:hAnsi="Arial" w:eastAsia="宋体" w:cs="Arial"/>
          <w:b/>
          <w:bCs/>
          <w:color w:val="auto"/>
          <w:kern w:val="2"/>
          <w:sz w:val="28"/>
          <w:szCs w:val="28"/>
          <w:highlight w:val="none"/>
          <w:lang w:val="en-US" w:eastAsia="zh-CN" w:bidi="ar-SA"/>
        </w:rPr>
        <w:t xml:space="preserve"> </w:t>
      </w:r>
      <w:r>
        <w:rPr>
          <w:rFonts w:hint="eastAsia" w:ascii="Arial" w:hAnsi="Arial" w:eastAsia="宋体" w:cs="Arial"/>
          <w:b/>
          <w:bCs/>
          <w:color w:val="auto"/>
          <w:kern w:val="2"/>
          <w:sz w:val="28"/>
          <w:szCs w:val="28"/>
          <w:highlight w:val="none"/>
          <w:lang w:val="en-US" w:eastAsia="zh-CN" w:bidi="ar-SA"/>
        </w:rPr>
        <w:t>合同条款</w:t>
      </w:r>
      <w:bookmarkEnd w:id="120"/>
    </w:p>
    <w:bookmarkEnd w:id="121"/>
    <w:p>
      <w:pPr>
        <w:spacing w:line="360" w:lineRule="auto"/>
        <w:ind w:firstLine="440" w:firstLineChars="200"/>
        <w:outlineLvl w:val="9"/>
        <w:rPr>
          <w:rFonts w:hint="eastAsia" w:ascii="宋体" w:hAnsi="宋体" w:cs="宋体"/>
          <w:color w:val="auto"/>
          <w:kern w:val="0"/>
          <w:sz w:val="22"/>
          <w:szCs w:val="22"/>
          <w:highlight w:val="none"/>
        </w:rPr>
      </w:pPr>
      <w:bookmarkStart w:id="122" w:name="_Toc262049424"/>
      <w:bookmarkStart w:id="123" w:name="_Toc221423624"/>
      <w:bookmarkStart w:id="124" w:name="_Toc221374631"/>
      <w:bookmarkStart w:id="125" w:name="_Toc249758870"/>
      <w:bookmarkStart w:id="126" w:name="_Toc389760268"/>
      <w:bookmarkStart w:id="127" w:name="_Toc245191319"/>
      <w:bookmarkStart w:id="128" w:name="_Toc221356956"/>
      <w:bookmarkStart w:id="129" w:name="_Toc262105509"/>
      <w:bookmarkStart w:id="130" w:name="_Toc246261270"/>
      <w:bookmarkStart w:id="131" w:name="_Toc249758718"/>
      <w:bookmarkStart w:id="132" w:name="_Toc241404207"/>
      <w:bookmarkStart w:id="133" w:name="_Toc245722286"/>
      <w:bookmarkStart w:id="134" w:name="_Toc223716003"/>
      <w:bookmarkStart w:id="135" w:name="_Toc222114884"/>
      <w:bookmarkStart w:id="136" w:name="_Toc239145359"/>
      <w:bookmarkStart w:id="137" w:name="_Toc249758719"/>
      <w:bookmarkStart w:id="138" w:name="_Toc221356892"/>
    </w:p>
    <w:p>
      <w:pPr>
        <w:spacing w:line="360" w:lineRule="auto"/>
        <w:ind w:firstLine="440" w:firstLineChars="200"/>
        <w:outlineLvl w:val="9"/>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说明：本合同签订依据：《中华人民共和国民法典》，以下部分条款不一定和最终合同条款内容完全一致，采购人有权进行适当调整，但此调整不能与本合同内容相悖。</w:t>
      </w:r>
    </w:p>
    <w:p>
      <w:pPr>
        <w:spacing w:line="360" w:lineRule="auto"/>
        <w:outlineLvl w:val="9"/>
        <w:rPr>
          <w:rFonts w:ascii="宋体" w:hAnsi="宋体" w:cs="宋体"/>
          <w:color w:val="auto"/>
          <w:sz w:val="22"/>
          <w:szCs w:val="22"/>
          <w:highlight w:val="none"/>
        </w:rPr>
      </w:pPr>
    </w:p>
    <w:p>
      <w:pPr>
        <w:spacing w:line="440" w:lineRule="exact"/>
        <w:ind w:firstLine="2380" w:firstLineChars="850"/>
        <w:outlineLvl w:val="9"/>
        <w:rPr>
          <w:rFonts w:ascii="新宋体" w:hAnsi="新宋体" w:eastAsia="新宋体"/>
          <w:color w:val="auto"/>
          <w:sz w:val="28"/>
          <w:highlight w:val="none"/>
        </w:rPr>
      </w:pPr>
    </w:p>
    <w:p>
      <w:pPr>
        <w:spacing w:line="440" w:lineRule="exact"/>
        <w:ind w:firstLine="2380" w:firstLineChars="850"/>
        <w:outlineLvl w:val="9"/>
        <w:rPr>
          <w:rFonts w:hint="eastAsia" w:ascii="新宋体" w:hAnsi="新宋体" w:eastAsia="新宋体"/>
          <w:color w:val="auto"/>
          <w:sz w:val="28"/>
          <w:highlight w:val="none"/>
        </w:rPr>
      </w:pPr>
    </w:p>
    <w:tbl>
      <w:tblPr>
        <w:tblStyle w:val="33"/>
        <w:tblW w:w="0" w:type="auto"/>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76"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eastAsia"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WGSS-JFJT-X-2023009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976"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cs="Arial"/>
                <w:b/>
                <w:color w:val="auto"/>
                <w:spacing w:val="40"/>
                <w:sz w:val="30"/>
                <w:szCs w:val="30"/>
                <w:highlight w:val="none"/>
                <w:lang w:val="en-US" w:eastAsia="zh-CN"/>
              </w:rPr>
              <w:t>合同</w:t>
            </w:r>
            <w:r>
              <w:rPr>
                <w:rFonts w:hint="default" w:ascii="Arial" w:hAnsi="Arial" w:eastAsia="宋体" w:cs="Arial"/>
                <w:b/>
                <w:color w:val="auto"/>
                <w:spacing w:val="40"/>
                <w:sz w:val="30"/>
                <w:szCs w:val="30"/>
                <w:highlight w:val="none"/>
              </w:rPr>
              <w:t>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IPO券商中介服务</w:t>
            </w:r>
          </w:p>
        </w:tc>
      </w:tr>
    </w:tbl>
    <w:p>
      <w:pPr>
        <w:spacing w:line="440" w:lineRule="exact"/>
        <w:ind w:firstLine="2413" w:firstLineChars="862"/>
        <w:outlineLvl w:val="9"/>
        <w:rPr>
          <w:rFonts w:ascii="新宋体" w:hAnsi="新宋体" w:eastAsia="新宋体"/>
          <w:color w:val="auto"/>
          <w:sz w:val="28"/>
          <w:highlight w:val="none"/>
        </w:rPr>
      </w:pPr>
    </w:p>
    <w:p>
      <w:pPr>
        <w:spacing w:line="440" w:lineRule="exact"/>
        <w:ind w:firstLine="2413" w:firstLineChars="862"/>
        <w:outlineLvl w:val="9"/>
        <w:rPr>
          <w:rFonts w:ascii="新宋体" w:hAnsi="新宋体" w:eastAsia="新宋体"/>
          <w:color w:val="auto"/>
          <w:sz w:val="28"/>
          <w:highlight w:val="none"/>
        </w:rPr>
      </w:pPr>
    </w:p>
    <w:p>
      <w:pPr>
        <w:spacing w:line="440" w:lineRule="exact"/>
        <w:ind w:firstLine="2413" w:firstLineChars="862"/>
        <w:outlineLvl w:val="9"/>
        <w:rPr>
          <w:rFonts w:ascii="新宋体" w:hAnsi="新宋体" w:eastAsia="新宋体"/>
          <w:color w:val="auto"/>
          <w:sz w:val="28"/>
          <w:highlight w:val="none"/>
        </w:rPr>
      </w:pPr>
    </w:p>
    <w:p>
      <w:pPr>
        <w:outlineLvl w:val="9"/>
        <w:rPr>
          <w:rFonts w:ascii="新宋体" w:hAnsi="新宋体" w:eastAsia="新宋体"/>
          <w:color w:val="auto"/>
          <w:sz w:val="28"/>
          <w:highlight w:val="none"/>
        </w:rPr>
      </w:pPr>
    </w:p>
    <w:p>
      <w:pPr>
        <w:outlineLvl w:val="9"/>
        <w:rPr>
          <w:color w:val="auto"/>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28"/>
                <w:szCs w:val="28"/>
                <w:highlight w:val="none"/>
                <w:lang w:eastAsia="zh-CN"/>
              </w:rPr>
            </w:pPr>
            <w:r>
              <w:rPr>
                <w:rFonts w:hint="eastAsia" w:ascii="Arial" w:hAnsi="Arial" w:cs="Arial"/>
                <w:b/>
                <w:color w:val="auto"/>
                <w:spacing w:val="12"/>
                <w:sz w:val="28"/>
                <w:szCs w:val="28"/>
                <w:highlight w:val="none"/>
                <w:lang w:eastAsia="zh-CN"/>
              </w:rPr>
              <w:t>温州诚达交通发展股份有限公司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0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firstLine="1805" w:firstLineChars="500"/>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pacing w:val="40"/>
                <w:sz w:val="28"/>
                <w:szCs w:val="28"/>
                <w:highlight w:val="none"/>
                <w:lang w:val="en-US" w:eastAsia="zh-CN"/>
              </w:rPr>
              <w:t>签订日期：</w:t>
            </w:r>
            <w:r>
              <w:rPr>
                <w:rFonts w:hint="eastAsia" w:ascii="Arial" w:hAnsi="Arial" w:eastAsia="宋体" w:cs="Arial"/>
                <w:b/>
                <w:color w:val="auto"/>
                <w:spacing w:val="40"/>
                <w:sz w:val="28"/>
                <w:szCs w:val="28"/>
                <w:highlight w:val="none"/>
                <w:u w:val="single"/>
                <w:lang w:val="en-US" w:eastAsia="zh-CN"/>
              </w:rPr>
              <w:t xml:space="preserve">          </w:t>
            </w:r>
          </w:p>
        </w:tc>
      </w:tr>
    </w:tbl>
    <w:p>
      <w:pPr>
        <w:spacing w:line="400" w:lineRule="exact"/>
        <w:outlineLvl w:val="9"/>
        <w:rPr>
          <w:rFonts w:ascii="新宋体" w:hAnsi="新宋体" w:eastAsia="新宋体"/>
          <w:b/>
          <w:bCs/>
          <w:color w:val="auto"/>
          <w:sz w:val="22"/>
          <w:szCs w:val="22"/>
          <w:highlight w:val="none"/>
        </w:rPr>
      </w:pPr>
    </w:p>
    <w:p>
      <w:pPr>
        <w:spacing w:line="400" w:lineRule="exact"/>
        <w:outlineLvl w:val="9"/>
        <w:rPr>
          <w:rFonts w:ascii="新宋体" w:hAnsi="新宋体" w:eastAsia="新宋体"/>
          <w:b/>
          <w:bCs/>
          <w:color w:val="auto"/>
          <w:sz w:val="22"/>
          <w:szCs w:val="22"/>
          <w:highlight w:val="none"/>
        </w:rPr>
      </w:pPr>
    </w:p>
    <w:p>
      <w:pPr>
        <w:spacing w:line="400" w:lineRule="exact"/>
        <w:outlineLvl w:val="9"/>
        <w:rPr>
          <w:rFonts w:ascii="新宋体" w:hAnsi="新宋体" w:eastAsia="新宋体"/>
          <w:b/>
          <w:bCs/>
          <w:color w:val="auto"/>
          <w:sz w:val="22"/>
          <w:szCs w:val="22"/>
          <w:highlight w:val="none"/>
        </w:rPr>
      </w:pP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bCs/>
          <w:color w:val="auto"/>
          <w:sz w:val="22"/>
          <w:szCs w:val="22"/>
          <w:highlight w:val="none"/>
        </w:rPr>
        <w:br w:type="page"/>
      </w:r>
      <w:r>
        <w:rPr>
          <w:rFonts w:hint="eastAsia" w:ascii="宋体" w:hAnsi="宋体" w:eastAsia="宋体" w:cs="宋体"/>
          <w:color w:val="auto"/>
          <w:kern w:val="1"/>
          <w:sz w:val="21"/>
          <w:szCs w:val="21"/>
          <w:highlight w:val="none"/>
        </w:rPr>
        <w:t>甲方：</w:t>
      </w:r>
      <w:r>
        <w:rPr>
          <w:rFonts w:hint="eastAsia" w:ascii="宋体" w:hAnsi="宋体" w:cs="宋体"/>
          <w:color w:val="auto"/>
          <w:kern w:val="1"/>
          <w:sz w:val="21"/>
          <w:szCs w:val="21"/>
          <w:highlight w:val="none"/>
          <w:u w:val="single"/>
          <w:lang w:eastAsia="zh-CN"/>
        </w:rPr>
        <w:t>温州诚达交通发展股份有限公司</w:t>
      </w:r>
      <w:r>
        <w:rPr>
          <w:rFonts w:hint="eastAsia" w:ascii="宋体" w:hAnsi="宋体" w:eastAsia="宋体" w:cs="宋体"/>
          <w:color w:val="auto"/>
          <w:kern w:val="1"/>
          <w:sz w:val="21"/>
          <w:szCs w:val="21"/>
          <w:highlight w:val="none"/>
        </w:rPr>
        <w:t xml:space="preserve"> （采购人）</w:t>
      </w: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乙方：</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（中标人）</w:t>
      </w: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鉴于甲方于</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日接受乙方对</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的投标，双方根据《中华人民共和国民法典》和本项目的采购文件、投标文件及其投标中的承诺，经双方友好协商，同意签订本合同，共同遵守：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一、合同文件 </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1、合同条款。</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2、中标通知书。</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3、更正补充文件。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5、中标供应商投标文件。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6、其他。</w:t>
      </w:r>
    </w:p>
    <w:p>
      <w:pPr>
        <w:pStyle w:val="20"/>
        <w:snapToGrid w:val="0"/>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上述所指合同文件应认为是互相补充和解释的，但是有模棱两可或互相矛盾之处，以其所列内容顺序为准。</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二、服务内容</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lang w:eastAsia="zh-CN"/>
        </w:rPr>
        <w:t>所需</w:t>
      </w:r>
      <w:r>
        <w:rPr>
          <w:rFonts w:hint="eastAsia" w:ascii="宋体" w:hAnsi="宋体" w:cs="宋体"/>
          <w:color w:val="auto"/>
          <w:sz w:val="21"/>
          <w:szCs w:val="21"/>
          <w:highlight w:val="none"/>
          <w:lang w:eastAsia="zh-CN"/>
        </w:rPr>
        <w:t>IPO券商中介服务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具体详见采购文件第四部分采购内容及要求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若乙方投标文件中高于上述标准的，则按乙方投标文件执行</w:t>
      </w:r>
      <w:r>
        <w:rPr>
          <w:rFonts w:hint="eastAsia" w:ascii="宋体" w:hAnsi="宋体" w:eastAsia="宋体" w:cs="宋体"/>
          <w:color w:val="auto"/>
          <w:sz w:val="21"/>
          <w:szCs w:val="21"/>
          <w:highlight w:val="none"/>
          <w:lang w:eastAsia="zh-CN"/>
        </w:rPr>
        <w:t>）</w:t>
      </w:r>
    </w:p>
    <w:p>
      <w:pPr>
        <w:autoSpaceDE w:val="0"/>
        <w:autoSpaceDN w:val="0"/>
        <w:adjustRightInd w:val="0"/>
        <w:spacing w:line="500" w:lineRule="exact"/>
        <w:ind w:firstLine="482"/>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三、合同金额</w:t>
      </w:r>
      <w:r>
        <w:rPr>
          <w:rFonts w:hint="eastAsia" w:ascii="宋体" w:hAnsi="宋体" w:cs="宋体"/>
          <w:color w:val="auto"/>
          <w:sz w:val="21"/>
          <w:szCs w:val="21"/>
          <w:highlight w:val="none"/>
          <w:lang w:val="en-US" w:eastAsia="zh-CN"/>
        </w:rPr>
        <w:t>及付款方式</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合同总价（即</w:t>
      </w:r>
      <w:r>
        <w:rPr>
          <w:rFonts w:hint="eastAsia" w:ascii="宋体" w:hAnsi="宋体" w:eastAsia="宋体" w:cs="宋体"/>
          <w:color w:val="auto"/>
          <w:sz w:val="21"/>
          <w:szCs w:val="21"/>
          <w:highlight w:val="none"/>
          <w:lang w:eastAsia="zh-CN"/>
        </w:rPr>
        <w:t>财务顾问费、</w:t>
      </w:r>
      <w:r>
        <w:rPr>
          <w:rFonts w:hint="eastAsia" w:ascii="宋体" w:hAnsi="宋体" w:cs="宋体"/>
          <w:color w:val="auto"/>
          <w:sz w:val="21"/>
          <w:szCs w:val="21"/>
          <w:highlight w:val="none"/>
          <w:lang w:eastAsia="zh-CN"/>
        </w:rPr>
        <w:t>辅导费、</w:t>
      </w:r>
      <w:r>
        <w:rPr>
          <w:rFonts w:hint="eastAsia" w:ascii="宋体" w:hAnsi="宋体" w:eastAsia="宋体" w:cs="宋体"/>
          <w:color w:val="auto"/>
          <w:sz w:val="21"/>
          <w:szCs w:val="21"/>
          <w:highlight w:val="none"/>
          <w:lang w:eastAsia="zh-CN"/>
        </w:rPr>
        <w:t>保荐费等）：人民币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万元。支付方式如下：</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合同签订后</w:t>
      </w:r>
      <w:r>
        <w:rPr>
          <w:rFonts w:hint="eastAsia" w:ascii="宋体" w:hAnsi="宋体" w:cs="宋体"/>
          <w:color w:val="auto"/>
          <w:sz w:val="21"/>
          <w:szCs w:val="21"/>
          <w:highlight w:val="none"/>
          <w:lang w:eastAsia="zh-CN"/>
        </w:rPr>
        <w:t>，工作组进场，</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lang w:val="en-US" w:eastAsia="zh-CN"/>
        </w:rPr>
        <w:t>合同总价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none"/>
          <w:lang w:eastAsia="zh-CN"/>
        </w:rPr>
        <w:t>15%</w:t>
      </w:r>
      <w:r>
        <w:rPr>
          <w:rFonts w:hint="eastAsia" w:ascii="宋体" w:hAnsi="宋体" w:eastAsia="宋体" w:cs="宋体"/>
          <w:color w:val="auto"/>
          <w:sz w:val="21"/>
          <w:szCs w:val="21"/>
          <w:highlight w:val="none"/>
          <w:lang w:eastAsia="zh-CN"/>
        </w:rPr>
        <w:t>；省证监局验收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lang w:val="en-US" w:eastAsia="zh-CN"/>
        </w:rPr>
        <w:t>合同总价的</w:t>
      </w:r>
      <w:r>
        <w:rPr>
          <w:rFonts w:hint="eastAsia" w:ascii="宋体" w:hAnsi="宋体" w:eastAsia="宋体" w:cs="宋体"/>
          <w:color w:val="auto"/>
          <w:sz w:val="21"/>
          <w:szCs w:val="21"/>
          <w:highlight w:val="none"/>
          <w:u w:val="none"/>
          <w:lang w:eastAsia="zh-CN"/>
        </w:rPr>
        <w:t>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；完成申报材料递交</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lang w:val="en-US" w:eastAsia="zh-CN"/>
        </w:rPr>
        <w:t>合同总价</w:t>
      </w:r>
      <w:r>
        <w:rPr>
          <w:rFonts w:hint="eastAsia" w:ascii="宋体" w:hAnsi="宋体" w:eastAsia="宋体" w:cs="宋体"/>
          <w:color w:val="auto"/>
          <w:sz w:val="21"/>
          <w:szCs w:val="21"/>
          <w:highlight w:val="none"/>
          <w:lang w:eastAsia="zh-CN"/>
        </w:rPr>
        <w:t>的2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%，取得证监会批文</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lang w:val="en-US" w:eastAsia="zh-CN"/>
        </w:rPr>
        <w:t>合同总价的</w:t>
      </w:r>
      <w:r>
        <w:rPr>
          <w:rFonts w:hint="eastAsia" w:ascii="宋体" w:hAnsi="宋体" w:eastAsia="宋体" w:cs="宋体"/>
          <w:color w:val="auto"/>
          <w:sz w:val="21"/>
          <w:szCs w:val="21"/>
          <w:highlight w:val="none"/>
          <w:lang w:eastAsia="zh-CN"/>
        </w:rPr>
        <w:t>20%，剩余</w:t>
      </w:r>
      <w:r>
        <w:rPr>
          <w:rFonts w:hint="eastAsia" w:ascii="宋体" w:hAnsi="宋体" w:eastAsia="宋体" w:cs="宋体"/>
          <w:color w:val="auto"/>
          <w:sz w:val="21"/>
          <w:szCs w:val="21"/>
          <w:highlight w:val="none"/>
          <w:lang w:val="en-US" w:eastAsia="zh-CN"/>
        </w:rPr>
        <w:t>合同金额在</w:t>
      </w:r>
      <w:r>
        <w:rPr>
          <w:rFonts w:hint="eastAsia" w:ascii="宋体" w:hAnsi="宋体" w:eastAsia="宋体" w:cs="宋体"/>
          <w:color w:val="auto"/>
          <w:sz w:val="21"/>
          <w:szCs w:val="21"/>
          <w:highlight w:val="none"/>
          <w:lang w:eastAsia="zh-CN"/>
        </w:rPr>
        <w:t>股票发行后一周内支付。</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2、本项目承销费率: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%。甲方应按照募集资金总额的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 向乙方支付承销报酬，承销报酬待发行募集资金全部到位后7日内由甲方支付给乙方</w:t>
      </w:r>
      <w:r>
        <w:rPr>
          <w:rFonts w:hint="eastAsia" w:ascii="宋体" w:hAnsi="宋体" w:eastAsia="宋体" w:cs="宋体"/>
          <w:color w:val="auto"/>
          <w:sz w:val="21"/>
          <w:szCs w:val="21"/>
          <w:highlight w:val="none"/>
          <w:lang w:val="zh-CN"/>
        </w:rPr>
        <w:t>。</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合同价款包括完成本项目所提供相关服务所需的全部费用，包括但不限于供应商各项成本支出、合理的利润、应交纳的税金等，完成合同所需的一切本身和不可或缺的所有工作开支、政策性文件规定及合同包含的所有风险、责任等各项全部费用。</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甲方的权利和义务</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1、甲方有权要求乙方以应有的谨慎、勤勉，按约定完成发行上市的各项准备工作和制作完毕各种申请文件，尽职推荐甲方证券发行并上市，持续督导甲方履行相关义务。</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2、甲方有权要求乙方配备有经验的专业人员组成项目组。甲方认为乙方项目组成员不能按照要求完成甲方委托任务的，有权要求乙方更换。</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3、乙方在履行本协议项下的工作过程中，甲方负责向乙方提供所必需的资料及其他一切必需的帮助。</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甲方承诺，甲方向乙方提供的全部资料，包括但不限于书面文件、电子文档、政府批文等，无论原件或复印件，均是真实可信的，对于乙方关注的问题，均给予了全面、真实、准确的陈述，不存在隐瞒、欺骗、遗漏及重大过失。</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5、如果甲方的情况发生变化使已提交至有关主管部门的发行材料与其实际情况不一致，甲方应立即通知乙方，并及时按照乙方的合理要求对相关发行材料进行修改或补充。</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6、除非因法院、其他司法机关、政府机关要求或因法律法规规定外，甲方有义务对乙方向其提供的与本次发行有关的各类文件和资料保密，不得泄漏给第三方或利用该信息谋取不正当利益。</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7、甲方应当按照约定向乙方支付有关费用。</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 xml:space="preserve"> 乙方的权利和义务</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1、为落实股票发行与上市的总体方案，使甲方符合公开发行股票的法定条件，乙方可要求甲方实施包括但不限于完善法人治理结构，按照法律、法规规范运作，理顺产权关系，调整资产结构与股权结构等工作。</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2、乙方可按照有关法律、法规和规章、政策的要求，调查甲方的基本情况，包括但不限于历史沿革、股权结构、生产经营、法人治理、关联交易、同业竞争、财务状况、诉讼、仲裁或纠纷等。</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3、乙方应当充分考虑甲方的实际经营和财务状况，按法规要求提供股票发行与上市方案以及给予甲方整改建议</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4、乙方履行本协议约定职责时发表的意见应及时告知甲方。</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5、如乙方发现甲方存在首次公开发行股票的实质性障碍，应当指出并辅导甲方整改，但甲方拒绝接受整改或虽然接受整改，但实质性障碍根本不能消除的，乙方有权单方面解除本协议而无须承担违约责任。</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6、除非因法院、其他司法机关、政府机关要求或因法律法规规定外，乙方对因工作需要而接触到的甲方重要资料，在未公开前负有保密义务，不得泄漏给第三方或利用该信息谋取不正当利益。</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应秉持勤勉尽责的职业道德和专业精神，指派有经验的工作人员组成项目组从事本次甲方发行上市相关工作,其中项目负责人应在本项目重要节点进行现场工作。在完成甲方委托工作期间，乙方应保证项目组成员的稳定，因特殊原因需要更换项目组成员，应提前与甲方协商并争得甲方的同意。</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8、乙方承诺在项目运行期间不更换人员，不论什么原因，如擅自更换项目负责人则罚款人民币10万元，更换项目组其他人员罚款1万元/人（采购人要求更换的除外）。</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 xml:space="preserve"> 排他约定</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甲方承诺在与乙方签订本协议后，不再与任何其他公司或机构签订与本协议相同或类似的协议以及聘请他人为主承销商、上市保荐人，除非乙方存在下列情形：</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1、不能完成本协议约定的委托事项；</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2、存在违反本协议或保密协议约定的行为；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3、存在其他损害甲方利益的行为；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4、被主管机关从保荐机构名单中去除或遭受其他重大处罚直接影响甲方首次公开发行股票。</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 xml:space="preserve"> 声明和承诺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1、乙方向甲方作如下声明和承诺：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（1）乙方已通过中国证监会的承销商资格审查，有资格担任股票发行上市的辅导机构、主承销商和保荐人。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（2）乙方已通过证券交易所的上市推荐人资格审查，有资格担任上市推荐人。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将按照有关法律、法规的规定来协助甲方进行上市前重组改制（如需要）、辅导及首次公开发行A股股票上市的保荐、承销、督导有关工作。整个工作能完全符合建立现代企业制度的要求，能够符合国家法律、法规、规章及中国证监会有关规范性文件的规定。</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2、甲方兹向乙方作下述声明和承诺：</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甲方为本次上市发行工作向乙方提供的所有资料和信息均属真实的、准确和完整的。</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en-US" w:eastAsia="zh-CN"/>
        </w:rPr>
        <w:t xml:space="preserve"> 违约责任</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1、甲、乙双方任何一方违反本协议条款的规定，因此而对其他方造成损失的，除本协议另有约定外，守约方均可要求违约方予以与实际损失或可预见的损失相当的赔偿。</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2、甲方违反上述第四条规定的，甲方应向乙方支付违约金，违约金金额应与本次股票发行与上市乙方应收的保荐费相等。</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3、乙方存在上述第四条除外规定的，甲方可立即与乙方解除本委托协议，乙方不得要求甲方支付相应的费用。乙方的行为造成甲方损失的，应当赔偿甲方损失。</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4、乙方利用甲方内幕信息谋取不正当利益的，应向甲方支付与所获取的不正当利益相等的违约金。</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甲方终止国内发行股票计划而提前解除合同的，乙方未付出工作的，甲方可不予支付委托费用；乙方已为甲方发行股票付出工作的，甲方应根据乙方的工作进度支付相应的委托费用。除此以外，乙方不得要求甲方支付任何违约金或赔偿费用等。</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6、如因不可抗力导致本协议终止，甲方向乙方已经支付的费用可不予退回，甲方无须承担委托费用余款。</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九、</w:t>
      </w:r>
      <w:r>
        <w:rPr>
          <w:rFonts w:hint="eastAsia" w:ascii="宋体" w:hAnsi="宋体" w:eastAsia="宋体" w:cs="宋体"/>
          <w:color w:val="auto"/>
          <w:sz w:val="21"/>
          <w:szCs w:val="21"/>
          <w:highlight w:val="none"/>
          <w:lang w:val="en-US" w:eastAsia="zh-CN"/>
        </w:rPr>
        <w:t xml:space="preserve"> 商业贿赂</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方工作人员应依照相关法律法规以及本协议约定支付、收取相关费用，不得以任何方式私下向对方及其利益相关方提供货币、服务、回扣等形式的商业贿赂，不得接受任何形式的商业贿赂，也不得介绍其他人提供、接受商业贿赂。</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合同各方有义务监督本方工作人员严格遵守本条的规定，一旦发现本方工作人员存在提供或接受货币、服务、回扣等形式的商业贿赂，应当对相关工作人员进行处罚。</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十、诉讼</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双方在执行合同中所发生的一切争议，应通过协商解决。如协商不成，可向甲方所在地法院起诉。</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zh-CN"/>
        </w:rPr>
        <w:t>、合同生效及其它</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1、合同经双方法定代表人或授权代表签字并加盖单位公章后生效。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2、本合同未尽事宜，遵照《中华人民共和国民法典》有关条文执行。</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、本合同一式</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份，具有同等法律效力，甲方执</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份；乙方执</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份；采购代理机构</w:t>
      </w:r>
      <w:r>
        <w:rPr>
          <w:rFonts w:hint="eastAsia" w:ascii="宋体" w:hAnsi="宋体" w:eastAsia="宋体" w:cs="宋体"/>
          <w:color w:val="auto"/>
          <w:sz w:val="21"/>
          <w:szCs w:val="21"/>
          <w:highlight w:val="none"/>
        </w:rPr>
        <w:t>壹</w:t>
      </w:r>
      <w:r>
        <w:rPr>
          <w:rFonts w:hint="eastAsia" w:ascii="宋体" w:hAnsi="宋体" w:eastAsia="宋体" w:cs="宋体"/>
          <w:color w:val="auto"/>
          <w:sz w:val="21"/>
          <w:szCs w:val="21"/>
          <w:highlight w:val="none"/>
          <w:lang w:val="zh-CN"/>
        </w:rPr>
        <w:t>份。</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                                  乙方（公章）</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                      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联系电话：</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                                        帐号：</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地址及邮编：                                  地址及邮编：</w:t>
      </w:r>
    </w:p>
    <w:p>
      <w:pPr>
        <w:spacing w:line="500" w:lineRule="exact"/>
        <w:outlineLvl w:val="9"/>
        <w:rPr>
          <w:rFonts w:hint="eastAsia" w:ascii="宋体" w:hAnsi="宋体" w:eastAsia="宋体" w:cs="宋体"/>
          <w:color w:val="auto"/>
          <w:sz w:val="21"/>
          <w:szCs w:val="21"/>
          <w:highlight w:val="none"/>
        </w:rPr>
      </w:pPr>
    </w:p>
    <w:p>
      <w:pPr>
        <w:pStyle w:val="20"/>
        <w:snapToGrid w:val="0"/>
        <w:spacing w:line="500" w:lineRule="exact"/>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签订时间：    年   月    日</w:t>
      </w:r>
    </w:p>
    <w:p>
      <w:pPr>
        <w:pStyle w:val="20"/>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20"/>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20"/>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20"/>
        <w:snapToGrid w:val="0"/>
        <w:spacing w:before="120" w:after="120" w:line="42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lang w:val="zh-CN"/>
        </w:rPr>
        <w:t>如果采购人认为需要制定补充条款的，可以与中标单位协商后签订，但条款内容应合法、合规、合理，并符合项目实际需求，且不得修改实质性内容。</w:t>
      </w:r>
    </w:p>
    <w:p>
      <w:pPr>
        <w:spacing w:line="440" w:lineRule="exact"/>
        <w:ind w:left="0" w:firstLine="0" w:firstLineChars="0"/>
        <w:jc w:val="both"/>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合同附件一 </w:t>
      </w:r>
    </w:p>
    <w:p>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pPr>
        <w:spacing w:line="500" w:lineRule="exact"/>
        <w:jc w:val="center"/>
        <w:outlineLvl w:val="9"/>
        <w:rPr>
          <w:rFonts w:hint="default" w:ascii="Arial" w:hAnsi="Arial" w:eastAsia="宋体" w:cs="Arial"/>
          <w:b/>
          <w:color w:val="auto"/>
          <w:szCs w:val="21"/>
          <w:highlight w:val="none"/>
        </w:rPr>
      </w:pP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cs="宋体"/>
          <w:color w:val="auto"/>
          <w:sz w:val="21"/>
          <w:szCs w:val="21"/>
          <w:highlight w:val="none"/>
          <w:u w:val="single"/>
          <w:lang w:eastAsia="zh-CN"/>
        </w:rPr>
        <w:t>温州诚达交通发展股份有限公司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严格遵守党和国家有关法律法规及行业主管部门的有关廉政规定。</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合同，自觉按合同办事。</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项目有关的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合同的附件，与该合同具有同等的法律效力，经合同双方签署立即生效。</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pPr>
        <w:pStyle w:val="18"/>
        <w:outlineLvl w:val="9"/>
        <w:rPr>
          <w:rFonts w:hint="eastAsia" w:ascii="宋体" w:hAnsi="宋体" w:eastAsia="宋体" w:cs="宋体"/>
          <w:color w:val="auto"/>
          <w:sz w:val="21"/>
          <w:szCs w:val="21"/>
          <w:highlight w:val="none"/>
        </w:rPr>
      </w:pPr>
    </w:p>
    <w:p>
      <w:pPr>
        <w:pStyle w:val="18"/>
        <w:outlineLvl w:val="9"/>
        <w:rPr>
          <w:rFonts w:hint="eastAsia" w:ascii="宋体" w:hAnsi="宋体" w:eastAsia="宋体" w:cs="宋体"/>
          <w:b w:val="0"/>
          <w:bCs w:val="0"/>
          <w:color w:val="auto"/>
          <w:sz w:val="21"/>
          <w:szCs w:val="21"/>
          <w:highlight w:val="none"/>
        </w:rPr>
      </w:pP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pPr>
        <w:spacing w:line="460" w:lineRule="exact"/>
        <w:ind w:left="6600" w:hanging="6300" w:hangingChars="30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pPr>
        <w:spacing w:line="460" w:lineRule="exact"/>
        <w:jc w:val="right"/>
        <w:outlineLvl w:val="9"/>
        <w:rPr>
          <w:rFonts w:hint="eastAsia" w:ascii="新宋体" w:hAnsi="新宋体" w:eastAsia="新宋体" w:cs="新宋体"/>
          <w:color w:val="auto"/>
          <w:sz w:val="22"/>
          <w:szCs w:val="22"/>
          <w:highlight w:val="none"/>
        </w:rPr>
      </w:pPr>
    </w:p>
    <w:p>
      <w:pPr>
        <w:ind w:firstLine="220" w:firstLineChars="100"/>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p>
    <w:p>
      <w:pPr>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 </w:t>
      </w:r>
    </w:p>
    <w:p>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26758"/>
      <w:r>
        <w:rPr>
          <w:rFonts w:hint="default" w:ascii="Arial" w:hAnsi="Arial" w:eastAsia="宋体" w:cs="Arial"/>
          <w:b/>
          <w:bCs/>
          <w:color w:val="auto"/>
          <w:kern w:val="2"/>
          <w:sz w:val="28"/>
          <w:szCs w:val="28"/>
          <w:highlight w:val="none"/>
          <w:lang w:val="en-US" w:eastAsia="zh-CN" w:bidi="ar-SA"/>
        </w:rPr>
        <w:t>第三部分   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before="120" w:beforeLines="50" w:after="120" w:afterLines="50"/>
        <w:outlineLvl w:val="9"/>
        <w:rPr>
          <w:rFonts w:ascii="宋体" w:hAnsi="宋体" w:eastAsia="宋体" w:cs="宋体"/>
          <w:color w:val="auto"/>
          <w:sz w:val="22"/>
          <w:highlight w:val="none"/>
        </w:rPr>
      </w:pPr>
    </w:p>
    <w:p>
      <w:pPr>
        <w:spacing w:before="120" w:beforeLines="50" w:after="120" w:afterLines="50"/>
        <w:jc w:val="center"/>
        <w:outlineLvl w:val="9"/>
        <w:rPr>
          <w:rFonts w:hint="eastAsia" w:ascii="宋体" w:hAnsi="宋体" w:eastAsia="宋体" w:cs="宋体"/>
          <w:color w:val="auto"/>
          <w:sz w:val="22"/>
          <w:highlight w:val="none"/>
        </w:rPr>
      </w:pPr>
    </w:p>
    <w:p>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Cs w:val="24"/>
          <w:highlight w:val="none"/>
        </w:rPr>
      </w:pPr>
    </w:p>
    <w:p>
      <w:pPr>
        <w:outlineLvl w:val="9"/>
        <w:rPr>
          <w:rFonts w:ascii="宋体" w:hAnsi="宋体" w:eastAsia="宋体" w:cs="宋体"/>
          <w:color w:val="auto"/>
          <w:szCs w:val="24"/>
          <w:highlight w:val="none"/>
        </w:rPr>
      </w:pPr>
    </w:p>
    <w:p>
      <w:pPr>
        <w:ind w:left="480" w:hanging="480" w:hangingChars="200"/>
        <w:outlineLvl w:val="9"/>
        <w:rPr>
          <w:rFonts w:ascii="宋体" w:hAnsi="宋体" w:eastAsia="宋体" w:cs="宋体"/>
          <w:color w:val="auto"/>
          <w:sz w:val="24"/>
          <w:szCs w:val="24"/>
          <w:highlight w:val="none"/>
        </w:rPr>
      </w:pPr>
    </w:p>
    <w:p>
      <w:pPr>
        <w:outlineLvl w:val="9"/>
        <w:rPr>
          <w:rFonts w:ascii="宋体" w:hAnsi="宋体" w:eastAsia="宋体" w:cs="宋体"/>
          <w:color w:val="auto"/>
          <w:szCs w:val="24"/>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u w:val="single"/>
          <w:lang w:val="en-US" w:eastAsia="zh-CN"/>
        </w:rPr>
        <w:t>IPO券商中介服务</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cs="宋体"/>
          <w:color w:val="auto"/>
          <w:sz w:val="28"/>
          <w:szCs w:val="28"/>
          <w:highlight w:val="none"/>
          <w:u w:val="single"/>
          <w:lang w:val="en-US" w:eastAsia="zh-CN"/>
        </w:rPr>
        <w:t>WGSS-JFJT-X-2023009</w:t>
      </w:r>
    </w:p>
    <w:p>
      <w:pPr>
        <w:jc w:val="center"/>
        <w:outlineLvl w:val="9"/>
        <w:rPr>
          <w:rFonts w:hint="eastAsia" w:ascii="宋体" w:hAnsi="宋体" w:eastAsia="宋体" w:cs="宋体"/>
          <w:color w:val="auto"/>
          <w:sz w:val="40"/>
          <w:szCs w:val="40"/>
          <w:highlight w:val="none"/>
          <w:u w:val="none"/>
        </w:rPr>
      </w:pPr>
    </w:p>
    <w:p>
      <w:pPr>
        <w:jc w:val="center"/>
        <w:outlineLvl w:val="9"/>
        <w:rPr>
          <w:rFonts w:hint="eastAsia" w:ascii="宋体" w:hAnsi="宋体" w:eastAsia="宋体" w:cs="宋体"/>
          <w:color w:val="auto"/>
          <w:sz w:val="40"/>
          <w:szCs w:val="40"/>
          <w:highlight w:val="none"/>
          <w:u w:val="none"/>
        </w:rPr>
      </w:pPr>
    </w:p>
    <w:p>
      <w:pPr>
        <w:spacing w:line="360" w:lineRule="auto"/>
        <w:jc w:val="center"/>
        <w:outlineLvl w:val="9"/>
        <w:rPr>
          <w:rFonts w:hint="eastAsia" w:ascii="宋体" w:hAnsi="宋体" w:eastAsia="宋体" w:cs="宋体"/>
          <w:color w:val="auto"/>
          <w:sz w:val="40"/>
          <w:szCs w:val="40"/>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44"/>
          <w:szCs w:val="44"/>
          <w:highlight w:val="none"/>
        </w:rPr>
      </w:pPr>
    </w:p>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法定</w:t>
      </w:r>
      <w:r>
        <w:rPr>
          <w:rFonts w:hint="eastAsia" w:ascii="宋体" w:hAnsi="宋体" w:eastAsia="宋体" w:cs="宋体"/>
          <w:color w:val="auto"/>
          <w:sz w:val="28"/>
          <w:szCs w:val="28"/>
          <w:highlight w:val="none"/>
        </w:rPr>
        <w:t xml:space="preserve">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pP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15"/>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460" w:lineRule="exact"/>
        <w:outlineLvl w:val="9"/>
        <w:rPr>
          <w:rFonts w:hint="eastAsia" w:ascii="宋体" w:hAnsi="宋体" w:eastAsia="宋体" w:cs="宋体"/>
          <w:b/>
          <w:bCs/>
          <w:color w:val="auto"/>
          <w:sz w:val="21"/>
          <w:szCs w:val="21"/>
          <w:highlight w:val="none"/>
        </w:rPr>
      </w:pPr>
      <w:bookmarkStart w:id="140" w:name="_Toc262105510"/>
      <w:bookmarkStart w:id="141" w:name="_Toc246261271"/>
      <w:bookmarkStart w:id="142" w:name="_Toc239145360"/>
      <w:bookmarkStart w:id="143" w:name="_Toc223716004"/>
      <w:bookmarkStart w:id="144" w:name="_Toc221356957"/>
      <w:bookmarkStart w:id="145" w:name="_Toc221374632"/>
      <w:bookmarkStart w:id="146" w:name="_Toc389760269"/>
      <w:bookmarkStart w:id="147" w:name="_Toc245722287"/>
      <w:bookmarkStart w:id="148" w:name="_Toc245191320"/>
      <w:bookmarkStart w:id="149" w:name="_Toc222114885"/>
      <w:bookmarkStart w:id="150" w:name="_Toc241404208"/>
      <w:bookmarkStart w:id="151" w:name="_Toc262049425"/>
      <w:bookmarkStart w:id="152" w:name="_Toc249758721"/>
      <w:bookmarkStart w:id="153" w:name="_Toc221423625"/>
      <w:bookmarkStart w:id="154" w:name="_Toc221356894"/>
      <w:bookmarkStart w:id="155" w:name="_Toc249758871"/>
      <w:r>
        <w:rPr>
          <w:rFonts w:hint="default" w:ascii="Arial" w:hAnsi="Arial" w:eastAsia="宋体" w:cs="Arial"/>
          <w:b/>
          <w:bCs/>
          <w:color w:val="auto"/>
          <w:szCs w:val="21"/>
          <w:highlight w:val="none"/>
        </w:rPr>
        <w:br w:type="page"/>
      </w:r>
      <w:r>
        <w:rPr>
          <w:rFonts w:hint="eastAsia" w:ascii="宋体" w:hAnsi="宋体" w:eastAsia="宋体" w:cs="宋体"/>
          <w:b/>
          <w:bCs/>
          <w:color w:val="auto"/>
          <w:sz w:val="32"/>
          <w:szCs w:val="32"/>
          <w:highlight w:val="none"/>
          <w:lang w:val="en-US" w:eastAsia="zh-CN"/>
        </w:rPr>
        <w:t>附件一</w:t>
      </w:r>
    </w:p>
    <w:p>
      <w:pPr>
        <w:spacing w:line="460" w:lineRule="exact"/>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 标 函</w:t>
      </w:r>
    </w:p>
    <w:p>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温州诚达交通发展股份有限公司</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eastAsia="zh-CN"/>
        </w:rPr>
        <w:t>WGSS-JFJT-X-2023009</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须知”要求编制的投标文件技术资信标【正本一份，副本四份】</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须知”要求编制的投标文件商务（报价）标【正本一份，副本四份】</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法定</w:t>
      </w:r>
      <w:r>
        <w:rPr>
          <w:rFonts w:hint="eastAsia" w:ascii="宋体" w:hAnsi="宋体" w:eastAsia="宋体" w:cs="宋体"/>
          <w:color w:val="auto"/>
          <w:sz w:val="21"/>
          <w:szCs w:val="21"/>
          <w:highlight w:val="none"/>
          <w:lang w:eastAsia="zh-CN"/>
        </w:rPr>
        <w:t>负责人</w:t>
      </w:r>
      <w:r>
        <w:rPr>
          <w:rFonts w:hint="eastAsia" w:ascii="宋体" w:hAnsi="宋体" w:eastAsia="宋体" w:cs="宋体"/>
          <w:color w:val="auto"/>
          <w:sz w:val="21"/>
          <w:szCs w:val="21"/>
          <w:highlight w:val="none"/>
        </w:rPr>
        <w:t>）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pPr>
        <w:pStyle w:val="65"/>
        <w:outlineLvl w:val="9"/>
        <w:rPr>
          <w:rFonts w:hint="eastAsia" w:ascii="宋体" w:hAnsi="宋体" w:eastAsia="宋体" w:cs="宋体"/>
          <w:color w:val="auto"/>
          <w:sz w:val="21"/>
          <w:szCs w:val="21"/>
          <w:highlight w:val="none"/>
          <w:u w:val="none"/>
          <w:lang w:eastAsia="zh-CN"/>
        </w:rPr>
      </w:pPr>
    </w:p>
    <w:p>
      <w:pPr>
        <w:pStyle w:val="65"/>
        <w:outlineLvl w:val="9"/>
        <w:rPr>
          <w:rFonts w:hint="eastAsia" w:ascii="宋体" w:hAnsi="宋体" w:eastAsia="宋体" w:cs="宋体"/>
          <w:color w:val="auto"/>
          <w:sz w:val="21"/>
          <w:szCs w:val="21"/>
          <w:highlight w:val="none"/>
          <w:u w:val="none"/>
          <w:lang w:eastAsia="zh-CN"/>
        </w:rPr>
      </w:pP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pPr>
        <w:pStyle w:val="65"/>
        <w:outlineLvl w:val="9"/>
        <w:rPr>
          <w:rFonts w:hint="eastAsia" w:ascii="宋体" w:hAnsi="宋体" w:eastAsia="宋体" w:cs="宋体"/>
          <w:color w:val="auto"/>
          <w:sz w:val="21"/>
          <w:szCs w:val="21"/>
          <w:highlight w:val="none"/>
          <w:u w:val="none"/>
          <w:lang w:eastAsia="zh-CN"/>
        </w:rPr>
        <w:sectPr>
          <w:headerReference r:id="rId8" w:type="default"/>
          <w:footerReference r:id="rId9" w:type="default"/>
          <w:pgSz w:w="11906" w:h="16838"/>
          <w:pgMar w:top="1134" w:right="1134" w:bottom="1134" w:left="1417" w:header="851" w:footer="567" w:gutter="0"/>
          <w:pgBorders>
            <w:top w:val="none" w:sz="0" w:space="0"/>
            <w:left w:val="none" w:sz="0" w:space="0"/>
            <w:bottom w:val="none" w:sz="0" w:space="0"/>
            <w:right w:val="none" w:sz="0" w:space="0"/>
          </w:pgBorders>
          <w:pgNumType w:fmt="decimal"/>
          <w:cols w:space="720" w:num="1"/>
          <w:titlePg/>
          <w:rtlGutter w:val="0"/>
          <w:docGrid w:linePitch="312" w:charSpace="0"/>
        </w:sectPr>
      </w:pPr>
    </w:p>
    <w:p>
      <w:pPr>
        <w:adjustRightInd/>
        <w:snapToGrid/>
        <w:spacing w:before="120" w:after="120" w:line="320" w:lineRule="exact"/>
        <w:jc w:val="both"/>
        <w:outlineLvl w:val="9"/>
        <w:rPr>
          <w:rFonts w:hint="eastAsia" w:ascii="宋体" w:hAnsi="宋体" w:eastAsia="宋体" w:cs="宋体"/>
          <w:color w:val="auto"/>
          <w:kern w:val="2"/>
          <w:sz w:val="22"/>
          <w:szCs w:val="22"/>
          <w:highlight w:val="none"/>
          <w:lang w:eastAsia="zh-CN"/>
        </w:rPr>
      </w:pPr>
      <w:bookmarkStart w:id="156" w:name="_Toc23743"/>
      <w:bookmarkStart w:id="157" w:name="_Toc15187"/>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二</w:t>
      </w:r>
      <w:bookmarkEnd w:id="156"/>
      <w:bookmarkEnd w:id="157"/>
      <w:r>
        <w:rPr>
          <w:rFonts w:hint="eastAsia" w:ascii="宋体" w:hAnsi="宋体" w:eastAsia="宋体" w:cs="宋体"/>
          <w:b/>
          <w:bCs/>
          <w:color w:val="auto"/>
          <w:sz w:val="28"/>
          <w:szCs w:val="28"/>
          <w:highlight w:val="none"/>
          <w:lang w:val="en-US" w:eastAsia="zh-CN"/>
        </w:rPr>
        <w:t xml:space="preserve"> 资格资质证明文件</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kern w:val="2"/>
          <w:sz w:val="36"/>
          <w:szCs w:val="36"/>
          <w:highlight w:val="none"/>
        </w:rPr>
        <w:t xml:space="preserve"> </w:t>
      </w:r>
      <w:r>
        <w:rPr>
          <w:rFonts w:hint="eastAsia" w:ascii="宋体" w:hAnsi="宋体" w:eastAsia="宋体" w:cs="宋体"/>
          <w:color w:val="auto"/>
          <w:kern w:val="2"/>
          <w:sz w:val="22"/>
          <w:szCs w:val="22"/>
          <w:highlight w:val="none"/>
          <w:lang w:val="en-US" w:eastAsia="zh-CN"/>
        </w:rPr>
        <w:t xml:space="preserve"> </w:t>
      </w:r>
    </w:p>
    <w:p>
      <w:pPr>
        <w:spacing w:line="360" w:lineRule="auto"/>
        <w:jc w:val="center"/>
        <w:outlineLvl w:val="9"/>
        <w:rPr>
          <w:rFonts w:hint="eastAsia" w:ascii="宋体" w:hAnsi="宋体" w:eastAsia="宋体" w:cs="宋体"/>
          <w:b/>
          <w:color w:val="auto"/>
          <w:sz w:val="21"/>
          <w:szCs w:val="21"/>
          <w:highlight w:val="none"/>
        </w:rPr>
      </w:pPr>
    </w:p>
    <w:p>
      <w:pPr>
        <w:snapToGrid w:val="0"/>
        <w:spacing w:before="120" w:beforeLines="50" w:after="5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法定代表人授权书</w:t>
      </w:r>
    </w:p>
    <w:p>
      <w:pPr>
        <w:outlineLvl w:val="9"/>
        <w:rPr>
          <w:rFonts w:hint="eastAsia" w:ascii="宋体" w:hAnsi="宋体" w:eastAsia="宋体" w:cs="宋体"/>
          <w:b/>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pPr>
        <w:spacing w:line="480" w:lineRule="exact"/>
        <w:ind w:firstLine="2319" w:firstLineChars="1100"/>
        <w:outlineLvl w:val="9"/>
        <w:rPr>
          <w:rFonts w:hint="eastAsia" w:ascii="宋体" w:hAnsi="宋体" w:eastAsia="宋体" w:cs="宋体"/>
          <w:b/>
          <w:color w:val="auto"/>
          <w:sz w:val="21"/>
          <w:szCs w:val="21"/>
          <w:highlight w:val="none"/>
        </w:rPr>
      </w:pPr>
    </w:p>
    <w:p>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eastAsia="zh-CN"/>
        </w:rPr>
        <w:t>WGSS-JFJT-X-2023009</w:t>
      </w:r>
      <w:r>
        <w:rPr>
          <w:rFonts w:hint="eastAsia" w:ascii="宋体" w:hAnsi="宋体" w:eastAsia="宋体" w:cs="宋体"/>
          <w:color w:val="auto"/>
          <w:sz w:val="21"/>
          <w:szCs w:val="21"/>
          <w:highlight w:val="none"/>
        </w:rPr>
        <w:t xml:space="preserve"> ）的投标和合同执行，以我方的名义处理一切与之有关的事宜。</w:t>
      </w:r>
    </w:p>
    <w:p>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单位负责人</w:t>
      </w:r>
      <w:r>
        <w:rPr>
          <w:rFonts w:hint="eastAsia" w:ascii="宋体" w:hAnsi="宋体" w:eastAsia="宋体" w:cs="宋体"/>
          <w:color w:val="auto"/>
          <w:sz w:val="21"/>
          <w:szCs w:val="21"/>
          <w:highlight w:val="none"/>
        </w:rPr>
        <w:t xml:space="preserve">）（签字或盖章）：                  </w:t>
      </w:r>
    </w:p>
    <w:p>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vertAlign w:val="baseline"/>
              </w:rPr>
            </w:pPr>
          </w:p>
        </w:tc>
      </w:tr>
    </w:tbl>
    <w:p>
      <w:pPr>
        <w:pStyle w:val="20"/>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pPr>
        <w:pStyle w:val="20"/>
        <w:spacing w:line="320" w:lineRule="exact"/>
        <w:ind w:firstLine="723" w:firstLineChars="343"/>
        <w:outlineLvl w:val="9"/>
        <w:rPr>
          <w:rFonts w:hint="eastAsia" w:ascii="宋体" w:hAnsi="宋体" w:eastAsia="宋体" w:cs="宋体"/>
          <w:b/>
          <w:color w:val="auto"/>
          <w:kern w:val="2"/>
          <w:sz w:val="21"/>
          <w:szCs w:val="21"/>
          <w:highlight w:val="none"/>
        </w:rPr>
      </w:pP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pPr>
        <w:widowControl/>
        <w:spacing w:line="360" w:lineRule="auto"/>
        <w:outlineLvl w:val="9"/>
        <w:rPr>
          <w:rFonts w:hint="eastAsia" w:ascii="宋体" w:hAnsi="宋体" w:eastAsia="宋体" w:cs="宋体"/>
          <w:color w:val="auto"/>
          <w:sz w:val="21"/>
          <w:szCs w:val="21"/>
          <w:highlight w:val="none"/>
          <w:u w:val="single"/>
        </w:rPr>
      </w:pPr>
    </w:p>
    <w:p>
      <w:pPr>
        <w:spacing w:line="420" w:lineRule="exac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cs="宋体"/>
          <w:color w:val="auto"/>
          <w:sz w:val="21"/>
          <w:szCs w:val="21"/>
          <w:highlight w:val="none"/>
          <w:u w:val="single"/>
          <w:lang w:eastAsia="zh-CN"/>
        </w:rPr>
        <w:t>WGSS-JFJT-X-2023009</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u w:val="single"/>
          <w:lang w:eastAsia="zh-CN"/>
        </w:rPr>
        <w:t>IPO券商中介服务</w:t>
      </w:r>
      <w:r>
        <w:rPr>
          <w:rFonts w:hint="eastAsia" w:ascii="宋体" w:hAnsi="宋体" w:eastAsia="宋体" w:cs="宋体"/>
          <w:color w:val="auto"/>
          <w:kern w:val="0"/>
          <w:sz w:val="21"/>
          <w:szCs w:val="21"/>
          <w:highlight w:val="none"/>
        </w:rPr>
        <w:t>采购项目，签署上述项目的投标文件、进行合同谈判、签署合同和处理与之有关的一切事务。</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9571" w:type="dxa"/>
            <w:noWrap w:val="0"/>
            <w:vAlign w:val="center"/>
          </w:tcPr>
          <w:p>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pPr>
        <w:widowControl/>
        <w:spacing w:line="480" w:lineRule="auto"/>
        <w:ind w:left="420" w:firstLine="473"/>
        <w:jc w:val="left"/>
        <w:outlineLvl w:val="9"/>
        <w:rPr>
          <w:rFonts w:hint="eastAsia" w:ascii="宋体" w:hAnsi="宋体" w:eastAsia="宋体" w:cs="宋体"/>
          <w:color w:val="auto"/>
          <w:kern w:val="0"/>
          <w:sz w:val="21"/>
          <w:szCs w:val="21"/>
          <w:highlight w:val="none"/>
        </w:rPr>
      </w:pP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pPr>
        <w:snapToGrid w:val="0"/>
        <w:spacing w:before="120" w:beforeLines="50" w:after="50"/>
        <w:jc w:val="left"/>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w:t>
      </w:r>
      <w:r>
        <w:rPr>
          <w:rFonts w:hint="eastAsia" w:ascii="宋体" w:hAnsi="宋体" w:eastAsia="宋体" w:cs="宋体"/>
          <w:color w:val="auto"/>
          <w:kern w:val="2"/>
          <w:sz w:val="21"/>
          <w:szCs w:val="21"/>
          <w:highlight w:val="none"/>
        </w:rPr>
        <w:t xml:space="preserve"> </w:t>
      </w:r>
      <w:r>
        <w:rPr>
          <w:rFonts w:hint="eastAsia" w:ascii="宋体" w:hAnsi="宋体" w:eastAsia="宋体" w:cs="宋体"/>
          <w:b/>
          <w:bCs/>
          <w:color w:val="auto"/>
          <w:sz w:val="28"/>
          <w:szCs w:val="28"/>
          <w:highlight w:val="none"/>
        </w:rPr>
        <w:t>投标供应商企业法人有效营业执照（复印件加盖单位公章）</w:t>
      </w:r>
    </w:p>
    <w:p>
      <w:pPr>
        <w:pStyle w:val="15"/>
        <w:ind w:left="0" w:leftChars="0" w:firstLine="0" w:firstLineChars="0"/>
        <w:outlineLvl w:val="9"/>
        <w:rPr>
          <w:rFonts w:hint="eastAsia" w:ascii="宋体" w:hAnsi="宋体" w:eastAsia="宋体" w:cs="宋体"/>
          <w:b/>
          <w:color w:val="auto"/>
          <w:sz w:val="21"/>
          <w:szCs w:val="21"/>
          <w:highlight w:val="none"/>
        </w:rPr>
      </w:pPr>
    </w:p>
    <w:p>
      <w:pPr>
        <w:pStyle w:val="15"/>
        <w:ind w:left="0" w:leftChars="0" w:firstLine="0" w:firstLineChars="0"/>
        <w:outlineLvl w:val="9"/>
        <w:rPr>
          <w:rFonts w:hint="eastAsia" w:ascii="宋体" w:hAnsi="宋体" w:eastAsia="宋体" w:cs="宋体"/>
          <w:b/>
          <w:color w:val="auto"/>
          <w:sz w:val="21"/>
          <w:szCs w:val="21"/>
          <w:highlight w:val="none"/>
        </w:rPr>
      </w:pPr>
    </w:p>
    <w:p>
      <w:pPr>
        <w:snapToGrid w:val="0"/>
        <w:spacing w:before="120" w:beforeLines="50" w:after="5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符合参加国企采购活动应当具备的条件的承诺函;</w:t>
      </w:r>
    </w:p>
    <w:p>
      <w:pPr>
        <w:spacing w:line="460" w:lineRule="exact"/>
        <w:outlineLvl w:val="9"/>
        <w:rPr>
          <w:rFonts w:hint="eastAsia" w:ascii="宋体" w:hAnsi="宋体" w:eastAsia="宋体" w:cs="宋体"/>
          <w:b/>
          <w:bCs/>
          <w:color w:val="auto"/>
          <w:sz w:val="21"/>
          <w:szCs w:val="21"/>
          <w:highlight w:val="none"/>
          <w:u w:val="single"/>
        </w:rPr>
      </w:pPr>
    </w:p>
    <w:p>
      <w:pPr>
        <w:spacing w:line="460" w:lineRule="exact"/>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温州诚达交通发展股份有限公司</w:t>
      </w:r>
      <w:r>
        <w:rPr>
          <w:rFonts w:hint="eastAsia" w:ascii="宋体" w:hAnsi="宋体" w:eastAsia="宋体" w:cs="宋体"/>
          <w:b/>
          <w:bCs/>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（项目名称）【项目编号：</w:t>
      </w:r>
      <w:r>
        <w:rPr>
          <w:rFonts w:hint="eastAsia" w:ascii="宋体" w:hAnsi="宋体" w:cs="宋体"/>
          <w:color w:val="auto"/>
          <w:sz w:val="21"/>
          <w:szCs w:val="21"/>
          <w:highlight w:val="none"/>
          <w:lang w:eastAsia="zh-CN"/>
        </w:rPr>
        <w:t>WGSS-JFJT-X-2023009</w:t>
      </w:r>
      <w:r>
        <w:rPr>
          <w:rFonts w:hint="eastAsia" w:ascii="宋体" w:hAnsi="宋体" w:eastAsia="宋体" w:cs="宋体"/>
          <w:color w:val="auto"/>
          <w:sz w:val="21"/>
          <w:szCs w:val="21"/>
          <w:highlight w:val="none"/>
        </w:rPr>
        <w:t>】国企采购活动，郑重承诺：</w:t>
      </w:r>
    </w:p>
    <w:p>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符合《温州市市属国有企业采购管理办法（试行）》第十五条对供应商参加温州市国有企业采购活动应当具备的条件</w:t>
      </w:r>
      <w:r>
        <w:rPr>
          <w:rFonts w:hint="eastAsia" w:ascii="宋体" w:hAnsi="宋体" w:eastAsia="宋体" w:cs="宋体"/>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3、具有履行合同所必需的设备和专业技术能力、售后保障等能力；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5、参加采购、招投标等活动前三年内，在经营活动中没有重大违法记录、严重失信记录和行贿记录；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pPr>
        <w:spacing w:line="460" w:lineRule="exact"/>
        <w:outlineLvl w:val="9"/>
        <w:rPr>
          <w:rFonts w:hint="eastAsia" w:ascii="宋体" w:hAnsi="宋体" w:eastAsia="宋体" w:cs="宋体"/>
          <w:b/>
          <w:bCs/>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p>
    <w:p>
      <w:pPr>
        <w:pStyle w:val="30"/>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30"/>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30"/>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30"/>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30"/>
        <w:rPr>
          <w:rFonts w:hint="eastAsia"/>
          <w:lang w:val="en-US" w:eastAsia="zh-CN"/>
        </w:rPr>
      </w:pPr>
    </w:p>
    <w:p>
      <w:pPr>
        <w:snapToGrid w:val="0"/>
        <w:spacing w:before="120" w:beforeLines="50" w:after="5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单位负责人为同一人或者存在直接控股、管理关系的不同供应商，不得参加同一合同项下的采购活动承诺函</w:t>
      </w:r>
    </w:p>
    <w:p>
      <w:pPr>
        <w:spacing w:line="460" w:lineRule="exact"/>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（项目名称）【项目编号：</w:t>
      </w:r>
      <w:r>
        <w:rPr>
          <w:rFonts w:hint="eastAsia" w:ascii="宋体" w:hAnsi="宋体" w:cs="宋体"/>
          <w:color w:val="auto"/>
          <w:sz w:val="21"/>
          <w:szCs w:val="21"/>
          <w:highlight w:val="none"/>
          <w:lang w:eastAsia="zh-CN"/>
        </w:rPr>
        <w:t>WGSS-JFJT-X-2023009</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投标供应商没有失信记录承诺函</w:t>
      </w:r>
    </w:p>
    <w:p>
      <w:pPr>
        <w:spacing w:line="460" w:lineRule="exac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single"/>
          <w:lang w:eastAsia="zh-CN"/>
        </w:rPr>
        <w:t>IPO券商中介服务</w:t>
      </w:r>
      <w:r>
        <w:rPr>
          <w:rFonts w:hint="eastAsia" w:ascii="宋体" w:hAnsi="宋体" w:eastAsia="宋体" w:cs="宋体"/>
          <w:color w:val="auto"/>
          <w:sz w:val="21"/>
          <w:szCs w:val="21"/>
          <w:highlight w:val="none"/>
        </w:rPr>
        <w:t>（项目名称）【项目编号：</w:t>
      </w:r>
      <w:r>
        <w:rPr>
          <w:rFonts w:hint="eastAsia" w:ascii="宋体" w:hAnsi="宋体" w:cs="宋体"/>
          <w:color w:val="auto"/>
          <w:sz w:val="21"/>
          <w:szCs w:val="21"/>
          <w:highlight w:val="none"/>
          <w:lang w:eastAsia="zh-CN"/>
        </w:rPr>
        <w:t>WGSS-JFJT-X-2023009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left="442" w:hanging="422" w:hangingChars="200"/>
        <w:outlineLvl w:val="9"/>
        <w:rPr>
          <w:rFonts w:hint="eastAsia" w:ascii="宋体" w:hAnsi="宋体" w:eastAsia="宋体" w:cs="宋体"/>
          <w:b/>
          <w:bCs/>
          <w:color w:val="auto"/>
          <w:sz w:val="21"/>
          <w:szCs w:val="21"/>
          <w:highlight w:val="none"/>
        </w:rPr>
      </w:pPr>
    </w:p>
    <w:p>
      <w:pP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投标供应商</w:t>
      </w:r>
      <w:r>
        <w:rPr>
          <w:rFonts w:hint="eastAsia" w:ascii="宋体" w:hAnsi="宋体" w:eastAsia="宋体" w:cs="宋体"/>
          <w:b/>
          <w:bCs/>
          <w:color w:val="auto"/>
          <w:sz w:val="28"/>
          <w:szCs w:val="28"/>
          <w:highlight w:val="none"/>
          <w:lang w:val="en-US" w:eastAsia="zh-CN"/>
        </w:rPr>
        <w:t>提供有效的中国证监会颁发的经营证券业务（承销与保荐业务）许可证</w:t>
      </w:r>
      <w:r>
        <w:rPr>
          <w:rFonts w:hint="eastAsia" w:ascii="宋体" w:hAnsi="宋体" w:eastAsia="宋体" w:cs="宋体"/>
          <w:b/>
          <w:bCs/>
          <w:color w:val="auto"/>
          <w:sz w:val="28"/>
          <w:szCs w:val="28"/>
          <w:highlight w:val="none"/>
        </w:rPr>
        <w:t>（复印件加盖单位公章）</w:t>
      </w:r>
      <w:r>
        <w:rPr>
          <w:rFonts w:hint="eastAsia" w:ascii="宋体" w:hAnsi="宋体" w:cs="宋体"/>
          <w:b/>
          <w:bCs/>
          <w:color w:val="auto"/>
          <w:sz w:val="28"/>
          <w:szCs w:val="28"/>
          <w:highlight w:val="none"/>
          <w:lang w:eastAsia="zh-CN"/>
        </w:rPr>
        <w:t>。</w:t>
      </w:r>
    </w:p>
    <w:p>
      <w:pPr>
        <w:outlineLvl w:val="9"/>
        <w:rPr>
          <w:rFonts w:hint="eastAsia" w:ascii="宋体" w:hAnsi="宋体" w:eastAsia="宋体" w:cs="宋体"/>
          <w:b/>
          <w:bCs/>
          <w:color w:val="auto"/>
          <w:sz w:val="28"/>
          <w:szCs w:val="28"/>
          <w:highlight w:val="none"/>
          <w:lang w:val="en-US" w:eastAsia="zh-CN"/>
        </w:rPr>
      </w:pPr>
    </w:p>
    <w:p>
      <w:pPr>
        <w:outlineLvl w:val="9"/>
        <w:rPr>
          <w:rFonts w:hint="eastAsia" w:ascii="宋体" w:hAnsi="宋体" w:eastAsia="宋体" w:cs="宋体"/>
          <w:b/>
          <w:bCs/>
          <w:color w:val="auto"/>
          <w:sz w:val="28"/>
          <w:szCs w:val="28"/>
          <w:highlight w:val="none"/>
          <w:lang w:val="en-US" w:eastAsia="zh-CN"/>
        </w:rPr>
      </w:pPr>
    </w:p>
    <w:p>
      <w:pP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（7）投标供应商提供证券公司分类评级B级及以上级别（参考《中国证监会公布2022年证券公司分类结果》）</w:t>
      </w:r>
      <w:r>
        <w:rPr>
          <w:rFonts w:hint="eastAsia" w:ascii="宋体" w:hAnsi="宋体" w:eastAsia="宋体" w:cs="宋体"/>
          <w:b/>
          <w:bCs/>
          <w:color w:val="auto"/>
          <w:sz w:val="28"/>
          <w:szCs w:val="28"/>
          <w:highlight w:val="none"/>
        </w:rPr>
        <w:t>（复印件加盖单位公章）</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8"/>
          <w:szCs w:val="28"/>
          <w:highlight w:val="none"/>
          <w:lang w:val="en-US" w:eastAsia="zh-CN"/>
        </w:rPr>
        <w:t>附件三</w:t>
      </w:r>
    </w:p>
    <w:p>
      <w:pPr>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投标供应商基本情况表</w:t>
      </w:r>
    </w:p>
    <w:p>
      <w:pPr>
        <w:pStyle w:val="32"/>
        <w:rPr>
          <w:rFonts w:hint="eastAsia" w:ascii="宋体" w:hAnsi="宋体" w:eastAsia="宋体" w:cs="宋体"/>
          <w:color w:val="auto"/>
          <w:highlight w:val="none"/>
        </w:rPr>
      </w:pPr>
    </w:p>
    <w:tbl>
      <w:tblPr>
        <w:tblStyle w:val="33"/>
        <w:tblW w:w="0" w:type="auto"/>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w:t>
            </w:r>
            <w:r>
              <w:rPr>
                <w:rFonts w:hint="eastAsia" w:ascii="宋体" w:hAnsi="宋体" w:eastAsia="宋体" w:cs="宋体"/>
                <w:color w:val="auto"/>
                <w:spacing w:val="-2"/>
                <w:kern w:val="0"/>
                <w:szCs w:val="21"/>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w:t>
            </w:r>
            <w:r>
              <w:rPr>
                <w:rFonts w:hint="eastAsia" w:ascii="宋体" w:hAnsi="宋体" w:eastAsia="宋体" w:cs="宋体"/>
                <w:color w:val="auto"/>
                <w:spacing w:val="-2"/>
                <w:kern w:val="0"/>
                <w:szCs w:val="21"/>
                <w:highlight w:val="none"/>
              </w:rPr>
              <w:t>时</w:t>
            </w:r>
            <w:r>
              <w:rPr>
                <w:rFonts w:hint="eastAsia" w:ascii="宋体" w:hAnsi="宋体" w:eastAsia="宋体" w:cs="宋体"/>
                <w:color w:val="auto"/>
                <w:kern w:val="0"/>
                <w:szCs w:val="21"/>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w:t>
            </w:r>
            <w:r>
              <w:rPr>
                <w:rFonts w:hint="eastAsia" w:ascii="宋体" w:hAnsi="宋体" w:eastAsia="宋体" w:cs="宋体"/>
                <w:color w:val="auto"/>
                <w:spacing w:val="-2"/>
                <w:kern w:val="0"/>
                <w:szCs w:val="21"/>
                <w:highlight w:val="none"/>
              </w:rPr>
              <w:t>地</w:t>
            </w:r>
            <w:r>
              <w:rPr>
                <w:rFonts w:hint="eastAsia" w:ascii="宋体" w:hAnsi="宋体" w:eastAsia="宋体" w:cs="宋体"/>
                <w:color w:val="auto"/>
                <w:kern w:val="0"/>
                <w:szCs w:val="21"/>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w:t>
            </w:r>
            <w:r>
              <w:rPr>
                <w:rFonts w:hint="eastAsia" w:ascii="宋体" w:hAnsi="宋体" w:eastAsia="宋体" w:cs="宋体"/>
                <w:color w:val="auto"/>
                <w:spacing w:val="-2"/>
                <w:kern w:val="0"/>
                <w:szCs w:val="21"/>
                <w:highlight w:val="none"/>
              </w:rPr>
              <w:t>编</w:t>
            </w:r>
            <w:r>
              <w:rPr>
                <w:rFonts w:hint="eastAsia" w:ascii="宋体" w:hAnsi="宋体" w:eastAsia="宋体" w:cs="宋体"/>
                <w:color w:val="auto"/>
                <w:kern w:val="0"/>
                <w:szCs w:val="21"/>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w:t>
            </w:r>
            <w:r>
              <w:rPr>
                <w:rFonts w:hint="eastAsia" w:ascii="宋体" w:hAnsi="宋体" w:eastAsia="宋体" w:cs="宋体"/>
                <w:color w:val="auto"/>
                <w:spacing w:val="-2"/>
                <w:kern w:val="0"/>
                <w:szCs w:val="21"/>
                <w:highlight w:val="none"/>
              </w:rPr>
              <w:t>总</w:t>
            </w:r>
            <w:r>
              <w:rPr>
                <w:rFonts w:hint="eastAsia" w:ascii="宋体" w:hAnsi="宋体" w:eastAsia="宋体" w:cs="宋体"/>
                <w:color w:val="auto"/>
                <w:kern w:val="0"/>
                <w:szCs w:val="21"/>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w:t>
            </w:r>
            <w:r>
              <w:rPr>
                <w:rFonts w:hint="eastAsia" w:ascii="宋体" w:hAnsi="宋体" w:eastAsia="宋体" w:cs="宋体"/>
                <w:color w:val="auto"/>
                <w:spacing w:val="-2"/>
                <w:kern w:val="0"/>
                <w:szCs w:val="21"/>
                <w:highlight w:val="none"/>
              </w:rPr>
              <w:t>方</w:t>
            </w:r>
            <w:r>
              <w:rPr>
                <w:rFonts w:hint="eastAsia" w:ascii="宋体" w:hAnsi="宋体" w:eastAsia="宋体" w:cs="宋体"/>
                <w:color w:val="auto"/>
                <w:kern w:val="0"/>
                <w:szCs w:val="21"/>
                <w:highlight w:val="none"/>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w:t>
            </w:r>
            <w:r>
              <w:rPr>
                <w:rFonts w:hint="eastAsia" w:ascii="宋体" w:hAnsi="宋体" w:eastAsia="宋体" w:cs="宋体"/>
                <w:color w:val="auto"/>
                <w:spacing w:val="-2"/>
                <w:kern w:val="0"/>
                <w:szCs w:val="21"/>
                <w:highlight w:val="none"/>
              </w:rPr>
              <w:t>代</w:t>
            </w:r>
            <w:r>
              <w:rPr>
                <w:rFonts w:hint="eastAsia" w:ascii="宋体" w:hAnsi="宋体" w:eastAsia="宋体" w:cs="宋体"/>
                <w:color w:val="auto"/>
                <w:kern w:val="0"/>
                <w:szCs w:val="21"/>
                <w:highlight w:val="none"/>
              </w:rPr>
              <w:t>表人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w:t>
            </w:r>
            <w:r>
              <w:rPr>
                <w:rFonts w:hint="eastAsia" w:ascii="宋体" w:hAnsi="宋体" w:eastAsia="宋体" w:cs="宋体"/>
                <w:color w:val="auto"/>
                <w:spacing w:val="-2"/>
                <w:kern w:val="0"/>
                <w:szCs w:val="21"/>
                <w:highlight w:val="none"/>
              </w:rPr>
              <w:t>知</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投标 人需</w:t>
            </w:r>
            <w:r>
              <w:rPr>
                <w:rFonts w:hint="eastAsia" w:ascii="宋体" w:hAnsi="宋体" w:eastAsia="宋体" w:cs="宋体"/>
                <w:color w:val="auto"/>
                <w:spacing w:val="-2"/>
                <w:kern w:val="0"/>
                <w:szCs w:val="21"/>
                <w:highlight w:val="none"/>
              </w:rPr>
              <w:t>具</w:t>
            </w:r>
            <w:r>
              <w:rPr>
                <w:rFonts w:hint="eastAsia" w:ascii="宋体" w:hAnsi="宋体" w:eastAsia="宋体" w:cs="宋体"/>
                <w:color w:val="auto"/>
                <w:kern w:val="0"/>
                <w:szCs w:val="21"/>
                <w:highlight w:val="none"/>
              </w:rPr>
              <w:t>有</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各</w:t>
            </w:r>
            <w:r>
              <w:rPr>
                <w:rFonts w:hint="eastAsia" w:ascii="宋体" w:hAnsi="宋体" w:eastAsia="宋体" w:cs="宋体"/>
                <w:color w:val="auto"/>
                <w:spacing w:val="-2"/>
                <w:kern w:val="0"/>
                <w:szCs w:val="21"/>
                <w:highlight w:val="none"/>
              </w:rPr>
              <w:t>类</w:t>
            </w:r>
            <w:r>
              <w:rPr>
                <w:rFonts w:hint="eastAsia" w:ascii="宋体" w:hAnsi="宋体" w:eastAsia="宋体" w:cs="宋体"/>
                <w:color w:val="auto"/>
                <w:kern w:val="0"/>
                <w:szCs w:val="21"/>
                <w:highlight w:val="none"/>
              </w:rPr>
              <w:t>资质</w:t>
            </w:r>
          </w:p>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2300"/>
                <w:tab w:val="left" w:pos="4400"/>
              </w:tabs>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书</w:t>
            </w:r>
            <w:r>
              <w:rPr>
                <w:rFonts w:hint="eastAsia" w:ascii="宋体" w:hAnsi="宋体" w:eastAsia="宋体" w:cs="宋体"/>
                <w:color w:val="auto"/>
                <w:kern w:val="0"/>
                <w:szCs w:val="21"/>
                <w:highlight w:val="none"/>
              </w:rPr>
              <w:t>号：</w:t>
            </w:r>
          </w:p>
        </w:tc>
      </w:tr>
      <w:tr>
        <w:tblPrEx>
          <w:tblCellMar>
            <w:top w:w="0" w:type="dxa"/>
            <w:left w:w="0" w:type="dxa"/>
            <w:bottom w:w="0" w:type="dxa"/>
            <w:right w:w="0" w:type="dxa"/>
          </w:tblCellMar>
        </w:tblPrEx>
        <w:trPr>
          <w:trHeight w:val="515"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pacing w:val="-2"/>
                <w:kern w:val="0"/>
                <w:szCs w:val="21"/>
                <w:highlight w:val="none"/>
              </w:rPr>
              <w:t>开</w:t>
            </w:r>
            <w:r>
              <w:rPr>
                <w:rFonts w:hint="eastAsia" w:ascii="宋体" w:hAnsi="宋体" w:eastAsia="宋体" w:cs="宋体"/>
                <w:color w:val="auto"/>
                <w:kern w:val="0"/>
                <w:szCs w:val="21"/>
                <w:highlight w:val="none"/>
              </w:rPr>
              <w:t>户</w:t>
            </w:r>
            <w:r>
              <w:rPr>
                <w:rFonts w:hint="eastAsia" w:ascii="宋体" w:hAnsi="宋体" w:eastAsia="宋体" w:cs="宋体"/>
                <w:color w:val="auto"/>
                <w:spacing w:val="-2"/>
                <w:kern w:val="0"/>
                <w:szCs w:val="21"/>
                <w:highlight w:val="none"/>
              </w:rPr>
              <w:t>银</w:t>
            </w:r>
            <w:r>
              <w:rPr>
                <w:rFonts w:hint="eastAsia" w:ascii="宋体" w:hAnsi="宋体" w:eastAsia="宋体" w:cs="宋体"/>
                <w:color w:val="auto"/>
                <w:kern w:val="0"/>
                <w:szCs w:val="21"/>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5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pacing w:val="-2"/>
                <w:kern w:val="0"/>
                <w:szCs w:val="21"/>
                <w:highlight w:val="none"/>
              </w:rPr>
              <w:t>银</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账</w:t>
            </w:r>
            <w:r>
              <w:rPr>
                <w:rFonts w:hint="eastAsia" w:ascii="宋体" w:hAnsi="宋体" w:eastAsia="宋体" w:cs="宋体"/>
                <w:color w:val="auto"/>
                <w:kern w:val="0"/>
                <w:szCs w:val="21"/>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59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近三</w:t>
            </w:r>
            <w:r>
              <w:rPr>
                <w:rFonts w:hint="eastAsia" w:ascii="宋体" w:hAnsi="宋体" w:eastAsia="宋体" w:cs="宋体"/>
                <w:color w:val="auto"/>
                <w:spacing w:val="-2"/>
                <w:kern w:val="0"/>
                <w:szCs w:val="21"/>
                <w:highlight w:val="none"/>
              </w:rPr>
              <w:t>年</w:t>
            </w:r>
            <w:r>
              <w:rPr>
                <w:rFonts w:hint="eastAsia" w:ascii="宋体" w:hAnsi="宋体" w:eastAsia="宋体" w:cs="宋体"/>
                <w:color w:val="auto"/>
                <w:kern w:val="0"/>
                <w:szCs w:val="21"/>
                <w:highlight w:val="none"/>
              </w:rPr>
              <w:t>营</w:t>
            </w:r>
            <w:r>
              <w:rPr>
                <w:rFonts w:hint="eastAsia" w:ascii="宋体" w:hAnsi="宋体" w:eastAsia="宋体" w:cs="宋体"/>
                <w:color w:val="auto"/>
                <w:spacing w:val="-2"/>
                <w:kern w:val="0"/>
                <w:szCs w:val="21"/>
                <w:highlight w:val="none"/>
              </w:rPr>
              <w:t>业</w:t>
            </w:r>
            <w:r>
              <w:rPr>
                <w:rFonts w:hint="eastAsia" w:ascii="宋体" w:hAnsi="宋体" w:eastAsia="宋体" w:cs="宋体"/>
                <w:color w:val="auto"/>
                <w:kern w:val="0"/>
                <w:szCs w:val="21"/>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1498"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近三年（20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22</w:t>
            </w:r>
            <w:r>
              <w:rPr>
                <w:rFonts w:hint="eastAsia" w:ascii="宋体" w:hAnsi="宋体" w:eastAsia="宋体" w:cs="宋体"/>
                <w:color w:val="auto"/>
                <w:kern w:val="0"/>
                <w:szCs w:val="21"/>
                <w:highlight w:val="none"/>
              </w:rPr>
              <w:t>年）中国证监会公布的证券公司分类评级结果</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233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经营范围备注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bl>
    <w:p>
      <w:pPr>
        <w:pStyle w:val="4"/>
        <w:spacing w:line="322"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本表后附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简介、</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eastAsia="zh-CN"/>
        </w:rPr>
        <w:t>各类资质证明文件复印件并加盖公章。</w:t>
      </w:r>
    </w:p>
    <w:p>
      <w:pPr>
        <w:spacing w:line="460" w:lineRule="exact"/>
        <w:jc w:val="both"/>
        <w:outlineLvl w:val="9"/>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br w:type="page"/>
      </w:r>
    </w:p>
    <w:p>
      <w:pPr>
        <w:spacing w:line="460" w:lineRule="exact"/>
        <w:jc w:val="both"/>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w:t>
      </w:r>
      <w:r>
        <w:rPr>
          <w:rFonts w:hint="eastAsia" w:ascii="宋体" w:hAnsi="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lang w:val="en-US" w:eastAsia="zh-CN"/>
        </w:rPr>
        <w:t xml:space="preserve"> </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32"/>
          <w:szCs w:val="32"/>
          <w:highlight w:val="none"/>
          <w:lang w:eastAsia="zh-CN"/>
        </w:rPr>
        <w:t>(1)项目执行机构人员配置表</w:t>
      </w:r>
    </w:p>
    <w:p>
      <w:pPr>
        <w:pStyle w:val="20"/>
        <w:spacing w:line="400" w:lineRule="atLeast"/>
        <w:ind w:firstLine="221" w:firstLineChars="1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                                                项目编号：</w:t>
      </w:r>
    </w:p>
    <w:tbl>
      <w:tblPr>
        <w:tblStyle w:val="164"/>
        <w:tblW w:w="9233" w:type="dxa"/>
        <w:jc w:val="center"/>
        <w:tblLayout w:type="autofit"/>
        <w:tblCellMar>
          <w:top w:w="0" w:type="dxa"/>
          <w:left w:w="0" w:type="dxa"/>
          <w:bottom w:w="0" w:type="dxa"/>
          <w:right w:w="0" w:type="dxa"/>
        </w:tblCellMar>
      </w:tblPr>
      <w:tblGrid>
        <w:gridCol w:w="911"/>
        <w:gridCol w:w="767"/>
        <w:gridCol w:w="680"/>
        <w:gridCol w:w="680"/>
        <w:gridCol w:w="679"/>
        <w:gridCol w:w="679"/>
        <w:gridCol w:w="1368"/>
        <w:gridCol w:w="752"/>
        <w:gridCol w:w="1211"/>
        <w:gridCol w:w="897"/>
        <w:gridCol w:w="609"/>
      </w:tblGrid>
      <w:tr>
        <w:tblPrEx>
          <w:tblCellMar>
            <w:top w:w="0" w:type="dxa"/>
            <w:left w:w="0" w:type="dxa"/>
            <w:bottom w:w="0" w:type="dxa"/>
            <w:right w:w="0" w:type="dxa"/>
          </w:tblCellMar>
        </w:tblPrEx>
        <w:trPr>
          <w:trHeight w:val="1275" w:hRule="exact"/>
          <w:jc w:val="center"/>
        </w:trPr>
        <w:tc>
          <w:tcPr>
            <w:tcW w:w="911" w:type="dxa"/>
            <w:tcBorders>
              <w:top w:val="single" w:color="000000" w:sz="12" w:space="0"/>
              <w:left w:val="single" w:color="000000" w:sz="12"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人员分类</w:t>
            </w:r>
          </w:p>
        </w:tc>
        <w:tc>
          <w:tcPr>
            <w:tcW w:w="767" w:type="dxa"/>
            <w:tcBorders>
              <w:top w:val="single" w:color="000000" w:sz="12" w:space="0"/>
              <w:left w:val="single" w:color="000000" w:sz="6" w:space="0"/>
              <w:bottom w:val="single" w:color="000000" w:sz="6" w:space="0"/>
              <w:right w:val="single" w:color="000000" w:sz="6" w:space="0"/>
            </w:tcBorders>
            <w:noWrap w:val="0"/>
            <w:vAlign w:val="center"/>
          </w:tcPr>
          <w:p>
            <w:pPr>
              <w:pStyle w:val="163"/>
              <w:ind w:left="13" w:leftChars="0" w:hanging="13" w:hangingChars="6"/>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名</w:t>
            </w:r>
          </w:p>
        </w:tc>
        <w:tc>
          <w:tcPr>
            <w:tcW w:w="0" w:type="auto"/>
            <w:tcBorders>
              <w:top w:val="single" w:color="000000" w:sz="12" w:space="0"/>
              <w:left w:val="single" w:color="000000" w:sz="6"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0" w:type="auto"/>
            <w:tcBorders>
              <w:top w:val="single" w:color="000000" w:sz="12" w:space="0"/>
              <w:left w:val="single" w:color="000000" w:sz="6"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679" w:type="dxa"/>
            <w:tcBorders>
              <w:top w:val="single" w:color="000000" w:sz="12" w:space="0"/>
              <w:left w:val="single" w:color="000000" w:sz="6"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679" w:type="dxa"/>
            <w:tcBorders>
              <w:top w:val="single" w:color="000000" w:sz="12" w:space="0"/>
              <w:left w:val="single" w:color="000000" w:sz="6"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w:t>
            </w:r>
          </w:p>
        </w:tc>
        <w:tc>
          <w:tcPr>
            <w:tcW w:w="1368" w:type="dxa"/>
            <w:tcBorders>
              <w:top w:val="single" w:color="000000" w:sz="12" w:space="0"/>
              <w:left w:val="single" w:color="000000" w:sz="6" w:space="0"/>
              <w:bottom w:val="single" w:color="000000" w:sz="6" w:space="0"/>
              <w:right w:val="single" w:color="000000" w:sz="6" w:space="0"/>
            </w:tcBorders>
            <w:noWrap w:val="0"/>
            <w:vAlign w:val="center"/>
          </w:tcPr>
          <w:p>
            <w:pPr>
              <w:pStyle w:val="163"/>
              <w:spacing w:before="138"/>
              <w:ind w:left="13" w:leftChars="0" w:hanging="13" w:hangingChars="6"/>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从业资格证书</w:t>
            </w:r>
          </w:p>
          <w:p>
            <w:pPr>
              <w:pStyle w:val="163"/>
              <w:spacing w:before="36"/>
              <w:ind w:left="13" w:leftChars="0" w:hanging="13" w:hangingChars="6"/>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（名称附编号）</w:t>
            </w:r>
          </w:p>
        </w:tc>
        <w:tc>
          <w:tcPr>
            <w:tcW w:w="752" w:type="dxa"/>
            <w:tcBorders>
              <w:top w:val="single" w:color="000000" w:sz="12" w:space="0"/>
              <w:left w:val="single" w:color="000000" w:sz="6"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职称/职务</w:t>
            </w:r>
          </w:p>
        </w:tc>
        <w:tc>
          <w:tcPr>
            <w:tcW w:w="1211" w:type="dxa"/>
            <w:tcBorders>
              <w:top w:val="single" w:color="000000" w:sz="12" w:space="0"/>
              <w:left w:val="single" w:color="000000" w:sz="6" w:space="0"/>
              <w:bottom w:val="single" w:color="000000" w:sz="6" w:space="0"/>
              <w:right w:val="single" w:color="000000" w:sz="6" w:space="0"/>
            </w:tcBorders>
            <w:noWrap w:val="0"/>
            <w:vAlign w:val="center"/>
          </w:tcPr>
          <w:p>
            <w:pPr>
              <w:pStyle w:val="163"/>
              <w:spacing w:before="137" w:line="276" w:lineRule="auto"/>
              <w:ind w:left="19" w:leftChars="0" w:right="19" w:rightChars="0" w:hanging="19"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从事I</w:t>
            </w:r>
            <w:r>
              <w:rPr>
                <w:rFonts w:hint="eastAsia" w:ascii="宋体" w:hAnsi="宋体" w:eastAsia="宋体" w:cs="宋体"/>
                <w:color w:val="auto"/>
                <w:spacing w:val="9"/>
                <w:sz w:val="22"/>
                <w:szCs w:val="22"/>
                <w:highlight w:val="none"/>
              </w:rPr>
              <w:t>PO年</w:t>
            </w:r>
            <w:r>
              <w:rPr>
                <w:rFonts w:hint="eastAsia" w:ascii="宋体" w:hAnsi="宋体" w:eastAsia="宋体" w:cs="宋体"/>
                <w:color w:val="auto"/>
                <w:sz w:val="22"/>
                <w:szCs w:val="22"/>
                <w:highlight w:val="none"/>
              </w:rPr>
              <w:t>限及具体业绩</w:t>
            </w:r>
          </w:p>
        </w:tc>
        <w:tc>
          <w:tcPr>
            <w:tcW w:w="897" w:type="dxa"/>
            <w:tcBorders>
              <w:top w:val="single" w:color="000000" w:sz="12" w:space="0"/>
              <w:left w:val="single" w:color="000000" w:sz="6" w:space="0"/>
              <w:bottom w:val="single" w:color="000000" w:sz="6" w:space="0"/>
              <w:right w:val="single" w:color="000000" w:sz="6" w:space="0"/>
            </w:tcBorders>
            <w:noWrap w:val="0"/>
            <w:vAlign w:val="center"/>
          </w:tcPr>
          <w:p>
            <w:pPr>
              <w:pStyle w:val="1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本项目中的岗位</w:t>
            </w:r>
          </w:p>
        </w:tc>
        <w:tc>
          <w:tcPr>
            <w:tcW w:w="609" w:type="dxa"/>
            <w:tcBorders>
              <w:top w:val="single" w:color="000000" w:sz="12" w:space="0"/>
              <w:left w:val="single" w:color="000000" w:sz="6" w:space="0"/>
              <w:bottom w:val="single" w:color="000000" w:sz="6" w:space="0"/>
              <w:right w:val="single" w:color="000000" w:sz="12" w:space="0"/>
            </w:tcBorders>
            <w:noWrap w:val="0"/>
            <w:vAlign w:val="center"/>
          </w:tcPr>
          <w:p>
            <w:pPr>
              <w:pStyle w:val="163"/>
              <w:ind w:right="36"/>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CellMar>
            <w:top w:w="0" w:type="dxa"/>
            <w:left w:w="0" w:type="dxa"/>
            <w:bottom w:w="0" w:type="dxa"/>
            <w:right w:w="0" w:type="dxa"/>
          </w:tblCellMar>
        </w:tblPrEx>
        <w:trPr>
          <w:trHeight w:val="108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w:t>
            </w:r>
          </w:p>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负责人</w:t>
            </w: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1050"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现场</w:t>
            </w:r>
          </w:p>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负责人</w:t>
            </w: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3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工作人员</w:t>
            </w: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3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3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3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3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39" w:hRule="exact"/>
          <w:jc w:val="center"/>
        </w:trPr>
        <w:tc>
          <w:tcPr>
            <w:tcW w:w="911"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6"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788" w:hRule="exact"/>
          <w:jc w:val="center"/>
        </w:trPr>
        <w:tc>
          <w:tcPr>
            <w:tcW w:w="911" w:type="dxa"/>
            <w:tcBorders>
              <w:top w:val="single" w:color="000000" w:sz="6" w:space="0"/>
              <w:left w:val="single" w:color="000000" w:sz="12"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67"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0" w:type="auto"/>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79"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368"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752"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1211"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897" w:type="dxa"/>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宋体" w:hAnsi="宋体" w:eastAsia="宋体" w:cs="宋体"/>
                <w:color w:val="auto"/>
                <w:sz w:val="22"/>
                <w:szCs w:val="22"/>
                <w:highlight w:val="none"/>
              </w:rPr>
            </w:pPr>
          </w:p>
        </w:tc>
        <w:tc>
          <w:tcPr>
            <w:tcW w:w="609" w:type="dxa"/>
            <w:tcBorders>
              <w:top w:val="single" w:color="000000" w:sz="6" w:space="0"/>
              <w:left w:val="single" w:color="000000" w:sz="6" w:space="0"/>
              <w:bottom w:val="single" w:color="000000" w:sz="12" w:space="0"/>
              <w:right w:val="single" w:color="000000" w:sz="12" w:space="0"/>
            </w:tcBorders>
            <w:noWrap w:val="0"/>
            <w:vAlign w:val="center"/>
          </w:tcPr>
          <w:p>
            <w:pPr>
              <w:jc w:val="center"/>
              <w:rPr>
                <w:rFonts w:hint="eastAsia" w:ascii="宋体" w:hAnsi="宋体" w:eastAsia="宋体" w:cs="宋体"/>
                <w:color w:val="auto"/>
                <w:sz w:val="22"/>
                <w:szCs w:val="22"/>
                <w:highlight w:val="none"/>
              </w:rPr>
            </w:pPr>
          </w:p>
        </w:tc>
      </w:tr>
    </w:tbl>
    <w:p>
      <w:pPr>
        <w:rPr>
          <w:rFonts w:hint="eastAsia" w:ascii="宋体" w:hAnsi="宋体" w:eastAsia="宋体" w:cs="宋体"/>
          <w:color w:val="auto"/>
          <w:sz w:val="24"/>
          <w:szCs w:val="24"/>
          <w:highlight w:val="none"/>
        </w:rPr>
      </w:pPr>
    </w:p>
    <w:p>
      <w:pPr>
        <w:pStyle w:val="14"/>
        <w:spacing w:before="26"/>
        <w:ind w:right="72"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注：1、拟投入本项目的主要团队成员（项目负责人、保荐代表人等</w:t>
      </w:r>
      <w:r>
        <w:rPr>
          <w:rFonts w:hint="eastAsia" w:ascii="宋体" w:hAnsi="宋体" w:cs="宋体"/>
          <w:color w:val="auto"/>
          <w:sz w:val="24"/>
          <w:szCs w:val="24"/>
          <w:highlight w:val="none"/>
          <w:lang w:val="en-US" w:eastAsia="zh-CN"/>
        </w:rPr>
        <w:t>相关人员</w:t>
      </w:r>
      <w:r>
        <w:rPr>
          <w:rFonts w:hint="eastAsia" w:ascii="宋体" w:hAnsi="宋体" w:eastAsia="宋体" w:cs="宋体"/>
          <w:color w:val="auto"/>
          <w:sz w:val="24"/>
          <w:szCs w:val="24"/>
          <w:highlight w:val="none"/>
          <w:lang w:eastAsia="zh-CN"/>
        </w:rPr>
        <w:t>）均需填写本表</w:t>
      </w:r>
      <w:r>
        <w:rPr>
          <w:rFonts w:hint="eastAsia" w:ascii="宋体" w:hAnsi="宋体" w:cs="宋体"/>
          <w:color w:val="auto"/>
          <w:sz w:val="24"/>
          <w:szCs w:val="24"/>
          <w:highlight w:val="none"/>
          <w:lang w:eastAsia="zh-CN"/>
        </w:rPr>
        <w:t>。</w:t>
      </w:r>
    </w:p>
    <w:p>
      <w:pPr>
        <w:pStyle w:val="14"/>
        <w:spacing w:before="26"/>
        <w:ind w:right="72" w:rightChars="0" w:firstLine="960" w:firstLine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、供应商可根据需要自行调整、扩展本表格式。</w:t>
      </w:r>
    </w:p>
    <w:p>
      <w:pPr>
        <w:pStyle w:val="14"/>
        <w:spacing w:before="26"/>
        <w:ind w:right="72" w:rightChars="0" w:firstLine="960" w:firstLine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、本表后需附证明材料复印件</w:t>
      </w:r>
      <w:r>
        <w:rPr>
          <w:rFonts w:hint="eastAsia" w:ascii="宋体" w:hAnsi="宋体" w:cs="宋体"/>
          <w:color w:val="auto"/>
          <w:sz w:val="24"/>
          <w:szCs w:val="24"/>
          <w:highlight w:val="none"/>
          <w:lang w:eastAsia="zh-CN"/>
        </w:rPr>
        <w:t>（学历证书、从业资格证书（如有）、职称证（如有）、身份证）</w:t>
      </w:r>
      <w:r>
        <w:rPr>
          <w:rFonts w:hint="eastAsia" w:ascii="宋体" w:hAnsi="宋体" w:eastAsia="宋体" w:cs="宋体"/>
          <w:color w:val="auto"/>
          <w:sz w:val="24"/>
          <w:szCs w:val="24"/>
          <w:highlight w:val="none"/>
          <w:lang w:eastAsia="zh-CN"/>
        </w:rPr>
        <w:t>并加盖公章。</w:t>
      </w:r>
      <w:r>
        <w:rPr>
          <w:rFonts w:hint="eastAsia" w:ascii="宋体" w:hAnsi="宋体" w:eastAsia="宋体" w:cs="宋体"/>
          <w:color w:val="auto"/>
          <w:sz w:val="24"/>
          <w:szCs w:val="24"/>
          <w:highlight w:val="none"/>
          <w:lang w:eastAsia="zh-CN"/>
        </w:rPr>
        <w:tab/>
      </w:r>
    </w:p>
    <w:p>
      <w:pPr>
        <w:pStyle w:val="16"/>
        <w:ind w:left="0" w:leftChars="0" w:firstLine="0" w:firstLineChars="0"/>
        <w:rPr>
          <w:rFonts w:hint="eastAsia" w:ascii="宋体" w:hAnsi="宋体" w:eastAsia="宋体" w:cs="宋体"/>
          <w:color w:val="auto"/>
          <w:sz w:val="24"/>
          <w:szCs w:val="24"/>
          <w:highlight w:val="none"/>
          <w:lang w:eastAsia="zh-CN"/>
        </w:rPr>
      </w:pPr>
      <w:r>
        <w:rPr>
          <w:rFonts w:hint="eastAsia"/>
          <w:color w:val="auto"/>
          <w:highlight w:val="none"/>
          <w:lang w:val="en-US" w:eastAsia="zh-CN"/>
        </w:rPr>
        <w:t xml:space="preserve">   </w:t>
      </w: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cs="宋体"/>
          <w:b/>
          <w:bCs/>
          <w:color w:val="auto"/>
          <w:sz w:val="30"/>
          <w:szCs w:val="30"/>
          <w:highlight w:val="none"/>
          <w:lang w:val="en-US" w:eastAsia="zh-CN"/>
        </w:rPr>
      </w:pPr>
      <w:r>
        <w:rPr>
          <w:rFonts w:hint="eastAsia" w:ascii="宋体" w:hAnsi="宋体" w:eastAsia="宋体" w:cs="宋体"/>
          <w:color w:val="auto"/>
          <w:sz w:val="21"/>
          <w:szCs w:val="21"/>
          <w:highlight w:val="none"/>
        </w:rPr>
        <w:t xml:space="preserve">日期：     年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pPr>
        <w:spacing w:line="460" w:lineRule="exact"/>
        <w:jc w:val="center"/>
        <w:outlineLvl w:val="9"/>
        <w:rPr>
          <w:rFonts w:hint="eastAsia" w:ascii="宋体" w:hAnsi="宋体" w:cs="宋体"/>
          <w:b/>
          <w:bCs/>
          <w:color w:val="auto"/>
          <w:sz w:val="30"/>
          <w:szCs w:val="30"/>
          <w:highlight w:val="none"/>
          <w:lang w:val="en-US" w:eastAsia="zh-CN"/>
        </w:rPr>
      </w:pPr>
    </w:p>
    <w:p>
      <w:pPr>
        <w:spacing w:line="460" w:lineRule="exact"/>
        <w:jc w:val="center"/>
        <w:outlineLvl w:val="9"/>
        <w:rPr>
          <w:rFonts w:hint="eastAsia" w:ascii="宋体" w:hAnsi="宋体" w:cs="宋体"/>
          <w:b/>
          <w:bCs/>
          <w:color w:val="auto"/>
          <w:sz w:val="30"/>
          <w:szCs w:val="30"/>
          <w:highlight w:val="none"/>
          <w:lang w:val="en-US" w:eastAsia="zh-CN"/>
        </w:rPr>
      </w:pPr>
    </w:p>
    <w:p>
      <w:pPr>
        <w:spacing w:line="460" w:lineRule="exact"/>
        <w:jc w:val="center"/>
        <w:outlineLvl w:val="9"/>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拟派项目组负责人情况表</w:t>
      </w:r>
    </w:p>
    <w:p>
      <w:pPr>
        <w:pStyle w:val="20"/>
        <w:spacing w:line="400" w:lineRule="atLeast"/>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                                                项目编号：</w:t>
      </w:r>
    </w:p>
    <w:tbl>
      <w:tblPr>
        <w:tblStyle w:val="33"/>
        <w:tblW w:w="4814"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88"/>
        <w:gridCol w:w="236"/>
        <w:gridCol w:w="840"/>
        <w:gridCol w:w="735"/>
        <w:gridCol w:w="662"/>
        <w:gridCol w:w="1087"/>
        <w:gridCol w:w="306"/>
        <w:gridCol w:w="1395"/>
        <w:gridCol w:w="48"/>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9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姓  名</w:t>
            </w:r>
          </w:p>
        </w:tc>
        <w:tc>
          <w:tcPr>
            <w:tcW w:w="740"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758"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性  别</w:t>
            </w:r>
          </w:p>
        </w:tc>
        <w:tc>
          <w:tcPr>
            <w:tcW w:w="756"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75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年  龄</w:t>
            </w:r>
          </w:p>
        </w:tc>
        <w:tc>
          <w:tcPr>
            <w:tcW w:w="1048"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9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拟任职务</w:t>
            </w:r>
          </w:p>
        </w:tc>
        <w:tc>
          <w:tcPr>
            <w:tcW w:w="740"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758"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cs="宋体"/>
                <w:color w:val="auto"/>
                <w:spacing w:val="-2"/>
                <w:sz w:val="22"/>
                <w:szCs w:val="22"/>
                <w:highlight w:val="none"/>
                <w:lang w:eastAsia="zh-CN"/>
              </w:rPr>
              <w:t>从业资格</w:t>
            </w:r>
            <w:r>
              <w:rPr>
                <w:rFonts w:hint="eastAsia" w:ascii="宋体" w:hAnsi="宋体" w:cs="宋体"/>
                <w:color w:val="auto"/>
                <w:spacing w:val="-2"/>
                <w:sz w:val="22"/>
                <w:szCs w:val="22"/>
                <w:highlight w:val="none"/>
                <w:lang w:val="en-US" w:eastAsia="zh-CN"/>
              </w:rPr>
              <w:t>/</w:t>
            </w:r>
            <w:r>
              <w:rPr>
                <w:rFonts w:hint="eastAsia" w:ascii="宋体" w:hAnsi="宋体" w:eastAsia="宋体" w:cs="宋体"/>
                <w:color w:val="auto"/>
                <w:spacing w:val="-2"/>
                <w:sz w:val="22"/>
                <w:szCs w:val="22"/>
                <w:highlight w:val="none"/>
              </w:rPr>
              <w:t>职  称</w:t>
            </w:r>
          </w:p>
        </w:tc>
        <w:tc>
          <w:tcPr>
            <w:tcW w:w="756"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75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学  历</w:t>
            </w:r>
          </w:p>
        </w:tc>
        <w:tc>
          <w:tcPr>
            <w:tcW w:w="1048"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22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参加工作时间</w:t>
            </w:r>
          </w:p>
        </w:tc>
        <w:tc>
          <w:tcPr>
            <w:tcW w:w="1214"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151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kern w:val="0"/>
                <w:sz w:val="22"/>
                <w:szCs w:val="22"/>
                <w:highlight w:val="none"/>
              </w:rPr>
              <w:t>投行或相关行业从业年限</w:t>
            </w:r>
          </w:p>
        </w:tc>
        <w:tc>
          <w:tcPr>
            <w:tcW w:w="1048"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000" w:type="pct"/>
            <w:gridSpan w:val="11"/>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eastAsia="zh-CN"/>
              </w:rPr>
              <w:t>已完成参与</w:t>
            </w:r>
            <w:r>
              <w:rPr>
                <w:rFonts w:hint="eastAsia" w:ascii="宋体" w:hAnsi="宋体" w:eastAsia="宋体" w:cs="宋体"/>
                <w:color w:val="auto"/>
                <w:spacing w:val="-2"/>
                <w:sz w:val="22"/>
                <w:szCs w:val="22"/>
                <w:highlight w:val="none"/>
                <w:lang w:val="en-US" w:eastAsia="zh-CN"/>
              </w:rPr>
              <w:t>IPO项目</w:t>
            </w:r>
            <w:r>
              <w:rPr>
                <w:rFonts w:hint="eastAsia" w:ascii="宋体" w:hAnsi="宋体" w:eastAsia="宋体" w:cs="宋体"/>
                <w:color w:val="auto"/>
                <w:spacing w:val="-2"/>
                <w:sz w:val="22"/>
                <w:szCs w:val="22"/>
                <w:highlight w:val="none"/>
                <w:lang w:eastAsia="zh-CN"/>
              </w:rPr>
              <w:t>发行服务项目情况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095"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项目名称</w:t>
            </w:r>
          </w:p>
        </w:tc>
        <w:tc>
          <w:tcPr>
            <w:tcW w:w="98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用户名称</w:t>
            </w:r>
          </w:p>
        </w:tc>
        <w:tc>
          <w:tcPr>
            <w:tcW w:w="949"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起止年月</w:t>
            </w:r>
          </w:p>
        </w:tc>
        <w:tc>
          <w:tcPr>
            <w:tcW w:w="949"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该项目中任职</w:t>
            </w:r>
          </w:p>
        </w:tc>
        <w:tc>
          <w:tcPr>
            <w:tcW w:w="102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95"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8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102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95"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8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102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95"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8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102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95"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8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102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95"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83"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949" w:type="pct"/>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c>
          <w:tcPr>
            <w:tcW w:w="102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2"/>
                <w:szCs w:val="22"/>
                <w:highlight w:val="none"/>
              </w:rPr>
            </w:pPr>
          </w:p>
        </w:tc>
      </w:tr>
    </w:tbl>
    <w:p>
      <w:pPr>
        <w:pStyle w:val="14"/>
        <w:spacing w:before="26"/>
        <w:ind w:right="72"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注：1、拟派项目组负责人相关业绩须提供证明文件，证明文件要求同技术资信</w:t>
      </w:r>
      <w:r>
        <w:rPr>
          <w:rFonts w:hint="eastAsia" w:ascii="宋体" w:hAnsi="宋体" w:cs="宋体"/>
          <w:color w:val="auto"/>
          <w:sz w:val="24"/>
          <w:szCs w:val="24"/>
          <w:highlight w:val="none"/>
          <w:lang w:eastAsia="zh-CN"/>
        </w:rPr>
        <w:t>评</w:t>
      </w:r>
      <w:r>
        <w:rPr>
          <w:rFonts w:hint="eastAsia" w:ascii="宋体" w:hAnsi="宋体" w:eastAsia="宋体" w:cs="宋体"/>
          <w:color w:val="auto"/>
          <w:sz w:val="24"/>
          <w:szCs w:val="24"/>
          <w:highlight w:val="none"/>
          <w:lang w:eastAsia="zh-CN"/>
        </w:rPr>
        <w:t>分</w:t>
      </w:r>
      <w:r>
        <w:rPr>
          <w:rFonts w:hint="eastAsia" w:ascii="宋体" w:hAnsi="宋体" w:eastAsia="宋体" w:cs="宋体"/>
          <w:b w:val="0"/>
          <w:color w:val="auto"/>
          <w:sz w:val="24"/>
          <w:szCs w:val="24"/>
          <w:highlight w:val="none"/>
          <w:lang w:eastAsia="zh-CN"/>
        </w:rPr>
        <w:t>细则</w:t>
      </w:r>
      <w:r>
        <w:rPr>
          <w:rFonts w:hint="eastAsia" w:ascii="宋体" w:hAnsi="宋体" w:eastAsia="宋体" w:cs="宋体"/>
          <w:b w:val="0"/>
          <w:color w:val="auto"/>
          <w:sz w:val="24"/>
          <w:szCs w:val="24"/>
          <w:highlight w:val="none"/>
        </w:rPr>
        <w:t>的要求</w:t>
      </w:r>
      <w:r>
        <w:rPr>
          <w:rFonts w:hint="eastAsia" w:ascii="宋体" w:hAnsi="宋体" w:eastAsia="宋体" w:cs="宋体"/>
          <w:color w:val="auto"/>
          <w:sz w:val="24"/>
          <w:szCs w:val="24"/>
          <w:highlight w:val="none"/>
          <w:lang w:eastAsia="zh-CN"/>
        </w:rPr>
        <w:t>，如上述证明文件未能体现项目负责人信息，则须业主单位或行业主管部门出具证明；</w:t>
      </w:r>
    </w:p>
    <w:p>
      <w:pPr>
        <w:pStyle w:val="15"/>
        <w:numPr>
          <w:ilvl w:val="0"/>
          <w:numId w:val="0"/>
        </w:numPr>
        <w:ind w:leftChars="100" w:right="0" w:rightChars="0" w:firstLine="240"/>
        <w:rPr>
          <w:rFonts w:hint="eastAsia" w:ascii="宋体" w:hAnsi="宋体" w:cs="宋体"/>
          <w:color w:val="auto"/>
          <w:sz w:val="24"/>
          <w:highlight w:val="none"/>
          <w:lang w:eastAsia="zh-CN"/>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lang w:eastAsia="zh-CN"/>
        </w:rPr>
        <w:t>项目</w:t>
      </w:r>
      <w:r>
        <w:rPr>
          <w:rFonts w:hint="eastAsia" w:ascii="宋体" w:hAnsi="宋体" w:cs="宋体"/>
          <w:b w:val="0"/>
          <w:bCs w:val="0"/>
          <w:color w:val="auto"/>
          <w:sz w:val="24"/>
          <w:highlight w:val="none"/>
          <w:lang w:val="en-US" w:eastAsia="zh-CN"/>
        </w:rPr>
        <w:t>负责人（</w:t>
      </w:r>
      <w:r>
        <w:rPr>
          <w:rFonts w:hint="eastAsia" w:ascii="宋体" w:hAnsi="宋体" w:cs="宋体"/>
          <w:b w:val="0"/>
          <w:bCs w:val="0"/>
          <w:color w:val="auto"/>
          <w:sz w:val="24"/>
          <w:highlight w:val="none"/>
          <w:lang w:eastAsia="zh-CN"/>
        </w:rPr>
        <w:t>项目保荐代表人）</w:t>
      </w:r>
      <w:r>
        <w:rPr>
          <w:rFonts w:hint="eastAsia" w:ascii="宋体" w:hAnsi="宋体" w:cs="宋体"/>
          <w:b w:val="0"/>
          <w:bCs w:val="0"/>
          <w:color w:val="auto"/>
          <w:sz w:val="24"/>
          <w:highlight w:val="none"/>
          <w:lang w:val="en-US" w:eastAsia="zh-CN"/>
        </w:rPr>
        <w:t>要求</w:t>
      </w:r>
      <w:r>
        <w:rPr>
          <w:rFonts w:hint="eastAsia" w:ascii="宋体" w:hAnsi="宋体" w:cs="宋体"/>
          <w:b w:val="0"/>
          <w:bCs w:val="0"/>
          <w:color w:val="auto"/>
          <w:sz w:val="24"/>
          <w:highlight w:val="none"/>
          <w:lang w:eastAsia="zh-CN"/>
        </w:rPr>
        <w:t>具有10年（含）及以上</w:t>
      </w:r>
      <w:r>
        <w:rPr>
          <w:rFonts w:hint="eastAsia" w:ascii="宋体" w:hAnsi="宋体" w:cs="宋体"/>
          <w:b w:val="0"/>
          <w:bCs w:val="0"/>
          <w:color w:val="auto"/>
          <w:sz w:val="24"/>
          <w:highlight w:val="none"/>
          <w:lang w:val="en-US" w:eastAsia="zh-CN"/>
        </w:rPr>
        <w:t>证券从业经历</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从业经历须</w:t>
      </w:r>
      <w:r>
        <w:rPr>
          <w:rFonts w:hint="eastAsia" w:ascii="宋体" w:hAnsi="宋体" w:cs="宋体"/>
          <w:b w:val="0"/>
          <w:bCs w:val="0"/>
          <w:color w:val="auto"/>
          <w:sz w:val="24"/>
          <w:highlight w:val="none"/>
          <w:lang w:eastAsia="zh-CN"/>
        </w:rPr>
        <w:t>提供中国证券业协会相关查询截图复印件加盖单位公章，起始时间以首次等级日期为准。</w:t>
      </w:r>
    </w:p>
    <w:p>
      <w:pPr>
        <w:pStyle w:val="14"/>
        <w:numPr>
          <w:ilvl w:val="-1"/>
          <w:numId w:val="0"/>
        </w:numPr>
        <w:spacing w:before="26"/>
        <w:ind w:leftChars="200" w:right="72" w:rightChars="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项目负责人需提供在本单位近三个月内</w:t>
      </w:r>
      <w:r>
        <w:rPr>
          <w:rFonts w:hint="eastAsia" w:ascii="宋体" w:hAnsi="宋体" w:cs="宋体"/>
          <w:color w:val="auto"/>
          <w:sz w:val="24"/>
          <w:szCs w:val="24"/>
          <w:highlight w:val="none"/>
          <w:lang w:eastAsia="zh-CN"/>
        </w:rPr>
        <w:t>近一月</w:t>
      </w:r>
      <w:r>
        <w:rPr>
          <w:rFonts w:hint="eastAsia" w:ascii="宋体" w:hAnsi="宋体" w:eastAsia="宋体" w:cs="宋体"/>
          <w:color w:val="auto"/>
          <w:sz w:val="24"/>
          <w:szCs w:val="24"/>
          <w:highlight w:val="none"/>
          <w:lang w:eastAsia="zh-CN"/>
        </w:rPr>
        <w:t>社保证明；</w:t>
      </w:r>
    </w:p>
    <w:p>
      <w:pPr>
        <w:pStyle w:val="14"/>
        <w:numPr>
          <w:ilvl w:val="-1"/>
          <w:numId w:val="0"/>
        </w:numPr>
        <w:spacing w:before="26"/>
        <w:ind w:leftChars="200" w:right="72" w:rightChars="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供应商可根据需要自行调整、扩展本表格式。</w:t>
      </w: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firstLine="422" w:firstLineChars="200"/>
        <w:outlineLvl w:val="9"/>
        <w:rPr>
          <w:rFonts w:hint="default" w:ascii="宋体" w:hAnsi="宋体" w:eastAsia="宋体"/>
          <w:b/>
          <w:bCs/>
          <w:color w:val="auto"/>
          <w:szCs w:val="21"/>
          <w:highlight w:val="none"/>
          <w:lang w:val="en-US" w:eastAsia="zh-CN"/>
        </w:rPr>
      </w:pPr>
    </w:p>
    <w:p>
      <w:pPr>
        <w:autoSpaceDE w:val="0"/>
        <w:autoSpaceDN w:val="0"/>
        <w:adjustRightInd w:val="0"/>
        <w:ind w:firstLine="210"/>
        <w:jc w:val="left"/>
        <w:outlineLvl w:val="9"/>
        <w:rPr>
          <w:rFonts w:ascii="宋体" w:hAnsi="宋体" w:cs="HiddenHorzOCR"/>
          <w:color w:val="auto"/>
          <w:kern w:val="0"/>
          <w:szCs w:val="21"/>
          <w:highlight w:val="none"/>
        </w:rPr>
      </w:pPr>
    </w:p>
    <w:p>
      <w:pPr>
        <w:adjustRightInd/>
        <w:snapToGrid/>
        <w:spacing w:before="120" w:after="120" w:line="500" w:lineRule="exact"/>
        <w:jc w:val="left"/>
        <w:outlineLvl w:val="9"/>
        <w:rPr>
          <w:rFonts w:hint="eastAsia" w:ascii="宋体" w:hAnsi="宋体" w:eastAsia="宋体" w:cs="宋体"/>
          <w:color w:val="auto"/>
          <w:kern w:val="2"/>
          <w:sz w:val="21"/>
          <w:szCs w:val="21"/>
          <w:highlight w:val="none"/>
        </w:rPr>
      </w:pPr>
      <w:bookmarkStart w:id="158" w:name="_Toc19189"/>
      <w:bookmarkStart w:id="159" w:name="_Toc26668"/>
      <w:r>
        <w:rPr>
          <w:rFonts w:hint="eastAsia" w:ascii="宋体" w:hAnsi="宋体" w:eastAsia="宋体" w:cs="宋体"/>
          <w:b/>
          <w:bCs/>
          <w:color w:val="auto"/>
          <w:sz w:val="30"/>
          <w:szCs w:val="30"/>
          <w:highlight w:val="none"/>
          <w:lang w:val="en-US" w:eastAsia="zh-CN"/>
        </w:rPr>
        <w:t>附件</w:t>
      </w:r>
      <w:bookmarkEnd w:id="158"/>
      <w:bookmarkEnd w:id="159"/>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color w:val="auto"/>
          <w:kern w:val="2"/>
          <w:sz w:val="21"/>
          <w:szCs w:val="21"/>
          <w:highlight w:val="none"/>
        </w:rPr>
        <w:t xml:space="preserve">                       </w:t>
      </w:r>
    </w:p>
    <w:p>
      <w:pPr>
        <w:spacing w:line="460" w:lineRule="exact"/>
        <w:jc w:val="center"/>
        <w:outlineLvl w:val="9"/>
        <w:rPr>
          <w:rFonts w:hint="eastAsia" w:ascii="宋体" w:hAnsi="宋体" w:eastAsia="宋体" w:cs="宋体"/>
          <w:b/>
          <w:bCs/>
          <w:color w:val="auto"/>
          <w:sz w:val="30"/>
          <w:szCs w:val="30"/>
          <w:highlight w:val="none"/>
          <w:lang w:val="en-US" w:eastAsia="zh-CN"/>
        </w:rPr>
      </w:pPr>
      <w:bookmarkStart w:id="160" w:name="_Toc14434"/>
      <w:bookmarkStart w:id="161" w:name="_Toc20212"/>
      <w:r>
        <w:rPr>
          <w:rFonts w:hint="eastAsia" w:ascii="宋体" w:hAnsi="宋体" w:eastAsia="宋体" w:cs="宋体"/>
          <w:b/>
          <w:bCs/>
          <w:color w:val="auto"/>
          <w:sz w:val="30"/>
          <w:szCs w:val="30"/>
          <w:highlight w:val="none"/>
          <w:lang w:val="en-US" w:eastAsia="zh-CN"/>
        </w:rPr>
        <w:t>技术、商务偏离表</w:t>
      </w:r>
      <w:bookmarkEnd w:id="160"/>
      <w:bookmarkEnd w:id="161"/>
    </w:p>
    <w:p>
      <w:pPr>
        <w:spacing w:line="560" w:lineRule="exact"/>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lang w:eastAsia="zh-CN"/>
        </w:rPr>
        <w:t>项目编号</w:t>
      </w:r>
      <w:r>
        <w:rPr>
          <w:rFonts w:hint="eastAsia" w:ascii="宋体" w:hAnsi="宋体" w:eastAsia="宋体" w:cs="宋体"/>
          <w:b/>
          <w:color w:val="auto"/>
          <w:sz w:val="22"/>
          <w:szCs w:val="22"/>
          <w:highlight w:val="none"/>
        </w:rPr>
        <w:t>：</w:t>
      </w:r>
      <w:r>
        <w:rPr>
          <w:rFonts w:hint="eastAsia" w:ascii="宋体" w:hAnsi="宋体" w:cs="宋体"/>
          <w:color w:val="auto"/>
          <w:sz w:val="21"/>
          <w:szCs w:val="21"/>
          <w:highlight w:val="none"/>
          <w:lang w:val="en-US" w:eastAsia="zh-CN"/>
        </w:rPr>
        <w:t xml:space="preserve"> </w:t>
      </w:r>
    </w:p>
    <w:tbl>
      <w:tblPr>
        <w:tblStyle w:val="33"/>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080"/>
        <w:gridCol w:w="2880"/>
        <w:gridCol w:w="1080"/>
        <w:gridCol w:w="2700"/>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56"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实际响应的具体内容</w:t>
            </w:r>
          </w:p>
        </w:tc>
        <w:tc>
          <w:tcPr>
            <w:tcW w:w="1144" w:type="dxa"/>
            <w:vMerge w:val="continue"/>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keepNext w:val="0"/>
              <w:keepLines w:val="0"/>
              <w:suppressLineNumbers w:val="0"/>
              <w:spacing w:before="0" w:beforeAutospacing="0" w:after="0" w:afterAutospacing="0"/>
              <w:ind w:left="0"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6"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144"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keepNext w:val="0"/>
              <w:keepLines w:val="0"/>
              <w:suppressLineNumbers w:val="0"/>
              <w:spacing w:before="0" w:beforeAutospacing="0" w:after="0" w:afterAutospacing="0"/>
              <w:ind w:left="0"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lang w:val="en-US" w:eastAsia="zh-CN"/>
        </w:rPr>
        <w:t>附件</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21"/>
          <w:szCs w:val="21"/>
          <w:highlight w:val="none"/>
        </w:rPr>
        <w:t xml:space="preserve">              </w:t>
      </w:r>
    </w:p>
    <w:p>
      <w:pPr>
        <w:spacing w:line="460" w:lineRule="exact"/>
        <w:jc w:val="center"/>
        <w:outlineLvl w:val="9"/>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IPO上市</w:t>
      </w:r>
      <w:r>
        <w:rPr>
          <w:rFonts w:hint="eastAsia" w:ascii="宋体" w:hAnsi="宋体" w:eastAsia="宋体" w:cs="宋体"/>
          <w:b/>
          <w:bCs/>
          <w:color w:val="auto"/>
          <w:sz w:val="30"/>
          <w:szCs w:val="30"/>
          <w:highlight w:val="none"/>
          <w:lang w:val="en-US" w:eastAsia="zh-CN"/>
        </w:rPr>
        <w:t>项目业绩表</w:t>
      </w:r>
    </w:p>
    <w:p>
      <w:pPr>
        <w:tabs>
          <w:tab w:val="left" w:pos="774"/>
        </w:tabs>
        <w:autoSpaceDE w:val="0"/>
        <w:autoSpaceDN w:val="0"/>
        <w:spacing w:line="276" w:lineRule="auto"/>
        <w:ind w:left="774" w:hanging="576"/>
        <w:jc w:val="left"/>
        <w:outlineLvl w:val="2"/>
        <w:rPr>
          <w:rFonts w:hint="eastAsia" w:ascii="宋体" w:hAnsi="宋体" w:eastAsia="宋体" w:cs="宋体"/>
          <w:b/>
          <w:color w:val="auto"/>
          <w:sz w:val="28"/>
          <w:szCs w:val="28"/>
          <w:highlight w:val="none"/>
          <w:lang w:val="zh-CN"/>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项目编号：</w:t>
      </w:r>
    </w:p>
    <w:p>
      <w:pPr>
        <w:tabs>
          <w:tab w:val="left" w:pos="774"/>
        </w:tabs>
        <w:autoSpaceDE w:val="0"/>
        <w:autoSpaceDN w:val="0"/>
        <w:spacing w:line="240" w:lineRule="exact"/>
        <w:ind w:left="777" w:hanging="578"/>
        <w:jc w:val="left"/>
        <w:outlineLvl w:val="2"/>
        <w:rPr>
          <w:rFonts w:hint="eastAsia" w:ascii="宋体" w:hAnsi="宋体" w:eastAsia="宋体" w:cs="宋体"/>
          <w:b/>
          <w:color w:val="auto"/>
          <w:sz w:val="22"/>
          <w:highlight w:val="none"/>
        </w:rPr>
      </w:pP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82"/>
        <w:gridCol w:w="1985"/>
        <w:gridCol w:w="1842"/>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03" w:type="dxa"/>
            <w:gridSpan w:val="3"/>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成功保荐A股上市公司家数</w:t>
            </w:r>
          </w:p>
        </w:tc>
        <w:tc>
          <w:tcPr>
            <w:tcW w:w="4848" w:type="dxa"/>
            <w:gridSpan w:val="2"/>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36"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82"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上市年月</w:t>
            </w:r>
          </w:p>
        </w:tc>
        <w:tc>
          <w:tcPr>
            <w:tcW w:w="1985"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证券代码</w:t>
            </w:r>
          </w:p>
        </w:tc>
        <w:tc>
          <w:tcPr>
            <w:tcW w:w="1842"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证券简称</w:t>
            </w:r>
          </w:p>
        </w:tc>
        <w:tc>
          <w:tcPr>
            <w:tcW w:w="3006"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68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985"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1842"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c>
          <w:tcPr>
            <w:tcW w:w="3006" w:type="dxa"/>
            <w:noWrap w:val="0"/>
            <w:vAlign w:val="top"/>
          </w:tcPr>
          <w:p>
            <w:pPr>
              <w:keepNext w:val="0"/>
              <w:keepLines w:val="0"/>
              <w:suppressLineNumbers w:val="0"/>
              <w:spacing w:before="0" w:beforeAutospacing="0" w:after="120" w:afterAutospacing="0" w:line="360" w:lineRule="atLeast"/>
              <w:ind w:left="0" w:right="0"/>
              <w:jc w:val="center"/>
              <w:rPr>
                <w:rFonts w:hint="eastAsia" w:ascii="宋体" w:hAnsi="宋体" w:eastAsia="宋体" w:cs="宋体"/>
                <w:color w:val="auto"/>
                <w:szCs w:val="21"/>
                <w:highlight w:val="none"/>
              </w:rPr>
            </w:pPr>
          </w:p>
        </w:tc>
      </w:tr>
    </w:tbl>
    <w:p>
      <w:pPr>
        <w:spacing w:line="380" w:lineRule="exact"/>
        <w:rPr>
          <w:rFonts w:hint="eastAsia" w:ascii="宋体" w:hAnsi="宋体" w:eastAsia="宋体" w:cs="宋体"/>
          <w:color w:val="auto"/>
          <w:sz w:val="22"/>
          <w:szCs w:val="22"/>
          <w:highlight w:val="none"/>
        </w:rPr>
      </w:pPr>
      <w:r>
        <w:rPr>
          <w:rFonts w:hint="eastAsia" w:ascii="宋体" w:hAnsi="宋体" w:eastAsia="宋体" w:cs="宋体"/>
          <w:b/>
          <w:color w:val="auto"/>
          <w:szCs w:val="21"/>
          <w:highlight w:val="none"/>
        </w:rPr>
        <w:t>注：供应商应根据供应商资格条件和技术资信</w:t>
      </w:r>
      <w:r>
        <w:rPr>
          <w:rFonts w:hint="eastAsia" w:ascii="宋体" w:hAnsi="宋体" w:cs="宋体"/>
          <w:b/>
          <w:color w:val="auto"/>
          <w:szCs w:val="21"/>
          <w:highlight w:val="none"/>
          <w:lang w:eastAsia="zh-CN"/>
        </w:rPr>
        <w:t>评</w:t>
      </w:r>
      <w:r>
        <w:rPr>
          <w:rFonts w:hint="eastAsia" w:ascii="宋体" w:hAnsi="宋体" w:eastAsia="宋体" w:cs="宋体"/>
          <w:b/>
          <w:color w:val="auto"/>
          <w:szCs w:val="21"/>
          <w:highlight w:val="none"/>
        </w:rPr>
        <w:t>分</w:t>
      </w:r>
      <w:r>
        <w:rPr>
          <w:rFonts w:hint="eastAsia" w:ascii="宋体" w:hAnsi="宋体" w:eastAsia="宋体" w:cs="宋体"/>
          <w:b/>
          <w:color w:val="auto"/>
          <w:szCs w:val="21"/>
          <w:highlight w:val="none"/>
          <w:lang w:eastAsia="zh-CN"/>
        </w:rPr>
        <w:t>细则</w:t>
      </w:r>
      <w:r>
        <w:rPr>
          <w:rFonts w:hint="eastAsia" w:ascii="宋体" w:hAnsi="宋体" w:eastAsia="宋体" w:cs="宋体"/>
          <w:b/>
          <w:color w:val="auto"/>
          <w:szCs w:val="21"/>
          <w:highlight w:val="none"/>
        </w:rPr>
        <w:t>的要求在本表后附相关证明材料。公司在IPO等业务方面的成功案例和实力，特别是在</w:t>
      </w:r>
      <w:r>
        <w:rPr>
          <w:rFonts w:hint="eastAsia" w:ascii="宋体" w:hAnsi="宋体" w:eastAsia="宋体" w:cs="宋体"/>
          <w:b/>
          <w:color w:val="auto"/>
          <w:szCs w:val="21"/>
          <w:highlight w:val="none"/>
          <w:lang w:eastAsia="zh-CN"/>
        </w:rPr>
        <w:t>国有企业</w:t>
      </w:r>
      <w:r>
        <w:rPr>
          <w:rFonts w:hint="eastAsia" w:ascii="宋体" w:hAnsi="宋体" w:eastAsia="宋体" w:cs="宋体"/>
          <w:b/>
          <w:color w:val="auto"/>
          <w:szCs w:val="21"/>
          <w:highlight w:val="none"/>
        </w:rPr>
        <w:t>上市</w:t>
      </w:r>
      <w:r>
        <w:rPr>
          <w:rFonts w:hint="eastAsia" w:ascii="宋体" w:hAnsi="宋体" w:eastAsia="宋体" w:cs="宋体"/>
          <w:b/>
          <w:color w:val="auto"/>
          <w:szCs w:val="21"/>
          <w:highlight w:val="none"/>
          <w:lang w:eastAsia="zh-CN"/>
        </w:rPr>
        <w:t>和温州本地企业上市</w:t>
      </w:r>
      <w:r>
        <w:rPr>
          <w:rFonts w:hint="eastAsia" w:ascii="宋体" w:hAnsi="宋体" w:eastAsia="宋体" w:cs="宋体"/>
          <w:b/>
          <w:color w:val="auto"/>
          <w:szCs w:val="21"/>
          <w:highlight w:val="none"/>
        </w:rPr>
        <w:t>的成功经验。需提供贵公司股票市场承销能力的证明材料，包括</w:t>
      </w:r>
      <w:r>
        <w:rPr>
          <w:rFonts w:hint="eastAsia" w:ascii="宋体" w:hAnsi="宋体" w:eastAsia="宋体" w:cs="宋体"/>
          <w:b/>
          <w:color w:val="auto"/>
          <w:szCs w:val="21"/>
          <w:highlight w:val="none"/>
          <w:lang w:eastAsia="zh-CN"/>
        </w:rPr>
        <w:t>近三年</w:t>
      </w:r>
      <w:r>
        <w:rPr>
          <w:rFonts w:hint="eastAsia" w:ascii="宋体" w:hAnsi="宋体" w:eastAsia="宋体" w:cs="宋体"/>
          <w:b/>
          <w:color w:val="auto"/>
          <w:szCs w:val="21"/>
          <w:highlight w:val="none"/>
        </w:rPr>
        <w:t>以来IPO案例及过会成功率等</w:t>
      </w:r>
      <w:r>
        <w:rPr>
          <w:rFonts w:hint="eastAsia" w:ascii="宋体" w:hAnsi="宋体" w:eastAsia="宋体" w:cs="宋体"/>
          <w:b/>
          <w:color w:val="auto"/>
          <w:sz w:val="24"/>
          <w:highlight w:val="none"/>
        </w:rPr>
        <w:t>。</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不按此要求填写此项内容或未按要求提供业绩证明材料将视为无业绩，不纳入评分范围。</w:t>
      </w:r>
    </w:p>
    <w:p>
      <w:pPr>
        <w:spacing w:line="400" w:lineRule="exact"/>
        <w:ind w:firstLine="413" w:firstLineChars="196"/>
        <w:outlineLvl w:val="9"/>
        <w:rPr>
          <w:rFonts w:hint="eastAsia" w:ascii="宋体" w:hAnsi="宋体" w:eastAsia="宋体" w:cs="宋体"/>
          <w:b/>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pStyle w:val="30"/>
        <w:rPr>
          <w:rFonts w:hint="eastAsia"/>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ind w:firstLine="5250" w:firstLineChars="2500"/>
        <w:outlineLvl w:val="9"/>
        <w:rPr>
          <w:rFonts w:hint="eastAsia" w:ascii="宋体" w:hAnsi="宋体" w:cs="宋体"/>
          <w:color w:val="auto"/>
          <w:sz w:val="21"/>
          <w:szCs w:val="21"/>
          <w:highlight w:val="none"/>
          <w:lang w:val="en-US" w:eastAsia="zh-CN"/>
        </w:rPr>
      </w:pPr>
    </w:p>
    <w:p>
      <w:pPr>
        <w:spacing w:before="120" w:after="120" w:line="380" w:lineRule="exact"/>
        <w:jc w:val="both"/>
        <w:outlineLvl w:val="9"/>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附件七</w:t>
      </w:r>
    </w:p>
    <w:p>
      <w:pPr>
        <w:spacing w:before="120" w:after="120" w:line="380" w:lineRule="exact"/>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项目实施进度计划表（以合同生效日算起）</w:t>
      </w:r>
    </w:p>
    <w:p>
      <w:pPr>
        <w:spacing w:line="560" w:lineRule="exact"/>
        <w:ind w:firstLine="221" w:firstLineChars="100"/>
        <w:outlineLvl w:val="9"/>
        <w:rPr>
          <w:rFonts w:hint="eastAsia"/>
          <w:sz w:val="22"/>
          <w:szCs w:val="22"/>
          <w:lang w:eastAsia="zh-CN"/>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 xml:space="preserve"> 项目编号：</w:t>
      </w:r>
    </w:p>
    <w:tbl>
      <w:tblPr>
        <w:tblStyle w:val="164"/>
        <w:tblW w:w="9426" w:type="dxa"/>
        <w:jc w:val="center"/>
        <w:tblLayout w:type="autofit"/>
        <w:tblCellMar>
          <w:top w:w="0" w:type="dxa"/>
          <w:left w:w="0" w:type="dxa"/>
          <w:bottom w:w="0" w:type="dxa"/>
          <w:right w:w="0" w:type="dxa"/>
        </w:tblCellMar>
      </w:tblPr>
      <w:tblGrid>
        <w:gridCol w:w="643"/>
        <w:gridCol w:w="2022"/>
        <w:gridCol w:w="2311"/>
        <w:gridCol w:w="1566"/>
        <w:gridCol w:w="1900"/>
        <w:gridCol w:w="984"/>
      </w:tblGrid>
      <w:tr>
        <w:tblPrEx>
          <w:tblCellMar>
            <w:top w:w="0" w:type="dxa"/>
            <w:left w:w="0" w:type="dxa"/>
            <w:bottom w:w="0" w:type="dxa"/>
            <w:right w:w="0" w:type="dxa"/>
          </w:tblCellMar>
        </w:tblPrEx>
        <w:trPr>
          <w:trHeight w:val="1122" w:hRule="exact"/>
          <w:jc w:val="center"/>
        </w:trPr>
        <w:tc>
          <w:tcPr>
            <w:tcW w:w="643" w:type="dxa"/>
            <w:tcBorders>
              <w:top w:val="single" w:color="000000" w:sz="12" w:space="0"/>
              <w:left w:val="single" w:color="000000" w:sz="12" w:space="0"/>
              <w:bottom w:val="single" w:color="000000" w:sz="6" w:space="0"/>
              <w:right w:val="single" w:color="000000" w:sz="6" w:space="0"/>
            </w:tcBorders>
            <w:shd w:val="clear" w:color="auto" w:fill="BFBFBF"/>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22" w:type="dxa"/>
            <w:tcBorders>
              <w:top w:val="single" w:color="000000" w:sz="12" w:space="0"/>
              <w:left w:val="single" w:color="000000" w:sz="6" w:space="0"/>
              <w:bottom w:val="single" w:color="000000" w:sz="6" w:space="0"/>
              <w:right w:val="single" w:color="000000" w:sz="6" w:space="0"/>
            </w:tcBorders>
            <w:shd w:val="clear" w:color="auto" w:fill="BFBFBF"/>
            <w:noWrap w:val="0"/>
            <w:vAlign w:val="center"/>
          </w:tcPr>
          <w:p>
            <w:pPr>
              <w:pStyle w:val="163"/>
              <w:spacing w:line="240" w:lineRule="auto"/>
              <w:ind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具体事项</w:t>
            </w:r>
          </w:p>
          <w:p>
            <w:pPr>
              <w:pStyle w:val="163"/>
              <w:spacing w:line="240" w:lineRule="auto"/>
              <w:ind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（包括但不限于以下）</w:t>
            </w:r>
          </w:p>
        </w:tc>
        <w:tc>
          <w:tcPr>
            <w:tcW w:w="2311" w:type="dxa"/>
            <w:tcBorders>
              <w:top w:val="single" w:color="000000" w:sz="12" w:space="0"/>
              <w:left w:val="single" w:color="000000" w:sz="6" w:space="0"/>
              <w:bottom w:val="single" w:color="000000" w:sz="6" w:space="0"/>
              <w:right w:val="single" w:color="000000" w:sz="6" w:space="0"/>
            </w:tcBorders>
            <w:shd w:val="clear" w:color="auto" w:fill="BFBFBF"/>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预计起止时间</w:t>
            </w:r>
          </w:p>
        </w:tc>
        <w:tc>
          <w:tcPr>
            <w:tcW w:w="1566" w:type="dxa"/>
            <w:tcBorders>
              <w:top w:val="single" w:color="000000" w:sz="12" w:space="0"/>
              <w:left w:val="single" w:color="000000" w:sz="6" w:space="0"/>
              <w:bottom w:val="single" w:color="000000" w:sz="6" w:space="0"/>
              <w:right w:val="single" w:color="000000" w:sz="6" w:space="0"/>
            </w:tcBorders>
            <w:shd w:val="clear" w:color="auto" w:fill="BFBFBF"/>
            <w:noWrap w:val="0"/>
            <w:vAlign w:val="center"/>
          </w:tcPr>
          <w:p>
            <w:pPr>
              <w:pStyle w:val="163"/>
              <w:spacing w:line="240" w:lineRule="auto"/>
              <w:ind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需要准备的文件或工作</w:t>
            </w:r>
          </w:p>
        </w:tc>
        <w:tc>
          <w:tcPr>
            <w:tcW w:w="1900" w:type="dxa"/>
            <w:tcBorders>
              <w:top w:val="single" w:color="000000" w:sz="12" w:space="0"/>
              <w:left w:val="single" w:color="000000" w:sz="6" w:space="0"/>
              <w:bottom w:val="single" w:color="000000" w:sz="6" w:space="0"/>
              <w:right w:val="single" w:color="000000" w:sz="6" w:space="0"/>
            </w:tcBorders>
            <w:shd w:val="clear" w:color="auto" w:fill="BFBFBF"/>
            <w:noWrap w:val="0"/>
            <w:vAlign w:val="center"/>
          </w:tcPr>
          <w:p>
            <w:pPr>
              <w:pStyle w:val="163"/>
              <w:spacing w:line="240" w:lineRule="auto"/>
              <w:ind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文件主要内容</w:t>
            </w:r>
          </w:p>
          <w:p>
            <w:pPr>
              <w:pStyle w:val="163"/>
              <w:spacing w:line="240" w:lineRule="auto"/>
              <w:ind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或主要工作</w:t>
            </w:r>
          </w:p>
        </w:tc>
        <w:tc>
          <w:tcPr>
            <w:tcW w:w="984" w:type="dxa"/>
            <w:tcBorders>
              <w:top w:val="single" w:color="000000" w:sz="12" w:space="0"/>
              <w:left w:val="single" w:color="000000" w:sz="6" w:space="0"/>
              <w:bottom w:val="single" w:color="000000" w:sz="6" w:space="0"/>
              <w:right w:val="single" w:color="000000" w:sz="12" w:space="0"/>
            </w:tcBorders>
            <w:shd w:val="clear" w:color="auto" w:fill="BFBFBF"/>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负责单位</w:t>
            </w:r>
          </w:p>
        </w:tc>
      </w:tr>
      <w:tr>
        <w:tblPrEx>
          <w:tblCellMar>
            <w:top w:w="0" w:type="dxa"/>
            <w:left w:w="0" w:type="dxa"/>
            <w:bottom w:w="0" w:type="dxa"/>
            <w:right w:w="0" w:type="dxa"/>
          </w:tblCellMar>
        </w:tblPrEx>
        <w:trPr>
          <w:trHeight w:val="534"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1</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2</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3</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4</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4"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5</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6</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7</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8</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9"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4"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w w:val="101"/>
                <w:sz w:val="22"/>
                <w:szCs w:val="22"/>
                <w:highlight w:val="none"/>
              </w:rPr>
              <w:t>9</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900"/>
                <w:tab w:val="left" w:pos="1669"/>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4"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532" w:hRule="exact"/>
          <w:jc w:val="center"/>
        </w:trPr>
        <w:tc>
          <w:tcPr>
            <w:tcW w:w="643" w:type="dxa"/>
            <w:tcBorders>
              <w:top w:val="single" w:color="000000" w:sz="6" w:space="0"/>
              <w:left w:val="single" w:color="000000" w:sz="12" w:space="0"/>
              <w:bottom w:val="single" w:color="000000" w:sz="6"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022"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6"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r>
        <w:tblPrEx>
          <w:tblCellMar>
            <w:top w:w="0" w:type="dxa"/>
            <w:left w:w="0" w:type="dxa"/>
            <w:bottom w:w="0" w:type="dxa"/>
            <w:right w:w="0" w:type="dxa"/>
          </w:tblCellMar>
        </w:tblPrEx>
        <w:trPr>
          <w:trHeight w:val="601" w:hRule="exact"/>
          <w:jc w:val="center"/>
        </w:trPr>
        <w:tc>
          <w:tcPr>
            <w:tcW w:w="643" w:type="dxa"/>
            <w:tcBorders>
              <w:top w:val="single" w:color="000000" w:sz="6" w:space="0"/>
              <w:left w:val="single" w:color="000000" w:sz="12" w:space="0"/>
              <w:bottom w:val="single" w:color="000000" w:sz="12" w:space="0"/>
              <w:right w:val="single" w:color="000000" w:sz="6" w:space="0"/>
            </w:tcBorders>
            <w:noWrap w:val="0"/>
            <w:vAlign w:val="center"/>
          </w:tcPr>
          <w:p>
            <w:pPr>
              <w:pStyle w:val="163"/>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2022"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2311" w:type="dxa"/>
            <w:tcBorders>
              <w:top w:val="single" w:color="000000" w:sz="6" w:space="0"/>
              <w:left w:val="single" w:color="000000" w:sz="6" w:space="0"/>
              <w:bottom w:val="single" w:color="000000" w:sz="12" w:space="0"/>
              <w:right w:val="single" w:color="000000" w:sz="6" w:space="0"/>
            </w:tcBorders>
            <w:noWrap w:val="0"/>
            <w:vAlign w:val="center"/>
          </w:tcPr>
          <w:p>
            <w:pPr>
              <w:pStyle w:val="163"/>
              <w:tabs>
                <w:tab w:val="left" w:pos="898"/>
                <w:tab w:val="left" w:pos="1668"/>
              </w:tabs>
              <w:spacing w:line="240" w:lineRule="auto"/>
              <w:ind w:left="458"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rPr>
              <w:tab/>
            </w:r>
            <w:r>
              <w:rPr>
                <w:rFonts w:hint="eastAsia" w:ascii="宋体" w:hAnsi="宋体" w:eastAsia="宋体" w:cs="宋体"/>
                <w:color w:val="auto"/>
                <w:sz w:val="22"/>
                <w:szCs w:val="22"/>
                <w:highlight w:val="none"/>
              </w:rPr>
              <w:t>日</w:t>
            </w:r>
          </w:p>
        </w:tc>
        <w:tc>
          <w:tcPr>
            <w:tcW w:w="1566"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1900" w:type="dxa"/>
            <w:tcBorders>
              <w:top w:val="single" w:color="000000" w:sz="6" w:space="0"/>
              <w:left w:val="single" w:color="000000" w:sz="6" w:space="0"/>
              <w:bottom w:val="single" w:color="000000" w:sz="12" w:space="0"/>
              <w:right w:val="single" w:color="000000" w:sz="6"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c>
          <w:tcPr>
            <w:tcW w:w="984" w:type="dxa"/>
            <w:tcBorders>
              <w:top w:val="single" w:color="000000" w:sz="6" w:space="0"/>
              <w:left w:val="single" w:color="000000" w:sz="6" w:space="0"/>
              <w:bottom w:val="single" w:color="000000" w:sz="12" w:space="0"/>
              <w:right w:val="single" w:color="000000" w:sz="12" w:space="0"/>
            </w:tcBorders>
            <w:noWrap w:val="0"/>
            <w:vAlign w:val="center"/>
          </w:tcPr>
          <w:p>
            <w:pPr>
              <w:spacing w:line="240" w:lineRule="auto"/>
              <w:ind w:right="0"/>
              <w:jc w:val="center"/>
              <w:rPr>
                <w:rFonts w:hint="eastAsia" w:ascii="宋体" w:hAnsi="宋体" w:eastAsia="宋体" w:cs="宋体"/>
                <w:color w:val="auto"/>
                <w:sz w:val="22"/>
                <w:szCs w:val="22"/>
                <w:highlight w:val="none"/>
              </w:rPr>
            </w:pPr>
          </w:p>
        </w:tc>
      </w:tr>
    </w:tbl>
    <w:p>
      <w:pPr>
        <w:pStyle w:val="6"/>
        <w:spacing w:before="181"/>
        <w:ind w:left="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注：（1）上述时间表的格式仅供参考，投标人可自行编制切合实际的具体时间表。</w:t>
      </w: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jc w:val="both"/>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 xml:space="preserve">附件八：                                                   </w:t>
      </w:r>
    </w:p>
    <w:p>
      <w:pPr>
        <w:spacing w:before="120" w:after="120" w:line="380" w:lineRule="exact"/>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保密承诺书</w:t>
      </w:r>
    </w:p>
    <w:p>
      <w:pPr>
        <w:snapToGrid w:val="0"/>
        <w:spacing w:beforeLines="50" w:after="163"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eastAsia="zh-CN"/>
        </w:rPr>
        <w:t>温州诚达交通发展股份有限公司</w:t>
      </w:r>
      <w:r>
        <w:rPr>
          <w:rFonts w:hint="eastAsia" w:ascii="宋体" w:hAnsi="宋体" w:eastAsia="宋体" w:cs="宋体"/>
          <w:color w:val="auto"/>
          <w:sz w:val="22"/>
          <w:szCs w:val="22"/>
          <w:highlight w:val="none"/>
        </w:rPr>
        <w:t>：</w:t>
      </w:r>
    </w:p>
    <w:p>
      <w:pPr>
        <w:spacing w:beforeLines="50" w:after="163"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贵方</w:t>
      </w:r>
      <w:r>
        <w:rPr>
          <w:rFonts w:hint="eastAsia" w:ascii="宋体" w:hAnsi="宋体" w:eastAsia="宋体" w:cs="宋体"/>
          <w:color w:val="auto"/>
          <w:sz w:val="22"/>
          <w:szCs w:val="22"/>
          <w:highlight w:val="none"/>
        </w:rPr>
        <w:t>本着既确保国家秘密，又便于工作的方针，向我方提供有关本招标项目的相关资料。鉴于项目招投标过程中，涉及到贵公司的商业或技术秘密，为保证秘密不致外泄，我方做出以下保密承诺：</w:t>
      </w:r>
    </w:p>
    <w:p>
      <w:pPr>
        <w:numPr>
          <w:ilvl w:val="0"/>
          <w:numId w:val="0"/>
        </w:numPr>
        <w:spacing w:after="163" w:line="360" w:lineRule="auto"/>
        <w:ind w:left="402" w:leftChars="0" w:hanging="402" w:hangingChars="1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此所述及的保密信息是指我方在投标过程中直接或间接获得的所有商业或技术信息（包括口头、书面信息及资料）。</w:t>
      </w:r>
    </w:p>
    <w:p>
      <w:pPr>
        <w:numPr>
          <w:ilvl w:val="0"/>
          <w:numId w:val="0"/>
        </w:numPr>
        <w:spacing w:after="163" w:line="360" w:lineRule="auto"/>
        <w:ind w:left="402" w:leftChars="0" w:hanging="402" w:hangingChars="1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我方获得的保密信息只用于本次招标工作，绝不用于其它用途。我方将采用不低于贵方的保密等级措施使用和保管贵方的保密信息，并采取严格措施防止与本次投标工作无关的我方人员接触保密信息。一旦发现泄密，应采取一切必要的措施阻止并立即报告贵方。</w:t>
      </w:r>
    </w:p>
    <w:p>
      <w:pPr>
        <w:numPr>
          <w:ilvl w:val="0"/>
          <w:numId w:val="0"/>
        </w:numPr>
        <w:spacing w:after="163" w:line="360" w:lineRule="auto"/>
        <w:ind w:left="402" w:leftChars="0" w:hanging="402" w:hangingChars="1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我方对贵方提供的涉密载体承担保密责任，如有意或过失造成泄密，并给国家及贵方的安全和利益带来危害与损失的，贵方有权对我方提出诉讼索赔，我方需承担由此带来的一切法律与经济责任。</w:t>
      </w:r>
    </w:p>
    <w:p>
      <w:pPr>
        <w:numPr>
          <w:ilvl w:val="0"/>
          <w:numId w:val="0"/>
        </w:numPr>
        <w:spacing w:after="163" w:line="360" w:lineRule="auto"/>
        <w:ind w:left="402" w:leftChars="0" w:hanging="402" w:hangingChars="1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我方将对从贵公司处得到的信息进行保密管理，采取措施防止信息的全部或任一部分泄露给第三方。</w:t>
      </w:r>
    </w:p>
    <w:p>
      <w:pPr>
        <w:numPr>
          <w:ilvl w:val="0"/>
          <w:numId w:val="0"/>
        </w:numPr>
        <w:spacing w:after="163" w:line="360" w:lineRule="auto"/>
        <w:ind w:left="402" w:leftChars="0" w:hanging="402" w:hangingChars="1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我方有责任在约定期内对贵方的保密信息采取保密措施，在递交投标文件时，一并退还贵方所提供资料。</w:t>
      </w:r>
    </w:p>
    <w:p>
      <w:pPr>
        <w:numPr>
          <w:ilvl w:val="0"/>
          <w:numId w:val="0"/>
        </w:numPr>
        <w:spacing w:after="163" w:line="360" w:lineRule="auto"/>
        <w:ind w:left="402" w:leftChars="0" w:hanging="402" w:hangingChars="1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本承诺书随投标文件一同递交，作为投标文件的一部分，如果我方有幸中标，此承诺书将持续生效至项目结束。</w:t>
      </w:r>
    </w:p>
    <w:p>
      <w:pPr>
        <w:pStyle w:val="15"/>
        <w:rPr>
          <w:rFonts w:hint="eastAsia"/>
        </w:rPr>
      </w:pPr>
    </w:p>
    <w:p>
      <w:pPr>
        <w:spacing w:line="460" w:lineRule="exact"/>
        <w:ind w:firstLine="3300" w:firstLineChars="15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投标供应商全称（盖章） ：</w:t>
      </w:r>
    </w:p>
    <w:p>
      <w:pPr>
        <w:spacing w:line="46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法定代表人（法定负责人） 或授权代表（签字或盖章）：</w:t>
      </w:r>
    </w:p>
    <w:p>
      <w:pPr>
        <w:spacing w:line="460" w:lineRule="exact"/>
        <w:ind w:firstLine="550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日期：     年  月  日</w:t>
      </w: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color w:val="auto"/>
          <w:sz w:val="21"/>
          <w:szCs w:val="21"/>
          <w:highlight w:val="none"/>
        </w:rPr>
      </w:pPr>
    </w:p>
    <w:p>
      <w:pPr>
        <w:spacing w:line="240" w:lineRule="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 xml:space="preserve">附件九： </w:t>
      </w:r>
    </w:p>
    <w:p>
      <w:pPr>
        <w:pStyle w:val="15"/>
        <w:rPr>
          <w:rFonts w:hint="eastAsia"/>
          <w:lang w:val="en-US" w:eastAsia="zh-CN"/>
        </w:rPr>
      </w:pPr>
    </w:p>
    <w:p>
      <w:pPr>
        <w:spacing w:line="24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项目承销费率报价</w:t>
      </w:r>
    </w:p>
    <w:p>
      <w:pPr>
        <w:pStyle w:val="15"/>
        <w:spacing w:after="0"/>
        <w:ind w:firstLine="0" w:firstLineChars="0"/>
        <w:rPr>
          <w:rFonts w:hint="eastAsia"/>
          <w:color w:val="auto"/>
          <w:highlight w:val="none"/>
        </w:rPr>
      </w:pPr>
    </w:p>
    <w:p>
      <w:pPr>
        <w:spacing w:line="20" w:lineRule="exact"/>
        <w:rPr>
          <w:rFonts w:hint="eastAsia" w:ascii="宋体" w:hAnsi="宋体" w:eastAsia="宋体" w:cs="宋体"/>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1" locked="0" layoutInCell="0" allowOverlap="1">
                <wp:simplePos x="0" y="0"/>
                <wp:positionH relativeFrom="column">
                  <wp:posOffset>-3175</wp:posOffset>
                </wp:positionH>
                <wp:positionV relativeFrom="paragraph">
                  <wp:posOffset>276225</wp:posOffset>
                </wp:positionV>
                <wp:extent cx="12065" cy="12065"/>
                <wp:effectExtent l="0" t="0" r="0" b="0"/>
                <wp:wrapNone/>
                <wp:docPr id="499" name="矩形 499"/>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0.25pt;margin-top:21.75pt;height:0.95pt;width:0.95pt;z-index:-251657216;mso-width-relative:page;mso-height-relative:page;" fillcolor="#000000" filled="t" stroked="f" coordsize="21600,21600" o:allowincell="f" o:gfxdata="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j3jzLUAAAABQEAAA8A&#10;AAAAAAAAAQAgAAAAIgAAAGRycy9kb3ducmV2LnhtbFBLAQIUABQAAAAIAIdO4kAD43b4qQEAAGID&#10;AAAOAAAAAAAAAAEAIAAAACMBAABkcnMvZTJvRG9jLnhtbFBLBQYAAAAABgAGAFkBAAA+BQAAAAA=&#10;">
                <v:fill on="t" focussize="0,0"/>
                <v:stroke on="f"/>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1" locked="0" layoutInCell="0" allowOverlap="1">
                <wp:simplePos x="0" y="0"/>
                <wp:positionH relativeFrom="column">
                  <wp:posOffset>-3175</wp:posOffset>
                </wp:positionH>
                <wp:positionV relativeFrom="paragraph">
                  <wp:posOffset>276225</wp:posOffset>
                </wp:positionV>
                <wp:extent cx="12065" cy="12065"/>
                <wp:effectExtent l="0" t="0" r="0" b="0"/>
                <wp:wrapNone/>
                <wp:docPr id="5" name="矩形 5"/>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0.25pt;margin-top:21.75pt;height:0.95pt;width:0.95pt;z-index:-251656192;mso-width-relative:page;mso-height-relative:page;" fillcolor="#000000" filled="t" stroked="f" coordsize="21600,21600" o:allowincell="f" o:gfxdata="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j3jzLUAAAABQEAAA8AAAAA&#10;AAAAAQAgAAAAIgAAAGRycy9kb3ducmV2LnhtbFBLAQIUABQAAAAIAIdO4kCEIxQUpgEAAF4DAAAO&#10;AAAAAAAAAAEAIAAAACMBAABkcnMvZTJvRG9jLnhtbFBLBQYAAAAABgAGAFkBAAA7BQAAAAA=&#10;">
                <v:fill on="t" focussize="0,0"/>
                <v:stroke on="f"/>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1" locked="0" layoutInCell="0" allowOverlap="1">
                <wp:simplePos x="0" y="0"/>
                <wp:positionH relativeFrom="column">
                  <wp:posOffset>2406015</wp:posOffset>
                </wp:positionH>
                <wp:positionV relativeFrom="paragraph">
                  <wp:posOffset>276225</wp:posOffset>
                </wp:positionV>
                <wp:extent cx="12700" cy="12065"/>
                <wp:effectExtent l="0" t="0" r="0" b="0"/>
                <wp:wrapNone/>
                <wp:docPr id="6" name="矩形 6"/>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189.45pt;margin-top:21.75pt;height:0.95pt;width:1pt;z-index:-251655168;mso-width-relative:page;mso-height-relative:page;" fillcolor="#000000" filled="t" stroked="f" coordsize="21600,21600" o:allowincell="f" o:gfxdata="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XIKc2AAAAAkB&#10;AAAPAAAAAAAAAAEAIAAAACIAAABkcnMvZG93bnJldi54bWxQSwECFAAUAAAACACHTuJA71NLy6kB&#10;AABeAwAADgAAAAAAAAABACAAAAAnAQAAZHJzL2Uyb0RvYy54bWxQSwUGAAAAAAYABgBZAQAAQgUA&#10;AAAA&#10;">
                <v:fill on="t" focussize="0,0"/>
                <v:stroke on="f"/>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2336" behindDoc="1" locked="0" layoutInCell="0" allowOverlap="1">
                <wp:simplePos x="0" y="0"/>
                <wp:positionH relativeFrom="column">
                  <wp:posOffset>4205605</wp:posOffset>
                </wp:positionH>
                <wp:positionV relativeFrom="paragraph">
                  <wp:posOffset>276225</wp:posOffset>
                </wp:positionV>
                <wp:extent cx="12700" cy="12065"/>
                <wp:effectExtent l="0" t="0" r="0" b="0"/>
                <wp:wrapNone/>
                <wp:docPr id="7" name="矩形 7"/>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331.15pt;margin-top:21.75pt;height:0.95pt;width:1pt;z-index:-251654144;mso-width-relative:page;mso-height-relative:page;" fillcolor="#000000" filled="t" stroked="f" coordsize="21600,21600" o:allowincell="f" o:gfxdata="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O29B2AAAAAkB&#10;AAAPAAAAAAAAAAEAIAAAACIAAABkcnMvZG93bnJldi54bWxQSwECFAAUAAAACACHTuJAlZWUrKkB&#10;AABeAwAADgAAAAAAAAABACAAAAAnAQAAZHJzL2Uyb0RvYy54bWxQSwUGAAAAAAYABgBZAQAAQgUA&#10;AAAA&#10;">
                <v:fill on="t" focussize="0,0"/>
                <v:stroke on="f"/>
                <v:imagedata o:title=""/>
                <o:lock v:ext="edit" aspectratio="f"/>
              </v:rect>
            </w:pict>
          </mc:Fallback>
        </mc:AlternateContent>
      </w:r>
    </w:p>
    <w:tbl>
      <w:tblPr>
        <w:tblStyle w:val="33"/>
        <w:tblW w:w="96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6"/>
        <w:gridCol w:w="3820"/>
        <w:gridCol w:w="1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417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项目名称</w:t>
            </w:r>
          </w:p>
        </w:tc>
        <w:tc>
          <w:tcPr>
            <w:tcW w:w="382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费率</w:t>
            </w:r>
          </w:p>
        </w:tc>
        <w:tc>
          <w:tcPr>
            <w:tcW w:w="1702"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4176"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IPO券商中介服务</w:t>
            </w:r>
          </w:p>
        </w:tc>
        <w:tc>
          <w:tcPr>
            <w:tcW w:w="38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70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bl>
    <w:p>
      <w:pPr>
        <w:spacing w:line="20" w:lineRule="exact"/>
        <w:rPr>
          <w:rFonts w:hint="eastAsia" w:ascii="宋体" w:hAnsi="宋体" w:eastAsia="宋体" w:cs="宋体"/>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1" locked="0" layoutInCell="0" allowOverlap="1">
                <wp:simplePos x="0" y="0"/>
                <wp:positionH relativeFrom="column">
                  <wp:posOffset>-3175</wp:posOffset>
                </wp:positionH>
                <wp:positionV relativeFrom="paragraph">
                  <wp:posOffset>-525780</wp:posOffset>
                </wp:positionV>
                <wp:extent cx="12065" cy="12700"/>
                <wp:effectExtent l="0" t="0" r="0" b="0"/>
                <wp:wrapNone/>
                <wp:docPr id="503" name="矩形 503"/>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0.25pt;margin-top:-41.4pt;height:1pt;width:0.95pt;z-index:-251653120;mso-width-relative:page;mso-height-relative:page;" fillcolor="#000000" filled="t" stroked="f" coordsize="21600,21600" o:allowincell="f" o:gfxdata="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A3t0NUAAAAH&#10;AQAADwAAAAAAAAABACAAAAAiAAAAZHJzL2Rvd25yZXYueG1sUEsBAhQAFAAAAAgAh07iQA01JOet&#10;AQAAYgMAAA4AAAAAAAAAAQAgAAAAJAEAAGRycy9lMm9Eb2MueG1sUEsFBgAAAAAGAAYAWQEAAEMF&#10;AAAAAA==&#10;">
                <v:fill on="t" focussize="0,0"/>
                <v:stroke on="f"/>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1" locked="0" layoutInCell="0" allowOverlap="1">
                <wp:simplePos x="0" y="0"/>
                <wp:positionH relativeFrom="column">
                  <wp:posOffset>2406015</wp:posOffset>
                </wp:positionH>
                <wp:positionV relativeFrom="paragraph">
                  <wp:posOffset>-525780</wp:posOffset>
                </wp:positionV>
                <wp:extent cx="12700" cy="12700"/>
                <wp:effectExtent l="0" t="0" r="0" b="0"/>
                <wp:wrapNone/>
                <wp:docPr id="504" name="矩形 504"/>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189.45pt;margin-top:-41.4pt;height:1pt;width:1pt;z-index:-251652096;mso-width-relative:page;mso-height-relative:page;" fillcolor="#000000" filled="t" stroked="f" coordsize="21600,21600" o:allowincell="f" o:gfxdata="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hmMsfYAAAACwEA&#10;AA8AAAAAAAAAAQAgAAAAIgAAAGRycy9kb3ducmV2LnhtbFBLAQIUABQAAAAIAIdO4kCzkoc2qAEA&#10;AGIDAAAOAAAAAAAAAAEAIAAAACcBAABkcnMvZTJvRG9jLnhtbFBLBQYAAAAABgAGAFkBAABBBQAA&#10;AAA=&#10;">
                <v:fill on="t" focussize="0,0"/>
                <v:stroke on="f"/>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5408" behindDoc="1" locked="0" layoutInCell="0" allowOverlap="1">
                <wp:simplePos x="0" y="0"/>
                <wp:positionH relativeFrom="column">
                  <wp:posOffset>4205605</wp:posOffset>
                </wp:positionH>
                <wp:positionV relativeFrom="paragraph">
                  <wp:posOffset>-525780</wp:posOffset>
                </wp:positionV>
                <wp:extent cx="12700" cy="12700"/>
                <wp:effectExtent l="0" t="0" r="0" b="0"/>
                <wp:wrapNone/>
                <wp:docPr id="505" name="矩形 50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a:noFill/>
                        </a:ln>
                        <a:effectLst/>
                      </wps:spPr>
                      <wps:bodyPr/>
                    </wps:wsp>
                  </a:graphicData>
                </a:graphic>
              </wp:anchor>
            </w:drawing>
          </mc:Choice>
          <mc:Fallback>
            <w:pict>
              <v:rect id="_x0000_s1026" o:spid="_x0000_s1026" o:spt="1" style="position:absolute;left:0pt;margin-left:331.15pt;margin-top:-41.4pt;height:1pt;width:1pt;z-index:-251651072;mso-width-relative:page;mso-height-relative:page;" fillcolor="#000000" filled="t" stroked="f" coordsize="21600,21600" o:allowincell="f" o:gfxdata="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PaK2DYAAAACwEA&#10;AA8AAAAAAAAAAQAgAAAAIgAAAGRycy9kb3ducmV2LnhtbFBLAQIUABQAAAAIAIdO4kB2e7UMqAEA&#10;AGIDAAAOAAAAAAAAAAEAIAAAACcBAABkcnMvZTJvRG9jLnhtbFBLBQYAAAAABgAGAFkBAABBBQAA&#10;AAA=&#10;">
                <v:fill on="t" focussize="0,0"/>
                <v:stroke on="f"/>
                <v:imagedata o:title=""/>
                <o:lock v:ext="edit" aspectratio="f"/>
              </v:rect>
            </w:pict>
          </mc:Fallback>
        </mc:AlternateContent>
      </w:r>
    </w:p>
    <w:p>
      <w:pPr>
        <w:spacing w:line="83" w:lineRule="exact"/>
        <w:rPr>
          <w:rFonts w:hint="eastAsia" w:ascii="宋体" w:hAnsi="宋体" w:eastAsia="宋体" w:cs="宋体"/>
          <w:color w:val="auto"/>
          <w:sz w:val="20"/>
          <w:highlight w:val="none"/>
        </w:rPr>
      </w:pPr>
    </w:p>
    <w:p>
      <w:pPr>
        <w:spacing w:line="325" w:lineRule="exact"/>
        <w:rPr>
          <w:rFonts w:hint="eastAsia" w:ascii="宋体" w:hAnsi="宋体" w:eastAsia="宋体" w:cs="宋体"/>
          <w:b/>
          <w:bCs/>
          <w:color w:val="auto"/>
          <w:sz w:val="20"/>
          <w:highlight w:val="none"/>
        </w:rPr>
      </w:pPr>
    </w:p>
    <w:p>
      <w:pPr>
        <w:spacing w:line="325" w:lineRule="exact"/>
        <w:rPr>
          <w:rFonts w:hint="eastAsia" w:ascii="宋体" w:hAnsi="宋体" w:eastAsia="宋体" w:cs="宋体"/>
          <w:color w:val="auto"/>
          <w:sz w:val="22"/>
          <w:szCs w:val="32"/>
          <w:highlight w:val="none"/>
        </w:rPr>
      </w:pPr>
      <w:r>
        <w:rPr>
          <w:rFonts w:hint="eastAsia" w:ascii="宋体" w:hAnsi="宋体" w:eastAsia="宋体" w:cs="宋体"/>
          <w:b/>
          <w:bCs/>
          <w:color w:val="auto"/>
          <w:sz w:val="22"/>
          <w:szCs w:val="32"/>
          <w:highlight w:val="none"/>
        </w:rPr>
        <w:t>注：承销费率按</w:t>
      </w:r>
      <w:r>
        <w:rPr>
          <w:rFonts w:hint="eastAsia" w:ascii="宋体" w:hAnsi="宋体" w:eastAsia="宋体" w:cs="宋体"/>
          <w:b/>
          <w:bCs/>
          <w:color w:val="auto"/>
          <w:sz w:val="22"/>
          <w:szCs w:val="32"/>
          <w:highlight w:val="none"/>
          <w:lang w:val="en-US" w:eastAsia="zh-CN"/>
        </w:rPr>
        <w:t>8%</w:t>
      </w:r>
      <w:r>
        <w:rPr>
          <w:rFonts w:hint="eastAsia" w:ascii="宋体" w:hAnsi="宋体" w:eastAsia="宋体" w:cs="宋体"/>
          <w:b/>
          <w:bCs/>
          <w:color w:val="auto"/>
          <w:sz w:val="22"/>
          <w:szCs w:val="32"/>
          <w:highlight w:val="none"/>
        </w:rPr>
        <w:t>为基准下浮</w:t>
      </w:r>
      <w:r>
        <w:rPr>
          <w:rFonts w:hint="eastAsia" w:ascii="宋体" w:hAnsi="宋体" w:eastAsia="宋体" w:cs="宋体"/>
          <w:b/>
          <w:bCs/>
          <w:color w:val="auto"/>
          <w:sz w:val="22"/>
          <w:szCs w:val="32"/>
          <w:highlight w:val="none"/>
          <w:lang w:eastAsia="zh-CN"/>
        </w:rPr>
        <w:t>（</w:t>
      </w:r>
      <w:r>
        <w:rPr>
          <w:rFonts w:hint="eastAsia" w:ascii="宋体" w:hAnsi="宋体" w:eastAsia="宋体" w:cs="宋体"/>
          <w:b/>
          <w:bCs/>
          <w:color w:val="auto"/>
          <w:sz w:val="22"/>
          <w:szCs w:val="32"/>
          <w:highlight w:val="none"/>
          <w:lang w:val="en-US" w:eastAsia="zh-CN"/>
        </w:rPr>
        <w:t>填写举例说明：下浮0.1，则表中“费率”项数值填写为“7.9%”</w:t>
      </w:r>
      <w:r>
        <w:rPr>
          <w:rFonts w:hint="eastAsia" w:ascii="宋体" w:hAnsi="宋体" w:eastAsia="宋体" w:cs="宋体"/>
          <w:b/>
          <w:bCs/>
          <w:color w:val="auto"/>
          <w:sz w:val="22"/>
          <w:szCs w:val="32"/>
          <w:highlight w:val="none"/>
          <w:lang w:eastAsia="zh-CN"/>
        </w:rPr>
        <w:t>）</w:t>
      </w:r>
      <w:r>
        <w:rPr>
          <w:rFonts w:hint="eastAsia" w:ascii="宋体" w:hAnsi="宋体" w:eastAsia="宋体" w:cs="宋体"/>
          <w:b/>
          <w:bCs/>
          <w:color w:val="auto"/>
          <w:sz w:val="22"/>
          <w:szCs w:val="32"/>
          <w:highlight w:val="none"/>
        </w:rPr>
        <w:t>。</w:t>
      </w:r>
    </w:p>
    <w:p>
      <w:pPr>
        <w:spacing w:before="12"/>
        <w:rPr>
          <w:rFonts w:hint="eastAsia" w:ascii="宋体" w:hAnsi="宋体" w:eastAsia="宋体" w:cs="宋体"/>
          <w:color w:val="auto"/>
          <w:sz w:val="24"/>
          <w:szCs w:val="24"/>
          <w:highlight w:val="none"/>
        </w:rPr>
      </w:pPr>
    </w:p>
    <w:p>
      <w:pPr>
        <w:pStyle w:val="6"/>
        <w:numPr>
          <w:ilvl w:val="0"/>
          <w:numId w:val="26"/>
        </w:numPr>
        <w:tabs>
          <w:tab w:val="left" w:pos="1054"/>
        </w:tabs>
        <w:spacing w:before="0" w:after="0" w:line="240" w:lineRule="auto"/>
        <w:ind w:left="840" w:leftChars="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我公司承诺无论中标与否，均对所获悉的招标人I</w:t>
      </w:r>
      <w:r>
        <w:rPr>
          <w:rFonts w:hint="eastAsia" w:ascii="宋体" w:hAnsi="宋体" w:eastAsia="宋体" w:cs="宋体"/>
          <w:color w:val="auto"/>
          <w:spacing w:val="6"/>
          <w:sz w:val="24"/>
          <w:szCs w:val="24"/>
          <w:highlight w:val="none"/>
          <w:lang w:eastAsia="zh-CN"/>
        </w:rPr>
        <w:t>PO的</w:t>
      </w:r>
      <w:r>
        <w:rPr>
          <w:rFonts w:hint="eastAsia" w:ascii="宋体" w:hAnsi="宋体" w:eastAsia="宋体" w:cs="宋体"/>
          <w:color w:val="auto"/>
          <w:sz w:val="24"/>
          <w:szCs w:val="24"/>
          <w:highlight w:val="none"/>
          <w:lang w:eastAsia="zh-CN"/>
        </w:rPr>
        <w:t>相关信息予以保密。</w:t>
      </w:r>
    </w:p>
    <w:p>
      <w:pPr>
        <w:pStyle w:val="6"/>
        <w:numPr>
          <w:ilvl w:val="0"/>
          <w:numId w:val="26"/>
        </w:numPr>
        <w:tabs>
          <w:tab w:val="left" w:pos="1054"/>
        </w:tabs>
        <w:spacing w:before="0" w:after="0" w:line="240" w:lineRule="auto"/>
        <w:ind w:left="840" w:leftChars="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我公司承诺，若中标后合同履行期间，如国家发行体制变化，主要工作内容应按新的发行体制要求，承担券商所有义务，合同其他内容不变。</w:t>
      </w: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spacing w:line="460" w:lineRule="exact"/>
        <w:ind w:firstLine="3300" w:firstLineChars="15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投标供应商全称（盖章） ：</w:t>
      </w:r>
    </w:p>
    <w:p>
      <w:pPr>
        <w:spacing w:line="46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法定代表人（法定负责人） 或授权代表（签字或盖章）：</w:t>
      </w:r>
    </w:p>
    <w:p>
      <w:pPr>
        <w:spacing w:line="460" w:lineRule="exact"/>
        <w:ind w:firstLine="550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日期：     年  月  日</w:t>
      </w: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0"/>
        </w:numPr>
        <w:spacing w:line="240" w:lineRule="auto"/>
        <w:ind w:leftChars="0"/>
        <w:outlineLvl w:val="9"/>
        <w:rPr>
          <w:rFonts w:hint="eastAsia" w:ascii="宋体" w:hAnsi="宋体" w:eastAsia="宋体" w:cs="宋体"/>
          <w:color w:val="auto"/>
          <w:sz w:val="21"/>
          <w:szCs w:val="21"/>
          <w:highlight w:val="none"/>
        </w:rPr>
      </w:pPr>
    </w:p>
    <w:p>
      <w:pPr>
        <w:numPr>
          <w:ilvl w:val="0"/>
          <w:numId w:val="27"/>
        </w:numPr>
        <w:spacing w:before="156" w:beforeLines="50" w:line="360" w:lineRule="auto"/>
        <w:ind w:left="420" w:leftChars="0" w:hanging="420" w:firstLineChars="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投标人的服务方案、合理化建议</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格式自拟</w:t>
      </w:r>
      <w:r>
        <w:rPr>
          <w:rFonts w:hint="eastAsia" w:ascii="宋体" w:hAnsi="宋体" w:eastAsia="宋体" w:cs="宋体"/>
          <w:b/>
          <w:color w:val="auto"/>
          <w:sz w:val="24"/>
          <w:highlight w:val="none"/>
          <w:lang w:eastAsia="zh-CN"/>
        </w:rPr>
        <w:t>）</w:t>
      </w:r>
    </w:p>
    <w:p>
      <w:pPr>
        <w:pStyle w:val="15"/>
        <w:ind w:left="0" w:leftChars="0" w:firstLine="0" w:firstLineChars="0"/>
        <w:rPr>
          <w:rFonts w:hint="default" w:ascii="宋体" w:hAnsi="宋体" w:eastAsia="宋体" w:cs="宋体"/>
          <w:color w:val="auto"/>
          <w:sz w:val="22"/>
          <w:szCs w:val="22"/>
          <w:highlight w:val="none"/>
          <w:lang w:val="en-US" w:eastAsia="zh-CN"/>
        </w:rPr>
      </w:pPr>
    </w:p>
    <w:p>
      <w:pPr>
        <w:pStyle w:val="16"/>
        <w:ind w:left="0" w:leftChars="0" w:firstLine="0" w:firstLineChars="0"/>
        <w:rPr>
          <w:rFonts w:hint="default"/>
          <w:color w:val="auto"/>
          <w:highlight w:val="none"/>
          <w:lang w:val="en-US" w:eastAsia="zh-CN"/>
        </w:rPr>
      </w:pPr>
    </w:p>
    <w:p>
      <w:pPr>
        <w:pStyle w:val="16"/>
        <w:rPr>
          <w:rFonts w:hint="eastAsia"/>
          <w:color w:val="auto"/>
          <w:highlight w:val="none"/>
        </w:rPr>
      </w:pPr>
    </w:p>
    <w:p>
      <w:pPr>
        <w:numPr>
          <w:ilvl w:val="0"/>
          <w:numId w:val="27"/>
        </w:numPr>
        <w:spacing w:before="156" w:beforeLines="50" w:line="360" w:lineRule="auto"/>
        <w:ind w:left="420" w:leftChars="0" w:hanging="42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按采购文件第五部分评标原则及方法—五、评分细则相关评分内容逐项编制，格式自拟。</w:t>
      </w:r>
    </w:p>
    <w:p>
      <w:pPr>
        <w:pStyle w:val="15"/>
        <w:rPr>
          <w:rFonts w:hint="eastAsia"/>
        </w:rPr>
      </w:pPr>
    </w:p>
    <w:p>
      <w:pPr>
        <w:pStyle w:val="16"/>
        <w:rPr>
          <w:rFonts w:hint="eastAsia"/>
        </w:rPr>
      </w:pPr>
    </w:p>
    <w:p>
      <w:pPr>
        <w:rPr>
          <w:rFonts w:hint="eastAsia"/>
        </w:rPr>
      </w:pPr>
    </w:p>
    <w:p>
      <w:pPr>
        <w:numPr>
          <w:ilvl w:val="0"/>
          <w:numId w:val="27"/>
        </w:numPr>
        <w:spacing w:before="156" w:beforeLines="50" w:line="360" w:lineRule="auto"/>
        <w:ind w:left="420" w:leftChars="0" w:hanging="420" w:firstLineChars="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投标供应商认为需要提供的其他资料</w:t>
      </w:r>
    </w:p>
    <w:p>
      <w:pPr>
        <w:pStyle w:val="15"/>
        <w:rPr>
          <w:rFonts w:hint="eastAsia"/>
        </w:rPr>
      </w:pPr>
    </w:p>
    <w:p>
      <w:pPr>
        <w:numPr>
          <w:ilvl w:val="0"/>
          <w:numId w:val="0"/>
        </w:numPr>
        <w:spacing w:line="240" w:lineRule="auto"/>
        <w:ind w:leftChars="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2"/>
          <w:highlight w:val="none"/>
        </w:rPr>
        <w:t>（商务（报价）标封面，供参考）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ind w:left="480" w:hanging="560" w:hangingChars="200"/>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u w:val="single"/>
          <w:lang w:val="en-US" w:eastAsia="zh-CN"/>
        </w:rPr>
        <w:t>IPO券商中介服务</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cs="宋体"/>
          <w:color w:val="auto"/>
          <w:sz w:val="28"/>
          <w:szCs w:val="28"/>
          <w:highlight w:val="none"/>
          <w:u w:val="single"/>
          <w:lang w:val="en-US" w:eastAsia="zh-CN"/>
        </w:rPr>
        <w:t>WGSS-JFJT-X-2023009</w:t>
      </w:r>
    </w:p>
    <w:p>
      <w:pPr>
        <w:jc w:val="center"/>
        <w:outlineLvl w:val="9"/>
        <w:rPr>
          <w:rFonts w:hint="eastAsia" w:ascii="宋体" w:hAnsi="宋体" w:eastAsia="宋体" w:cs="宋体"/>
          <w:color w:val="auto"/>
          <w:sz w:val="28"/>
          <w:szCs w:val="28"/>
          <w:highlight w:val="none"/>
          <w:u w:val="none"/>
        </w:rPr>
      </w:pPr>
    </w:p>
    <w:p>
      <w:pPr>
        <w:jc w:val="center"/>
        <w:outlineLvl w:val="9"/>
        <w:rPr>
          <w:rFonts w:hint="eastAsia" w:ascii="宋体" w:hAnsi="宋体" w:eastAsia="宋体" w:cs="宋体"/>
          <w:color w:val="auto"/>
          <w:sz w:val="28"/>
          <w:szCs w:val="28"/>
          <w:highlight w:val="none"/>
          <w:u w:val="none"/>
        </w:rPr>
      </w:pPr>
    </w:p>
    <w:p>
      <w:pPr>
        <w:spacing w:line="360" w:lineRule="auto"/>
        <w:jc w:val="center"/>
        <w:outlineLvl w:val="9"/>
        <w:rPr>
          <w:rFonts w:hint="eastAsia"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pPr>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15"/>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30"/>
          <w:szCs w:val="30"/>
          <w:highlight w:val="none"/>
          <w:lang w:val="en-US" w:eastAsia="zh-CN"/>
        </w:rPr>
        <w:t>附件十</w:t>
      </w:r>
    </w:p>
    <w:p>
      <w:pPr>
        <w:spacing w:line="380" w:lineRule="exact"/>
        <w:ind w:left="-359" w:leftChars="-171" w:firstLine="148" w:firstLineChars="49"/>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开标一览表</w:t>
      </w:r>
    </w:p>
    <w:p>
      <w:pPr>
        <w:tabs>
          <w:tab w:val="left" w:pos="774"/>
        </w:tabs>
        <w:autoSpaceDE w:val="0"/>
        <w:autoSpaceDN w:val="0"/>
        <w:spacing w:line="276" w:lineRule="auto"/>
        <w:ind w:left="774" w:hanging="576"/>
        <w:jc w:val="center"/>
        <w:outlineLvl w:val="2"/>
        <w:rPr>
          <w:rFonts w:hint="eastAsia" w:ascii="宋体" w:hAnsi="宋体" w:eastAsia="宋体" w:cs="宋体"/>
          <w:b/>
          <w:color w:val="auto"/>
          <w:sz w:val="28"/>
          <w:szCs w:val="28"/>
          <w:highlight w:val="none"/>
          <w:lang w:val="zh-CN"/>
        </w:rPr>
      </w:pPr>
    </w:p>
    <w:p>
      <w:pPr>
        <w:spacing w:line="38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项目编号： </w:t>
      </w:r>
    </w:p>
    <w:tbl>
      <w:tblPr>
        <w:tblStyle w:val="33"/>
        <w:tblW w:w="9238" w:type="dxa"/>
        <w:jc w:val="center"/>
        <w:tblLayout w:type="fixed"/>
        <w:tblCellMar>
          <w:top w:w="0" w:type="dxa"/>
          <w:left w:w="108" w:type="dxa"/>
          <w:bottom w:w="0" w:type="dxa"/>
          <w:right w:w="108" w:type="dxa"/>
        </w:tblCellMar>
      </w:tblPr>
      <w:tblGrid>
        <w:gridCol w:w="2107"/>
        <w:gridCol w:w="5255"/>
        <w:gridCol w:w="1876"/>
      </w:tblGrid>
      <w:tr>
        <w:tblPrEx>
          <w:tblCellMar>
            <w:top w:w="0" w:type="dxa"/>
            <w:left w:w="108" w:type="dxa"/>
            <w:bottom w:w="0" w:type="dxa"/>
            <w:right w:w="108" w:type="dxa"/>
          </w:tblCellMar>
        </w:tblPrEx>
        <w:trPr>
          <w:trHeight w:val="1189" w:hRule="atLeast"/>
          <w:jc w:val="center"/>
        </w:trPr>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名称</w:t>
            </w:r>
          </w:p>
        </w:tc>
        <w:tc>
          <w:tcPr>
            <w:tcW w:w="5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投标报价</w:t>
            </w:r>
          </w:p>
        </w:tc>
        <w:tc>
          <w:tcPr>
            <w:tcW w:w="187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最高限价</w:t>
            </w:r>
          </w:p>
        </w:tc>
      </w:tr>
      <w:tr>
        <w:tblPrEx>
          <w:tblCellMar>
            <w:top w:w="0" w:type="dxa"/>
            <w:left w:w="108" w:type="dxa"/>
            <w:bottom w:w="0" w:type="dxa"/>
            <w:right w:w="108" w:type="dxa"/>
          </w:tblCellMar>
        </w:tblPrEx>
        <w:trPr>
          <w:trHeight w:val="1347" w:hRule="atLeast"/>
          <w:jc w:val="center"/>
        </w:trPr>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上市前服务费</w:t>
            </w:r>
          </w:p>
        </w:tc>
        <w:tc>
          <w:tcPr>
            <w:tcW w:w="5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80" w:lineRule="exact"/>
              <w:ind w:left="0" w:right="0"/>
              <w:rPr>
                <w:rFonts w:hint="eastAsia" w:ascii="宋体" w:hAnsi="宋体" w:eastAsia="宋体" w:cs="宋体"/>
                <w:b w:val="0"/>
                <w:color w:val="auto"/>
                <w:sz w:val="22"/>
                <w:szCs w:val="22"/>
                <w:highlight w:val="none"/>
              </w:rPr>
            </w:pPr>
            <w:r>
              <w:rPr>
                <w:rFonts w:hint="eastAsia" w:ascii="宋体" w:cs="宋体"/>
                <w:bCs/>
                <w:color w:val="auto"/>
                <w:sz w:val="22"/>
                <w:szCs w:val="22"/>
                <w:lang w:bidi="ar-SA"/>
              </w:rPr>
              <w:t>小写：￥</w:t>
            </w:r>
          </w:p>
        </w:tc>
        <w:tc>
          <w:tcPr>
            <w:tcW w:w="1876" w:type="dxa"/>
            <w:vMerge w:val="restart"/>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p>
          <w:p>
            <w:pPr>
              <w:pStyle w:val="20"/>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2240000</w:t>
            </w:r>
            <w:r>
              <w:rPr>
                <w:rFonts w:hint="eastAsia" w:ascii="宋体" w:hAnsi="宋体" w:eastAsia="宋体" w:cs="宋体"/>
                <w:color w:val="auto"/>
                <w:sz w:val="22"/>
                <w:szCs w:val="22"/>
                <w:highlight w:val="none"/>
              </w:rPr>
              <w:t>元</w:t>
            </w:r>
          </w:p>
        </w:tc>
      </w:tr>
      <w:tr>
        <w:tblPrEx>
          <w:tblCellMar>
            <w:top w:w="0" w:type="dxa"/>
            <w:left w:w="108" w:type="dxa"/>
            <w:bottom w:w="0" w:type="dxa"/>
            <w:right w:w="108" w:type="dxa"/>
          </w:tblCellMar>
        </w:tblPrEx>
        <w:trPr>
          <w:trHeight w:val="1414" w:hRule="atLeast"/>
          <w:jc w:val="center"/>
        </w:trPr>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lang w:eastAsia="zh-CN"/>
              </w:rPr>
            </w:pPr>
          </w:p>
        </w:tc>
        <w:tc>
          <w:tcPr>
            <w:tcW w:w="5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80" w:lineRule="exact"/>
              <w:ind w:left="0" w:right="0"/>
              <w:rPr>
                <w:rFonts w:hint="eastAsia" w:ascii="宋体" w:hAnsi="宋体" w:eastAsia="宋体" w:cs="宋体"/>
                <w:b w:val="0"/>
                <w:color w:val="auto"/>
                <w:sz w:val="22"/>
                <w:szCs w:val="22"/>
                <w:highlight w:val="none"/>
              </w:rPr>
            </w:pPr>
            <w:r>
              <w:rPr>
                <w:rFonts w:hint="eastAsia" w:ascii="宋体" w:cs="宋体"/>
                <w:bCs/>
                <w:color w:val="auto"/>
                <w:sz w:val="22"/>
                <w:szCs w:val="22"/>
                <w:lang w:bidi="ar-SA"/>
              </w:rPr>
              <w:t>大写：人民币</w:t>
            </w:r>
          </w:p>
        </w:tc>
        <w:tc>
          <w:tcPr>
            <w:tcW w:w="18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p>
        </w:tc>
      </w:tr>
      <w:tr>
        <w:tblPrEx>
          <w:tblCellMar>
            <w:top w:w="0" w:type="dxa"/>
            <w:left w:w="108" w:type="dxa"/>
            <w:bottom w:w="0" w:type="dxa"/>
            <w:right w:w="108" w:type="dxa"/>
          </w:tblCellMar>
        </w:tblPrEx>
        <w:trPr>
          <w:trHeight w:val="1414" w:hRule="atLeast"/>
          <w:jc w:val="center"/>
        </w:trPr>
        <w:tc>
          <w:tcPr>
            <w:tcW w:w="9238" w:type="dxa"/>
            <w:gridSpan w:val="3"/>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highlight w:val="none"/>
              </w:rPr>
              <w:t>报价依据和说明及服务费调整的条件和办法、延长服务期的优惠条件（可另附页）</w:t>
            </w:r>
          </w:p>
        </w:tc>
      </w:tr>
    </w:tbl>
    <w:p>
      <w:pPr>
        <w:spacing w:line="460" w:lineRule="exact"/>
        <w:ind w:firstLine="539" w:firstLineChars="245"/>
        <w:jc w:val="left"/>
        <w:rPr>
          <w:rFonts w:hint="eastAsia" w:ascii="宋体" w:hAnsi="宋体" w:eastAsia="宋体" w:cs="宋体"/>
          <w:color w:val="auto"/>
          <w:sz w:val="22"/>
          <w:szCs w:val="22"/>
          <w:highlight w:val="none"/>
        </w:rPr>
      </w:pPr>
    </w:p>
    <w:p>
      <w:pPr>
        <w:spacing w:line="380" w:lineRule="exact"/>
        <w:ind w:left="532" w:leftChars="-171" w:hanging="891" w:hangingChars="405"/>
        <w:rPr>
          <w:rFonts w:hint="eastAsia" w:ascii="宋体" w:hAnsi="宋体" w:eastAsia="宋体" w:cs="宋体"/>
          <w:strike/>
          <w:color w:val="auto"/>
          <w:sz w:val="22"/>
          <w:szCs w:val="22"/>
          <w:highlight w:val="none"/>
        </w:rPr>
      </w:pPr>
      <w:r>
        <w:rPr>
          <w:rFonts w:hint="eastAsia" w:ascii="宋体" w:hAnsi="宋体" w:eastAsia="宋体" w:cs="宋体"/>
          <w:color w:val="auto"/>
          <w:sz w:val="22"/>
          <w:szCs w:val="22"/>
          <w:highlight w:val="none"/>
        </w:rPr>
        <w:t>说明：1.</w:t>
      </w:r>
      <w:r>
        <w:rPr>
          <w:rFonts w:hint="eastAsia" w:ascii="宋体" w:hAnsi="宋体" w:eastAsia="宋体" w:cs="宋体"/>
          <w:b/>
          <w:bCs/>
          <w:color w:val="auto"/>
          <w:sz w:val="22"/>
          <w:szCs w:val="22"/>
          <w:highlight w:val="none"/>
        </w:rPr>
        <w:t>《开标一览表》中“投标总价”包含的内容详见采购文件第一部分投标须知第1</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条“投标报价”中的规定。</w:t>
      </w:r>
    </w:p>
    <w:p>
      <w:pPr>
        <w:spacing w:line="380" w:lineRule="exact"/>
        <w:ind w:left="535" w:leftChars="-171" w:hanging="894" w:hangingChars="405"/>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．上市前服务费（包括财务顾问费、辅导费和保荐费等，含税）总价</w:t>
      </w:r>
      <w:r>
        <w:rPr>
          <w:rFonts w:hint="eastAsia" w:ascii="宋体" w:hAnsi="宋体" w:eastAsia="宋体" w:cs="宋体"/>
          <w:b/>
          <w:bCs/>
          <w:color w:val="auto"/>
          <w:sz w:val="22"/>
          <w:szCs w:val="22"/>
          <w:highlight w:val="none"/>
          <w:lang w:val="en-US" w:eastAsia="zh-CN"/>
        </w:rPr>
        <w:t>应与“投标分项报价表”中的“合计总价”一致。</w:t>
      </w:r>
    </w:p>
    <w:p>
      <w:pPr>
        <w:spacing w:line="380" w:lineRule="exact"/>
        <w:ind w:left="524" w:leftChars="142" w:hanging="226" w:hangingChars="10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b/>
          <w:color w:val="auto"/>
          <w:szCs w:val="21"/>
          <w:highlight w:val="none"/>
          <w:u w:val="single"/>
        </w:rPr>
        <w:t>▲此表不得自行增减内容，不提供此表格将被视为没有实质性响应采购文件。</w:t>
      </w:r>
    </w:p>
    <w:p>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340" w:lineRule="exact"/>
        <w:ind w:right="-21" w:rightChars="-1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jc w:val="both"/>
        <w:outlineLvl w:val="9"/>
        <w:rPr>
          <w:rFonts w:hint="eastAsia" w:ascii="宋体" w:hAnsi="宋体" w:eastAsia="宋体" w:cs="宋体"/>
          <w:b/>
          <w:bCs/>
          <w:color w:val="auto"/>
          <w:sz w:val="21"/>
          <w:szCs w:val="21"/>
          <w:highlight w:val="none"/>
        </w:rPr>
        <w:sectPr>
          <w:footerReference r:id="rId10" w:type="default"/>
          <w:pgSz w:w="11906" w:h="16838"/>
          <w:pgMar w:top="1134" w:right="1134" w:bottom="1134" w:left="1417" w:header="851" w:footer="567" w:gutter="0"/>
          <w:pgBorders>
            <w:top w:val="none" w:sz="0" w:space="0"/>
            <w:left w:val="none" w:sz="0" w:space="0"/>
            <w:bottom w:val="none" w:sz="0" w:space="0"/>
            <w:right w:val="none" w:sz="0" w:space="0"/>
          </w:pgBorders>
          <w:pgNumType w:fmt="decimal"/>
          <w:cols w:space="720" w:num="1"/>
          <w:titlePg/>
          <w:rtlGutter w:val="0"/>
          <w:docGrid w:linePitch="312" w:charSpace="0"/>
        </w:sectPr>
      </w:pPr>
    </w:p>
    <w:p>
      <w:pPr>
        <w:spacing w:line="380" w:lineRule="exact"/>
        <w:ind w:left="-359" w:leftChars="-171" w:firstLine="148" w:firstLineChars="49"/>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附件十一</w:t>
      </w:r>
    </w:p>
    <w:p>
      <w:pPr>
        <w:spacing w:line="380" w:lineRule="exact"/>
        <w:ind w:left="-359" w:leftChars="-171" w:firstLine="148" w:firstLineChars="49"/>
        <w:jc w:val="center"/>
        <w:outlineLvl w:val="9"/>
        <w:rPr>
          <w:rFonts w:hint="eastAsia" w:ascii="宋体" w:hAnsi="宋体" w:eastAsia="宋体" w:cs="宋体"/>
          <w:b/>
          <w:bCs/>
          <w:color w:val="auto"/>
          <w:sz w:val="30"/>
          <w:szCs w:val="30"/>
          <w:highlight w:val="none"/>
          <w:lang w:val="zh-CN" w:eastAsia="zh-CN"/>
        </w:rPr>
      </w:pPr>
      <w:bookmarkStart w:id="162" w:name="_Hlk483770012"/>
      <w:r>
        <w:rPr>
          <w:rFonts w:hint="eastAsia" w:ascii="宋体" w:hAnsi="宋体" w:eastAsia="宋体" w:cs="宋体"/>
          <w:b/>
          <w:bCs/>
          <w:color w:val="auto"/>
          <w:sz w:val="30"/>
          <w:szCs w:val="30"/>
          <w:highlight w:val="none"/>
          <w:lang w:val="zh-CN" w:eastAsia="zh-CN"/>
        </w:rPr>
        <w:t>投标分项报价表</w:t>
      </w:r>
    </w:p>
    <w:p>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cs="宋体"/>
          <w:b/>
          <w:color w:val="auto"/>
          <w:sz w:val="21"/>
          <w:szCs w:val="21"/>
          <w:highlight w:val="none"/>
          <w:lang w:eastAsia="zh-CN"/>
        </w:rPr>
        <w:t>IPO券商中介服务</w:t>
      </w:r>
    </w:p>
    <w:p>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WGSS-JFJT-X-2023009</w:t>
      </w:r>
      <w:r>
        <w:rPr>
          <w:rFonts w:hint="eastAsia" w:ascii="宋体" w:hAnsi="宋体" w:eastAsia="宋体" w:cs="宋体"/>
          <w:b/>
          <w:color w:val="auto"/>
          <w:sz w:val="21"/>
          <w:szCs w:val="21"/>
          <w:highlight w:val="none"/>
        </w:rPr>
        <w:t xml:space="preserve">                  </w:t>
      </w:r>
    </w:p>
    <w:p>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（价格单位：人民币元）</w:t>
      </w:r>
    </w:p>
    <w:bookmarkEnd w:id="162"/>
    <w:tbl>
      <w:tblPr>
        <w:tblStyle w:val="3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435"/>
        <w:gridCol w:w="965"/>
        <w:gridCol w:w="839"/>
        <w:gridCol w:w="226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（元）</w:t>
            </w: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435"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4"/>
                <w:szCs w:val="24"/>
                <w:highlight w:val="none"/>
                <w:u w:val="none"/>
              </w:rPr>
              <w:t>财务顾问费</w:t>
            </w:r>
          </w:p>
        </w:tc>
        <w:tc>
          <w:tcPr>
            <w:tcW w:w="965" w:type="dxa"/>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highlight w:val="none"/>
                <w:lang w:val="en-US" w:eastAsia="zh-CN"/>
              </w:rPr>
              <w:t>项</w:t>
            </w:r>
          </w:p>
        </w:tc>
        <w:tc>
          <w:tcPr>
            <w:tcW w:w="83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1</w:t>
            </w: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435"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4"/>
                <w:szCs w:val="24"/>
                <w:highlight w:val="none"/>
                <w:u w:val="none"/>
              </w:rPr>
              <w:t>辅导费</w:t>
            </w:r>
          </w:p>
        </w:tc>
        <w:tc>
          <w:tcPr>
            <w:tcW w:w="965" w:type="dxa"/>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项</w:t>
            </w:r>
          </w:p>
        </w:tc>
        <w:tc>
          <w:tcPr>
            <w:tcW w:w="83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1</w:t>
            </w: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435"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4"/>
                <w:szCs w:val="24"/>
                <w:highlight w:val="none"/>
                <w:u w:val="none"/>
              </w:rPr>
              <w:t>保荐费</w:t>
            </w:r>
          </w:p>
        </w:tc>
        <w:tc>
          <w:tcPr>
            <w:tcW w:w="965" w:type="dxa"/>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项</w:t>
            </w:r>
          </w:p>
        </w:tc>
        <w:tc>
          <w:tcPr>
            <w:tcW w:w="83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1</w:t>
            </w: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35"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其他费用</w:t>
            </w:r>
          </w:p>
        </w:tc>
        <w:tc>
          <w:tcPr>
            <w:tcW w:w="965" w:type="dxa"/>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项</w:t>
            </w:r>
          </w:p>
        </w:tc>
        <w:tc>
          <w:tcPr>
            <w:tcW w:w="83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1</w:t>
            </w: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343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965"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839"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82"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5239" w:type="dxa"/>
            <w:gridSpan w:val="3"/>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总计</w:t>
            </w:r>
            <w:r>
              <w:rPr>
                <w:rFonts w:hint="eastAsia" w:ascii="宋体" w:hAnsi="宋体" w:eastAsia="宋体" w:cs="宋体"/>
                <w:color w:val="auto"/>
                <w:sz w:val="21"/>
                <w:szCs w:val="21"/>
                <w:highlight w:val="none"/>
                <w:lang w:val="en-US" w:eastAsia="zh-CN"/>
              </w:rPr>
              <w:t>价</w:t>
            </w:r>
          </w:p>
        </w:tc>
        <w:tc>
          <w:tcPr>
            <w:tcW w:w="2267"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c>
          <w:tcPr>
            <w:tcW w:w="1168" w:type="dxa"/>
            <w:noWrap w:val="0"/>
            <w:vAlign w:val="center"/>
          </w:tcPr>
          <w:p>
            <w:pPr>
              <w:keepNext w:val="0"/>
              <w:keepLines w:val="0"/>
              <w:suppressLineNumbers w:val="0"/>
              <w:spacing w:before="0" w:beforeAutospacing="0" w:after="0" w:afterAutospacing="0" w:line="360" w:lineRule="exact"/>
              <w:ind w:left="0" w:right="0" w:firstLine="0" w:firstLineChars="0"/>
              <w:jc w:val="center"/>
              <w:outlineLvl w:val="9"/>
              <w:rPr>
                <w:rFonts w:hint="eastAsia" w:ascii="宋体" w:hAnsi="宋体" w:eastAsia="宋体" w:cs="宋体"/>
                <w:color w:val="auto"/>
                <w:sz w:val="21"/>
                <w:szCs w:val="21"/>
                <w:highlight w:val="none"/>
              </w:rPr>
            </w:pPr>
          </w:p>
        </w:tc>
      </w:tr>
    </w:tbl>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pPr>
        <w:spacing w:line="360" w:lineRule="exact"/>
        <w:ind w:firstLine="0" w:firstLineChars="0"/>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pPr>
        <w:spacing w:line="240" w:lineRule="auto"/>
        <w:ind w:firstLine="3780" w:firstLineChars="1800"/>
        <w:jc w:val="left"/>
        <w:outlineLvl w:val="9"/>
        <w:rPr>
          <w:rFonts w:hint="eastAsia" w:ascii="宋体" w:hAnsi="宋体" w:eastAsia="宋体" w:cs="宋体"/>
          <w:color w:val="auto"/>
          <w:sz w:val="21"/>
          <w:szCs w:val="21"/>
          <w:highlight w:val="none"/>
        </w:rPr>
      </w:pPr>
      <w:bookmarkStart w:id="163" w:name="_Toc235866828"/>
    </w:p>
    <w:p>
      <w:pPr>
        <w:spacing w:line="240" w:lineRule="auto"/>
        <w:ind w:firstLine="3780" w:firstLineChars="18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240" w:lineRule="auto"/>
        <w:ind w:firstLine="1050" w:firstLineChars="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240" w:lineRule="auto"/>
        <w:ind w:left="0" w:leftChars="0" w:firstLine="6090" w:firstLineChars="2900"/>
        <w:jc w:val="left"/>
        <w:outlineLvl w:val="9"/>
        <w:rPr>
          <w:rFonts w:hint="eastAsia" w:ascii="宋体" w:hAnsi="宋体" w:eastAsia="宋体" w:cs="宋体"/>
          <w:b w:val="0"/>
          <w:bCs w:val="0"/>
          <w:color w:val="auto"/>
          <w:sz w:val="21"/>
          <w:szCs w:val="21"/>
          <w:highlight w:val="none"/>
        </w:rPr>
        <w:sectPr>
          <w:pgSz w:w="11906" w:h="16838"/>
          <w:pgMar w:top="1134" w:right="1134" w:bottom="1134" w:left="1417" w:header="851" w:footer="567"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pPr>
        <w:numPr>
          <w:ilvl w:val="0"/>
          <w:numId w:val="28"/>
        </w:numPr>
        <w:spacing w:line="360" w:lineRule="auto"/>
        <w:jc w:val="center"/>
        <w:outlineLvl w:val="0"/>
        <w:rPr>
          <w:rFonts w:hint="eastAsia" w:ascii="宋体" w:hAnsi="宋体" w:eastAsia="宋体" w:cs="宋体"/>
          <w:b/>
          <w:bCs/>
          <w:color w:val="auto"/>
          <w:sz w:val="28"/>
          <w:szCs w:val="28"/>
          <w:highlight w:val="none"/>
          <w:lang w:eastAsia="zh-CN"/>
        </w:rPr>
      </w:pPr>
      <w:bookmarkStart w:id="164" w:name="_Toc31382"/>
      <w:r>
        <w:rPr>
          <w:rFonts w:hint="eastAsia" w:ascii="宋体" w:hAnsi="宋体" w:eastAsia="宋体" w:cs="宋体"/>
          <w:b/>
          <w:bCs/>
          <w:color w:val="auto"/>
          <w:sz w:val="28"/>
          <w:szCs w:val="28"/>
          <w:highlight w:val="none"/>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eastAsia="zh-CN"/>
        </w:rPr>
        <w:t>采购内容及要求</w:t>
      </w:r>
      <w:bookmarkEnd w:id="164"/>
    </w:p>
    <w:p>
      <w:pPr>
        <w:pStyle w:val="15"/>
        <w:numPr>
          <w:ilvl w:val="0"/>
          <w:numId w:val="0"/>
        </w:numPr>
        <w:ind w:leftChars="100" w:right="0" w:rightChars="0"/>
        <w:rPr>
          <w:rFonts w:hint="eastAsia"/>
          <w:lang w:eastAsia="zh-CN"/>
        </w:rPr>
      </w:pPr>
      <w:r>
        <w:rPr>
          <w:rFonts w:hint="eastAsia"/>
          <w:b/>
          <w:bCs/>
          <w:sz w:val="24"/>
          <w:szCs w:val="32"/>
          <w:lang w:eastAsia="zh-CN"/>
        </w:rPr>
        <w:t>一、企业简介</w:t>
      </w:r>
    </w:p>
    <w:p>
      <w:pPr>
        <w:pStyle w:val="15"/>
        <w:numPr>
          <w:ilvl w:val="0"/>
          <w:numId w:val="0"/>
        </w:numPr>
        <w:ind w:leftChars="100" w:right="0" w:rightChars="0" w:firstLine="420" w:firstLineChars="200"/>
        <w:rPr>
          <w:rFonts w:hint="eastAsia"/>
          <w:lang w:eastAsia="zh-CN"/>
        </w:rPr>
      </w:pPr>
      <w:r>
        <w:rPr>
          <w:rFonts w:hint="eastAsia"/>
          <w:lang w:eastAsia="zh-CN"/>
        </w:rPr>
        <w:t>温州诚达交通发展股份有限公司原名温州市交通监理有限公司，于1995年11月由温州市人民政府批准成立，注册资本3150万元，为国有控股企业，隶属交发集团，由交发集团控股67.9%、市铁投集团参股29.1%、市建设集团参股3%。公司于2018年1月获省国资委批复完成股份制改造，同年12月挂牌“新三板”。2020年11月根据IPO上市工作安排和中介机构建议，向全国股转中心提交“新三板”摘牌申请并获得通过。</w:t>
      </w:r>
    </w:p>
    <w:p>
      <w:pPr>
        <w:pStyle w:val="15"/>
        <w:numPr>
          <w:ilvl w:val="0"/>
          <w:numId w:val="0"/>
        </w:numPr>
        <w:ind w:leftChars="100" w:right="0" w:rightChars="0" w:firstLine="420" w:firstLineChars="200"/>
        <w:rPr>
          <w:rFonts w:hint="eastAsia"/>
          <w:lang w:eastAsia="zh-CN"/>
        </w:rPr>
      </w:pPr>
      <w:r>
        <w:rPr>
          <w:rFonts w:hint="eastAsia"/>
          <w:lang w:eastAsia="zh-CN"/>
        </w:rPr>
        <w:t>公司下设5家全资子公司：温州信达交通试验检测有限公司、温州筑诚交通监理有限公司、温州市交通工程试验检测有限公司、温州华星建材检测有限公司，温州市交通规划设计研究院有限公司，并代管温州路桥工程设计所。</w:t>
      </w:r>
    </w:p>
    <w:p>
      <w:pPr>
        <w:pStyle w:val="15"/>
        <w:numPr>
          <w:ilvl w:val="0"/>
          <w:numId w:val="0"/>
        </w:numPr>
        <w:ind w:leftChars="100" w:right="0" w:rightChars="0" w:firstLine="420" w:firstLineChars="200"/>
        <w:rPr>
          <w:rFonts w:hint="eastAsia"/>
          <w:lang w:val="en-US" w:eastAsia="zh-CN"/>
        </w:rPr>
      </w:pPr>
      <w:r>
        <w:rPr>
          <w:rFonts w:hint="eastAsia"/>
          <w:lang w:val="en-US" w:eastAsia="zh-CN"/>
        </w:rPr>
        <w:t>公司本部从事各等级公路工程咨询技术服务，具有公路专业咨询甲级资信，业务涵盖工程全过程咨询、工程安全技术服务、通航影响论证、社会风险评估、设计咨询、造价咨询等业务。公司本部现有从业人员共47人，其中高级职称20人（其中正高职称1人）、中级职称16人，中高级职称占在岗职工的76.6%。公司作为温州地区交通行业检测、监理龙头企业，近年来大力拓展业务范围，已构建横跨公路、市域铁路、市政、房建、机电等工程领域，覆盖咨询、设计、检测、监理、加固等业务的综合性技术服务平台，在公路全过程工程咨询方面取得突破。</w:t>
      </w:r>
    </w:p>
    <w:p>
      <w:pPr>
        <w:pStyle w:val="15"/>
        <w:numPr>
          <w:ilvl w:val="0"/>
          <w:numId w:val="0"/>
        </w:numPr>
        <w:ind w:leftChars="100" w:right="0" w:rightChars="0" w:firstLine="422" w:firstLineChars="200"/>
        <w:rPr>
          <w:rFonts w:hint="default"/>
          <w:lang w:val="en-US" w:eastAsia="zh-CN"/>
        </w:rPr>
      </w:pPr>
      <w:r>
        <w:rPr>
          <w:rFonts w:hint="eastAsia"/>
          <w:b/>
          <w:bCs/>
          <w:lang w:val="en-US" w:eastAsia="zh-CN"/>
        </w:rPr>
        <w:t>近六年营收情况：</w:t>
      </w:r>
    </w:p>
    <w:p>
      <w:pPr>
        <w:pStyle w:val="15"/>
        <w:numPr>
          <w:ilvl w:val="0"/>
          <w:numId w:val="0"/>
        </w:numPr>
        <w:ind w:leftChars="100" w:right="0" w:rightChars="0" w:firstLine="420" w:firstLineChars="200"/>
        <w:rPr>
          <w:rFonts w:hint="eastAsia"/>
          <w:lang w:val="en-US" w:eastAsia="zh-CN"/>
        </w:rPr>
      </w:pPr>
      <w:r>
        <w:rPr>
          <w:rFonts w:hint="eastAsia"/>
          <w:lang w:val="en-US" w:eastAsia="zh-CN"/>
        </w:rPr>
        <w:t>2017年净资产7022万元，营收1.46亿元，利润总额2587万元；</w:t>
      </w:r>
    </w:p>
    <w:p>
      <w:pPr>
        <w:pStyle w:val="15"/>
        <w:numPr>
          <w:ilvl w:val="0"/>
          <w:numId w:val="0"/>
        </w:numPr>
        <w:ind w:leftChars="100" w:right="0" w:rightChars="0" w:firstLine="420" w:firstLineChars="200"/>
        <w:rPr>
          <w:rFonts w:hint="eastAsia"/>
          <w:lang w:val="en-US" w:eastAsia="zh-CN"/>
        </w:rPr>
      </w:pPr>
      <w:r>
        <w:rPr>
          <w:rFonts w:hint="eastAsia"/>
          <w:lang w:val="en-US" w:eastAsia="zh-CN"/>
        </w:rPr>
        <w:t>2018年净资产9376万元，营收1.87亿元，利润总额3136万元；</w:t>
      </w:r>
    </w:p>
    <w:p>
      <w:pPr>
        <w:pStyle w:val="15"/>
        <w:numPr>
          <w:ilvl w:val="0"/>
          <w:numId w:val="0"/>
        </w:numPr>
        <w:ind w:leftChars="100" w:right="0" w:rightChars="0" w:firstLine="420" w:firstLineChars="200"/>
        <w:rPr>
          <w:rFonts w:hint="eastAsia"/>
          <w:lang w:val="en-US" w:eastAsia="zh-CN"/>
        </w:rPr>
      </w:pPr>
      <w:r>
        <w:rPr>
          <w:rFonts w:hint="eastAsia"/>
          <w:lang w:val="en-US" w:eastAsia="zh-CN"/>
        </w:rPr>
        <w:t>2019年净资产1.26亿元，营收2.03亿元，利润总额4117万元；</w:t>
      </w:r>
    </w:p>
    <w:p>
      <w:pPr>
        <w:pStyle w:val="15"/>
        <w:numPr>
          <w:ilvl w:val="0"/>
          <w:numId w:val="0"/>
        </w:numPr>
        <w:ind w:leftChars="100" w:right="0" w:rightChars="0" w:firstLine="420" w:firstLineChars="200"/>
        <w:rPr>
          <w:rFonts w:hint="eastAsia"/>
          <w:lang w:val="en-US" w:eastAsia="zh-CN"/>
        </w:rPr>
      </w:pPr>
      <w:r>
        <w:rPr>
          <w:rFonts w:hint="eastAsia"/>
          <w:lang w:val="en-US" w:eastAsia="zh-CN"/>
        </w:rPr>
        <w:t>2020年净资产1.69亿元，营收2.08亿元，利润总额4787万元；</w:t>
      </w:r>
    </w:p>
    <w:p>
      <w:pPr>
        <w:pStyle w:val="15"/>
        <w:numPr>
          <w:ilvl w:val="0"/>
          <w:numId w:val="0"/>
        </w:numPr>
        <w:ind w:leftChars="100" w:right="0" w:rightChars="0" w:firstLine="420" w:firstLineChars="200"/>
        <w:rPr>
          <w:rFonts w:hint="eastAsia"/>
          <w:lang w:val="en-US" w:eastAsia="zh-CN"/>
        </w:rPr>
      </w:pPr>
      <w:r>
        <w:rPr>
          <w:rFonts w:hint="eastAsia"/>
          <w:lang w:val="en-US" w:eastAsia="zh-CN"/>
        </w:rPr>
        <w:t>2021年净资产2.21亿元，营收3.18亿元，利润总额5516万元；</w:t>
      </w:r>
    </w:p>
    <w:p>
      <w:pPr>
        <w:pStyle w:val="15"/>
        <w:numPr>
          <w:ilvl w:val="0"/>
          <w:numId w:val="0"/>
        </w:numPr>
        <w:ind w:leftChars="100" w:right="0" w:rightChars="0" w:firstLine="420" w:firstLineChars="200"/>
        <w:rPr>
          <w:rFonts w:hint="eastAsia"/>
          <w:lang w:val="en-US" w:eastAsia="zh-CN"/>
        </w:rPr>
      </w:pPr>
      <w:r>
        <w:rPr>
          <w:rFonts w:hint="eastAsia"/>
          <w:lang w:val="en-US" w:eastAsia="zh-CN"/>
        </w:rPr>
        <w:t>2022年净资产2.79亿元，营收4.2亿元，利润总额7391万元。</w:t>
      </w:r>
    </w:p>
    <w:p>
      <w:pPr>
        <w:pStyle w:val="15"/>
        <w:numPr>
          <w:ilvl w:val="0"/>
          <w:numId w:val="0"/>
        </w:numPr>
        <w:ind w:leftChars="100" w:right="0" w:rightChars="0" w:firstLine="420" w:firstLineChars="200"/>
        <w:rPr>
          <w:rFonts w:hint="eastAsia"/>
          <w:lang w:eastAsia="zh-CN"/>
        </w:rPr>
      </w:pPr>
      <w:r>
        <w:rPr>
          <w:rFonts w:hint="eastAsia"/>
          <w:lang w:val="en-US" w:eastAsia="zh-CN"/>
        </w:rPr>
        <w:t>公司及下属子公司现有从业人员共1216人，其中高级职称167人（其中正高职称8人）、中级职称375人，中高级职称占在岗职工的44.57%。</w:t>
      </w:r>
    </w:p>
    <w:p>
      <w:pPr>
        <w:pStyle w:val="15"/>
        <w:numPr>
          <w:ilvl w:val="0"/>
          <w:numId w:val="0"/>
        </w:numPr>
        <w:ind w:leftChars="100" w:right="0" w:rightChars="0"/>
        <w:rPr>
          <w:rFonts w:hint="eastAsia"/>
          <w:b/>
          <w:bCs/>
          <w:sz w:val="24"/>
          <w:szCs w:val="32"/>
          <w:lang w:eastAsia="zh-CN"/>
        </w:rPr>
      </w:pPr>
      <w:r>
        <w:rPr>
          <w:rFonts w:hint="eastAsia"/>
          <w:b/>
          <w:bCs/>
          <w:sz w:val="24"/>
          <w:szCs w:val="32"/>
          <w:lang w:eastAsia="zh-CN"/>
        </w:rPr>
        <w:t>二、投标人服务方案及内容</w:t>
      </w:r>
    </w:p>
    <w:p>
      <w:pPr>
        <w:pStyle w:val="15"/>
        <w:numPr>
          <w:ilvl w:val="0"/>
          <w:numId w:val="0"/>
        </w:numPr>
        <w:ind w:leftChars="100" w:right="0" w:rightChars="0" w:firstLine="420" w:firstLineChars="200"/>
        <w:rPr>
          <w:rFonts w:hint="eastAsia"/>
          <w:lang w:eastAsia="zh-CN"/>
        </w:rPr>
      </w:pPr>
      <w:r>
        <w:rPr>
          <w:rFonts w:hint="eastAsia"/>
          <w:lang w:eastAsia="zh-CN"/>
        </w:rPr>
        <w:t>总服务概况：充分考虑采购人的实际经营和财务状况，为采购人的并购重组、发行辅导、发行上市保荐、股票主承销、持续督导及其他有关事项设计工作方案，包括并购重组混改方案、辅导方案、发行上市方案及持续督导方案等。</w:t>
      </w:r>
    </w:p>
    <w:p>
      <w:pPr>
        <w:pStyle w:val="15"/>
        <w:numPr>
          <w:ilvl w:val="0"/>
          <w:numId w:val="0"/>
        </w:numPr>
        <w:ind w:leftChars="100" w:right="0" w:rightChars="0"/>
        <w:rPr>
          <w:rFonts w:hint="eastAsia"/>
          <w:lang w:eastAsia="zh-CN"/>
        </w:rPr>
      </w:pPr>
      <w:r>
        <w:rPr>
          <w:rFonts w:hint="eastAsia"/>
          <w:lang w:eastAsia="zh-CN"/>
        </w:rPr>
        <w:t xml:space="preserve">    作为采购人并购重组改制的财务顾问，为采购人设计并购重组改制的总体框架及具体实施步骤，组织协调中介机构妥善处理并购重组改制中的各项问题。</w:t>
      </w:r>
    </w:p>
    <w:p>
      <w:pPr>
        <w:pStyle w:val="15"/>
        <w:numPr>
          <w:ilvl w:val="0"/>
          <w:numId w:val="0"/>
        </w:numPr>
        <w:ind w:leftChars="100" w:right="0" w:rightChars="0" w:firstLineChars="200"/>
        <w:rPr>
          <w:rFonts w:hint="eastAsia"/>
          <w:lang w:eastAsia="zh-CN"/>
        </w:rPr>
      </w:pPr>
      <w:r>
        <w:rPr>
          <w:rFonts w:hint="eastAsia"/>
          <w:lang w:eastAsia="zh-CN"/>
        </w:rPr>
        <w:t>作为本次发行的主承销商，核查本次发行的募集文件，撰写投资价值研究报告，根据需要并经甲方授权与其他分销商签订承销团协议组建承销团，对本次发行承担余额包销责任，协助甲方开展本次发行的信息披露、推介、定价、配售、登记及资金清算等工作。</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主要包括以下服务内容：</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2.1为</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发行上市前的重组改制（含混改、股改等）提供财务顾问服务，主要包括以下工作内容：</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2.1.1、对</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及其关联方的历史沿革、股东结构、关联方及相关事项、内控治理、资产情况、主营业务、财务及税收状况、债券债务及诉讼情况进行全面尽调，以此为基础，经与</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进行充分论证，制定混合所有制改制、股份制改造</w:t>
      </w:r>
      <w:r>
        <w:rPr>
          <w:rFonts w:hint="eastAsia" w:ascii="宋体" w:hAnsi="宋体" w:eastAsia="宋体" w:cs="宋体"/>
          <w:bCs/>
          <w:snapToGrid w:val="0"/>
          <w:color w:val="auto"/>
          <w:sz w:val="21"/>
          <w:szCs w:val="21"/>
          <w:highlight w:val="none"/>
          <w:lang w:eastAsia="zh-CN"/>
        </w:rPr>
        <w:t>（如有）</w:t>
      </w:r>
      <w:r>
        <w:rPr>
          <w:rFonts w:hint="eastAsia" w:ascii="宋体" w:hAnsi="宋体" w:eastAsia="宋体" w:cs="宋体"/>
          <w:bCs/>
          <w:snapToGrid w:val="0"/>
          <w:color w:val="auto"/>
          <w:sz w:val="21"/>
          <w:szCs w:val="21"/>
          <w:highlight w:val="none"/>
        </w:rPr>
        <w:t>、业务重组方案（如有）、具体的实施计划和实施路线，以及对</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进行</w:t>
      </w:r>
      <w:r>
        <w:rPr>
          <w:rFonts w:hint="eastAsia" w:ascii="宋体" w:hAnsi="宋体" w:eastAsia="宋体" w:cs="宋体"/>
          <w:bCs/>
          <w:snapToGrid w:val="0"/>
          <w:color w:val="auto"/>
          <w:sz w:val="21"/>
          <w:szCs w:val="21"/>
          <w:highlight w:val="none"/>
          <w:lang w:eastAsia="zh-CN"/>
        </w:rPr>
        <w:t>混改</w:t>
      </w:r>
      <w:r>
        <w:rPr>
          <w:rFonts w:hint="eastAsia" w:ascii="宋体" w:hAnsi="宋体" w:eastAsia="宋体" w:cs="宋体"/>
          <w:bCs/>
          <w:snapToGrid w:val="0"/>
          <w:color w:val="auto"/>
          <w:sz w:val="21"/>
          <w:szCs w:val="21"/>
          <w:highlight w:val="none"/>
        </w:rPr>
        <w:t>具体工作的指导，提供各项专业意见和建议。</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2.1.2、负责混合所有制改制的总体协调，组织各中介机构开展尽职调查、产权界定、资产评估、报表审计、法律审查等工作，组织各中介机构对项目实施过程中涉及的业务、资产、人员、机构、财务、法律等问题进行讨论分析并协助解决；</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2.1.3、帮助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梳理自身的业务模式，包括</w:t>
      </w:r>
      <w:r>
        <w:rPr>
          <w:rFonts w:hint="eastAsia" w:ascii="宋体" w:hAnsi="宋体" w:eastAsia="宋体" w:cs="宋体"/>
          <w:bCs/>
          <w:snapToGrid w:val="0"/>
          <w:color w:val="auto"/>
          <w:sz w:val="21"/>
          <w:szCs w:val="21"/>
          <w:highlight w:val="none"/>
          <w:lang w:eastAsia="zh-CN"/>
        </w:rPr>
        <w:t>经营</w:t>
      </w:r>
      <w:r>
        <w:rPr>
          <w:rFonts w:hint="eastAsia" w:ascii="宋体" w:hAnsi="宋体" w:eastAsia="宋体" w:cs="宋体"/>
          <w:bCs/>
          <w:snapToGrid w:val="0"/>
          <w:color w:val="auto"/>
          <w:sz w:val="21"/>
          <w:szCs w:val="21"/>
          <w:highlight w:val="none"/>
        </w:rPr>
        <w:t>模式、采购模式、生产模式</w:t>
      </w:r>
      <w:r>
        <w:rPr>
          <w:rFonts w:hint="eastAsia" w:ascii="宋体" w:hAnsi="宋体" w:eastAsia="宋体" w:cs="宋体"/>
          <w:bCs/>
          <w:snapToGrid w:val="0"/>
          <w:color w:val="auto"/>
          <w:sz w:val="21"/>
          <w:szCs w:val="21"/>
          <w:highlight w:val="none"/>
          <w:lang w:eastAsia="zh-CN"/>
        </w:rPr>
        <w:t>、用工模式</w:t>
      </w:r>
      <w:r>
        <w:rPr>
          <w:rFonts w:hint="eastAsia" w:ascii="宋体" w:hAnsi="宋体" w:eastAsia="宋体" w:cs="宋体"/>
          <w:bCs/>
          <w:snapToGrid w:val="0"/>
          <w:color w:val="auto"/>
          <w:sz w:val="21"/>
          <w:szCs w:val="21"/>
          <w:highlight w:val="none"/>
        </w:rPr>
        <w:t>等方面，并完成同业竞争与关联交易的判断和梳理；</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2.1.4、协助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完成董事、监事、高级管理人员团队的设立和建设并及时制定股权架构调整方案，确保股权架构在调整后能够满足各方的利益述求，最大化地保障公司持续发展；</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2.1.5、协助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同控股股东及有关监管部门进行沟通、汇报和审批工作，协助起草、出具项目实施过程中须提交控股股东和各有关监管部门的文件材料；</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2.1.6、协助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引进战略投资者，就</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引入战略投资者的入股方案提供各项专业意见和建议。</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2.2为</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提供发行上市辅导服务，并在</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符合辅导备案条件，中标人履行IPO项目立项及立项复核程序的前提下，协助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完成辅导备案的相关工作，包括但不限于以下工作内容：</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2.2.1、股权规范。对</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股权状况进行全面彻底的核查，协调</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及各中介机构界定股权性质、完善股份变动、股东身份资料，明晰产权关系；</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2.2.2、完善资产权属。协助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资产确权工作，在清查现有房产、土地权属状况的基础之上，提供相应的处理方法，完善资产权属；</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2.2.3、完善法人治理结构。协助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调整董事会及监事会人员构成，完善规范内部决策和控制制度、财务制度、内部约束和激励制度，建立符合相关监管部门要求的法人治理结构；</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2.2.4、协助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建立、健全财务会计管理体系及制度，协助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解决审计及新会计准则适用所带来的、可能对本次上市产生影响的财务问题；</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2.2.5、督促</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形成明确的业务发展目标和战略发展规划；</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2.2.6、协助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建立并完善“三会”运作机制，聘请独立董事，建立董事会专门委员会，配备董事会秘书等证券事务工作人员，并确保各组织机构有效运行；</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2.2.7、对实控人、持股5%以上股东、董监高团队进行辅导培训，确保高管人员知悉上市公司法律法规、相关义务和责任，具备足够的诚信水准和管理上市公司的能力及经验；</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2.2.8、建立健全公司章程和内部控制制度，对日常经营管理以及重大事项进行有效的内部约束和激励，同时设立信息披露管理制度和投资者关系管理制度。</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2.3在</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符合IPO申报条件后，中标人为</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首次公开发行人民币普通股（A股）并上市提供保荐服务，并承销</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首次公开发行的人民币普通股（A股），包括但不限于以下工作内容：</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2.3.1、协助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确定IPO申报节点，完成募投项目的选择、备案、环评等事宜；</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2.3.2、依据有关法律、法规和中国证监会的规定，协助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完成公开发行人民币普通股（A股）所需的申报材料，并将材料报送证监会；</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2.3.3、根据证监会的反馈意见进行回复并补充相关资料直至完成发审会全过程；</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2.3.4、依据有关法律、法规和中国证监会的规定，为</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编制发行公告、上公告书等相关材料，制定发行方案并协助</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办理有关公开发行及上市的申请；组织发行工作；</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2.3.5、依据有关法律、法规和中国证监会的规定，履行保荐机构（主承销商）在</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本次发行上市过程中应履行的职责，并组织发行相关的所有工作。</w:t>
      </w:r>
    </w:p>
    <w:p>
      <w:pPr>
        <w:pStyle w:val="20"/>
        <w:snapToGrid w:val="0"/>
        <w:spacing w:line="360" w:lineRule="auto"/>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2.4此外，中标人将为</w:t>
      </w:r>
      <w:r>
        <w:rPr>
          <w:rFonts w:hint="eastAsia" w:ascii="宋体" w:hAnsi="宋体" w:eastAsia="宋体" w:cs="宋体"/>
          <w:bCs/>
          <w:snapToGrid w:val="0"/>
          <w:color w:val="auto"/>
          <w:sz w:val="21"/>
          <w:szCs w:val="21"/>
          <w:highlight w:val="none"/>
          <w:lang w:eastAsia="zh-CN"/>
        </w:rPr>
        <w:t>采购人</w:t>
      </w:r>
      <w:r>
        <w:rPr>
          <w:rFonts w:hint="eastAsia" w:ascii="宋体" w:hAnsi="宋体" w:eastAsia="宋体" w:cs="宋体"/>
          <w:bCs/>
          <w:snapToGrid w:val="0"/>
          <w:color w:val="auto"/>
          <w:sz w:val="21"/>
          <w:szCs w:val="21"/>
          <w:highlight w:val="none"/>
        </w:rPr>
        <w:t>顺利完成本次发行上市，提供必要之策划与咨询服务，就相关问题提供专业化的咨询意见或建议。</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Cs/>
          <w:snapToGrid w:val="0"/>
          <w:color w:val="auto"/>
          <w:kern w:val="0"/>
          <w:sz w:val="21"/>
          <w:szCs w:val="21"/>
          <w:highlight w:val="none"/>
        </w:rPr>
        <w:t>2.5对</w:t>
      </w:r>
      <w:r>
        <w:rPr>
          <w:rFonts w:hint="eastAsia" w:ascii="宋体" w:hAnsi="宋体" w:eastAsia="宋体" w:cs="宋体"/>
          <w:bCs/>
          <w:snapToGrid w:val="0"/>
          <w:color w:val="auto"/>
          <w:kern w:val="0"/>
          <w:sz w:val="21"/>
          <w:szCs w:val="21"/>
          <w:highlight w:val="none"/>
          <w:lang w:eastAsia="zh-CN"/>
        </w:rPr>
        <w:t>采购人</w:t>
      </w:r>
      <w:r>
        <w:rPr>
          <w:rFonts w:hint="eastAsia" w:ascii="宋体" w:hAnsi="宋体" w:eastAsia="宋体" w:cs="宋体"/>
          <w:bCs/>
          <w:snapToGrid w:val="0"/>
          <w:color w:val="auto"/>
          <w:kern w:val="0"/>
          <w:sz w:val="21"/>
          <w:szCs w:val="21"/>
          <w:highlight w:val="none"/>
        </w:rPr>
        <w:t>提出的与上述合作事项相关的其他服务需求，中标人在符合相关法律法规的情况下，积极给予支持与协助。</w:t>
      </w:r>
    </w:p>
    <w:p>
      <w:pPr>
        <w:pStyle w:val="15"/>
        <w:numPr>
          <w:ilvl w:val="0"/>
          <w:numId w:val="0"/>
        </w:numPr>
        <w:ind w:leftChars="100" w:right="0" w:rightChars="0"/>
        <w:rPr>
          <w:rFonts w:hint="eastAsia"/>
          <w:lang w:eastAsia="zh-CN"/>
        </w:rPr>
      </w:pPr>
      <w:r>
        <w:rPr>
          <w:rFonts w:hint="eastAsia"/>
          <w:lang w:val="en-US" w:eastAsia="zh-CN"/>
        </w:rPr>
        <w:t xml:space="preserve">  2.6 </w:t>
      </w:r>
      <w:r>
        <w:rPr>
          <w:rFonts w:hint="eastAsia"/>
          <w:lang w:eastAsia="zh-CN"/>
        </w:rPr>
        <w:t>在发行人证券上市后，持续督导发行人履行规范运作、信守承诺、信息披露等持续督导义务；</w:t>
      </w:r>
    </w:p>
    <w:p>
      <w:pPr>
        <w:pStyle w:val="15"/>
        <w:numPr>
          <w:ilvl w:val="0"/>
          <w:numId w:val="0"/>
        </w:numPr>
        <w:ind w:leftChars="100" w:right="0" w:rightChars="0"/>
        <w:rPr>
          <w:rFonts w:hint="eastAsia"/>
          <w:lang w:eastAsia="zh-CN"/>
        </w:rPr>
      </w:pPr>
      <w:r>
        <w:rPr>
          <w:rFonts w:hint="eastAsia"/>
          <w:lang w:val="en-US" w:eastAsia="zh-CN"/>
        </w:rPr>
        <w:t xml:space="preserve">  2.7  </w:t>
      </w:r>
      <w:r>
        <w:rPr>
          <w:rFonts w:hint="eastAsia"/>
          <w:lang w:eastAsia="zh-CN"/>
        </w:rPr>
        <w:t>其他股权融资等所涉事项、参与企业上市过程中外部、内部协调;</w:t>
      </w:r>
    </w:p>
    <w:p>
      <w:pPr>
        <w:pStyle w:val="15"/>
        <w:numPr>
          <w:ilvl w:val="0"/>
          <w:numId w:val="0"/>
        </w:numPr>
        <w:ind w:leftChars="100" w:right="0" w:rightChars="0"/>
        <w:rPr>
          <w:rFonts w:hint="eastAsia"/>
          <w:lang w:eastAsia="zh-CN"/>
        </w:rPr>
      </w:pPr>
      <w:r>
        <w:rPr>
          <w:rFonts w:hint="eastAsia"/>
          <w:lang w:val="en-US" w:eastAsia="zh-CN"/>
        </w:rPr>
        <w:t xml:space="preserve">  2.8  </w:t>
      </w:r>
      <w:r>
        <w:rPr>
          <w:rFonts w:hint="eastAsia"/>
          <w:lang w:eastAsia="zh-CN"/>
        </w:rPr>
        <w:t>如国家发行体制变化，主要工作内容应按新的发行体制要求，承担上市工作中的券商所有义务。</w:t>
      </w:r>
    </w:p>
    <w:p>
      <w:pPr>
        <w:pStyle w:val="16"/>
        <w:ind w:left="0"/>
        <w:rPr>
          <w:rFonts w:hint="eastAsia"/>
          <w:sz w:val="21"/>
          <w:szCs w:val="24"/>
          <w:lang w:val="en-US" w:eastAsia="zh-CN"/>
        </w:rPr>
      </w:pPr>
      <w:r>
        <w:rPr>
          <w:rFonts w:hint="eastAsia"/>
          <w:lang w:val="en-US" w:eastAsia="zh-CN"/>
        </w:rPr>
        <w:t xml:space="preserve">     </w:t>
      </w:r>
      <w:r>
        <w:rPr>
          <w:rFonts w:hint="eastAsia"/>
          <w:sz w:val="21"/>
          <w:szCs w:val="24"/>
          <w:lang w:val="en-US" w:eastAsia="zh-CN"/>
        </w:rPr>
        <w:t xml:space="preserve">2.9 </w:t>
      </w:r>
      <w:r>
        <w:rPr>
          <w:rFonts w:hint="eastAsia"/>
          <w:lang w:val="en-US" w:eastAsia="zh-CN"/>
        </w:rPr>
        <w:t xml:space="preserve"> </w:t>
      </w:r>
      <w:r>
        <w:rPr>
          <w:rFonts w:hint="eastAsia"/>
          <w:sz w:val="21"/>
          <w:szCs w:val="24"/>
          <w:lang w:eastAsia="zh-CN"/>
        </w:rPr>
        <w:t>以上工作重要时间节点，项目负责人须至现场完成相关工作。</w:t>
      </w:r>
    </w:p>
    <w:p>
      <w:pPr>
        <w:pStyle w:val="15"/>
        <w:numPr>
          <w:ilvl w:val="0"/>
          <w:numId w:val="0"/>
        </w:numPr>
        <w:ind w:leftChars="100" w:right="0" w:rightChars="0"/>
        <w:rPr>
          <w:rFonts w:hint="eastAsia"/>
          <w:lang w:eastAsia="zh-CN"/>
        </w:rPr>
      </w:pPr>
      <w:r>
        <w:rPr>
          <w:rFonts w:hint="eastAsia"/>
          <w:b/>
          <w:bCs/>
          <w:lang w:eastAsia="zh-CN"/>
        </w:rPr>
        <w:t>▲项目</w:t>
      </w:r>
      <w:r>
        <w:rPr>
          <w:rFonts w:hint="eastAsia"/>
          <w:b/>
          <w:bCs/>
          <w:lang w:val="en-US" w:eastAsia="zh-CN"/>
        </w:rPr>
        <w:t>负责人（</w:t>
      </w:r>
      <w:r>
        <w:rPr>
          <w:rFonts w:hint="eastAsia"/>
          <w:b/>
          <w:bCs/>
          <w:lang w:eastAsia="zh-CN"/>
        </w:rPr>
        <w:t>项目保荐代表人）</w:t>
      </w:r>
      <w:r>
        <w:rPr>
          <w:rFonts w:hint="eastAsia"/>
          <w:b/>
          <w:bCs/>
          <w:lang w:val="en-US" w:eastAsia="zh-CN"/>
        </w:rPr>
        <w:t>要求</w:t>
      </w:r>
      <w:r>
        <w:rPr>
          <w:rFonts w:hint="eastAsia"/>
          <w:b/>
          <w:bCs/>
          <w:lang w:eastAsia="zh-CN"/>
        </w:rPr>
        <w:t>具有10年（含）及以上</w:t>
      </w:r>
      <w:r>
        <w:rPr>
          <w:rFonts w:hint="eastAsia"/>
          <w:b/>
          <w:bCs/>
          <w:lang w:val="en-US" w:eastAsia="zh-CN"/>
        </w:rPr>
        <w:t>证券从业经历</w:t>
      </w:r>
      <w:r>
        <w:rPr>
          <w:rFonts w:hint="eastAsia"/>
          <w:b/>
          <w:bCs/>
          <w:lang w:eastAsia="zh-CN"/>
        </w:rPr>
        <w:t>，</w:t>
      </w:r>
      <w:r>
        <w:rPr>
          <w:rFonts w:hint="eastAsia"/>
          <w:b/>
          <w:bCs/>
          <w:lang w:val="en-US" w:eastAsia="zh-CN"/>
        </w:rPr>
        <w:t>从业经历须</w:t>
      </w:r>
      <w:r>
        <w:rPr>
          <w:rFonts w:hint="eastAsia"/>
          <w:b/>
          <w:bCs/>
          <w:lang w:eastAsia="zh-CN"/>
        </w:rPr>
        <w:t>提供中国证券业协会相关查询截图复印件加盖单位公章，起始时间以首次等级日期为准。</w:t>
      </w:r>
    </w:p>
    <w:p>
      <w:pPr>
        <w:pStyle w:val="15"/>
        <w:numPr>
          <w:ilvl w:val="0"/>
          <w:numId w:val="0"/>
        </w:numPr>
        <w:ind w:leftChars="100" w:right="0" w:rightChars="0"/>
        <w:rPr>
          <w:rFonts w:hint="eastAsia"/>
          <w:b/>
          <w:bCs/>
          <w:lang w:val="en-US" w:eastAsia="zh-CN"/>
        </w:rPr>
      </w:pPr>
      <w:r>
        <w:rPr>
          <w:rFonts w:hint="eastAsia"/>
          <w:b/>
          <w:bCs/>
          <w:lang w:val="en-US" w:eastAsia="zh-CN"/>
        </w:rPr>
        <w:t>三、</w:t>
      </w:r>
      <w:r>
        <w:rPr>
          <w:rFonts w:hint="eastAsia"/>
          <w:b/>
          <w:bCs/>
          <w:lang w:eastAsia="zh-CN"/>
        </w:rPr>
        <w:t>承诺在项目运行期间不更换人员，</w:t>
      </w:r>
      <w:r>
        <w:rPr>
          <w:rFonts w:hint="eastAsia"/>
          <w:b/>
          <w:bCs/>
          <w:lang w:val="en-US" w:eastAsia="zh-CN"/>
        </w:rPr>
        <w:t>不论什么原因，如擅自更换项目负责人则罚款人民币10万元，更换项目组其他人员罚款1万元/人（采购人要求更换的除外）。</w:t>
      </w:r>
    </w:p>
    <w:p>
      <w:pPr>
        <w:pStyle w:val="15"/>
        <w:numPr>
          <w:ilvl w:val="0"/>
          <w:numId w:val="0"/>
        </w:numPr>
        <w:ind w:leftChars="100" w:right="0" w:rightChars="0"/>
        <w:rPr>
          <w:rFonts w:hint="eastAsia"/>
          <w:b/>
          <w:bCs/>
          <w:sz w:val="22"/>
          <w:szCs w:val="28"/>
          <w:lang w:val="en-US" w:eastAsia="zh-CN"/>
        </w:rPr>
      </w:pPr>
      <w:r>
        <w:rPr>
          <w:rFonts w:hint="eastAsia"/>
          <w:b/>
          <w:bCs/>
          <w:sz w:val="22"/>
          <w:szCs w:val="28"/>
          <w:lang w:val="en-US" w:eastAsia="zh-CN"/>
        </w:rPr>
        <w:t>四、上市工作计划主要时间节点</w:t>
      </w:r>
    </w:p>
    <w:p>
      <w:pPr>
        <w:pStyle w:val="15"/>
        <w:numPr>
          <w:ilvl w:val="0"/>
          <w:numId w:val="0"/>
        </w:numPr>
        <w:ind w:leftChars="100" w:right="0" w:rightChars="0"/>
        <w:rPr>
          <w:rFonts w:hint="eastAsia"/>
          <w:lang w:val="en-US" w:eastAsia="zh-CN"/>
        </w:rPr>
      </w:pPr>
      <w:r>
        <w:rPr>
          <w:rFonts w:hint="eastAsia"/>
          <w:lang w:eastAsia="zh-CN"/>
        </w:rPr>
        <w:t>（一）股改基准日暂定为</w:t>
      </w:r>
      <w:r>
        <w:rPr>
          <w:rFonts w:hint="eastAsia"/>
          <w:lang w:val="en-US" w:eastAsia="zh-CN"/>
        </w:rPr>
        <w:t>2025年12月31日</w:t>
      </w:r>
    </w:p>
    <w:p>
      <w:pPr>
        <w:pStyle w:val="15"/>
        <w:numPr>
          <w:ilvl w:val="0"/>
          <w:numId w:val="0"/>
        </w:numPr>
        <w:ind w:leftChars="100" w:right="0" w:rightChars="0"/>
        <w:rPr>
          <w:rFonts w:hint="eastAsia" w:ascii="宋体" w:hAnsi="宋体" w:eastAsia="宋体" w:cs="宋体"/>
          <w:b/>
          <w:bCs/>
          <w:color w:val="auto"/>
          <w:sz w:val="24"/>
          <w:szCs w:val="24"/>
          <w:highlight w:val="none"/>
          <w:u w:val="none"/>
          <w:lang w:val="en-US" w:eastAsia="zh-CN"/>
        </w:rPr>
      </w:pPr>
      <w:r>
        <w:rPr>
          <w:rFonts w:hint="eastAsia"/>
          <w:lang w:eastAsia="zh-CN"/>
        </w:rPr>
        <w:t>（二）</w:t>
      </w:r>
      <w:r>
        <w:rPr>
          <w:rFonts w:hint="eastAsia"/>
          <w:lang w:val="en-US" w:eastAsia="zh-CN"/>
        </w:rPr>
        <w:t>2026年6月底前</w:t>
      </w:r>
      <w:r>
        <w:rPr>
          <w:rFonts w:hint="eastAsia"/>
          <w:lang w:eastAsia="zh-CN"/>
        </w:rPr>
        <w:t>完成IPO申报资料的</w:t>
      </w:r>
      <w:bookmarkStart w:id="165" w:name="_Toc223716005"/>
      <w:bookmarkStart w:id="166" w:name="_Toc245722288"/>
      <w:bookmarkStart w:id="167" w:name="_Toc241404209"/>
      <w:bookmarkStart w:id="168" w:name="_Toc222114886"/>
      <w:bookmarkStart w:id="169" w:name="_Toc221374633"/>
      <w:bookmarkStart w:id="170" w:name="_Toc221356897"/>
      <w:bookmarkStart w:id="171" w:name="_Toc389760270"/>
      <w:bookmarkStart w:id="172" w:name="_Toc221356960"/>
      <w:bookmarkStart w:id="173" w:name="_Toc249758722"/>
      <w:bookmarkStart w:id="174" w:name="_Toc249758872"/>
      <w:bookmarkStart w:id="175" w:name="_Toc246261272"/>
      <w:bookmarkStart w:id="176" w:name="_Toc262049426"/>
      <w:bookmarkStart w:id="177" w:name="_Toc262105511"/>
      <w:bookmarkStart w:id="178" w:name="_Toc245191321"/>
      <w:bookmarkStart w:id="179" w:name="_Toc239145361"/>
      <w:bookmarkStart w:id="180" w:name="_Toc221423626"/>
      <w:r>
        <w:rPr>
          <w:rFonts w:hint="eastAsia"/>
          <w:lang w:eastAsia="zh-CN"/>
        </w:rPr>
        <w:t>编制。</w:t>
      </w:r>
      <w:r>
        <w:rPr>
          <w:rFonts w:hint="eastAsia" w:ascii="宋体" w:hAnsi="宋体" w:eastAsia="宋体" w:cs="宋体"/>
          <w:b/>
          <w:bCs/>
          <w:color w:val="auto"/>
          <w:sz w:val="24"/>
          <w:szCs w:val="24"/>
          <w:highlight w:val="none"/>
          <w:u w:val="none"/>
          <w:lang w:val="en-US" w:eastAsia="zh-CN"/>
        </w:rPr>
        <w:t xml:space="preserve">           </w:t>
      </w:r>
    </w:p>
    <w:p>
      <w:pPr>
        <w:spacing w:line="460" w:lineRule="exact"/>
        <w:jc w:val="center"/>
        <w:outlineLvl w:val="0"/>
        <w:rPr>
          <w:rFonts w:hint="default" w:ascii="Arial" w:hAnsi="Arial" w:eastAsia="宋体" w:cs="Arial"/>
          <w:color w:val="auto"/>
          <w:sz w:val="28"/>
          <w:szCs w:val="28"/>
          <w:highlight w:val="none"/>
        </w:rPr>
      </w:pPr>
      <w:r>
        <w:rPr>
          <w:rFonts w:hint="eastAsia" w:ascii="Arial" w:hAnsi="Arial" w:eastAsia="宋体" w:cs="Arial"/>
          <w:b/>
          <w:bCs/>
          <w:color w:val="auto"/>
          <w:kern w:val="2"/>
          <w:sz w:val="28"/>
          <w:szCs w:val="28"/>
          <w:highlight w:val="none"/>
          <w:lang w:val="en-US" w:eastAsia="zh-CN" w:bidi="ar-SA"/>
        </w:rPr>
        <w:br w:type="page"/>
      </w:r>
      <w:bookmarkStart w:id="181" w:name="_Toc2863"/>
      <w:r>
        <w:rPr>
          <w:rFonts w:hint="eastAsia" w:ascii="Arial" w:hAnsi="Arial" w:eastAsia="宋体" w:cs="Arial"/>
          <w:b/>
          <w:bCs/>
          <w:color w:val="auto"/>
          <w:kern w:val="2"/>
          <w:sz w:val="28"/>
          <w:szCs w:val="28"/>
          <w:highlight w:val="none"/>
          <w:lang w:val="en-US" w:eastAsia="zh-CN" w:bidi="ar-SA"/>
        </w:rPr>
        <w:t>第五部分</w:t>
      </w:r>
      <w:r>
        <w:rPr>
          <w:rFonts w:hint="default" w:ascii="Arial" w:hAnsi="Arial" w:eastAsia="宋体" w:cs="Arial"/>
          <w:b/>
          <w:bCs/>
          <w:color w:val="auto"/>
          <w:kern w:val="2"/>
          <w:sz w:val="28"/>
          <w:szCs w:val="28"/>
          <w:highlight w:val="none"/>
          <w:lang w:val="en-US" w:eastAsia="zh-CN" w:bidi="ar-SA"/>
        </w:rPr>
        <w:t xml:space="preserve">   评标原则及方法</w:t>
      </w:r>
      <w:bookmarkEnd w:id="181"/>
    </w:p>
    <w:p>
      <w:pPr>
        <w:spacing w:line="360" w:lineRule="auto"/>
        <w:ind w:left="439" w:leftChars="209"/>
        <w:outlineLvl w:val="9"/>
        <w:rPr>
          <w:rFonts w:hint="default" w:ascii="Arial" w:hAnsi="Arial" w:eastAsia="宋体" w:cs="Arial"/>
          <w:b/>
          <w:color w:val="auto"/>
          <w:sz w:val="22"/>
          <w:szCs w:val="22"/>
          <w:highlight w:val="none"/>
        </w:rPr>
      </w:pPr>
    </w:p>
    <w:p>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据《温州市</w:t>
      </w:r>
      <w:r>
        <w:rPr>
          <w:rFonts w:hint="eastAsia" w:ascii="宋体" w:hAnsi="宋体" w:eastAsia="宋体" w:cs="宋体"/>
          <w:b/>
          <w:color w:val="auto"/>
          <w:sz w:val="21"/>
          <w:szCs w:val="21"/>
          <w:highlight w:val="none"/>
          <w:lang w:val="en-US" w:eastAsia="zh-CN"/>
        </w:rPr>
        <w:t>市属</w:t>
      </w:r>
      <w:r>
        <w:rPr>
          <w:rFonts w:hint="eastAsia" w:ascii="宋体" w:hAnsi="宋体" w:eastAsia="宋体" w:cs="宋体"/>
          <w:b/>
          <w:color w:val="auto"/>
          <w:sz w:val="21"/>
          <w:szCs w:val="21"/>
          <w:highlight w:val="none"/>
        </w:rPr>
        <w:t>国有企业采购管理办法（试行）》等相关法规特制定以下评标办法。</w:t>
      </w:r>
    </w:p>
    <w:p>
      <w:pPr>
        <w:pStyle w:val="14"/>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数量不足3家作流（废）标处理，根据《温州市市属国有企业采购管理办法（试行）的通知》相关条款规定，采购人将重新组织采购。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，如重新采购后，在投标截止时间止及评审期间，出现有效供应商不足三家的情形，采购人可根据实际情况决定本项目继续按原有采购方式继续进行采购活动或转变采购方式或流标。</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w:t>
      </w:r>
      <w:r>
        <w:rPr>
          <w:rFonts w:hint="eastAsia" w:ascii="宋体" w:hAnsi="宋体" w:eastAsia="宋体" w:cs="宋体"/>
          <w:color w:val="auto"/>
          <w:sz w:val="21"/>
          <w:szCs w:val="21"/>
          <w:highlight w:val="none"/>
          <w:u w:val="single"/>
          <w:lang w:val="en-US" w:eastAsia="zh-CN"/>
        </w:rPr>
        <w:t>或最高限价</w:t>
      </w:r>
      <w:r>
        <w:rPr>
          <w:rFonts w:hint="eastAsia" w:ascii="宋体" w:hAnsi="宋体" w:eastAsia="宋体" w:cs="宋体"/>
          <w:color w:val="auto"/>
          <w:sz w:val="21"/>
          <w:szCs w:val="21"/>
          <w:highlight w:val="none"/>
          <w:u w:val="single"/>
        </w:rPr>
        <w:t>，本项目做流标处理。</w:t>
      </w:r>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内投标供应商不参加询问核实活动或不予答复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分（技术资信权值</w:t>
      </w:r>
      <w:r>
        <w:rPr>
          <w:rFonts w:hint="eastAsia" w:ascii="宋体" w:hAnsi="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%），商务（报价）</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分（商务（报价）权值</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技术资信分的评定</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分）</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87"/>
        <w:gridCol w:w="1000"/>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3"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序号</w:t>
            </w:r>
          </w:p>
        </w:tc>
        <w:tc>
          <w:tcPr>
            <w:tcW w:w="1087" w:type="dxa"/>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评分项目</w:t>
            </w: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满分值</w:t>
            </w:r>
          </w:p>
        </w:tc>
        <w:tc>
          <w:tcPr>
            <w:tcW w:w="6421" w:type="dxa"/>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券商资信</w:t>
            </w:r>
          </w:p>
        </w:tc>
        <w:tc>
          <w:tcPr>
            <w:tcW w:w="1087" w:type="dxa"/>
            <w:vMerge w:val="restart"/>
            <w:vAlign w:val="center"/>
          </w:tcPr>
          <w:p>
            <w:pPr>
              <w:pStyle w:val="18"/>
              <w:keepNext w:val="0"/>
              <w:keepLines w:val="0"/>
              <w:suppressLineNumbers w:val="0"/>
              <w:spacing w:beforeAutospacing="0" w:afterAutospacing="0"/>
              <w:ind w:left="0" w:leftChars="0" w:firstLine="0" w:firstLineChars="0"/>
              <w:jc w:val="both"/>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投标人综合实力</w:t>
            </w: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5</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供应商在近三年（2020-2022年）中国证监会公布的证券公司分类评级结果中，能够两年及以上取得AA评级结果的，得5分；能够两年及以上取得A评级结果的，得3分；能够连续三年取得</w:t>
            </w:r>
            <w:r>
              <w:rPr>
                <w:rFonts w:hint="eastAsia" w:ascii="宋体" w:hAnsi="宋体" w:eastAsia="宋体" w:cs="宋体"/>
                <w:color w:val="auto"/>
                <w:sz w:val="21"/>
                <w:szCs w:val="21"/>
                <w:highlight w:val="none"/>
              </w:rPr>
              <w:t>BBB及以上评级结果的，得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新宋体" w:hAnsi="新宋体" w:eastAsia="新宋体" w:cs="新宋体"/>
                <w:vertAlign w:val="baseline"/>
                <w:lang w:val="en-US" w:eastAsia="zh-CN"/>
              </w:rPr>
              <w:t>其余等级不得分。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备注：提供中国证监会官网公布的证券公司分类结果截图并加盖投标人公章，附入投标文件中，否则不得分。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87" w:type="dxa"/>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00" w:type="dxa"/>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10</w:t>
            </w:r>
          </w:p>
        </w:tc>
        <w:tc>
          <w:tcPr>
            <w:tcW w:w="6421" w:type="dxa"/>
          </w:tcPr>
          <w:p>
            <w:pPr>
              <w:pStyle w:val="18"/>
              <w:keepNext w:val="0"/>
              <w:keepLines w:val="0"/>
              <w:suppressLineNumbers w:val="0"/>
              <w:spacing w:beforeAutospacing="0" w:afterAutospacing="0"/>
              <w:ind w:left="0" w:leftChars="0" w:firstLine="0" w:firstLineChars="0"/>
              <w:rPr>
                <w:rFonts w:hint="default" w:ascii="新宋体" w:hAnsi="新宋体" w:eastAsia="宋体" w:cs="新宋体"/>
                <w:vertAlign w:val="baseline"/>
                <w:lang w:val="en-US" w:eastAsia="zh-CN"/>
              </w:rPr>
            </w:pPr>
            <w:r>
              <w:rPr>
                <w:rFonts w:hint="eastAsia" w:ascii="新宋体" w:hAnsi="新宋体" w:eastAsia="新宋体" w:cs="新宋体"/>
                <w:vertAlign w:val="baseline"/>
                <w:lang w:val="en-US" w:eastAsia="zh-CN"/>
              </w:rPr>
              <w:t>自2020年1月1日至投标截止时间（以公告发布时间为准），供应商</w:t>
            </w:r>
            <w:r>
              <w:rPr>
                <w:rFonts w:hint="eastAsia" w:ascii="新宋体" w:hAnsi="新宋体" w:eastAsia="新宋体" w:cs="新宋体"/>
                <w:color w:val="auto"/>
                <w:kern w:val="2"/>
                <w:sz w:val="21"/>
                <w:szCs w:val="24"/>
                <w:highlight w:val="none"/>
              </w:rPr>
              <w:t>保荐承销的已成功</w:t>
            </w:r>
            <w:r>
              <w:rPr>
                <w:rFonts w:hint="eastAsia" w:ascii="新宋体" w:hAnsi="新宋体" w:eastAsia="新宋体" w:cs="新宋体"/>
                <w:color w:val="auto"/>
                <w:kern w:val="2"/>
                <w:sz w:val="21"/>
                <w:szCs w:val="24"/>
                <w:highlight w:val="none"/>
                <w:lang w:val="en-US" w:eastAsia="zh-CN"/>
              </w:rPr>
              <w:t>IPO</w:t>
            </w:r>
            <w:r>
              <w:rPr>
                <w:rFonts w:hint="eastAsia" w:ascii="新宋体" w:hAnsi="新宋体" w:eastAsia="新宋体" w:cs="新宋体"/>
                <w:color w:val="auto"/>
                <w:kern w:val="2"/>
                <w:sz w:val="21"/>
                <w:szCs w:val="24"/>
                <w:highlight w:val="none"/>
              </w:rPr>
              <w:t>项目</w:t>
            </w:r>
            <w:r>
              <w:rPr>
                <w:rFonts w:hint="eastAsia" w:ascii="新宋体" w:hAnsi="新宋体" w:eastAsia="新宋体" w:cs="新宋体"/>
                <w:color w:val="auto"/>
                <w:kern w:val="2"/>
                <w:sz w:val="21"/>
                <w:szCs w:val="24"/>
                <w:highlight w:val="none"/>
                <w:lang w:eastAsia="zh-CN"/>
              </w:rPr>
              <w:t>，</w:t>
            </w:r>
            <w:r>
              <w:rPr>
                <w:rFonts w:hint="eastAsia" w:ascii="新宋体" w:hAnsi="新宋体" w:eastAsia="新宋体" w:cs="新宋体"/>
                <w:vertAlign w:val="baseline"/>
                <w:lang w:val="en-US" w:eastAsia="zh-CN"/>
              </w:rPr>
              <w:t>每提供一个有效业绩得1分，本项最高不超过7分。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自2022年1月1日至投标截止时间（以公告发布时间为准），供应商</w:t>
            </w:r>
            <w:r>
              <w:rPr>
                <w:rFonts w:hint="eastAsia" w:ascii="新宋体" w:hAnsi="新宋体" w:eastAsia="新宋体" w:cs="新宋体"/>
                <w:kern w:val="2"/>
                <w:sz w:val="21"/>
                <w:szCs w:val="24"/>
              </w:rPr>
              <w:t>保荐承销的已成功</w:t>
            </w:r>
            <w:r>
              <w:rPr>
                <w:rFonts w:hint="eastAsia" w:ascii="新宋体" w:hAnsi="新宋体" w:eastAsia="新宋体" w:cs="新宋体"/>
                <w:kern w:val="2"/>
                <w:sz w:val="21"/>
                <w:szCs w:val="24"/>
                <w:lang w:val="en-US" w:eastAsia="zh-CN"/>
              </w:rPr>
              <w:t>IPO</w:t>
            </w:r>
            <w:r>
              <w:rPr>
                <w:rFonts w:hint="eastAsia" w:ascii="新宋体" w:hAnsi="新宋体" w:eastAsia="新宋体" w:cs="新宋体"/>
                <w:kern w:val="2"/>
                <w:sz w:val="21"/>
                <w:szCs w:val="24"/>
              </w:rPr>
              <w:t>项目</w:t>
            </w:r>
            <w:r>
              <w:rPr>
                <w:rFonts w:hint="eastAsia" w:ascii="新宋体" w:hAnsi="新宋体" w:eastAsia="新宋体" w:cs="新宋体"/>
                <w:kern w:val="2"/>
                <w:sz w:val="21"/>
                <w:szCs w:val="24"/>
                <w:lang w:eastAsia="zh-CN"/>
              </w:rPr>
              <w:t>，</w:t>
            </w:r>
            <w:r>
              <w:rPr>
                <w:rFonts w:hint="eastAsia" w:ascii="新宋体" w:hAnsi="新宋体" w:eastAsia="新宋体" w:cs="新宋体"/>
                <w:vertAlign w:val="baseline"/>
                <w:lang w:val="en-US" w:eastAsia="zh-CN"/>
              </w:rPr>
              <w:t>每提供一个有效业绩加1分，本项最高加3分。证明材料：提供中国证监会官网披露的公告关键页截图并加盖公章（同时提供网址），不符合要求的不得分。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87" w:type="dxa"/>
            <w:vAlign w:val="center"/>
          </w:tcPr>
          <w:p>
            <w:pPr>
              <w:pStyle w:val="18"/>
              <w:keepNext w:val="0"/>
              <w:keepLines w:val="0"/>
              <w:suppressLineNumbers w:val="0"/>
              <w:spacing w:beforeAutospacing="0" w:afterAutospacing="0"/>
              <w:ind w:left="0" w:leftChars="0" w:firstLine="0" w:firstLineChars="0"/>
              <w:jc w:val="both"/>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国有企业股改及IPO成功案例</w:t>
            </w: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2</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自2020年1月1日至投标截止时间（以公告发布时间为准），供应商参与国有企业股份改制及IPO上市有成功经验的，每提供一个有效业绩得1分；本项最多得2分。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证明材料：提供合同协议书复印件加盖公章，中国证监会官网披露公告关键页截图并加盖公章（同时提供网址），二者缺一不可，不符合要求的不得分。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87" w:type="dxa"/>
            <w:vAlign w:val="center"/>
          </w:tcPr>
          <w:p>
            <w:pPr>
              <w:pStyle w:val="18"/>
              <w:keepNext w:val="0"/>
              <w:keepLines w:val="0"/>
              <w:suppressLineNumbers w:val="0"/>
              <w:spacing w:beforeAutospacing="0" w:afterAutospacing="0"/>
              <w:ind w:left="0" w:leftChars="0" w:firstLine="0" w:firstLineChars="0"/>
              <w:jc w:val="both"/>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同行业IPO成功案例</w:t>
            </w:r>
          </w:p>
        </w:tc>
        <w:tc>
          <w:tcPr>
            <w:tcW w:w="1000" w:type="dxa"/>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2</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自2020年1月1日至投标截止时间（以公告发布时间为准），供应商作为主承销商保荐专业技术服务类企业并成功上市的得2分，否则不得分。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证明材料：提供合同协议书复印件加盖公章，中国证监会官网披露公告关键页截图并加盖公章（同时提供网址），二者缺一不可，不符合要求的不得分。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87" w:type="dxa"/>
            <w:vAlign w:val="center"/>
          </w:tcPr>
          <w:p>
            <w:pPr>
              <w:pStyle w:val="18"/>
              <w:keepNext w:val="0"/>
              <w:keepLines w:val="0"/>
              <w:suppressLineNumbers w:val="0"/>
              <w:spacing w:beforeAutospacing="0" w:afterAutospacing="0"/>
              <w:ind w:left="0" w:leftChars="0" w:firstLine="0" w:firstLineChars="0"/>
              <w:jc w:val="both"/>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温州本地企业IPO成功案例</w:t>
            </w:r>
          </w:p>
        </w:tc>
        <w:tc>
          <w:tcPr>
            <w:tcW w:w="1000" w:type="dxa"/>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2</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自2022年1月1日至投标截止时间（以公告发布时间为准），供应商作为主承销商保荐温州本地企业并成功上市的，每上市一家得1分，本项最多得2分。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证明材料：提供合同协议书复印件加盖公章，中国证监会官网披露公告关键页截图并加盖公章（同时提供网址），二者缺一不可，不符合要求的不得分。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87" w:type="dxa"/>
            <w:vAlign w:val="center"/>
          </w:tcPr>
          <w:p>
            <w:pPr>
              <w:pStyle w:val="18"/>
              <w:keepNext w:val="0"/>
              <w:keepLines w:val="0"/>
              <w:suppressLineNumbers w:val="0"/>
              <w:spacing w:beforeAutospacing="0" w:afterAutospacing="0"/>
              <w:ind w:left="0" w:leftChars="0" w:firstLine="0" w:firstLineChars="0"/>
              <w:jc w:val="both"/>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企业上市成功率</w:t>
            </w:r>
          </w:p>
        </w:tc>
        <w:tc>
          <w:tcPr>
            <w:tcW w:w="1000" w:type="dxa"/>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10</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年1月1日至投标截止时间</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以公告发布时间为准</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新宋体" w:hAnsi="新宋体" w:eastAsia="新宋体" w:cs="新宋体"/>
                <w:vertAlign w:val="baseline"/>
                <w:lang w:val="en-US" w:eastAsia="zh-CN"/>
              </w:rPr>
              <w:t>供应商作为承销商在全国范围内企业成功上市（首发10家及10家案例以上）案例成功率情况：上市成功率在100%的得10分，</w:t>
            </w:r>
            <w:r>
              <w:rPr>
                <w:rFonts w:hint="eastAsia" w:ascii="宋体" w:hAnsi="宋体" w:eastAsia="宋体" w:cs="宋体"/>
                <w:bCs/>
                <w:color w:val="auto"/>
                <w:sz w:val="21"/>
                <w:szCs w:val="21"/>
                <w:highlight w:val="none"/>
                <w:lang w:eastAsia="zh-CN"/>
              </w:rPr>
              <w:t>上市成功率在</w:t>
            </w:r>
            <w:r>
              <w:rPr>
                <w:rFonts w:hint="eastAsia" w:ascii="宋体" w:hAnsi="宋体" w:eastAsia="宋体" w:cs="宋体"/>
                <w:bCs/>
                <w:color w:val="auto"/>
                <w:sz w:val="21"/>
                <w:szCs w:val="21"/>
                <w:highlight w:val="none"/>
                <w:lang w:val="en-US" w:eastAsia="zh-CN"/>
              </w:rPr>
              <w:t>95%-100%之间的扣2分，上市成功率在90%-95%之间的扣3分，在90%以下的扣5分</w:t>
            </w:r>
            <w:r>
              <w:rPr>
                <w:rFonts w:hint="eastAsia" w:ascii="宋体" w:hAnsi="宋体" w:eastAsia="宋体" w:cs="宋体"/>
                <w:bCs/>
                <w:color w:val="auto"/>
                <w:sz w:val="21"/>
                <w:szCs w:val="21"/>
                <w:highlight w:val="none"/>
              </w:rPr>
              <w:t>。</w:t>
            </w:r>
            <w:r>
              <w:rPr>
                <w:rFonts w:hint="eastAsia" w:ascii="新宋体" w:hAnsi="新宋体" w:eastAsia="新宋体" w:cs="新宋体"/>
                <w:vertAlign w:val="baseline"/>
                <w:lang w:val="en-US" w:eastAsia="zh-CN"/>
              </w:rPr>
              <w:t>其中上市成功率=（</w:t>
            </w:r>
            <w:r>
              <w:rPr>
                <w:rFonts w:hint="eastAsia" w:ascii="宋体" w:hAnsi="宋体" w:eastAsia="宋体" w:cs="宋体"/>
                <w:bCs/>
                <w:color w:val="auto"/>
                <w:sz w:val="21"/>
                <w:szCs w:val="21"/>
                <w:highlight w:val="none"/>
              </w:rPr>
              <w:t>A/（A+B）*100%</w:t>
            </w:r>
            <w:r>
              <w:rPr>
                <w:rFonts w:hint="eastAsia" w:ascii="新宋体" w:hAnsi="新宋体" w:eastAsia="新宋体" w:cs="新宋体"/>
                <w:vertAlign w:val="baseline"/>
                <w:lang w:val="en-US" w:eastAsia="zh-CN"/>
              </w:rPr>
              <w:t>）。</w:t>
            </w:r>
          </w:p>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A=投标承销商在全国范围内企业成功上市的数量；</w:t>
            </w:r>
          </w:p>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B=投标承销商全国范围内企业上市被发审否决的数量；</w:t>
            </w:r>
          </w:p>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 xml:space="preserve">  如首发企业家数不足10家，则不得分。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 xml:space="preserve">  证明材料：提供中国证监会官网披露的公告关键页截图并加盖公章（同时提供网址），不符合要求的不得分。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restart"/>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券商工作方案</w:t>
            </w: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5</w:t>
            </w:r>
          </w:p>
        </w:tc>
        <w:tc>
          <w:tcPr>
            <w:tcW w:w="6421" w:type="dxa"/>
          </w:tcPr>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供应商服务方案是否完善（投标人的服务方案是否满足采购要求、是否齐全、结构完善、表述准确、条理清晰），供应商针对本项目业务特点，分析现状及存在问题，提出混改及上市的合理路径，给出解决方案、合理化建议，优3-5分，一般1-2.9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3</w:t>
            </w:r>
          </w:p>
        </w:tc>
        <w:tc>
          <w:tcPr>
            <w:tcW w:w="6421" w:type="dxa"/>
          </w:tcPr>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按照供应商承诺的项目服务方案时间表进行评分，根据采购人上市工作计划主要时间节点，总体安排合理得2-3分，良好得1-1.9分，一般得0-0.9分，两个及以上的投标人承诺的时间相同的得分相同，其他不得分）。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00" w:type="dxa"/>
            <w:vAlign w:val="center"/>
          </w:tcPr>
          <w:p>
            <w:pPr>
              <w:pStyle w:val="18"/>
              <w:keepNext w:val="0"/>
              <w:keepLines w:val="0"/>
              <w:suppressLineNumbers w:val="0"/>
              <w:spacing w:beforeAutospacing="0" w:afterAutospacing="0"/>
              <w:ind w:left="426" w:leftChars="0" w:right="-11" w:rightChars="0" w:hanging="426" w:hangingChars="203"/>
              <w:jc w:val="center"/>
              <w:rPr>
                <w:rFonts w:hint="eastAsia"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8</w:t>
            </w:r>
          </w:p>
        </w:tc>
        <w:tc>
          <w:tcPr>
            <w:tcW w:w="6421" w:type="dxa"/>
            <w:vAlign w:val="top"/>
          </w:tcPr>
          <w:p>
            <w:pPr>
              <w:pStyle w:val="18"/>
              <w:keepNext w:val="0"/>
              <w:keepLines w:val="0"/>
              <w:suppressLineNumbers w:val="0"/>
              <w:spacing w:beforeAutospacing="0" w:afterAutospacing="0"/>
              <w:ind w:left="0" w:leftChars="0" w:right="-11" w:rightChars="0" w:firstLine="0" w:firstLineChars="0"/>
              <w:rPr>
                <w:rFonts w:hint="default"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供应商针对本项目重点、难点分析及解决方案、合理化建议（主办券商本项目执行过程中可能影响结果及进程的风险主要节点进行分析，并给出风险规避方案，酌情评分。需包括企业混改方案），优6-8分，良好得3-5.9分，一般得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continue"/>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rPr>
            </w:pPr>
          </w:p>
        </w:tc>
        <w:tc>
          <w:tcPr>
            <w:tcW w:w="1000" w:type="dxa"/>
            <w:vAlign w:val="center"/>
          </w:tcPr>
          <w:p>
            <w:pPr>
              <w:pStyle w:val="18"/>
              <w:keepNext w:val="0"/>
              <w:keepLines w:val="0"/>
              <w:suppressLineNumbers w:val="0"/>
              <w:spacing w:beforeAutospacing="0" w:afterAutospacing="0"/>
              <w:ind w:left="426" w:leftChars="0" w:right="-11" w:rightChars="0" w:hanging="426" w:hangingChars="203"/>
              <w:jc w:val="center"/>
              <w:rPr>
                <w:rFonts w:hint="default"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3</w:t>
            </w:r>
          </w:p>
        </w:tc>
        <w:tc>
          <w:tcPr>
            <w:tcW w:w="6421" w:type="dxa"/>
            <w:vAlign w:val="top"/>
          </w:tcPr>
          <w:p>
            <w:pPr>
              <w:pStyle w:val="18"/>
              <w:keepNext w:val="0"/>
              <w:keepLines w:val="0"/>
              <w:suppressLineNumbers w:val="0"/>
              <w:spacing w:beforeAutospacing="0" w:afterAutospacing="0"/>
              <w:ind w:left="0" w:leftChars="0" w:right="-11" w:rightChars="0" w:firstLine="0" w:firstLineChars="0"/>
              <w:rPr>
                <w:rFonts w:hint="default"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供应商应在项目完成挂牌后提供的后续督导服务，包括但不限于给项目企业必要的培训、督导及辅导服务，根据投标人提供的服务承诺打分，承诺优得2-3分，良好得1-1.9分，一般得0-0.9分。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eastAsia="zh-CN"/>
              </w:rPr>
            </w:pPr>
            <w:r>
              <w:rPr>
                <w:rFonts w:hint="eastAsia" w:ascii="新宋体" w:hAnsi="新宋体" w:eastAsia="新宋体" w:cs="新宋体"/>
                <w:vertAlign w:val="baseline"/>
                <w:lang w:eastAsia="zh-CN"/>
              </w:rPr>
              <w:t>本地服务</w:t>
            </w:r>
          </w:p>
        </w:tc>
        <w:tc>
          <w:tcPr>
            <w:tcW w:w="1000" w:type="dxa"/>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2</w:t>
            </w:r>
          </w:p>
        </w:tc>
        <w:tc>
          <w:tcPr>
            <w:tcW w:w="6421" w:type="dxa"/>
          </w:tcPr>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供应商提供较好的本地服务，承诺24小时内响应到位，得1分；总部在浙江省，或在浙江省设有分支服务机构（</w:t>
            </w:r>
            <w:r>
              <w:rPr>
                <w:rFonts w:hint="eastAsia" w:ascii="宋体" w:hAnsi="宋体" w:eastAsia="宋体" w:cs="宋体"/>
                <w:color w:val="auto"/>
                <w:szCs w:val="21"/>
                <w:highlight w:val="none"/>
              </w:rPr>
              <w:t>提供服务机构注册证明复印件</w:t>
            </w:r>
            <w:r>
              <w:rPr>
                <w:rFonts w:hint="eastAsia" w:ascii="宋体" w:hAnsi="宋体" w:eastAsia="宋体" w:cs="宋体"/>
                <w:color w:val="auto"/>
                <w:szCs w:val="21"/>
                <w:highlight w:val="none"/>
                <w:lang w:eastAsia="zh-CN"/>
              </w:rPr>
              <w:t>并</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新宋体" w:hAnsi="新宋体" w:eastAsia="新宋体" w:cs="新宋体"/>
                <w:vertAlign w:val="baseline"/>
                <w:lang w:val="en-US" w:eastAsia="zh-CN"/>
              </w:rPr>
              <w:t>，承诺24小时内响应到位，得2分</w:t>
            </w:r>
            <w:r>
              <w:rPr>
                <w:rFonts w:hint="eastAsia" w:ascii="新宋体" w:hAnsi="新宋体" w:eastAsia="新宋体" w:cs="新宋体"/>
                <w:u w:val="none"/>
                <w:vertAlign w:val="baseline"/>
                <w:lang w:val="en-US" w:eastAsia="zh-CN"/>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Align w:val="center"/>
          </w:tcPr>
          <w:p>
            <w:pPr>
              <w:pStyle w:val="18"/>
              <w:keepNext w:val="0"/>
              <w:keepLines w:val="0"/>
              <w:suppressLineNumbers w:val="0"/>
              <w:spacing w:beforeAutospacing="0" w:afterAutospacing="0"/>
              <w:ind w:left="426" w:leftChars="0" w:right="-11" w:rightChars="0" w:hanging="426" w:hangingChars="203"/>
              <w:jc w:val="center"/>
              <w:rPr>
                <w:rFonts w:hint="eastAsia"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承销费用</w:t>
            </w:r>
          </w:p>
        </w:tc>
        <w:tc>
          <w:tcPr>
            <w:tcW w:w="1000" w:type="dxa"/>
            <w:vAlign w:val="center"/>
          </w:tcPr>
          <w:p>
            <w:pPr>
              <w:pStyle w:val="18"/>
              <w:keepNext w:val="0"/>
              <w:keepLines w:val="0"/>
              <w:suppressLineNumbers w:val="0"/>
              <w:spacing w:beforeAutospacing="0" w:afterAutospacing="0"/>
              <w:ind w:left="426" w:leftChars="0" w:right="-11" w:rightChars="0" w:hanging="426" w:hangingChars="203"/>
              <w:jc w:val="center"/>
              <w:rPr>
                <w:rFonts w:hint="default"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15</w:t>
            </w:r>
          </w:p>
        </w:tc>
        <w:tc>
          <w:tcPr>
            <w:tcW w:w="6421" w:type="dxa"/>
            <w:vAlign w:val="top"/>
          </w:tcPr>
          <w:p>
            <w:pPr>
              <w:pStyle w:val="18"/>
              <w:keepNext w:val="0"/>
              <w:keepLines w:val="0"/>
              <w:suppressLineNumbers w:val="0"/>
              <w:spacing w:beforeAutospacing="0" w:afterAutospacing="0"/>
              <w:ind w:left="0" w:leftChars="0" w:right="-11" w:rightChars="0" w:firstLine="0" w:firstLineChars="0"/>
              <w:rPr>
                <w:rFonts w:hint="eastAsia" w:ascii="新宋体" w:hAnsi="新宋体" w:eastAsia="新宋体" w:cs="新宋体"/>
                <w:kern w:val="2"/>
                <w:sz w:val="21"/>
                <w:szCs w:val="24"/>
                <w:vertAlign w:val="baseline"/>
                <w:lang w:val="en-US" w:eastAsia="zh-CN" w:bidi="ar-SA"/>
              </w:rPr>
            </w:pPr>
            <w:r>
              <w:rPr>
                <w:rFonts w:hint="eastAsia" w:ascii="新宋体" w:hAnsi="新宋体" w:eastAsia="新宋体" w:cs="新宋体"/>
                <w:vertAlign w:val="baseline"/>
                <w:lang w:val="en-US" w:eastAsia="zh-CN"/>
              </w:rPr>
              <w:t>承销费率按承销费率（8%）为基准，承销费率等于基准价得5分，在基准价基础上每下浮0.1个百分点加1分（不足0.1个百分点的部分均不加分），本项最高15分，承诺承销费高于基准价不得分。如承诺承销费率8%的得5分，承诺7.9%加1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restart"/>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p>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项目工作组</w:t>
            </w: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6</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供应商指定的项目负责人具备10年及以上投行从业经验且具有保荐代表人资格的得2分，在注册制下曾作为签字保荐代表人成功完成5个及以上IPO项目的得4分；完成3-4个的得3分；完成1-2个的得2分。</w:t>
            </w:r>
          </w:p>
          <w:p>
            <w:pPr>
              <w:pStyle w:val="18"/>
              <w:keepNext w:val="0"/>
              <w:keepLines w:val="0"/>
              <w:suppressLineNumbers w:val="0"/>
              <w:spacing w:beforeAutospacing="0" w:afterAutospacing="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本项需提供成功上市项目保荐书签字页截图并加盖公章。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continue"/>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7</w:t>
            </w:r>
          </w:p>
        </w:tc>
        <w:tc>
          <w:tcPr>
            <w:tcW w:w="6421" w:type="dxa"/>
          </w:tcPr>
          <w:p>
            <w:pPr>
              <w:pStyle w:val="18"/>
              <w:keepNext w:val="0"/>
              <w:keepLines w:val="0"/>
              <w:suppressLineNumbers w:val="0"/>
              <w:spacing w:beforeAutospacing="0" w:afterAutospacing="0"/>
              <w:ind w:left="0" w:leftChars="0" w:firstLine="0" w:firstLineChars="0"/>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供应商指定的现场负责人具备10年及以上投行从业经验且具有保荐代表人资格的得2分，具备5年以上投行从业经验且具有保荐代表人资格的得1分；具有2个及以上IPO经验的加2分；具有注册会计师或律师执业证书的得1分；团队成员中有注册会计师证书或律师执业证书的，每增加一个得1分，最多不超过2分。</w:t>
            </w:r>
          </w:p>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本项需提供证明材料复印件并加盖公章。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gridSpan w:val="2"/>
            <w:vMerge w:val="continue"/>
            <w:vAlign w:val="center"/>
          </w:tcPr>
          <w:p>
            <w:pPr>
              <w:pStyle w:val="18"/>
              <w:keepNext w:val="0"/>
              <w:keepLines w:val="0"/>
              <w:suppressLineNumbers w:val="0"/>
              <w:spacing w:beforeAutospacing="0" w:afterAutospacing="0"/>
              <w:jc w:val="center"/>
              <w:rPr>
                <w:rFonts w:hint="default" w:ascii="新宋体" w:hAnsi="新宋体" w:eastAsia="新宋体" w:cs="新宋体"/>
                <w:vertAlign w:val="baseline"/>
                <w:lang w:val="en-US" w:eastAsia="zh-CN"/>
              </w:rPr>
            </w:pPr>
          </w:p>
        </w:tc>
        <w:tc>
          <w:tcPr>
            <w:tcW w:w="1000" w:type="dxa"/>
            <w:vAlign w:val="center"/>
          </w:tcPr>
          <w:p>
            <w:pPr>
              <w:pStyle w:val="18"/>
              <w:keepNext w:val="0"/>
              <w:keepLines w:val="0"/>
              <w:suppressLineNumbers w:val="0"/>
              <w:spacing w:beforeAutospacing="0" w:afterAutospacing="0"/>
              <w:jc w:val="center"/>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5</w:t>
            </w:r>
          </w:p>
        </w:tc>
        <w:tc>
          <w:tcPr>
            <w:tcW w:w="6421" w:type="dxa"/>
          </w:tcPr>
          <w:p>
            <w:pPr>
              <w:pStyle w:val="18"/>
              <w:keepNext w:val="0"/>
              <w:keepLines w:val="0"/>
              <w:suppressLineNumbers w:val="0"/>
              <w:spacing w:beforeAutospacing="0" w:afterAutospacing="0"/>
              <w:ind w:left="0" w:leftChars="0" w:firstLine="0" w:firstLineChars="0"/>
              <w:rPr>
                <w:rFonts w:hint="default"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项目负责人由券商总部人员担任的得1分（须提供聘用合同、社保等相关证明资料）；项目团队成员专业情况视提供材料得0-2分，成员情况需提供相应证书复印件并加盖公章才予以认可；团队岗位分工职责是否明确且完全满足项目运作需要得0-1分；承诺在项目运行期间不更换主要人员得1分，否则不得分。</w:t>
            </w:r>
          </w:p>
        </w:tc>
      </w:tr>
    </w:tbl>
    <w:p>
      <w:pPr>
        <w:pStyle w:val="18"/>
        <w:spacing w:before="0" w:beforeLines="0" w:after="0" w:afterLines="0"/>
        <w:ind w:left="0" w:leftChars="0" w:right="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商务评分（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pPr>
        <w:pStyle w:val="162"/>
        <w:spacing w:line="360" w:lineRule="auto"/>
        <w:ind w:firstLine="0" w:firstLineChars="0"/>
        <w:jc w:val="left"/>
        <w:rPr>
          <w:rFonts w:hint="eastAsia" w:hAnsi="宋体" w:eastAsia="宋体" w:cs="宋体"/>
          <w:color w:val="auto"/>
          <w:szCs w:val="21"/>
          <w:highlight w:val="none"/>
          <w:shd w:val="clear" w:color="auto" w:fill="FFFFFF"/>
        </w:rPr>
      </w:pPr>
      <w:r>
        <w:rPr>
          <w:rFonts w:hint="eastAsia" w:hAnsi="宋体" w:eastAsia="宋体" w:cs="宋体"/>
          <w:color w:val="auto"/>
          <w:szCs w:val="21"/>
          <w:highlight w:val="none"/>
          <w:shd w:val="clear" w:color="auto" w:fill="FFFFFF"/>
        </w:rPr>
        <w:t>（1）评分范围：通过初步评审的所有投标文件进入评分范围。</w:t>
      </w:r>
    </w:p>
    <w:p>
      <w:pPr>
        <w:pStyle w:val="162"/>
        <w:spacing w:line="360" w:lineRule="auto"/>
        <w:ind w:firstLine="0" w:firstLineChars="0"/>
        <w:jc w:val="left"/>
        <w:rPr>
          <w:rFonts w:hint="eastAsia" w:hAnsi="宋体" w:eastAsia="宋体" w:cs="宋体"/>
          <w:color w:val="auto"/>
          <w:szCs w:val="21"/>
          <w:highlight w:val="none"/>
          <w:shd w:val="clear" w:color="auto" w:fill="FFFFFF"/>
        </w:rPr>
      </w:pPr>
      <w:r>
        <w:rPr>
          <w:rFonts w:hint="eastAsia" w:hAnsi="宋体" w:eastAsia="宋体" w:cs="宋体"/>
          <w:color w:val="auto"/>
          <w:szCs w:val="21"/>
          <w:highlight w:val="none"/>
          <w:shd w:val="clear" w:color="auto" w:fill="FFFFFF"/>
        </w:rPr>
        <w:t>（2）评审基准价：所有有效报价的算数平均价为评审基准价。</w:t>
      </w:r>
      <w:r>
        <w:rPr>
          <w:rFonts w:hint="eastAsia" w:hAnsi="宋体" w:eastAsia="宋体" w:cs="宋体"/>
          <w:color w:val="auto"/>
          <w:highlight w:val="none"/>
        </w:rPr>
        <w:t>（有效</w:t>
      </w:r>
      <w:r>
        <w:rPr>
          <w:rFonts w:hint="eastAsia" w:hAnsi="宋体" w:eastAsia="宋体" w:cs="宋体"/>
          <w:color w:val="auto"/>
          <w:highlight w:val="none"/>
          <w:lang w:eastAsia="zh-CN"/>
        </w:rPr>
        <w:t>投标供应商</w:t>
      </w:r>
      <w:r>
        <w:rPr>
          <w:rFonts w:hint="eastAsia" w:hAnsi="宋体" w:eastAsia="宋体" w:cs="宋体"/>
          <w:color w:val="auto"/>
          <w:highlight w:val="none"/>
        </w:rPr>
        <w:t>在5个及以上时，去除一个最高价和一个最低价；有效</w:t>
      </w:r>
      <w:r>
        <w:rPr>
          <w:rFonts w:hint="eastAsia" w:hAnsi="宋体" w:eastAsia="宋体" w:cs="宋体"/>
          <w:color w:val="auto"/>
          <w:highlight w:val="none"/>
          <w:lang w:eastAsia="zh-CN"/>
        </w:rPr>
        <w:t>投标供应商</w:t>
      </w:r>
      <w:r>
        <w:rPr>
          <w:rFonts w:hint="eastAsia" w:hAnsi="宋体" w:eastAsia="宋体" w:cs="宋体"/>
          <w:color w:val="auto"/>
          <w:highlight w:val="none"/>
        </w:rPr>
        <w:t>在8个及以上时，去除一个最高、次高价和一个最低、次低价）。</w:t>
      </w:r>
    </w:p>
    <w:p>
      <w:pPr>
        <w:pStyle w:val="162"/>
        <w:spacing w:line="360" w:lineRule="auto"/>
        <w:ind w:firstLine="0" w:firstLineChars="0"/>
        <w:jc w:val="left"/>
        <w:rPr>
          <w:rFonts w:hint="eastAsia" w:hAnsi="宋体" w:eastAsia="宋体" w:cs="宋体"/>
          <w:color w:val="auto"/>
          <w:szCs w:val="21"/>
          <w:highlight w:val="none"/>
          <w:shd w:val="clear" w:color="auto" w:fill="FFFFFF"/>
        </w:rPr>
      </w:pPr>
      <w:r>
        <w:rPr>
          <w:rFonts w:hint="eastAsia" w:hAnsi="宋体" w:eastAsia="宋体" w:cs="宋体"/>
          <w:color w:val="auto"/>
          <w:szCs w:val="21"/>
          <w:highlight w:val="none"/>
          <w:shd w:val="clear" w:color="auto" w:fill="FFFFFF"/>
        </w:rPr>
        <w:t>（3）根据投标文件的投标报价与评审基准价对比，计算供应商的该项得分值</w:t>
      </w:r>
      <w:r>
        <w:rPr>
          <w:rFonts w:hint="eastAsia" w:hAnsi="宋体" w:eastAsia="宋体" w:cs="宋体"/>
          <w:color w:val="auto"/>
          <w:szCs w:val="21"/>
          <w:highlight w:val="none"/>
          <w:shd w:val="clear" w:color="auto" w:fill="FFFFFF"/>
          <w:lang w:eastAsia="zh-CN"/>
        </w:rPr>
        <w:t>，</w:t>
      </w:r>
      <w:r>
        <w:rPr>
          <w:rFonts w:hint="eastAsia" w:ascii="宋体" w:hAnsi="宋体" w:eastAsia="宋体" w:cs="宋体"/>
          <w:color w:val="auto"/>
          <w:sz w:val="22"/>
          <w:szCs w:val="22"/>
          <w:highlight w:val="none"/>
          <w:lang w:val="en-US" w:eastAsia="zh-CN"/>
        </w:rPr>
        <w:t>四舍五入，保留小数点后二位。</w:t>
      </w:r>
      <w:r>
        <w:rPr>
          <w:rFonts w:hint="eastAsia" w:hAnsi="宋体" w:eastAsia="宋体" w:cs="宋体"/>
          <w:color w:val="auto"/>
          <w:szCs w:val="21"/>
          <w:highlight w:val="none"/>
          <w:shd w:val="clear" w:color="auto" w:fill="FFFFFF"/>
        </w:rPr>
        <w:t>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a.投标报价等于评审基准价时，得15分；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报价每高于评标基准价1个百分点（相对数），在基准分上扣0.5分，即：得分=15-︱（投标报价-基准价）︱/基准价*100*0.5；或每低于评标基准价1个百分点（相对数），在基准分上扣0.3分，即：得分=15-︱（投标报价-基准价）︱/基准价*100*0.3。</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不足1个百分点时，使用直线插入法计算，保留小数2位；计算扣分超过15分的本项不得分。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例：假如基准价210万元，投标报价220万元，得分=15-（220-210）/210*100*0.5=12.62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有效投标供应商的综合得分为技术资信分和商务（报价）分的总和。</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评标委员会按综合得分高低顺序排列，综合得分最高的投标供应商作为该项目中标候选人向采购人推荐，并提交评标报告。综合得分相同的，按投标报价由低到高顺序排列；综合得分且投标报价相同的，则由评标委员会在所有得分均相同者中随机抽取其中一名为名次优先者。</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根据评标委员会的推荐结果进行最终确认。如中标人放弃中标、或因不可抗力提出不能履行合同；或未能在规定时间内与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签订合同的；或者经质疑，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审查后，确因招中标人在本次采购活动中存在违法违规行为或其他原因使质疑成立的，本次招标失败，重新招标。</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评标结束后，采购人将在浙江政府采购网、温州国企采购平台等发布采购公告的网站上公示中标结果。中标公告期为1个工作日，中标公告期限结束无异议的，</w:t>
      </w:r>
      <w:r>
        <w:rPr>
          <w:rFonts w:hint="eastAsia" w:ascii="宋体" w:hAnsi="宋体" w:eastAsia="宋体" w:cs="宋体"/>
          <w:b w:val="0"/>
          <w:color w:val="auto"/>
          <w:sz w:val="21"/>
          <w:szCs w:val="21"/>
          <w:highlight w:val="none"/>
          <w:lang w:val="en-US" w:eastAsia="zh-CN"/>
        </w:rPr>
        <w:t>项目业主</w:t>
      </w:r>
      <w:r>
        <w:rPr>
          <w:rFonts w:hint="eastAsia" w:ascii="宋体" w:hAnsi="宋体" w:eastAsia="宋体" w:cs="宋体"/>
          <w:b w:val="0"/>
          <w:color w:val="auto"/>
          <w:sz w:val="21"/>
          <w:szCs w:val="21"/>
          <w:highlight w:val="none"/>
        </w:rPr>
        <w:t>与中标人按照采购文件和中标人投标文件的约定签订合同。</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各</w:t>
      </w:r>
      <w:r>
        <w:rPr>
          <w:rFonts w:hint="eastAsia" w:ascii="宋体" w:hAnsi="宋体" w:eastAsia="宋体" w:cs="宋体"/>
          <w:b w:val="0"/>
          <w:color w:val="auto"/>
          <w:sz w:val="21"/>
          <w:szCs w:val="21"/>
          <w:highlight w:val="none"/>
          <w:lang w:eastAsia="zh-CN"/>
        </w:rPr>
        <w:t>投标供应商</w:t>
      </w:r>
      <w:r>
        <w:rPr>
          <w:rFonts w:hint="eastAsia" w:ascii="宋体" w:hAnsi="宋体" w:eastAsia="宋体" w:cs="宋体"/>
          <w:b w:val="0"/>
          <w:color w:val="auto"/>
          <w:sz w:val="21"/>
          <w:szCs w:val="21"/>
          <w:highlight w:val="none"/>
        </w:rPr>
        <w:t>对评标结果如有异议，可在中标结果公告之日起7个工作日内以书面形式向采购人进行署名投诉或提出质疑，但需对投诉或质疑内容的真实性承担法律责任。</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p>
      <w:pPr>
        <w:outlineLvl w:val="9"/>
        <w:rPr>
          <w:color w:val="auto"/>
          <w:highlight w:val="none"/>
        </w:rPr>
      </w:pPr>
    </w:p>
    <w:sectPr>
      <w:pgSz w:w="11906" w:h="16838"/>
      <w:pgMar w:top="1134" w:right="1134" w:bottom="1134" w:left="1417" w:header="851" w:footer="567" w:gutter="0"/>
      <w:pgBorders>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HiddenHorzOCR">
    <w:altName w:val="MS Gothic"/>
    <w:panose1 w:val="00000000000000000000"/>
    <w:charset w:val="80"/>
    <w:family w:val="auto"/>
    <w:pitch w:val="default"/>
    <w:sig w:usb0="00000000" w:usb1="00000000" w:usb2="00000010" w:usb3="00000000" w:csb0="0002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pPr>
                      <w:pStyle w:val="24"/>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Style w:val="37"/>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0xsjUAQAApg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aNMbI1AEAAKYDAAAOAAAAAAAAAAEAIAAA&#10;ACIBAABkcnMvZTJvRG9jLnhtbFBLBQYAAAAABgAGAFkBAABo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p>
    <w:pPr>
      <w:pStyle w:val="24"/>
      <w:jc w:val="center"/>
      <w:rPr>
        <w:rStyle w:val="37"/>
        <w:rFonts w:hint="eastAsia"/>
      </w:rPr>
    </w:pPr>
  </w:p>
  <w:p>
    <w:pPr>
      <w:pStyle w:val="24"/>
      <w:jc w:val="center"/>
      <w:rPr>
        <w:rStyle w:val="37"/>
        <w:rFonts w:hint="eastAsia"/>
      </w:rPr>
    </w:pPr>
  </w:p>
  <w:p>
    <w:pPr>
      <w:pStyle w:val="24"/>
      <w:rPr>
        <w:rStyle w:val="37"/>
        <w:rFonts w:hint="eastAsia"/>
      </w:rPr>
    </w:pPr>
  </w:p>
  <w:p>
    <w:pPr>
      <w:pStyle w:val="2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1.65pt;width:72.05pt;mso-position-horizontal:center;mso-position-horizontal-relative:margin;mso-wrap-style:none;z-index:251660288;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7eqt9IAAAAEAQAADwAAAAAAAAABACAAAAAiAAAAZHJz&#10;L2Rvd25yZXYueG1sUEsBAhQAFAAAAAgAh07iQB1/nGLRAQAAmgMAAA4AAAAAAAAAAQAgAAAAIQ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4410" w:firstLineChars="24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0naTQ0gAAAAQBAAAPAAAAAAAAAAEAIAAAACIAAABkcnMv&#10;ZG93bnJldi54bWxQSwECFAAUAAAACACHTuJADl9+EdABAACaAwAADgAAAAAAAAABACAAAAAh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left="3" w:leftChars="1" w:right="-82" w:rightChars="-39" w:hanging="1" w:hangingChars="1"/>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3C880"/>
    <w:multiLevelType w:val="singleLevel"/>
    <w:tmpl w:val="F173C880"/>
    <w:lvl w:ilvl="0" w:tentative="0">
      <w:start w:val="4"/>
      <w:numFmt w:val="chineseCounting"/>
      <w:suff w:val="space"/>
      <w:lvlText w:val="第%1部分"/>
      <w:lvlJc w:val="left"/>
      <w:rPr>
        <w:rFonts w:hint="eastAsia"/>
      </w:rPr>
    </w:lvl>
  </w:abstractNum>
  <w:abstractNum w:abstractNumId="1">
    <w:nsid w:val="FF281FFD"/>
    <w:multiLevelType w:val="singleLevel"/>
    <w:tmpl w:val="FF281FFD"/>
    <w:lvl w:ilvl="0" w:tentative="0">
      <w:start w:val="1"/>
      <w:numFmt w:val="decimal"/>
      <w:suff w:val="nothing"/>
      <w:lvlText w:val="%1、"/>
      <w:lvlJc w:val="left"/>
      <w:pPr>
        <w:ind w:left="835"/>
      </w:pPr>
    </w:lvl>
  </w:abstractNum>
  <w:abstractNum w:abstractNumId="2">
    <w:nsid w:val="0000000D"/>
    <w:multiLevelType w:val="multilevel"/>
    <w:tmpl w:val="0000000D"/>
    <w:lvl w:ilvl="0" w:tentative="0">
      <w:start w:val="1"/>
      <w:numFmt w:val="bullet"/>
      <w:pStyle w:val="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1"/>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760E44A"/>
    <w:multiLevelType w:val="singleLevel"/>
    <w:tmpl w:val="4760E44A"/>
    <w:lvl w:ilvl="0" w:tentative="0">
      <w:start w:val="1"/>
      <w:numFmt w:val="bullet"/>
      <w:lvlText w:val=""/>
      <w:lvlJc w:val="left"/>
      <w:pPr>
        <w:ind w:left="420" w:hanging="420"/>
      </w:pPr>
      <w:rPr>
        <w:rFonts w:hint="default" w:ascii="Wingdings" w:hAnsi="Wingdings"/>
      </w:rPr>
    </w:lvl>
  </w:abstractNum>
  <w:abstractNum w:abstractNumId="6">
    <w:nsid w:val="4CA75A52"/>
    <w:multiLevelType w:val="multilevel"/>
    <w:tmpl w:val="4CA75A52"/>
    <w:lvl w:ilvl="0" w:tentative="0">
      <w:start w:val="1"/>
      <w:numFmt w:val="decimal"/>
      <w:pStyle w:val="131"/>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7">
    <w:nsid w:val="57CE32F0"/>
    <w:multiLevelType w:val="multilevel"/>
    <w:tmpl w:val="57CE32F0"/>
    <w:lvl w:ilvl="0" w:tentative="0">
      <w:start w:val="1"/>
      <w:numFmt w:val="decimal"/>
      <w:lvlText w:val="（%1）"/>
      <w:lvlJc w:val="left"/>
      <w:rPr>
        <w:rFonts w:ascii="楷体_GB2312" w:hAnsi="楷体_GB2312"/>
        <w:b w:val="0"/>
      </w:rPr>
    </w:lvl>
    <w:lvl w:ilvl="1" w:tentative="0">
      <w:start w:val="2"/>
      <w:numFmt w:val="decimal"/>
      <w:lvlText w:val="%2．"/>
      <w:lvlJc w:val="left"/>
      <w:rPr>
        <w:color w:val="000000"/>
        <w:sz w:val="24"/>
      </w:rPr>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57CE32F6"/>
    <w:multiLevelType w:val="multilevel"/>
    <w:tmpl w:val="57CE32F6"/>
    <w:lvl w:ilvl="0" w:tentative="0">
      <w:start w:val="1"/>
      <w:numFmt w:val="none"/>
      <w:lvlText w:val="2"/>
      <w:lvlJc w:val="left"/>
    </w:lvl>
    <w:lvl w:ilvl="1" w:tentative="0">
      <w:start w:val="1"/>
      <w:numFmt w:val="decimal"/>
      <w:lvlText w:val="%117.%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57CE32F7"/>
    <w:multiLevelType w:val="multilevel"/>
    <w:tmpl w:val="57CE32F7"/>
    <w:lvl w:ilvl="0" w:tentative="0">
      <w:start w:val="1"/>
      <w:numFmt w:val="none"/>
      <w:lvlText w:val="2"/>
      <w:lvlJc w:val="left"/>
    </w:lvl>
    <w:lvl w:ilvl="1" w:tentative="0">
      <w:start w:val="1"/>
      <w:numFmt w:val="decimal"/>
      <w:pStyle w:val="154"/>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1">
    <w:nsid w:val="57CE32FA"/>
    <w:multiLevelType w:val="multilevel"/>
    <w:tmpl w:val="57CE32FA"/>
    <w:lvl w:ilvl="0" w:tentative="0">
      <w:start w:val="1"/>
      <w:numFmt w:val="decimal"/>
      <w:pStyle w:val="124"/>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12">
    <w:nsid w:val="57CE32FB"/>
    <w:multiLevelType w:val="multilevel"/>
    <w:tmpl w:val="57CE32FB"/>
    <w:lvl w:ilvl="0" w:tentative="0">
      <w:start w:val="1"/>
      <w:numFmt w:val="decimal"/>
      <w:lvlText w:val="（%1）"/>
      <w:lvlJc w:val="left"/>
      <w:rPr>
        <w:rFonts w:ascii="楷体_GB2312" w:hAnsi="楷体_GB2312"/>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3">
    <w:nsid w:val="57CE32FC"/>
    <w:multiLevelType w:val="multilevel"/>
    <w:tmpl w:val="57CE32FC"/>
    <w:lvl w:ilvl="0" w:tentative="0">
      <w:start w:val="1"/>
      <w:numFmt w:val="none"/>
      <w:lvlText w:val="2"/>
      <w:lvlJc w:val="left"/>
    </w:lvl>
    <w:lvl w:ilvl="1" w:tentative="0">
      <w:start w:val="1"/>
      <w:numFmt w:val="decimal"/>
      <w:lvlText w:val="%110.%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4">
    <w:nsid w:val="57CE3301"/>
    <w:multiLevelType w:val="multilevel"/>
    <w:tmpl w:val="57CE3301"/>
    <w:lvl w:ilvl="0" w:tentative="0">
      <w:start w:val="1"/>
      <w:numFmt w:val="none"/>
      <w:lvlText w:val="2"/>
      <w:lvlJc w:val="left"/>
    </w:lvl>
    <w:lvl w:ilvl="1" w:tentative="0">
      <w:start w:val="1"/>
      <w:numFmt w:val="decimal"/>
      <w:lvlText w:val="%114.%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5">
    <w:nsid w:val="57CE3302"/>
    <w:multiLevelType w:val="multilevel"/>
    <w:tmpl w:val="57CE3302"/>
    <w:lvl w:ilvl="0" w:tentative="0">
      <w:start w:val="19"/>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16">
    <w:nsid w:val="57CE3303"/>
    <w:multiLevelType w:val="multilevel"/>
    <w:tmpl w:val="57CE3303"/>
    <w:lvl w:ilvl="0" w:tentative="0">
      <w:start w:val="1"/>
      <w:numFmt w:val="none"/>
      <w:lvlText w:val="2"/>
      <w:lvlJc w:val="left"/>
    </w:lvl>
    <w:lvl w:ilvl="1" w:tentative="0">
      <w:start w:val="1"/>
      <w:numFmt w:val="decimal"/>
      <w:lvlText w:val="%111.%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7">
    <w:nsid w:val="57CE3304"/>
    <w:multiLevelType w:val="multilevel"/>
    <w:tmpl w:val="57CE3304"/>
    <w:lvl w:ilvl="0" w:tentative="0">
      <w:start w:val="1"/>
      <w:numFmt w:val="none"/>
      <w:lvlText w:val="2"/>
      <w:lvlJc w:val="left"/>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8">
    <w:nsid w:val="57CE3305"/>
    <w:multiLevelType w:val="multilevel"/>
    <w:tmpl w:val="57CE3305"/>
    <w:lvl w:ilvl="0" w:tentative="0">
      <w:start w:val="1"/>
      <w:numFmt w:val="none"/>
      <w:lvlText w:val="2"/>
      <w:lvlJc w:val="left"/>
    </w:lvl>
    <w:lvl w:ilvl="1" w:tentative="0">
      <w:start w:val="1"/>
      <w:numFmt w:val="decimal"/>
      <w:lvlText w:val="%113.%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9">
    <w:nsid w:val="57CE3306"/>
    <w:multiLevelType w:val="multilevel"/>
    <w:tmpl w:val="57CE3306"/>
    <w:lvl w:ilvl="0" w:tentative="0">
      <w:start w:val="1"/>
      <w:numFmt w:val="decimal"/>
      <w:lvlText w:val="（%1）"/>
      <w:lvlJc w:val="left"/>
      <w:rPr>
        <w:rFonts w:ascii="楷体_GB2312" w:hAnsi="楷体_GB2312"/>
      </w:rPr>
    </w:lvl>
    <w:lvl w:ilvl="1" w:tentative="0">
      <w:start w:val="1"/>
      <w:numFmt w:val="lowerLetter"/>
      <w:lvlText w:val="%2)"/>
      <w:lvlJc w:val="left"/>
    </w:lvl>
    <w:lvl w:ilvl="2" w:tentative="0">
      <w:start w:val="1"/>
      <w:numFmt w:val="decimal"/>
      <w:lvlText w:val="%3."/>
      <w:lvlJc w:val="left"/>
      <w:rPr>
        <w:b w:val="0"/>
        <w:i w:val="0"/>
      </w:rPr>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20">
    <w:nsid w:val="57CE3307"/>
    <w:multiLevelType w:val="multilevel"/>
    <w:tmpl w:val="57CE3307"/>
    <w:lvl w:ilvl="0" w:tentative="0">
      <w:start w:val="5"/>
      <w:numFmt w:val="decimal"/>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1">
    <w:nsid w:val="57CE3308"/>
    <w:multiLevelType w:val="multilevel"/>
    <w:tmpl w:val="57CE3308"/>
    <w:lvl w:ilvl="0" w:tentative="0">
      <w:start w:val="1"/>
      <w:numFmt w:val="none"/>
      <w:lvlText w:val="2"/>
      <w:lvlJc w:val="left"/>
    </w:lvl>
    <w:lvl w:ilvl="1" w:tentative="0">
      <w:start w:val="1"/>
      <w:numFmt w:val="decimal"/>
      <w:lvlText w:val="%115.%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2">
    <w:nsid w:val="57CE3309"/>
    <w:multiLevelType w:val="multilevel"/>
    <w:tmpl w:val="57CE3309"/>
    <w:lvl w:ilvl="0" w:tentative="0">
      <w:start w:val="1"/>
      <w:numFmt w:val="none"/>
      <w:lvlText w:val="2"/>
      <w:lvlJc w:val="left"/>
    </w:lvl>
    <w:lvl w:ilvl="1" w:tentative="0">
      <w:start w:val="1"/>
      <w:numFmt w:val="decimal"/>
      <w:lvlText w:val="%121.%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3">
    <w:nsid w:val="57CE330B"/>
    <w:multiLevelType w:val="multilevel"/>
    <w:tmpl w:val="57CE330B"/>
    <w:lvl w:ilvl="0" w:tentative="0">
      <w:start w:val="16"/>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4">
    <w:nsid w:val="57CE330C"/>
    <w:multiLevelType w:val="multilevel"/>
    <w:tmpl w:val="57CE330C"/>
    <w:lvl w:ilvl="0" w:tentative="0">
      <w:start w:val="8"/>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5">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6">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7">
    <w:nsid w:val="674AE301"/>
    <w:multiLevelType w:val="singleLevel"/>
    <w:tmpl w:val="674AE301"/>
    <w:lvl w:ilvl="0" w:tentative="0">
      <w:start w:val="14"/>
      <w:numFmt w:val="decimal"/>
      <w:suff w:val="space"/>
      <w:lvlText w:val="%1."/>
      <w:lvlJc w:val="left"/>
    </w:lvl>
  </w:abstractNum>
  <w:num w:numId="1">
    <w:abstractNumId w:val="2"/>
  </w:num>
  <w:num w:numId="2">
    <w:abstractNumId w:val="3"/>
  </w:num>
  <w:num w:numId="3">
    <w:abstractNumId w:val="11"/>
  </w:num>
  <w:num w:numId="4">
    <w:abstractNumId w:val="6"/>
  </w:num>
  <w:num w:numId="5">
    <w:abstractNumId w:val="9"/>
  </w:num>
  <w:num w:numId="6">
    <w:abstractNumId w:val="20"/>
  </w:num>
  <w:num w:numId="7">
    <w:abstractNumId w:val="24"/>
  </w:num>
  <w:num w:numId="8">
    <w:abstractNumId w:val="13"/>
  </w:num>
  <w:num w:numId="9">
    <w:abstractNumId w:val="25"/>
  </w:num>
  <w:num w:numId="10">
    <w:abstractNumId w:val="10"/>
  </w:num>
  <w:num w:numId="11">
    <w:abstractNumId w:val="16"/>
  </w:num>
  <w:num w:numId="12">
    <w:abstractNumId w:val="4"/>
  </w:num>
  <w:num w:numId="13">
    <w:abstractNumId w:val="19"/>
  </w:num>
  <w:num w:numId="14">
    <w:abstractNumId w:val="18"/>
  </w:num>
  <w:num w:numId="15">
    <w:abstractNumId w:val="27"/>
  </w:num>
  <w:num w:numId="16">
    <w:abstractNumId w:val="14"/>
  </w:num>
  <w:num w:numId="17">
    <w:abstractNumId w:val="21"/>
  </w:num>
  <w:num w:numId="18">
    <w:abstractNumId w:val="23"/>
  </w:num>
  <w:num w:numId="19">
    <w:abstractNumId w:val="17"/>
  </w:num>
  <w:num w:numId="20">
    <w:abstractNumId w:val="26"/>
  </w:num>
  <w:num w:numId="21">
    <w:abstractNumId w:val="8"/>
  </w:num>
  <w:num w:numId="22">
    <w:abstractNumId w:val="15"/>
  </w:num>
  <w:num w:numId="23">
    <w:abstractNumId w:val="22"/>
  </w:num>
  <w:num w:numId="24">
    <w:abstractNumId w:val="12"/>
  </w:num>
  <w:num w:numId="25">
    <w:abstractNumId w:val="7"/>
  </w:num>
  <w:num w:numId="26">
    <w:abstractNumId w:val="1"/>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1C2D0B"/>
    <w:rsid w:val="011E2D38"/>
    <w:rsid w:val="012539DB"/>
    <w:rsid w:val="0127533C"/>
    <w:rsid w:val="012C2953"/>
    <w:rsid w:val="01347A59"/>
    <w:rsid w:val="013B6B5D"/>
    <w:rsid w:val="0154289E"/>
    <w:rsid w:val="015772A4"/>
    <w:rsid w:val="0159792A"/>
    <w:rsid w:val="015D0D5E"/>
    <w:rsid w:val="018B7BC6"/>
    <w:rsid w:val="01964270"/>
    <w:rsid w:val="01A240C2"/>
    <w:rsid w:val="01B4086F"/>
    <w:rsid w:val="01BB7833"/>
    <w:rsid w:val="01C34939"/>
    <w:rsid w:val="01DE3640"/>
    <w:rsid w:val="01E52B01"/>
    <w:rsid w:val="01E7687A"/>
    <w:rsid w:val="01E850A3"/>
    <w:rsid w:val="01F33470"/>
    <w:rsid w:val="01F64D0F"/>
    <w:rsid w:val="02021905"/>
    <w:rsid w:val="020510A1"/>
    <w:rsid w:val="0216715F"/>
    <w:rsid w:val="02290C40"/>
    <w:rsid w:val="022A76E3"/>
    <w:rsid w:val="02412E30"/>
    <w:rsid w:val="0241303B"/>
    <w:rsid w:val="025263E9"/>
    <w:rsid w:val="02535CBD"/>
    <w:rsid w:val="02555161"/>
    <w:rsid w:val="025D4496"/>
    <w:rsid w:val="026A2F71"/>
    <w:rsid w:val="0281633B"/>
    <w:rsid w:val="028415AA"/>
    <w:rsid w:val="02843A23"/>
    <w:rsid w:val="028F58D9"/>
    <w:rsid w:val="02924A37"/>
    <w:rsid w:val="029702A0"/>
    <w:rsid w:val="02A824AD"/>
    <w:rsid w:val="02A90E72"/>
    <w:rsid w:val="02A93B2F"/>
    <w:rsid w:val="02AB3D4B"/>
    <w:rsid w:val="02AE55E9"/>
    <w:rsid w:val="02B61C6F"/>
    <w:rsid w:val="02B726F0"/>
    <w:rsid w:val="02BE441C"/>
    <w:rsid w:val="02BE61EA"/>
    <w:rsid w:val="02C02DD6"/>
    <w:rsid w:val="02C42F4A"/>
    <w:rsid w:val="02D37A2A"/>
    <w:rsid w:val="02F565B8"/>
    <w:rsid w:val="02FA35F7"/>
    <w:rsid w:val="02FB5F01"/>
    <w:rsid w:val="031713E0"/>
    <w:rsid w:val="03192A63"/>
    <w:rsid w:val="031C3BCC"/>
    <w:rsid w:val="03305DBD"/>
    <w:rsid w:val="034B55D8"/>
    <w:rsid w:val="03541CED"/>
    <w:rsid w:val="03555A65"/>
    <w:rsid w:val="035F6D40"/>
    <w:rsid w:val="0364016E"/>
    <w:rsid w:val="036A171F"/>
    <w:rsid w:val="036D2DAF"/>
    <w:rsid w:val="0370464D"/>
    <w:rsid w:val="0374413D"/>
    <w:rsid w:val="037708EB"/>
    <w:rsid w:val="03820E78"/>
    <w:rsid w:val="03A16874"/>
    <w:rsid w:val="03B863D4"/>
    <w:rsid w:val="03C17F50"/>
    <w:rsid w:val="03C30C20"/>
    <w:rsid w:val="03CA0524"/>
    <w:rsid w:val="03E43571"/>
    <w:rsid w:val="04001F15"/>
    <w:rsid w:val="04115E30"/>
    <w:rsid w:val="04142469"/>
    <w:rsid w:val="04181A86"/>
    <w:rsid w:val="042A0CA0"/>
    <w:rsid w:val="042F134C"/>
    <w:rsid w:val="043A3F7F"/>
    <w:rsid w:val="04443659"/>
    <w:rsid w:val="044C330C"/>
    <w:rsid w:val="044F0706"/>
    <w:rsid w:val="04581CB1"/>
    <w:rsid w:val="0464619F"/>
    <w:rsid w:val="047E3A7D"/>
    <w:rsid w:val="04810F1A"/>
    <w:rsid w:val="04845087"/>
    <w:rsid w:val="04896013"/>
    <w:rsid w:val="04A921D1"/>
    <w:rsid w:val="04AB0FFD"/>
    <w:rsid w:val="04AB1DE0"/>
    <w:rsid w:val="04B14F1D"/>
    <w:rsid w:val="04BC3FEE"/>
    <w:rsid w:val="04C94C9B"/>
    <w:rsid w:val="04CD691B"/>
    <w:rsid w:val="04CE1F73"/>
    <w:rsid w:val="04D05CEB"/>
    <w:rsid w:val="04DE0B22"/>
    <w:rsid w:val="04E87DBA"/>
    <w:rsid w:val="04EF43C3"/>
    <w:rsid w:val="050414F1"/>
    <w:rsid w:val="050E0E60"/>
    <w:rsid w:val="0522654F"/>
    <w:rsid w:val="05281683"/>
    <w:rsid w:val="053B7608"/>
    <w:rsid w:val="055B3806"/>
    <w:rsid w:val="055C757F"/>
    <w:rsid w:val="05616943"/>
    <w:rsid w:val="056A1C9B"/>
    <w:rsid w:val="057513D1"/>
    <w:rsid w:val="05793C8D"/>
    <w:rsid w:val="057A683F"/>
    <w:rsid w:val="05A21435"/>
    <w:rsid w:val="05A7034E"/>
    <w:rsid w:val="05BE1FE7"/>
    <w:rsid w:val="05C25634"/>
    <w:rsid w:val="05C75836"/>
    <w:rsid w:val="05CA098C"/>
    <w:rsid w:val="05CF6EFA"/>
    <w:rsid w:val="05CF7D50"/>
    <w:rsid w:val="05DA3601"/>
    <w:rsid w:val="05E91398"/>
    <w:rsid w:val="05EA06E6"/>
    <w:rsid w:val="05ED13B3"/>
    <w:rsid w:val="06035C4C"/>
    <w:rsid w:val="060A67AF"/>
    <w:rsid w:val="060C6775"/>
    <w:rsid w:val="060F2843"/>
    <w:rsid w:val="0618720B"/>
    <w:rsid w:val="061F28BB"/>
    <w:rsid w:val="06224324"/>
    <w:rsid w:val="06231CCF"/>
    <w:rsid w:val="062736E9"/>
    <w:rsid w:val="065546FA"/>
    <w:rsid w:val="066E2B97"/>
    <w:rsid w:val="066F5090"/>
    <w:rsid w:val="067508F8"/>
    <w:rsid w:val="06810AB9"/>
    <w:rsid w:val="068A5032"/>
    <w:rsid w:val="06A02BE2"/>
    <w:rsid w:val="06A31B81"/>
    <w:rsid w:val="06B00EE4"/>
    <w:rsid w:val="06B07B82"/>
    <w:rsid w:val="06C96DE5"/>
    <w:rsid w:val="07013F3A"/>
    <w:rsid w:val="0721638A"/>
    <w:rsid w:val="0725775F"/>
    <w:rsid w:val="073F2CB4"/>
    <w:rsid w:val="07484347"/>
    <w:rsid w:val="07524795"/>
    <w:rsid w:val="07571DAC"/>
    <w:rsid w:val="0757624F"/>
    <w:rsid w:val="076444C8"/>
    <w:rsid w:val="076646E5"/>
    <w:rsid w:val="0788465B"/>
    <w:rsid w:val="07886409"/>
    <w:rsid w:val="0790350F"/>
    <w:rsid w:val="07987D21"/>
    <w:rsid w:val="079C7F32"/>
    <w:rsid w:val="07A03018"/>
    <w:rsid w:val="07A6732F"/>
    <w:rsid w:val="07A7743A"/>
    <w:rsid w:val="07AA4BA0"/>
    <w:rsid w:val="07B00766"/>
    <w:rsid w:val="07C90C5E"/>
    <w:rsid w:val="07CE3B6C"/>
    <w:rsid w:val="07E06245"/>
    <w:rsid w:val="07E5385B"/>
    <w:rsid w:val="07EA2C20"/>
    <w:rsid w:val="07EB0E6D"/>
    <w:rsid w:val="07F226D3"/>
    <w:rsid w:val="07F95559"/>
    <w:rsid w:val="08091E9C"/>
    <w:rsid w:val="080A5070"/>
    <w:rsid w:val="0813711E"/>
    <w:rsid w:val="08236B0E"/>
    <w:rsid w:val="08251291"/>
    <w:rsid w:val="08314716"/>
    <w:rsid w:val="08444A26"/>
    <w:rsid w:val="08534C69"/>
    <w:rsid w:val="08627618"/>
    <w:rsid w:val="08646E76"/>
    <w:rsid w:val="086A3D60"/>
    <w:rsid w:val="087118E4"/>
    <w:rsid w:val="08832ED9"/>
    <w:rsid w:val="088C1F29"/>
    <w:rsid w:val="08A52E0C"/>
    <w:rsid w:val="08B6462D"/>
    <w:rsid w:val="08BA17C6"/>
    <w:rsid w:val="08C43471"/>
    <w:rsid w:val="08D67FF6"/>
    <w:rsid w:val="08E60609"/>
    <w:rsid w:val="08F10DED"/>
    <w:rsid w:val="08FB4A65"/>
    <w:rsid w:val="09167A44"/>
    <w:rsid w:val="092108C3"/>
    <w:rsid w:val="092263E9"/>
    <w:rsid w:val="092D781C"/>
    <w:rsid w:val="092F562C"/>
    <w:rsid w:val="09436A8B"/>
    <w:rsid w:val="09491BC8"/>
    <w:rsid w:val="094B5940"/>
    <w:rsid w:val="0956479B"/>
    <w:rsid w:val="095F346D"/>
    <w:rsid w:val="0969457A"/>
    <w:rsid w:val="097338EA"/>
    <w:rsid w:val="09801C3A"/>
    <w:rsid w:val="09821F98"/>
    <w:rsid w:val="098826F0"/>
    <w:rsid w:val="098D5F59"/>
    <w:rsid w:val="0992356F"/>
    <w:rsid w:val="099700EE"/>
    <w:rsid w:val="09AA4D5C"/>
    <w:rsid w:val="09BC4A90"/>
    <w:rsid w:val="09C556F2"/>
    <w:rsid w:val="09CA440C"/>
    <w:rsid w:val="09D171C5"/>
    <w:rsid w:val="09D51F72"/>
    <w:rsid w:val="09DB4F16"/>
    <w:rsid w:val="09E33DCA"/>
    <w:rsid w:val="09F258F5"/>
    <w:rsid w:val="09F60C58"/>
    <w:rsid w:val="09F623CE"/>
    <w:rsid w:val="0A185604"/>
    <w:rsid w:val="0A2111FE"/>
    <w:rsid w:val="0A245577"/>
    <w:rsid w:val="0A342878"/>
    <w:rsid w:val="0A3604C6"/>
    <w:rsid w:val="0A4009B1"/>
    <w:rsid w:val="0A477E03"/>
    <w:rsid w:val="0A4B5C12"/>
    <w:rsid w:val="0A4F2821"/>
    <w:rsid w:val="0A5D6A2C"/>
    <w:rsid w:val="0A6071C9"/>
    <w:rsid w:val="0A66087D"/>
    <w:rsid w:val="0A6F38B0"/>
    <w:rsid w:val="0A7E3AF3"/>
    <w:rsid w:val="0A864A3F"/>
    <w:rsid w:val="0A92556F"/>
    <w:rsid w:val="0A943317"/>
    <w:rsid w:val="0AA017EC"/>
    <w:rsid w:val="0AE96B29"/>
    <w:rsid w:val="0AEA6B4E"/>
    <w:rsid w:val="0AFA761E"/>
    <w:rsid w:val="0B032E7A"/>
    <w:rsid w:val="0B072B3A"/>
    <w:rsid w:val="0B1A7CEE"/>
    <w:rsid w:val="0B1B2399"/>
    <w:rsid w:val="0B1B3016"/>
    <w:rsid w:val="0B2226D0"/>
    <w:rsid w:val="0B2D2A19"/>
    <w:rsid w:val="0B380146"/>
    <w:rsid w:val="0B381EF4"/>
    <w:rsid w:val="0B4765DB"/>
    <w:rsid w:val="0B57681E"/>
    <w:rsid w:val="0B5A630E"/>
    <w:rsid w:val="0B5F3925"/>
    <w:rsid w:val="0B6009BF"/>
    <w:rsid w:val="0B607562"/>
    <w:rsid w:val="0B651029"/>
    <w:rsid w:val="0B720882"/>
    <w:rsid w:val="0B754EF6"/>
    <w:rsid w:val="0B763412"/>
    <w:rsid w:val="0B7A6CEC"/>
    <w:rsid w:val="0B805C85"/>
    <w:rsid w:val="0B9B7B81"/>
    <w:rsid w:val="0B9D61FB"/>
    <w:rsid w:val="0B9F053B"/>
    <w:rsid w:val="0BA94BA0"/>
    <w:rsid w:val="0BBC71F2"/>
    <w:rsid w:val="0BBE2317"/>
    <w:rsid w:val="0BC835B0"/>
    <w:rsid w:val="0BC85FF0"/>
    <w:rsid w:val="0BCA3494"/>
    <w:rsid w:val="0BCB720C"/>
    <w:rsid w:val="0BCF606E"/>
    <w:rsid w:val="0C0645F0"/>
    <w:rsid w:val="0C122745"/>
    <w:rsid w:val="0C1E10EA"/>
    <w:rsid w:val="0C236700"/>
    <w:rsid w:val="0C2A5CE1"/>
    <w:rsid w:val="0C30233C"/>
    <w:rsid w:val="0C4A6C5B"/>
    <w:rsid w:val="0C66524E"/>
    <w:rsid w:val="0C684A5B"/>
    <w:rsid w:val="0C6C3495"/>
    <w:rsid w:val="0C7B478E"/>
    <w:rsid w:val="0C7D5E81"/>
    <w:rsid w:val="0CAC6535"/>
    <w:rsid w:val="0CAE24F9"/>
    <w:rsid w:val="0CB13789"/>
    <w:rsid w:val="0CC336B3"/>
    <w:rsid w:val="0CC55A09"/>
    <w:rsid w:val="0CD42F61"/>
    <w:rsid w:val="0CD901D5"/>
    <w:rsid w:val="0CDC49D2"/>
    <w:rsid w:val="0CDC4F61"/>
    <w:rsid w:val="0CDD07CE"/>
    <w:rsid w:val="0CE57E5A"/>
    <w:rsid w:val="0CF15CF4"/>
    <w:rsid w:val="0CF92C7B"/>
    <w:rsid w:val="0D084DCD"/>
    <w:rsid w:val="0D1F524B"/>
    <w:rsid w:val="0D2546FA"/>
    <w:rsid w:val="0D270472"/>
    <w:rsid w:val="0D380826"/>
    <w:rsid w:val="0D3F57BC"/>
    <w:rsid w:val="0D484889"/>
    <w:rsid w:val="0D4874A9"/>
    <w:rsid w:val="0D7D0761"/>
    <w:rsid w:val="0D951880"/>
    <w:rsid w:val="0D9C49BC"/>
    <w:rsid w:val="0DA0358F"/>
    <w:rsid w:val="0DA1300A"/>
    <w:rsid w:val="0DA675E9"/>
    <w:rsid w:val="0DB02216"/>
    <w:rsid w:val="0DB22432"/>
    <w:rsid w:val="0DBA3094"/>
    <w:rsid w:val="0DBD4932"/>
    <w:rsid w:val="0DBE2B84"/>
    <w:rsid w:val="0DC2161A"/>
    <w:rsid w:val="0DC618C7"/>
    <w:rsid w:val="0DCF16EF"/>
    <w:rsid w:val="0DD26844"/>
    <w:rsid w:val="0E0C012B"/>
    <w:rsid w:val="0E131B45"/>
    <w:rsid w:val="0E1E401F"/>
    <w:rsid w:val="0E2C0A8C"/>
    <w:rsid w:val="0E370B89"/>
    <w:rsid w:val="0E3F6C7C"/>
    <w:rsid w:val="0E42139A"/>
    <w:rsid w:val="0E473391"/>
    <w:rsid w:val="0E4A4418"/>
    <w:rsid w:val="0E517A1B"/>
    <w:rsid w:val="0E59465B"/>
    <w:rsid w:val="0E6B25E0"/>
    <w:rsid w:val="0E707FAD"/>
    <w:rsid w:val="0E736198"/>
    <w:rsid w:val="0E83347D"/>
    <w:rsid w:val="0E8E2C24"/>
    <w:rsid w:val="0E9C01D8"/>
    <w:rsid w:val="0E9C7FC8"/>
    <w:rsid w:val="0EA40CAF"/>
    <w:rsid w:val="0EB304BC"/>
    <w:rsid w:val="0ECD7D40"/>
    <w:rsid w:val="0ED407AA"/>
    <w:rsid w:val="0ED92269"/>
    <w:rsid w:val="0EE165B6"/>
    <w:rsid w:val="0EED16E8"/>
    <w:rsid w:val="0EEE1FB3"/>
    <w:rsid w:val="0F020C19"/>
    <w:rsid w:val="0F040A6B"/>
    <w:rsid w:val="0F052A35"/>
    <w:rsid w:val="0F1F541B"/>
    <w:rsid w:val="0F292DE5"/>
    <w:rsid w:val="0F2F360E"/>
    <w:rsid w:val="0F3244A3"/>
    <w:rsid w:val="0F384BB8"/>
    <w:rsid w:val="0F4870A8"/>
    <w:rsid w:val="0F4A0448"/>
    <w:rsid w:val="0F511572"/>
    <w:rsid w:val="0F550F53"/>
    <w:rsid w:val="0F565DC7"/>
    <w:rsid w:val="0F566D70"/>
    <w:rsid w:val="0F587009"/>
    <w:rsid w:val="0F5B2655"/>
    <w:rsid w:val="0F5D253D"/>
    <w:rsid w:val="0F8B4CE8"/>
    <w:rsid w:val="0F8F3AB5"/>
    <w:rsid w:val="0F90435C"/>
    <w:rsid w:val="0F910D32"/>
    <w:rsid w:val="0FA062BA"/>
    <w:rsid w:val="0FA22032"/>
    <w:rsid w:val="0FA91EC1"/>
    <w:rsid w:val="0FAB0EE6"/>
    <w:rsid w:val="0FAB6B10"/>
    <w:rsid w:val="0FB26719"/>
    <w:rsid w:val="0FC71A98"/>
    <w:rsid w:val="0FD221D2"/>
    <w:rsid w:val="0FDD270D"/>
    <w:rsid w:val="0FED0431"/>
    <w:rsid w:val="10090303"/>
    <w:rsid w:val="10432B4B"/>
    <w:rsid w:val="104906FF"/>
    <w:rsid w:val="1054157E"/>
    <w:rsid w:val="106063AA"/>
    <w:rsid w:val="10611EED"/>
    <w:rsid w:val="10653BD9"/>
    <w:rsid w:val="106B68C8"/>
    <w:rsid w:val="107B379B"/>
    <w:rsid w:val="107F6DE4"/>
    <w:rsid w:val="10885856"/>
    <w:rsid w:val="109B71AD"/>
    <w:rsid w:val="10A818CA"/>
    <w:rsid w:val="10AB3168"/>
    <w:rsid w:val="10B052F5"/>
    <w:rsid w:val="10BD64F2"/>
    <w:rsid w:val="10BE10ED"/>
    <w:rsid w:val="10CF32FA"/>
    <w:rsid w:val="10D840C9"/>
    <w:rsid w:val="10D97CD5"/>
    <w:rsid w:val="10DF1356"/>
    <w:rsid w:val="10E01064"/>
    <w:rsid w:val="10EF0666"/>
    <w:rsid w:val="11086EBE"/>
    <w:rsid w:val="110D4F61"/>
    <w:rsid w:val="110E048D"/>
    <w:rsid w:val="111D5683"/>
    <w:rsid w:val="112768A5"/>
    <w:rsid w:val="11335637"/>
    <w:rsid w:val="11415DF7"/>
    <w:rsid w:val="114A3B4D"/>
    <w:rsid w:val="116972AB"/>
    <w:rsid w:val="116F0D7B"/>
    <w:rsid w:val="11750B6F"/>
    <w:rsid w:val="117A7878"/>
    <w:rsid w:val="117B0D8C"/>
    <w:rsid w:val="118400B0"/>
    <w:rsid w:val="118440E5"/>
    <w:rsid w:val="11934F04"/>
    <w:rsid w:val="119F2F9C"/>
    <w:rsid w:val="11A2456B"/>
    <w:rsid w:val="11B53C4A"/>
    <w:rsid w:val="11B5604C"/>
    <w:rsid w:val="11B970BF"/>
    <w:rsid w:val="11BF511D"/>
    <w:rsid w:val="11BF6ECB"/>
    <w:rsid w:val="11C269BB"/>
    <w:rsid w:val="11C40985"/>
    <w:rsid w:val="11C537A2"/>
    <w:rsid w:val="11C924C1"/>
    <w:rsid w:val="11CA5601"/>
    <w:rsid w:val="11CC783A"/>
    <w:rsid w:val="11E22431"/>
    <w:rsid w:val="11E479CB"/>
    <w:rsid w:val="11F95924"/>
    <w:rsid w:val="11FA3416"/>
    <w:rsid w:val="12035A07"/>
    <w:rsid w:val="12040D82"/>
    <w:rsid w:val="120A43C6"/>
    <w:rsid w:val="12311B84"/>
    <w:rsid w:val="123449D0"/>
    <w:rsid w:val="12445622"/>
    <w:rsid w:val="1246139A"/>
    <w:rsid w:val="12462401"/>
    <w:rsid w:val="124755D5"/>
    <w:rsid w:val="12490E8B"/>
    <w:rsid w:val="124F64A1"/>
    <w:rsid w:val="125900B2"/>
    <w:rsid w:val="12610B6D"/>
    <w:rsid w:val="12614426"/>
    <w:rsid w:val="12755C92"/>
    <w:rsid w:val="127E28E2"/>
    <w:rsid w:val="129105F5"/>
    <w:rsid w:val="12911EF1"/>
    <w:rsid w:val="12AA36D7"/>
    <w:rsid w:val="12AF2577"/>
    <w:rsid w:val="12BE6B73"/>
    <w:rsid w:val="12BF4EB8"/>
    <w:rsid w:val="12C14EC5"/>
    <w:rsid w:val="12C56763"/>
    <w:rsid w:val="12CA1FCB"/>
    <w:rsid w:val="12CC7AF2"/>
    <w:rsid w:val="12D6271E"/>
    <w:rsid w:val="12F86B39"/>
    <w:rsid w:val="12F928B1"/>
    <w:rsid w:val="12FE7EC7"/>
    <w:rsid w:val="130B7721"/>
    <w:rsid w:val="13174AE5"/>
    <w:rsid w:val="132475B6"/>
    <w:rsid w:val="1324792E"/>
    <w:rsid w:val="132C67E2"/>
    <w:rsid w:val="135350C1"/>
    <w:rsid w:val="135F091C"/>
    <w:rsid w:val="135F2879"/>
    <w:rsid w:val="137B5074"/>
    <w:rsid w:val="137C1780"/>
    <w:rsid w:val="138E2FF9"/>
    <w:rsid w:val="13912AE9"/>
    <w:rsid w:val="13923D70"/>
    <w:rsid w:val="1396611E"/>
    <w:rsid w:val="139B5716"/>
    <w:rsid w:val="139C7B5A"/>
    <w:rsid w:val="139E0996"/>
    <w:rsid w:val="139E19ED"/>
    <w:rsid w:val="13AA61E0"/>
    <w:rsid w:val="13B642FE"/>
    <w:rsid w:val="13B77E26"/>
    <w:rsid w:val="13D15645"/>
    <w:rsid w:val="13DF14C8"/>
    <w:rsid w:val="14061C1F"/>
    <w:rsid w:val="140C03C2"/>
    <w:rsid w:val="141352AC"/>
    <w:rsid w:val="14182CF5"/>
    <w:rsid w:val="141F44C0"/>
    <w:rsid w:val="14312B79"/>
    <w:rsid w:val="143C14DB"/>
    <w:rsid w:val="14404A34"/>
    <w:rsid w:val="14494080"/>
    <w:rsid w:val="144C629F"/>
    <w:rsid w:val="145A50B4"/>
    <w:rsid w:val="14636234"/>
    <w:rsid w:val="14661880"/>
    <w:rsid w:val="14670B76"/>
    <w:rsid w:val="1468384A"/>
    <w:rsid w:val="146D0E60"/>
    <w:rsid w:val="14700951"/>
    <w:rsid w:val="1477742A"/>
    <w:rsid w:val="147D6BCA"/>
    <w:rsid w:val="148C2CB4"/>
    <w:rsid w:val="149A54A8"/>
    <w:rsid w:val="149E07C9"/>
    <w:rsid w:val="14B32A8F"/>
    <w:rsid w:val="14B4083D"/>
    <w:rsid w:val="14BC5EE0"/>
    <w:rsid w:val="14E0370A"/>
    <w:rsid w:val="14F275B8"/>
    <w:rsid w:val="14F90946"/>
    <w:rsid w:val="14FC3F92"/>
    <w:rsid w:val="15052E55"/>
    <w:rsid w:val="15120349"/>
    <w:rsid w:val="151632A6"/>
    <w:rsid w:val="151E215B"/>
    <w:rsid w:val="152754B3"/>
    <w:rsid w:val="153365DC"/>
    <w:rsid w:val="153B4ABB"/>
    <w:rsid w:val="154D0C92"/>
    <w:rsid w:val="1554489C"/>
    <w:rsid w:val="15671D54"/>
    <w:rsid w:val="156C736A"/>
    <w:rsid w:val="156E6271"/>
    <w:rsid w:val="1573694A"/>
    <w:rsid w:val="15816760"/>
    <w:rsid w:val="158C5316"/>
    <w:rsid w:val="159159C0"/>
    <w:rsid w:val="159266A5"/>
    <w:rsid w:val="159B020B"/>
    <w:rsid w:val="159C0716"/>
    <w:rsid w:val="159D39C7"/>
    <w:rsid w:val="15A07014"/>
    <w:rsid w:val="15AA1C40"/>
    <w:rsid w:val="15AA3A18"/>
    <w:rsid w:val="15AC1251"/>
    <w:rsid w:val="15C27472"/>
    <w:rsid w:val="15D31197"/>
    <w:rsid w:val="15E77D94"/>
    <w:rsid w:val="15F8031E"/>
    <w:rsid w:val="161B2305"/>
    <w:rsid w:val="16201F02"/>
    <w:rsid w:val="16205108"/>
    <w:rsid w:val="1621190A"/>
    <w:rsid w:val="16291E54"/>
    <w:rsid w:val="16322A9F"/>
    <w:rsid w:val="163B705A"/>
    <w:rsid w:val="16461969"/>
    <w:rsid w:val="16467BBB"/>
    <w:rsid w:val="164D719B"/>
    <w:rsid w:val="1657280D"/>
    <w:rsid w:val="16695657"/>
    <w:rsid w:val="167143CC"/>
    <w:rsid w:val="167835B4"/>
    <w:rsid w:val="167E60DC"/>
    <w:rsid w:val="1682323F"/>
    <w:rsid w:val="16823A23"/>
    <w:rsid w:val="1693258A"/>
    <w:rsid w:val="16985257"/>
    <w:rsid w:val="169D182C"/>
    <w:rsid w:val="16AF286C"/>
    <w:rsid w:val="16BC39F0"/>
    <w:rsid w:val="16D43177"/>
    <w:rsid w:val="16D451C7"/>
    <w:rsid w:val="16EE5252"/>
    <w:rsid w:val="16FC296F"/>
    <w:rsid w:val="16FE3FF2"/>
    <w:rsid w:val="16FF1B3E"/>
    <w:rsid w:val="170D06D9"/>
    <w:rsid w:val="1715252F"/>
    <w:rsid w:val="17190B83"/>
    <w:rsid w:val="171E4368"/>
    <w:rsid w:val="17535B2F"/>
    <w:rsid w:val="17566817"/>
    <w:rsid w:val="17571954"/>
    <w:rsid w:val="1767603B"/>
    <w:rsid w:val="177469AA"/>
    <w:rsid w:val="178766DD"/>
    <w:rsid w:val="17A63418"/>
    <w:rsid w:val="17A728DB"/>
    <w:rsid w:val="17BE7C25"/>
    <w:rsid w:val="17C211D0"/>
    <w:rsid w:val="17C43F85"/>
    <w:rsid w:val="17D47448"/>
    <w:rsid w:val="17DD6997"/>
    <w:rsid w:val="17E86A50"/>
    <w:rsid w:val="180E295A"/>
    <w:rsid w:val="180E4708"/>
    <w:rsid w:val="181B6E25"/>
    <w:rsid w:val="18216B7B"/>
    <w:rsid w:val="18267CA4"/>
    <w:rsid w:val="1830405F"/>
    <w:rsid w:val="1836010C"/>
    <w:rsid w:val="183E5080"/>
    <w:rsid w:val="18422604"/>
    <w:rsid w:val="184E7566"/>
    <w:rsid w:val="18511F7B"/>
    <w:rsid w:val="18514D04"/>
    <w:rsid w:val="18697B91"/>
    <w:rsid w:val="18711A77"/>
    <w:rsid w:val="18714C97"/>
    <w:rsid w:val="187B7D7B"/>
    <w:rsid w:val="188A56C0"/>
    <w:rsid w:val="188E75F7"/>
    <w:rsid w:val="189B2329"/>
    <w:rsid w:val="18A137CE"/>
    <w:rsid w:val="18A254E0"/>
    <w:rsid w:val="18B015C6"/>
    <w:rsid w:val="18B03A11"/>
    <w:rsid w:val="18C43019"/>
    <w:rsid w:val="18CD2347"/>
    <w:rsid w:val="18CE20EA"/>
    <w:rsid w:val="18D6132D"/>
    <w:rsid w:val="18DA1C8B"/>
    <w:rsid w:val="18E765BB"/>
    <w:rsid w:val="18F112B9"/>
    <w:rsid w:val="19102431"/>
    <w:rsid w:val="19145D4E"/>
    <w:rsid w:val="19266489"/>
    <w:rsid w:val="19353F17"/>
    <w:rsid w:val="193F08F1"/>
    <w:rsid w:val="19456052"/>
    <w:rsid w:val="194B1768"/>
    <w:rsid w:val="1956151F"/>
    <w:rsid w:val="195F2281"/>
    <w:rsid w:val="19600F94"/>
    <w:rsid w:val="19630A84"/>
    <w:rsid w:val="1966641E"/>
    <w:rsid w:val="196D16E9"/>
    <w:rsid w:val="196D472F"/>
    <w:rsid w:val="196D545F"/>
    <w:rsid w:val="19720533"/>
    <w:rsid w:val="19856C4C"/>
    <w:rsid w:val="199C38C7"/>
    <w:rsid w:val="19A6191B"/>
    <w:rsid w:val="19AA0461"/>
    <w:rsid w:val="19CE2059"/>
    <w:rsid w:val="19EB33D0"/>
    <w:rsid w:val="19EC5694"/>
    <w:rsid w:val="19F1077B"/>
    <w:rsid w:val="19F33BB6"/>
    <w:rsid w:val="19F90A68"/>
    <w:rsid w:val="1A0314F5"/>
    <w:rsid w:val="1A057B8F"/>
    <w:rsid w:val="1A0D33B2"/>
    <w:rsid w:val="1A0F645B"/>
    <w:rsid w:val="1A10540D"/>
    <w:rsid w:val="1A1B4EBB"/>
    <w:rsid w:val="1A254201"/>
    <w:rsid w:val="1A2E2E40"/>
    <w:rsid w:val="1A3F6DFB"/>
    <w:rsid w:val="1A404921"/>
    <w:rsid w:val="1A4162BA"/>
    <w:rsid w:val="1A455016"/>
    <w:rsid w:val="1A491C1E"/>
    <w:rsid w:val="1A4A1825"/>
    <w:rsid w:val="1A4E34E2"/>
    <w:rsid w:val="1A587EBD"/>
    <w:rsid w:val="1A5A3C35"/>
    <w:rsid w:val="1A5E0B32"/>
    <w:rsid w:val="1A6478D0"/>
    <w:rsid w:val="1A7578F5"/>
    <w:rsid w:val="1A7B5148"/>
    <w:rsid w:val="1A856B1C"/>
    <w:rsid w:val="1A943D1C"/>
    <w:rsid w:val="1AAE21D3"/>
    <w:rsid w:val="1AAE3F81"/>
    <w:rsid w:val="1ACE6D7A"/>
    <w:rsid w:val="1AD5150D"/>
    <w:rsid w:val="1AD82DAC"/>
    <w:rsid w:val="1AEC04B2"/>
    <w:rsid w:val="1AF8540B"/>
    <w:rsid w:val="1AFD2812"/>
    <w:rsid w:val="1B066D72"/>
    <w:rsid w:val="1B1F4E7E"/>
    <w:rsid w:val="1B23502C"/>
    <w:rsid w:val="1B2B0B2B"/>
    <w:rsid w:val="1B315AE2"/>
    <w:rsid w:val="1B3401EA"/>
    <w:rsid w:val="1B4459E3"/>
    <w:rsid w:val="1B4B06D5"/>
    <w:rsid w:val="1B522B5E"/>
    <w:rsid w:val="1B5419E7"/>
    <w:rsid w:val="1B542D7A"/>
    <w:rsid w:val="1B657548"/>
    <w:rsid w:val="1B6D6086"/>
    <w:rsid w:val="1B775612"/>
    <w:rsid w:val="1B811858"/>
    <w:rsid w:val="1B8751B7"/>
    <w:rsid w:val="1B8C1DFB"/>
    <w:rsid w:val="1B9211AC"/>
    <w:rsid w:val="1B976543"/>
    <w:rsid w:val="1B9E2C8F"/>
    <w:rsid w:val="1BA333BA"/>
    <w:rsid w:val="1BB05793"/>
    <w:rsid w:val="1BBC447B"/>
    <w:rsid w:val="1BC25F36"/>
    <w:rsid w:val="1BC47F37"/>
    <w:rsid w:val="1BCA30A8"/>
    <w:rsid w:val="1BD01CD5"/>
    <w:rsid w:val="1BE058C3"/>
    <w:rsid w:val="1BE13EE2"/>
    <w:rsid w:val="1BEC4D61"/>
    <w:rsid w:val="1BF1692E"/>
    <w:rsid w:val="1BF41E67"/>
    <w:rsid w:val="1BFC0F14"/>
    <w:rsid w:val="1BFF32E4"/>
    <w:rsid w:val="1C144B4A"/>
    <w:rsid w:val="1C250273"/>
    <w:rsid w:val="1C3E1334"/>
    <w:rsid w:val="1C406E5A"/>
    <w:rsid w:val="1C5D17BA"/>
    <w:rsid w:val="1C5D7A0C"/>
    <w:rsid w:val="1C5F3784"/>
    <w:rsid w:val="1C6F7740"/>
    <w:rsid w:val="1C787AFD"/>
    <w:rsid w:val="1C7B5167"/>
    <w:rsid w:val="1C8E14EE"/>
    <w:rsid w:val="1C8E290F"/>
    <w:rsid w:val="1C930D61"/>
    <w:rsid w:val="1CA13D9D"/>
    <w:rsid w:val="1CA2357A"/>
    <w:rsid w:val="1CA500C6"/>
    <w:rsid w:val="1CAA49BD"/>
    <w:rsid w:val="1CC00D0E"/>
    <w:rsid w:val="1CCF11A1"/>
    <w:rsid w:val="1CD221A8"/>
    <w:rsid w:val="1CD359F6"/>
    <w:rsid w:val="1CE12983"/>
    <w:rsid w:val="1CEC2B3E"/>
    <w:rsid w:val="1CEC56C6"/>
    <w:rsid w:val="1CFC0FD3"/>
    <w:rsid w:val="1D05532B"/>
    <w:rsid w:val="1D12396D"/>
    <w:rsid w:val="1D1327C1"/>
    <w:rsid w:val="1D17405F"/>
    <w:rsid w:val="1D1D20C9"/>
    <w:rsid w:val="1D210A3A"/>
    <w:rsid w:val="1D235D75"/>
    <w:rsid w:val="1D3249F5"/>
    <w:rsid w:val="1D351BD5"/>
    <w:rsid w:val="1D44297A"/>
    <w:rsid w:val="1D4A3283"/>
    <w:rsid w:val="1D4C4AF7"/>
    <w:rsid w:val="1D540E0F"/>
    <w:rsid w:val="1D5C5F16"/>
    <w:rsid w:val="1D706292"/>
    <w:rsid w:val="1D754BF1"/>
    <w:rsid w:val="1D756FD8"/>
    <w:rsid w:val="1D8B67FB"/>
    <w:rsid w:val="1D9456B0"/>
    <w:rsid w:val="1DA21F76"/>
    <w:rsid w:val="1DB00D10"/>
    <w:rsid w:val="1DBF0DD0"/>
    <w:rsid w:val="1DD0420E"/>
    <w:rsid w:val="1DDB4025"/>
    <w:rsid w:val="1DE55F0B"/>
    <w:rsid w:val="1DF148B0"/>
    <w:rsid w:val="1E007FAD"/>
    <w:rsid w:val="1E1933BA"/>
    <w:rsid w:val="1E3D5D47"/>
    <w:rsid w:val="1E48797C"/>
    <w:rsid w:val="1E4C01D3"/>
    <w:rsid w:val="1E4D4545"/>
    <w:rsid w:val="1E4F2C3F"/>
    <w:rsid w:val="1E522E75"/>
    <w:rsid w:val="1E641526"/>
    <w:rsid w:val="1E6A25F7"/>
    <w:rsid w:val="1E6B66E3"/>
    <w:rsid w:val="1E6D7CAF"/>
    <w:rsid w:val="1E7C0235"/>
    <w:rsid w:val="1E831280"/>
    <w:rsid w:val="1E8A260F"/>
    <w:rsid w:val="1E9015A8"/>
    <w:rsid w:val="1E917E41"/>
    <w:rsid w:val="1EA90CE7"/>
    <w:rsid w:val="1EA96F39"/>
    <w:rsid w:val="1EAD6901"/>
    <w:rsid w:val="1EAE3636"/>
    <w:rsid w:val="1EB57F80"/>
    <w:rsid w:val="1EBE6643"/>
    <w:rsid w:val="1EC450BA"/>
    <w:rsid w:val="1ECB3ABB"/>
    <w:rsid w:val="1ED347D1"/>
    <w:rsid w:val="1EDC730E"/>
    <w:rsid w:val="1EDD4E34"/>
    <w:rsid w:val="1EE73F05"/>
    <w:rsid w:val="1EF108E0"/>
    <w:rsid w:val="1EFA59E6"/>
    <w:rsid w:val="1EFF124F"/>
    <w:rsid w:val="1F0108E9"/>
    <w:rsid w:val="1F2472DD"/>
    <w:rsid w:val="1F2962CC"/>
    <w:rsid w:val="1F2F7577"/>
    <w:rsid w:val="1F336601"/>
    <w:rsid w:val="1F525966"/>
    <w:rsid w:val="1F552885"/>
    <w:rsid w:val="1F584E4F"/>
    <w:rsid w:val="1F603402"/>
    <w:rsid w:val="1F613647"/>
    <w:rsid w:val="1F6272CF"/>
    <w:rsid w:val="1F6D7B33"/>
    <w:rsid w:val="1F6F5903"/>
    <w:rsid w:val="1F9B2041"/>
    <w:rsid w:val="1FAD7766"/>
    <w:rsid w:val="1FB6316D"/>
    <w:rsid w:val="1FBA6856"/>
    <w:rsid w:val="1FBA6F24"/>
    <w:rsid w:val="1FEF4E1F"/>
    <w:rsid w:val="1FF474D5"/>
    <w:rsid w:val="20010622"/>
    <w:rsid w:val="200148E1"/>
    <w:rsid w:val="20140D2A"/>
    <w:rsid w:val="2015557A"/>
    <w:rsid w:val="201C373B"/>
    <w:rsid w:val="202866BE"/>
    <w:rsid w:val="2029112A"/>
    <w:rsid w:val="202B047B"/>
    <w:rsid w:val="20315438"/>
    <w:rsid w:val="2035005E"/>
    <w:rsid w:val="20355839"/>
    <w:rsid w:val="203C5B8B"/>
    <w:rsid w:val="203E1903"/>
    <w:rsid w:val="204809D3"/>
    <w:rsid w:val="2050449D"/>
    <w:rsid w:val="205C6849"/>
    <w:rsid w:val="205E7196"/>
    <w:rsid w:val="206879C4"/>
    <w:rsid w:val="206A094A"/>
    <w:rsid w:val="207F6CD8"/>
    <w:rsid w:val="2099122F"/>
    <w:rsid w:val="20A53730"/>
    <w:rsid w:val="20A976C4"/>
    <w:rsid w:val="20B6593D"/>
    <w:rsid w:val="20B73672"/>
    <w:rsid w:val="20BB11A5"/>
    <w:rsid w:val="20BE4F05"/>
    <w:rsid w:val="20DD55C0"/>
    <w:rsid w:val="20DF33BF"/>
    <w:rsid w:val="20EF0E4F"/>
    <w:rsid w:val="21073380"/>
    <w:rsid w:val="21095FEA"/>
    <w:rsid w:val="212B00D9"/>
    <w:rsid w:val="212B621B"/>
    <w:rsid w:val="21373996"/>
    <w:rsid w:val="215D225D"/>
    <w:rsid w:val="216E0C7E"/>
    <w:rsid w:val="21720694"/>
    <w:rsid w:val="219B707D"/>
    <w:rsid w:val="219C6341"/>
    <w:rsid w:val="21B1573D"/>
    <w:rsid w:val="21C34C84"/>
    <w:rsid w:val="21DB28CB"/>
    <w:rsid w:val="21EA1722"/>
    <w:rsid w:val="21EE4E29"/>
    <w:rsid w:val="21F20BF7"/>
    <w:rsid w:val="21FA5CFD"/>
    <w:rsid w:val="222E2BCF"/>
    <w:rsid w:val="2230171F"/>
    <w:rsid w:val="22351050"/>
    <w:rsid w:val="22394A78"/>
    <w:rsid w:val="225278E7"/>
    <w:rsid w:val="225A7C7A"/>
    <w:rsid w:val="22725CD1"/>
    <w:rsid w:val="229D60CC"/>
    <w:rsid w:val="22A32754"/>
    <w:rsid w:val="22A53EBB"/>
    <w:rsid w:val="22AF0896"/>
    <w:rsid w:val="22BA014F"/>
    <w:rsid w:val="22C733E0"/>
    <w:rsid w:val="22D64075"/>
    <w:rsid w:val="22DC5FF2"/>
    <w:rsid w:val="22DD3655"/>
    <w:rsid w:val="22ED69EA"/>
    <w:rsid w:val="22F82FE0"/>
    <w:rsid w:val="22F86AB7"/>
    <w:rsid w:val="22FD5AA5"/>
    <w:rsid w:val="22FF583D"/>
    <w:rsid w:val="23014CCC"/>
    <w:rsid w:val="23046E34"/>
    <w:rsid w:val="23056708"/>
    <w:rsid w:val="23197531"/>
    <w:rsid w:val="231A7DFC"/>
    <w:rsid w:val="231B0800"/>
    <w:rsid w:val="233D40F4"/>
    <w:rsid w:val="234F1862"/>
    <w:rsid w:val="238E2856"/>
    <w:rsid w:val="2392443F"/>
    <w:rsid w:val="23BA2A2E"/>
    <w:rsid w:val="23C12F77"/>
    <w:rsid w:val="23C6058D"/>
    <w:rsid w:val="23C71C0F"/>
    <w:rsid w:val="23E80503"/>
    <w:rsid w:val="23FB537B"/>
    <w:rsid w:val="23FC763B"/>
    <w:rsid w:val="240F65F1"/>
    <w:rsid w:val="24134E54"/>
    <w:rsid w:val="241C63FF"/>
    <w:rsid w:val="24214B3D"/>
    <w:rsid w:val="2426692F"/>
    <w:rsid w:val="2428627F"/>
    <w:rsid w:val="2428729B"/>
    <w:rsid w:val="242B0CE0"/>
    <w:rsid w:val="242E43EB"/>
    <w:rsid w:val="2435301D"/>
    <w:rsid w:val="24392625"/>
    <w:rsid w:val="243948BB"/>
    <w:rsid w:val="243C4BFD"/>
    <w:rsid w:val="24431BDE"/>
    <w:rsid w:val="245416F5"/>
    <w:rsid w:val="24577437"/>
    <w:rsid w:val="245A2A83"/>
    <w:rsid w:val="245B0EF6"/>
    <w:rsid w:val="24674E07"/>
    <w:rsid w:val="24773C37"/>
    <w:rsid w:val="247C7C96"/>
    <w:rsid w:val="247D056D"/>
    <w:rsid w:val="248159A8"/>
    <w:rsid w:val="24961D0D"/>
    <w:rsid w:val="24997A50"/>
    <w:rsid w:val="24BB1774"/>
    <w:rsid w:val="24BC104F"/>
    <w:rsid w:val="24BC4B7C"/>
    <w:rsid w:val="24C35FFD"/>
    <w:rsid w:val="24C7636B"/>
    <w:rsid w:val="24CD14A7"/>
    <w:rsid w:val="24D528C8"/>
    <w:rsid w:val="24DB57CD"/>
    <w:rsid w:val="24F13E0A"/>
    <w:rsid w:val="24F60D1D"/>
    <w:rsid w:val="25037266"/>
    <w:rsid w:val="250A78B2"/>
    <w:rsid w:val="25237319"/>
    <w:rsid w:val="25372975"/>
    <w:rsid w:val="253D30E8"/>
    <w:rsid w:val="25473008"/>
    <w:rsid w:val="254C6870"/>
    <w:rsid w:val="25687529"/>
    <w:rsid w:val="256E51F3"/>
    <w:rsid w:val="25761B3F"/>
    <w:rsid w:val="25861B66"/>
    <w:rsid w:val="259C390C"/>
    <w:rsid w:val="259D70CC"/>
    <w:rsid w:val="25A61150"/>
    <w:rsid w:val="25AE12D9"/>
    <w:rsid w:val="25B07326"/>
    <w:rsid w:val="25B508B9"/>
    <w:rsid w:val="25B83F05"/>
    <w:rsid w:val="25C767FB"/>
    <w:rsid w:val="25F2263E"/>
    <w:rsid w:val="25F25669"/>
    <w:rsid w:val="25F52012"/>
    <w:rsid w:val="25F969F8"/>
    <w:rsid w:val="25FB2263"/>
    <w:rsid w:val="25FC58BB"/>
    <w:rsid w:val="26030FFB"/>
    <w:rsid w:val="26061115"/>
    <w:rsid w:val="26142B86"/>
    <w:rsid w:val="26174B81"/>
    <w:rsid w:val="26180815"/>
    <w:rsid w:val="261C6242"/>
    <w:rsid w:val="26395046"/>
    <w:rsid w:val="263B316B"/>
    <w:rsid w:val="26492DAF"/>
    <w:rsid w:val="264D28A0"/>
    <w:rsid w:val="26584F46"/>
    <w:rsid w:val="26586048"/>
    <w:rsid w:val="265A6D6B"/>
    <w:rsid w:val="266215FC"/>
    <w:rsid w:val="26667E05"/>
    <w:rsid w:val="268169ED"/>
    <w:rsid w:val="26853E37"/>
    <w:rsid w:val="269229A8"/>
    <w:rsid w:val="269C55D5"/>
    <w:rsid w:val="269E208E"/>
    <w:rsid w:val="26A71E26"/>
    <w:rsid w:val="26A76454"/>
    <w:rsid w:val="26A821CC"/>
    <w:rsid w:val="26B11081"/>
    <w:rsid w:val="26B730FC"/>
    <w:rsid w:val="26BD06A7"/>
    <w:rsid w:val="26BD5C77"/>
    <w:rsid w:val="26BE72FA"/>
    <w:rsid w:val="26E1500A"/>
    <w:rsid w:val="26E52AD8"/>
    <w:rsid w:val="26F22019"/>
    <w:rsid w:val="270B04C3"/>
    <w:rsid w:val="27103C37"/>
    <w:rsid w:val="27147861"/>
    <w:rsid w:val="27374C98"/>
    <w:rsid w:val="27400656"/>
    <w:rsid w:val="274E0A59"/>
    <w:rsid w:val="27593E4D"/>
    <w:rsid w:val="276A143F"/>
    <w:rsid w:val="276B5295"/>
    <w:rsid w:val="27736D9E"/>
    <w:rsid w:val="27767BD4"/>
    <w:rsid w:val="277B7C10"/>
    <w:rsid w:val="27856069"/>
    <w:rsid w:val="2788542C"/>
    <w:rsid w:val="279978A1"/>
    <w:rsid w:val="27A143AE"/>
    <w:rsid w:val="27AD7DA2"/>
    <w:rsid w:val="27CC5A46"/>
    <w:rsid w:val="27E70AD2"/>
    <w:rsid w:val="27EF271C"/>
    <w:rsid w:val="28095B17"/>
    <w:rsid w:val="28101FE6"/>
    <w:rsid w:val="28284BD4"/>
    <w:rsid w:val="28333D17"/>
    <w:rsid w:val="28441A80"/>
    <w:rsid w:val="28487915"/>
    <w:rsid w:val="284A0FF5"/>
    <w:rsid w:val="285A12A4"/>
    <w:rsid w:val="285F670D"/>
    <w:rsid w:val="287C56BE"/>
    <w:rsid w:val="287C746C"/>
    <w:rsid w:val="288E0F4E"/>
    <w:rsid w:val="28BD72A1"/>
    <w:rsid w:val="28CD1A76"/>
    <w:rsid w:val="28EC5824"/>
    <w:rsid w:val="28F54945"/>
    <w:rsid w:val="28F873ED"/>
    <w:rsid w:val="29080D00"/>
    <w:rsid w:val="291834B8"/>
    <w:rsid w:val="291C47AB"/>
    <w:rsid w:val="291E4B2B"/>
    <w:rsid w:val="292559B5"/>
    <w:rsid w:val="293B1047"/>
    <w:rsid w:val="293D3EB3"/>
    <w:rsid w:val="295E660F"/>
    <w:rsid w:val="295E6B72"/>
    <w:rsid w:val="296F6AEF"/>
    <w:rsid w:val="29824994"/>
    <w:rsid w:val="29844243"/>
    <w:rsid w:val="2984482A"/>
    <w:rsid w:val="298A7967"/>
    <w:rsid w:val="298D0473"/>
    <w:rsid w:val="29A263F9"/>
    <w:rsid w:val="29A632EB"/>
    <w:rsid w:val="29B04E61"/>
    <w:rsid w:val="29B31040"/>
    <w:rsid w:val="29B41A9A"/>
    <w:rsid w:val="29BB2216"/>
    <w:rsid w:val="29BF3AB4"/>
    <w:rsid w:val="29CA2459"/>
    <w:rsid w:val="29E74DB9"/>
    <w:rsid w:val="29E929AE"/>
    <w:rsid w:val="2A0038F0"/>
    <w:rsid w:val="2A092F82"/>
    <w:rsid w:val="2A104310"/>
    <w:rsid w:val="2A157EA6"/>
    <w:rsid w:val="2A1805FD"/>
    <w:rsid w:val="2A1A5586"/>
    <w:rsid w:val="2A2111BF"/>
    <w:rsid w:val="2A255ACC"/>
    <w:rsid w:val="2A367C21"/>
    <w:rsid w:val="2A37462E"/>
    <w:rsid w:val="2A3A138D"/>
    <w:rsid w:val="2A532F2C"/>
    <w:rsid w:val="2A5F0DF4"/>
    <w:rsid w:val="2A6E1037"/>
    <w:rsid w:val="2A711836"/>
    <w:rsid w:val="2AB4113F"/>
    <w:rsid w:val="2AB5244A"/>
    <w:rsid w:val="2AB70C30"/>
    <w:rsid w:val="2AB77E0B"/>
    <w:rsid w:val="2AC1560A"/>
    <w:rsid w:val="2AC776EE"/>
    <w:rsid w:val="2AC82E3D"/>
    <w:rsid w:val="2AF16E79"/>
    <w:rsid w:val="2AFA6471"/>
    <w:rsid w:val="2AFE23BA"/>
    <w:rsid w:val="2B0C0F7B"/>
    <w:rsid w:val="2B0D2CED"/>
    <w:rsid w:val="2B0E7D9D"/>
    <w:rsid w:val="2B0F3833"/>
    <w:rsid w:val="2B102FB5"/>
    <w:rsid w:val="2B1F714C"/>
    <w:rsid w:val="2B2014AE"/>
    <w:rsid w:val="2B2B6040"/>
    <w:rsid w:val="2B33475A"/>
    <w:rsid w:val="2B4858AF"/>
    <w:rsid w:val="2B514F0A"/>
    <w:rsid w:val="2B575A34"/>
    <w:rsid w:val="2B5B014C"/>
    <w:rsid w:val="2B7E52A9"/>
    <w:rsid w:val="2B8D039B"/>
    <w:rsid w:val="2B90195F"/>
    <w:rsid w:val="2B9866A5"/>
    <w:rsid w:val="2B9B5E5B"/>
    <w:rsid w:val="2B9F0788"/>
    <w:rsid w:val="2BB1742D"/>
    <w:rsid w:val="2BB21A69"/>
    <w:rsid w:val="2BDF21EC"/>
    <w:rsid w:val="2BE9306B"/>
    <w:rsid w:val="2BEB3377"/>
    <w:rsid w:val="2C0A4127"/>
    <w:rsid w:val="2C0D6779"/>
    <w:rsid w:val="2C1E35D9"/>
    <w:rsid w:val="2C1F083A"/>
    <w:rsid w:val="2C416A03"/>
    <w:rsid w:val="2C522201"/>
    <w:rsid w:val="2C530710"/>
    <w:rsid w:val="2C657D51"/>
    <w:rsid w:val="2C7566AC"/>
    <w:rsid w:val="2C807E2F"/>
    <w:rsid w:val="2C8114F5"/>
    <w:rsid w:val="2C8132A3"/>
    <w:rsid w:val="2C840FE5"/>
    <w:rsid w:val="2C844B41"/>
    <w:rsid w:val="2C954FA0"/>
    <w:rsid w:val="2C9E2ECC"/>
    <w:rsid w:val="2C9E6AF0"/>
    <w:rsid w:val="2CA64F96"/>
    <w:rsid w:val="2CAE117D"/>
    <w:rsid w:val="2CAE1BBE"/>
    <w:rsid w:val="2CB4131A"/>
    <w:rsid w:val="2CC234F1"/>
    <w:rsid w:val="2CC338BC"/>
    <w:rsid w:val="2CCA0CCA"/>
    <w:rsid w:val="2CE13D42"/>
    <w:rsid w:val="2CED44CE"/>
    <w:rsid w:val="2CF47F19"/>
    <w:rsid w:val="2D016192"/>
    <w:rsid w:val="2D0A14EA"/>
    <w:rsid w:val="2D1C2005"/>
    <w:rsid w:val="2D257DDB"/>
    <w:rsid w:val="2D263E4A"/>
    <w:rsid w:val="2D303F58"/>
    <w:rsid w:val="2D341F2A"/>
    <w:rsid w:val="2D6055AE"/>
    <w:rsid w:val="2D7626DC"/>
    <w:rsid w:val="2D7801D2"/>
    <w:rsid w:val="2D9B0395"/>
    <w:rsid w:val="2DA42C0C"/>
    <w:rsid w:val="2DB476A8"/>
    <w:rsid w:val="2DBC4548"/>
    <w:rsid w:val="2DCA03B0"/>
    <w:rsid w:val="2DCD2FA3"/>
    <w:rsid w:val="2DE30427"/>
    <w:rsid w:val="2DE735DA"/>
    <w:rsid w:val="2DE871BD"/>
    <w:rsid w:val="2DF872ED"/>
    <w:rsid w:val="2E1122A7"/>
    <w:rsid w:val="2E192945"/>
    <w:rsid w:val="2E2959A0"/>
    <w:rsid w:val="2E40405E"/>
    <w:rsid w:val="2E4427DA"/>
    <w:rsid w:val="2E4B1DBB"/>
    <w:rsid w:val="2E4B40DF"/>
    <w:rsid w:val="2E4E5407"/>
    <w:rsid w:val="2E530C6F"/>
    <w:rsid w:val="2E633990"/>
    <w:rsid w:val="2E644F4D"/>
    <w:rsid w:val="2E660EFE"/>
    <w:rsid w:val="2E666BF4"/>
    <w:rsid w:val="2E725599"/>
    <w:rsid w:val="2E755089"/>
    <w:rsid w:val="2E840E29"/>
    <w:rsid w:val="2EA2374F"/>
    <w:rsid w:val="2EAE40F8"/>
    <w:rsid w:val="2EE47B19"/>
    <w:rsid w:val="2EF44200"/>
    <w:rsid w:val="2F0343B1"/>
    <w:rsid w:val="2F1C72B3"/>
    <w:rsid w:val="2F256003"/>
    <w:rsid w:val="2F4405B8"/>
    <w:rsid w:val="2F567BD3"/>
    <w:rsid w:val="2F5B4F94"/>
    <w:rsid w:val="2F6641B9"/>
    <w:rsid w:val="2F6F3887"/>
    <w:rsid w:val="2F750D0C"/>
    <w:rsid w:val="2F805A94"/>
    <w:rsid w:val="2F837332"/>
    <w:rsid w:val="2F9953DE"/>
    <w:rsid w:val="2FA67BEF"/>
    <w:rsid w:val="2FB92D54"/>
    <w:rsid w:val="2FC33BD3"/>
    <w:rsid w:val="2FC82F97"/>
    <w:rsid w:val="2FCC0CD9"/>
    <w:rsid w:val="2FDF6A95"/>
    <w:rsid w:val="2FE45109"/>
    <w:rsid w:val="2FF95846"/>
    <w:rsid w:val="300246FB"/>
    <w:rsid w:val="30093CDB"/>
    <w:rsid w:val="30134B5A"/>
    <w:rsid w:val="30134B9E"/>
    <w:rsid w:val="301937F3"/>
    <w:rsid w:val="303845C1"/>
    <w:rsid w:val="30406FD1"/>
    <w:rsid w:val="30450A8C"/>
    <w:rsid w:val="304E5B92"/>
    <w:rsid w:val="306C4840"/>
    <w:rsid w:val="306E7B96"/>
    <w:rsid w:val="307779B6"/>
    <w:rsid w:val="30962F52"/>
    <w:rsid w:val="30990ED5"/>
    <w:rsid w:val="30BE1F06"/>
    <w:rsid w:val="30C145B6"/>
    <w:rsid w:val="30C831C7"/>
    <w:rsid w:val="30CC4D09"/>
    <w:rsid w:val="30D616E4"/>
    <w:rsid w:val="30DF2C8E"/>
    <w:rsid w:val="310855D7"/>
    <w:rsid w:val="312A6542"/>
    <w:rsid w:val="314F1EA4"/>
    <w:rsid w:val="316311C9"/>
    <w:rsid w:val="31717D8A"/>
    <w:rsid w:val="31741628"/>
    <w:rsid w:val="318A0E4C"/>
    <w:rsid w:val="318A49A8"/>
    <w:rsid w:val="318C4BC4"/>
    <w:rsid w:val="31B82C24"/>
    <w:rsid w:val="31CE331C"/>
    <w:rsid w:val="31DC0F7C"/>
    <w:rsid w:val="31E52004"/>
    <w:rsid w:val="31E569C4"/>
    <w:rsid w:val="31EB52FA"/>
    <w:rsid w:val="31F42769"/>
    <w:rsid w:val="320F1A2D"/>
    <w:rsid w:val="32133D5A"/>
    <w:rsid w:val="32140991"/>
    <w:rsid w:val="321815D1"/>
    <w:rsid w:val="3224687F"/>
    <w:rsid w:val="322D4ACD"/>
    <w:rsid w:val="3235386A"/>
    <w:rsid w:val="324234D5"/>
    <w:rsid w:val="324A2266"/>
    <w:rsid w:val="324D6924"/>
    <w:rsid w:val="324E2CE2"/>
    <w:rsid w:val="32526702"/>
    <w:rsid w:val="325A7D56"/>
    <w:rsid w:val="327318E0"/>
    <w:rsid w:val="32755467"/>
    <w:rsid w:val="327B600A"/>
    <w:rsid w:val="327F4D78"/>
    <w:rsid w:val="32821B23"/>
    <w:rsid w:val="32836549"/>
    <w:rsid w:val="3287538B"/>
    <w:rsid w:val="32B9580A"/>
    <w:rsid w:val="32DC56D7"/>
    <w:rsid w:val="32F43EB9"/>
    <w:rsid w:val="32F93107"/>
    <w:rsid w:val="33002903"/>
    <w:rsid w:val="33014FE2"/>
    <w:rsid w:val="33106F7B"/>
    <w:rsid w:val="331309CD"/>
    <w:rsid w:val="331532D3"/>
    <w:rsid w:val="3317670F"/>
    <w:rsid w:val="33233533"/>
    <w:rsid w:val="332C1A8F"/>
    <w:rsid w:val="332E1CAB"/>
    <w:rsid w:val="332F6F63"/>
    <w:rsid w:val="333077D1"/>
    <w:rsid w:val="33354DE7"/>
    <w:rsid w:val="333D68D1"/>
    <w:rsid w:val="33423060"/>
    <w:rsid w:val="334E7C57"/>
    <w:rsid w:val="335039CF"/>
    <w:rsid w:val="335C0A14"/>
    <w:rsid w:val="335E2B6C"/>
    <w:rsid w:val="33635E53"/>
    <w:rsid w:val="33641229"/>
    <w:rsid w:val="33767FA9"/>
    <w:rsid w:val="337C6572"/>
    <w:rsid w:val="339910B4"/>
    <w:rsid w:val="339E2CFE"/>
    <w:rsid w:val="33A14B6A"/>
    <w:rsid w:val="33A930DF"/>
    <w:rsid w:val="33AB50A9"/>
    <w:rsid w:val="33C00B55"/>
    <w:rsid w:val="33D26ADA"/>
    <w:rsid w:val="33DB773D"/>
    <w:rsid w:val="33E67E90"/>
    <w:rsid w:val="33EF57B7"/>
    <w:rsid w:val="33F054D3"/>
    <w:rsid w:val="33F24A86"/>
    <w:rsid w:val="340225C1"/>
    <w:rsid w:val="34034EE6"/>
    <w:rsid w:val="341E3ACD"/>
    <w:rsid w:val="34235B6C"/>
    <w:rsid w:val="3445105A"/>
    <w:rsid w:val="34497086"/>
    <w:rsid w:val="3451335B"/>
    <w:rsid w:val="346810AD"/>
    <w:rsid w:val="347972AF"/>
    <w:rsid w:val="34943237"/>
    <w:rsid w:val="34A7178A"/>
    <w:rsid w:val="34C849A9"/>
    <w:rsid w:val="34CB5B1B"/>
    <w:rsid w:val="34D4418C"/>
    <w:rsid w:val="34D90FE6"/>
    <w:rsid w:val="34F32569"/>
    <w:rsid w:val="34F47453"/>
    <w:rsid w:val="34FE7690"/>
    <w:rsid w:val="34FF17C5"/>
    <w:rsid w:val="35095D36"/>
    <w:rsid w:val="350E5C1B"/>
    <w:rsid w:val="35142B6E"/>
    <w:rsid w:val="35154ED0"/>
    <w:rsid w:val="351A4DEC"/>
    <w:rsid w:val="351D1FD7"/>
    <w:rsid w:val="35215623"/>
    <w:rsid w:val="35274BB7"/>
    <w:rsid w:val="3539462C"/>
    <w:rsid w:val="35415CC5"/>
    <w:rsid w:val="354355A3"/>
    <w:rsid w:val="356419B4"/>
    <w:rsid w:val="358B5A5F"/>
    <w:rsid w:val="358C0119"/>
    <w:rsid w:val="359D5EC3"/>
    <w:rsid w:val="35BE2E72"/>
    <w:rsid w:val="35BE7A8E"/>
    <w:rsid w:val="35D02BA5"/>
    <w:rsid w:val="35D56FBA"/>
    <w:rsid w:val="35F40F8A"/>
    <w:rsid w:val="35FA08D1"/>
    <w:rsid w:val="35FC5E78"/>
    <w:rsid w:val="360A4309"/>
    <w:rsid w:val="360F7B72"/>
    <w:rsid w:val="36140CB9"/>
    <w:rsid w:val="361B6516"/>
    <w:rsid w:val="361E2874"/>
    <w:rsid w:val="36257395"/>
    <w:rsid w:val="36370E76"/>
    <w:rsid w:val="363932F5"/>
    <w:rsid w:val="364F0283"/>
    <w:rsid w:val="36511F38"/>
    <w:rsid w:val="365C268B"/>
    <w:rsid w:val="365E3B0D"/>
    <w:rsid w:val="365E4655"/>
    <w:rsid w:val="367774C5"/>
    <w:rsid w:val="36851EDC"/>
    <w:rsid w:val="36932F45"/>
    <w:rsid w:val="369D517D"/>
    <w:rsid w:val="369E4A52"/>
    <w:rsid w:val="36AE738B"/>
    <w:rsid w:val="36B3674F"/>
    <w:rsid w:val="36BD56F1"/>
    <w:rsid w:val="36BE3744"/>
    <w:rsid w:val="36BE5504"/>
    <w:rsid w:val="36E42DAC"/>
    <w:rsid w:val="36E7464B"/>
    <w:rsid w:val="36EF34FF"/>
    <w:rsid w:val="36F572A0"/>
    <w:rsid w:val="371E0791"/>
    <w:rsid w:val="3727621C"/>
    <w:rsid w:val="372C4753"/>
    <w:rsid w:val="374C6AA7"/>
    <w:rsid w:val="375647D6"/>
    <w:rsid w:val="37732382"/>
    <w:rsid w:val="378219F7"/>
    <w:rsid w:val="37823DA5"/>
    <w:rsid w:val="378974B0"/>
    <w:rsid w:val="37A04FCA"/>
    <w:rsid w:val="37A42999"/>
    <w:rsid w:val="37A77220"/>
    <w:rsid w:val="37AA6032"/>
    <w:rsid w:val="37B92247"/>
    <w:rsid w:val="37BC1229"/>
    <w:rsid w:val="37CD7BFE"/>
    <w:rsid w:val="37DA51A5"/>
    <w:rsid w:val="37F0284C"/>
    <w:rsid w:val="3810198A"/>
    <w:rsid w:val="381E5E4A"/>
    <w:rsid w:val="38250279"/>
    <w:rsid w:val="383E473E"/>
    <w:rsid w:val="38455ACD"/>
    <w:rsid w:val="38580A64"/>
    <w:rsid w:val="385E26EA"/>
    <w:rsid w:val="38611B4B"/>
    <w:rsid w:val="38635F53"/>
    <w:rsid w:val="3873436A"/>
    <w:rsid w:val="3883307A"/>
    <w:rsid w:val="3885236D"/>
    <w:rsid w:val="38A8464C"/>
    <w:rsid w:val="38B1729A"/>
    <w:rsid w:val="38B93DC5"/>
    <w:rsid w:val="38BB7B3D"/>
    <w:rsid w:val="38C509BB"/>
    <w:rsid w:val="38C904AC"/>
    <w:rsid w:val="38CC421A"/>
    <w:rsid w:val="38CD0F8C"/>
    <w:rsid w:val="38D94BBA"/>
    <w:rsid w:val="38E075A3"/>
    <w:rsid w:val="38E1420B"/>
    <w:rsid w:val="38E27E68"/>
    <w:rsid w:val="38EF5A38"/>
    <w:rsid w:val="38F04EFE"/>
    <w:rsid w:val="390810C8"/>
    <w:rsid w:val="390A24E3"/>
    <w:rsid w:val="390A2872"/>
    <w:rsid w:val="390B6EF7"/>
    <w:rsid w:val="39112E4E"/>
    <w:rsid w:val="391C307B"/>
    <w:rsid w:val="39221266"/>
    <w:rsid w:val="392D4A0A"/>
    <w:rsid w:val="393578EF"/>
    <w:rsid w:val="3938118D"/>
    <w:rsid w:val="39480AC1"/>
    <w:rsid w:val="394A237A"/>
    <w:rsid w:val="394E275F"/>
    <w:rsid w:val="395025EE"/>
    <w:rsid w:val="39567866"/>
    <w:rsid w:val="39583C9F"/>
    <w:rsid w:val="395B4E7C"/>
    <w:rsid w:val="3961094E"/>
    <w:rsid w:val="39700927"/>
    <w:rsid w:val="39754190"/>
    <w:rsid w:val="397A15B2"/>
    <w:rsid w:val="397F3F36"/>
    <w:rsid w:val="399251F3"/>
    <w:rsid w:val="39A44A75"/>
    <w:rsid w:val="39B60304"/>
    <w:rsid w:val="39B744F9"/>
    <w:rsid w:val="39BC1DBE"/>
    <w:rsid w:val="39C8220B"/>
    <w:rsid w:val="39C90037"/>
    <w:rsid w:val="39D10AA3"/>
    <w:rsid w:val="39D12944"/>
    <w:rsid w:val="39EB4452"/>
    <w:rsid w:val="39F8091D"/>
    <w:rsid w:val="39FC2C7A"/>
    <w:rsid w:val="3A183EB1"/>
    <w:rsid w:val="3A276794"/>
    <w:rsid w:val="3A2C0AE9"/>
    <w:rsid w:val="3A4F2C33"/>
    <w:rsid w:val="3A571AE7"/>
    <w:rsid w:val="3A5868EC"/>
    <w:rsid w:val="3A655F55"/>
    <w:rsid w:val="3A672189"/>
    <w:rsid w:val="3A6C28F2"/>
    <w:rsid w:val="3A747E84"/>
    <w:rsid w:val="3A856654"/>
    <w:rsid w:val="3ABE56C2"/>
    <w:rsid w:val="3AC30A47"/>
    <w:rsid w:val="3AD62A0C"/>
    <w:rsid w:val="3AE03C9D"/>
    <w:rsid w:val="3AE61078"/>
    <w:rsid w:val="3AEA37C6"/>
    <w:rsid w:val="3AF25027"/>
    <w:rsid w:val="3AF866BC"/>
    <w:rsid w:val="3B0F4170"/>
    <w:rsid w:val="3B1242ED"/>
    <w:rsid w:val="3B1B32C2"/>
    <w:rsid w:val="3B443E1A"/>
    <w:rsid w:val="3B451940"/>
    <w:rsid w:val="3B502F8E"/>
    <w:rsid w:val="3B534A75"/>
    <w:rsid w:val="3B5953EB"/>
    <w:rsid w:val="3B5A188F"/>
    <w:rsid w:val="3B6049CB"/>
    <w:rsid w:val="3B6722D3"/>
    <w:rsid w:val="3B736951"/>
    <w:rsid w:val="3B76714D"/>
    <w:rsid w:val="3B84690C"/>
    <w:rsid w:val="3B8561E0"/>
    <w:rsid w:val="3B8E784F"/>
    <w:rsid w:val="3B9259C0"/>
    <w:rsid w:val="3BB6283D"/>
    <w:rsid w:val="3BC431AC"/>
    <w:rsid w:val="3BCB3FD3"/>
    <w:rsid w:val="3BDB05F6"/>
    <w:rsid w:val="3BE830AD"/>
    <w:rsid w:val="3BF84C04"/>
    <w:rsid w:val="3BFA097C"/>
    <w:rsid w:val="3C0001FC"/>
    <w:rsid w:val="3C0F7707"/>
    <w:rsid w:val="3C125CC6"/>
    <w:rsid w:val="3C131A3E"/>
    <w:rsid w:val="3C1A2DCC"/>
    <w:rsid w:val="3C243C4B"/>
    <w:rsid w:val="3C2854E9"/>
    <w:rsid w:val="3C2D6FA3"/>
    <w:rsid w:val="3C3E2F5F"/>
    <w:rsid w:val="3C463BC1"/>
    <w:rsid w:val="3C4816E7"/>
    <w:rsid w:val="3C4E65DA"/>
    <w:rsid w:val="3C567AE3"/>
    <w:rsid w:val="3C57138A"/>
    <w:rsid w:val="3C620EB2"/>
    <w:rsid w:val="3C6B4CC5"/>
    <w:rsid w:val="3C7249B6"/>
    <w:rsid w:val="3C776471"/>
    <w:rsid w:val="3C787A30"/>
    <w:rsid w:val="3C8A61A4"/>
    <w:rsid w:val="3C8B453E"/>
    <w:rsid w:val="3CB90837"/>
    <w:rsid w:val="3CBA20AB"/>
    <w:rsid w:val="3CBE05CE"/>
    <w:rsid w:val="3CC64DD6"/>
    <w:rsid w:val="3CD636FE"/>
    <w:rsid w:val="3CE957CA"/>
    <w:rsid w:val="3CFB6910"/>
    <w:rsid w:val="3D2008B6"/>
    <w:rsid w:val="3D2832C7"/>
    <w:rsid w:val="3D2A703F"/>
    <w:rsid w:val="3D402D06"/>
    <w:rsid w:val="3D407F0C"/>
    <w:rsid w:val="3D4103E4"/>
    <w:rsid w:val="3D891FB8"/>
    <w:rsid w:val="3D89635E"/>
    <w:rsid w:val="3D912DD0"/>
    <w:rsid w:val="3D9907AC"/>
    <w:rsid w:val="3D995500"/>
    <w:rsid w:val="3DB17760"/>
    <w:rsid w:val="3DD31EFC"/>
    <w:rsid w:val="3DD32146"/>
    <w:rsid w:val="3DDE728C"/>
    <w:rsid w:val="3DE03BA2"/>
    <w:rsid w:val="3DED69EA"/>
    <w:rsid w:val="3DFF474F"/>
    <w:rsid w:val="3E0755D2"/>
    <w:rsid w:val="3E203150"/>
    <w:rsid w:val="3E3E1ADA"/>
    <w:rsid w:val="3E3E7246"/>
    <w:rsid w:val="3E437BFD"/>
    <w:rsid w:val="3E4A5DD5"/>
    <w:rsid w:val="3E4B3711"/>
    <w:rsid w:val="3E55419C"/>
    <w:rsid w:val="3E5A7DF8"/>
    <w:rsid w:val="3E6B6EBE"/>
    <w:rsid w:val="3E707E79"/>
    <w:rsid w:val="3E7375E2"/>
    <w:rsid w:val="3E7C38CA"/>
    <w:rsid w:val="3E817133"/>
    <w:rsid w:val="3E8407E0"/>
    <w:rsid w:val="3E861193"/>
    <w:rsid w:val="3E9055C8"/>
    <w:rsid w:val="3E95136C"/>
    <w:rsid w:val="3E9C21BE"/>
    <w:rsid w:val="3EB40CEE"/>
    <w:rsid w:val="3EBB0897"/>
    <w:rsid w:val="3ECD2378"/>
    <w:rsid w:val="3ED24B60"/>
    <w:rsid w:val="3EDE6B6B"/>
    <w:rsid w:val="3EE80F60"/>
    <w:rsid w:val="3EE84E4F"/>
    <w:rsid w:val="3EFB54FF"/>
    <w:rsid w:val="3F0328C5"/>
    <w:rsid w:val="3F0C204C"/>
    <w:rsid w:val="3F171845"/>
    <w:rsid w:val="3F1C5CDE"/>
    <w:rsid w:val="3F223AA0"/>
    <w:rsid w:val="3F2350B4"/>
    <w:rsid w:val="3F34287B"/>
    <w:rsid w:val="3F45714D"/>
    <w:rsid w:val="3F496E81"/>
    <w:rsid w:val="3F4C5264"/>
    <w:rsid w:val="3F512DDB"/>
    <w:rsid w:val="3F514D57"/>
    <w:rsid w:val="3F7217F0"/>
    <w:rsid w:val="3F8664D8"/>
    <w:rsid w:val="3F9C2AF5"/>
    <w:rsid w:val="3F9F3D14"/>
    <w:rsid w:val="3FA1467E"/>
    <w:rsid w:val="3FB86B84"/>
    <w:rsid w:val="3FBD063E"/>
    <w:rsid w:val="3FC03C8B"/>
    <w:rsid w:val="3FC17BA4"/>
    <w:rsid w:val="3FC432BB"/>
    <w:rsid w:val="3FD15E98"/>
    <w:rsid w:val="3FE21E53"/>
    <w:rsid w:val="401435B0"/>
    <w:rsid w:val="4024421A"/>
    <w:rsid w:val="4037219F"/>
    <w:rsid w:val="403749A1"/>
    <w:rsid w:val="403838CF"/>
    <w:rsid w:val="40655DAC"/>
    <w:rsid w:val="40697B54"/>
    <w:rsid w:val="40745B6C"/>
    <w:rsid w:val="407955BC"/>
    <w:rsid w:val="408E47C7"/>
    <w:rsid w:val="409B286F"/>
    <w:rsid w:val="409E221E"/>
    <w:rsid w:val="409F1AF2"/>
    <w:rsid w:val="40A23AD8"/>
    <w:rsid w:val="40AF414B"/>
    <w:rsid w:val="40C9460E"/>
    <w:rsid w:val="40D40E0E"/>
    <w:rsid w:val="40D739F2"/>
    <w:rsid w:val="40E15914"/>
    <w:rsid w:val="40F24318"/>
    <w:rsid w:val="41061B71"/>
    <w:rsid w:val="411725F3"/>
    <w:rsid w:val="411C310C"/>
    <w:rsid w:val="411E138B"/>
    <w:rsid w:val="41200E85"/>
    <w:rsid w:val="41250259"/>
    <w:rsid w:val="41285F8B"/>
    <w:rsid w:val="41306BEE"/>
    <w:rsid w:val="41395AA3"/>
    <w:rsid w:val="41405083"/>
    <w:rsid w:val="41411E71"/>
    <w:rsid w:val="41443AE3"/>
    <w:rsid w:val="41460F8F"/>
    <w:rsid w:val="4149483A"/>
    <w:rsid w:val="41635215"/>
    <w:rsid w:val="417979B4"/>
    <w:rsid w:val="419E624E"/>
    <w:rsid w:val="41A028AC"/>
    <w:rsid w:val="41A35272"/>
    <w:rsid w:val="41A76EB0"/>
    <w:rsid w:val="41AB6C30"/>
    <w:rsid w:val="41D27F9E"/>
    <w:rsid w:val="41D659E7"/>
    <w:rsid w:val="41D8350E"/>
    <w:rsid w:val="41DA12FB"/>
    <w:rsid w:val="41DA7286"/>
    <w:rsid w:val="42004812"/>
    <w:rsid w:val="42042555"/>
    <w:rsid w:val="420662CD"/>
    <w:rsid w:val="421107CE"/>
    <w:rsid w:val="42187DAE"/>
    <w:rsid w:val="421B6F3F"/>
    <w:rsid w:val="42260235"/>
    <w:rsid w:val="42312C1E"/>
    <w:rsid w:val="42313785"/>
    <w:rsid w:val="42332E3A"/>
    <w:rsid w:val="423C1CEE"/>
    <w:rsid w:val="423E3462"/>
    <w:rsid w:val="42576B28"/>
    <w:rsid w:val="42703746"/>
    <w:rsid w:val="42760F52"/>
    <w:rsid w:val="42776299"/>
    <w:rsid w:val="427C658F"/>
    <w:rsid w:val="427F3DA2"/>
    <w:rsid w:val="4287667D"/>
    <w:rsid w:val="429107C7"/>
    <w:rsid w:val="42915594"/>
    <w:rsid w:val="42A20F87"/>
    <w:rsid w:val="42AC04F6"/>
    <w:rsid w:val="42AD5223"/>
    <w:rsid w:val="42B21FB1"/>
    <w:rsid w:val="42B44153"/>
    <w:rsid w:val="42B76DE9"/>
    <w:rsid w:val="42C259CE"/>
    <w:rsid w:val="42C51789"/>
    <w:rsid w:val="42C83C9E"/>
    <w:rsid w:val="42CE66BF"/>
    <w:rsid w:val="42E07A7D"/>
    <w:rsid w:val="42F95E64"/>
    <w:rsid w:val="43010842"/>
    <w:rsid w:val="43056584"/>
    <w:rsid w:val="43086074"/>
    <w:rsid w:val="431B3177"/>
    <w:rsid w:val="43217136"/>
    <w:rsid w:val="432804C5"/>
    <w:rsid w:val="432D7889"/>
    <w:rsid w:val="4333000A"/>
    <w:rsid w:val="433D167D"/>
    <w:rsid w:val="434067DF"/>
    <w:rsid w:val="43444EC6"/>
    <w:rsid w:val="434E6604"/>
    <w:rsid w:val="435419B5"/>
    <w:rsid w:val="43562321"/>
    <w:rsid w:val="43631F42"/>
    <w:rsid w:val="43657F58"/>
    <w:rsid w:val="437F46CD"/>
    <w:rsid w:val="438A245E"/>
    <w:rsid w:val="438C0A54"/>
    <w:rsid w:val="439E42E3"/>
    <w:rsid w:val="43A31DF5"/>
    <w:rsid w:val="43AE647A"/>
    <w:rsid w:val="43AF6CB4"/>
    <w:rsid w:val="43C26223"/>
    <w:rsid w:val="43CA15A0"/>
    <w:rsid w:val="43D45F57"/>
    <w:rsid w:val="43DB2D79"/>
    <w:rsid w:val="43F16B09"/>
    <w:rsid w:val="43F26A6D"/>
    <w:rsid w:val="44096233"/>
    <w:rsid w:val="441D5B50"/>
    <w:rsid w:val="4428381B"/>
    <w:rsid w:val="44440224"/>
    <w:rsid w:val="445804CA"/>
    <w:rsid w:val="447504D4"/>
    <w:rsid w:val="447F4B92"/>
    <w:rsid w:val="448654A3"/>
    <w:rsid w:val="44905564"/>
    <w:rsid w:val="44BB02B2"/>
    <w:rsid w:val="44C4421D"/>
    <w:rsid w:val="44D073C1"/>
    <w:rsid w:val="44D3712D"/>
    <w:rsid w:val="44D83825"/>
    <w:rsid w:val="44E03886"/>
    <w:rsid w:val="44E11217"/>
    <w:rsid w:val="44EB619B"/>
    <w:rsid w:val="44F77A33"/>
    <w:rsid w:val="44F87A23"/>
    <w:rsid w:val="44FC59D4"/>
    <w:rsid w:val="450C0C5A"/>
    <w:rsid w:val="450F1F1B"/>
    <w:rsid w:val="45187B20"/>
    <w:rsid w:val="45195706"/>
    <w:rsid w:val="452D1A51"/>
    <w:rsid w:val="4530540F"/>
    <w:rsid w:val="455354ED"/>
    <w:rsid w:val="45571DB1"/>
    <w:rsid w:val="45576E3F"/>
    <w:rsid w:val="45596713"/>
    <w:rsid w:val="456B6447"/>
    <w:rsid w:val="45713DE8"/>
    <w:rsid w:val="45835E86"/>
    <w:rsid w:val="458A0BEF"/>
    <w:rsid w:val="45912351"/>
    <w:rsid w:val="45AB26B8"/>
    <w:rsid w:val="45BA6330"/>
    <w:rsid w:val="45C30031"/>
    <w:rsid w:val="45C77E7B"/>
    <w:rsid w:val="45D71D2E"/>
    <w:rsid w:val="45DD01B5"/>
    <w:rsid w:val="45DD7344"/>
    <w:rsid w:val="45ED2AC0"/>
    <w:rsid w:val="45F75EB9"/>
    <w:rsid w:val="46050649"/>
    <w:rsid w:val="461B60BF"/>
    <w:rsid w:val="461E7067"/>
    <w:rsid w:val="462C3E28"/>
    <w:rsid w:val="462D5F0B"/>
    <w:rsid w:val="463B050F"/>
    <w:rsid w:val="463D6035"/>
    <w:rsid w:val="463F7FFF"/>
    <w:rsid w:val="464506CE"/>
    <w:rsid w:val="464C0026"/>
    <w:rsid w:val="465E1F1B"/>
    <w:rsid w:val="468462A3"/>
    <w:rsid w:val="468C0F41"/>
    <w:rsid w:val="46B226AF"/>
    <w:rsid w:val="46C81799"/>
    <w:rsid w:val="46CF702C"/>
    <w:rsid w:val="46D30747"/>
    <w:rsid w:val="46F35188"/>
    <w:rsid w:val="470433AC"/>
    <w:rsid w:val="47064679"/>
    <w:rsid w:val="4710242B"/>
    <w:rsid w:val="471F5C4F"/>
    <w:rsid w:val="472866DC"/>
    <w:rsid w:val="4732546E"/>
    <w:rsid w:val="47431D24"/>
    <w:rsid w:val="47482EE3"/>
    <w:rsid w:val="474A397C"/>
    <w:rsid w:val="47691672"/>
    <w:rsid w:val="476B1202"/>
    <w:rsid w:val="478163F5"/>
    <w:rsid w:val="4791488A"/>
    <w:rsid w:val="47AB44A7"/>
    <w:rsid w:val="47B169D4"/>
    <w:rsid w:val="47B57E4D"/>
    <w:rsid w:val="47B70069"/>
    <w:rsid w:val="47BA5463"/>
    <w:rsid w:val="47BE6D02"/>
    <w:rsid w:val="47E36278"/>
    <w:rsid w:val="47E41B01"/>
    <w:rsid w:val="47FB6345"/>
    <w:rsid w:val="480256DE"/>
    <w:rsid w:val="48175F8B"/>
    <w:rsid w:val="482A25E9"/>
    <w:rsid w:val="482A3405"/>
    <w:rsid w:val="48324B53"/>
    <w:rsid w:val="483529B5"/>
    <w:rsid w:val="483E7897"/>
    <w:rsid w:val="483F42E6"/>
    <w:rsid w:val="484336AB"/>
    <w:rsid w:val="484918BE"/>
    <w:rsid w:val="484C255F"/>
    <w:rsid w:val="484F1238"/>
    <w:rsid w:val="485B134D"/>
    <w:rsid w:val="485D69D2"/>
    <w:rsid w:val="48621D83"/>
    <w:rsid w:val="4871227C"/>
    <w:rsid w:val="487E50B2"/>
    <w:rsid w:val="488A74EF"/>
    <w:rsid w:val="488C6E00"/>
    <w:rsid w:val="48B015E7"/>
    <w:rsid w:val="48B80F6E"/>
    <w:rsid w:val="48BF5427"/>
    <w:rsid w:val="48C0725D"/>
    <w:rsid w:val="48C17C7F"/>
    <w:rsid w:val="48C76ACC"/>
    <w:rsid w:val="48CC3D64"/>
    <w:rsid w:val="48CE19E6"/>
    <w:rsid w:val="48E00EFA"/>
    <w:rsid w:val="48E357A6"/>
    <w:rsid w:val="48E9042E"/>
    <w:rsid w:val="48EC1A58"/>
    <w:rsid w:val="48F27740"/>
    <w:rsid w:val="4904108C"/>
    <w:rsid w:val="490948F4"/>
    <w:rsid w:val="49156307"/>
    <w:rsid w:val="49170DBF"/>
    <w:rsid w:val="49197ED6"/>
    <w:rsid w:val="491D3EFC"/>
    <w:rsid w:val="491F38BC"/>
    <w:rsid w:val="49206677"/>
    <w:rsid w:val="493612BF"/>
    <w:rsid w:val="493C500A"/>
    <w:rsid w:val="49494CF1"/>
    <w:rsid w:val="495A6A50"/>
    <w:rsid w:val="496B110B"/>
    <w:rsid w:val="496F4787"/>
    <w:rsid w:val="497912B4"/>
    <w:rsid w:val="498126DD"/>
    <w:rsid w:val="499616E7"/>
    <w:rsid w:val="49A40179"/>
    <w:rsid w:val="49AC617A"/>
    <w:rsid w:val="49B83F7E"/>
    <w:rsid w:val="49BD459D"/>
    <w:rsid w:val="49C2361A"/>
    <w:rsid w:val="49C5081B"/>
    <w:rsid w:val="49C86A61"/>
    <w:rsid w:val="49C94099"/>
    <w:rsid w:val="49D071C0"/>
    <w:rsid w:val="49D942C7"/>
    <w:rsid w:val="49E435E0"/>
    <w:rsid w:val="49E56856"/>
    <w:rsid w:val="49ED1B20"/>
    <w:rsid w:val="49FE1F7F"/>
    <w:rsid w:val="4A0330F2"/>
    <w:rsid w:val="4A081A4B"/>
    <w:rsid w:val="4A08695A"/>
    <w:rsid w:val="4A0F7CE8"/>
    <w:rsid w:val="4A105B3D"/>
    <w:rsid w:val="4A111CB3"/>
    <w:rsid w:val="4A146C78"/>
    <w:rsid w:val="4A1D447C"/>
    <w:rsid w:val="4A24440E"/>
    <w:rsid w:val="4A30518F"/>
    <w:rsid w:val="4A336577"/>
    <w:rsid w:val="4A3D4856"/>
    <w:rsid w:val="4A565917"/>
    <w:rsid w:val="4A592677"/>
    <w:rsid w:val="4A5E657A"/>
    <w:rsid w:val="4A707CD5"/>
    <w:rsid w:val="4A9B272E"/>
    <w:rsid w:val="4A9E2E1A"/>
    <w:rsid w:val="4AC12FAB"/>
    <w:rsid w:val="4AC8224B"/>
    <w:rsid w:val="4ACE4B79"/>
    <w:rsid w:val="4ACF1C05"/>
    <w:rsid w:val="4AD52CE0"/>
    <w:rsid w:val="4AD63E8B"/>
    <w:rsid w:val="4AD87C28"/>
    <w:rsid w:val="4AE271AB"/>
    <w:rsid w:val="4AE304BB"/>
    <w:rsid w:val="4AE63099"/>
    <w:rsid w:val="4AF62C56"/>
    <w:rsid w:val="4B1F03FF"/>
    <w:rsid w:val="4B272E10"/>
    <w:rsid w:val="4B3317B5"/>
    <w:rsid w:val="4B397515"/>
    <w:rsid w:val="4B3D1AB5"/>
    <w:rsid w:val="4B3F0159"/>
    <w:rsid w:val="4B447E66"/>
    <w:rsid w:val="4B4614E8"/>
    <w:rsid w:val="4B481704"/>
    <w:rsid w:val="4B4E6231"/>
    <w:rsid w:val="4B524836"/>
    <w:rsid w:val="4B5556D7"/>
    <w:rsid w:val="4B5619A4"/>
    <w:rsid w:val="4B7122DD"/>
    <w:rsid w:val="4B7F0168"/>
    <w:rsid w:val="4B840262"/>
    <w:rsid w:val="4B842010"/>
    <w:rsid w:val="4B9F0FFF"/>
    <w:rsid w:val="4BA36E61"/>
    <w:rsid w:val="4BA56A48"/>
    <w:rsid w:val="4BB05A0E"/>
    <w:rsid w:val="4BB9615E"/>
    <w:rsid w:val="4BBE7206"/>
    <w:rsid w:val="4BC93EC7"/>
    <w:rsid w:val="4BD54436"/>
    <w:rsid w:val="4BE11211"/>
    <w:rsid w:val="4BF61160"/>
    <w:rsid w:val="4C017B05"/>
    <w:rsid w:val="4C0B6FF0"/>
    <w:rsid w:val="4C110A6F"/>
    <w:rsid w:val="4C4A2867"/>
    <w:rsid w:val="4C5B10B2"/>
    <w:rsid w:val="4C5E6D05"/>
    <w:rsid w:val="4C5F55F7"/>
    <w:rsid w:val="4C6562E6"/>
    <w:rsid w:val="4C6F1504"/>
    <w:rsid w:val="4C6F4853"/>
    <w:rsid w:val="4C72455F"/>
    <w:rsid w:val="4C7E2F03"/>
    <w:rsid w:val="4C924E2D"/>
    <w:rsid w:val="4CA832EE"/>
    <w:rsid w:val="4CAF130F"/>
    <w:rsid w:val="4CBC5A46"/>
    <w:rsid w:val="4CBD13AA"/>
    <w:rsid w:val="4CBF59F6"/>
    <w:rsid w:val="4CC528E0"/>
    <w:rsid w:val="4CC56D84"/>
    <w:rsid w:val="4CD60F91"/>
    <w:rsid w:val="4CD63CA5"/>
    <w:rsid w:val="4CD754F1"/>
    <w:rsid w:val="4CE37F1B"/>
    <w:rsid w:val="4CE52F83"/>
    <w:rsid w:val="4CE56B27"/>
    <w:rsid w:val="4D111FCA"/>
    <w:rsid w:val="4D153868"/>
    <w:rsid w:val="4D1C1903"/>
    <w:rsid w:val="4D2414EF"/>
    <w:rsid w:val="4D2E4F0D"/>
    <w:rsid w:val="4D3121D0"/>
    <w:rsid w:val="4D31389E"/>
    <w:rsid w:val="4D395197"/>
    <w:rsid w:val="4D474356"/>
    <w:rsid w:val="4D52686A"/>
    <w:rsid w:val="4D862425"/>
    <w:rsid w:val="4D8B58D8"/>
    <w:rsid w:val="4D93478D"/>
    <w:rsid w:val="4D9C7306"/>
    <w:rsid w:val="4DA02203"/>
    <w:rsid w:val="4DA977C7"/>
    <w:rsid w:val="4DAC584E"/>
    <w:rsid w:val="4DAE5A6A"/>
    <w:rsid w:val="4DAE6651"/>
    <w:rsid w:val="4DB473A2"/>
    <w:rsid w:val="4DC96400"/>
    <w:rsid w:val="4DCA28A4"/>
    <w:rsid w:val="4DD74FC1"/>
    <w:rsid w:val="4DD94895"/>
    <w:rsid w:val="4DDC65B1"/>
    <w:rsid w:val="4DF33E82"/>
    <w:rsid w:val="4DFC67D6"/>
    <w:rsid w:val="4E0929FA"/>
    <w:rsid w:val="4E0C7232"/>
    <w:rsid w:val="4E1D492C"/>
    <w:rsid w:val="4E2574FC"/>
    <w:rsid w:val="4E3B694B"/>
    <w:rsid w:val="4E3E34B5"/>
    <w:rsid w:val="4E522718"/>
    <w:rsid w:val="4E5524F6"/>
    <w:rsid w:val="4E751272"/>
    <w:rsid w:val="4E772300"/>
    <w:rsid w:val="4E7939C1"/>
    <w:rsid w:val="4E812E8E"/>
    <w:rsid w:val="4E8C30EE"/>
    <w:rsid w:val="4E8C3CA1"/>
    <w:rsid w:val="4E8D6FCE"/>
    <w:rsid w:val="4E907D8B"/>
    <w:rsid w:val="4E927F61"/>
    <w:rsid w:val="4E956C60"/>
    <w:rsid w:val="4E9823FF"/>
    <w:rsid w:val="4E9C3B15"/>
    <w:rsid w:val="4EB37674"/>
    <w:rsid w:val="4EC310A1"/>
    <w:rsid w:val="4ECC61A8"/>
    <w:rsid w:val="4ED432AF"/>
    <w:rsid w:val="4EDA49A4"/>
    <w:rsid w:val="4EDF04EB"/>
    <w:rsid w:val="4EE31744"/>
    <w:rsid w:val="4EE62F10"/>
    <w:rsid w:val="4F004A6C"/>
    <w:rsid w:val="4F016ADD"/>
    <w:rsid w:val="4F073684"/>
    <w:rsid w:val="4F3D70A6"/>
    <w:rsid w:val="4F456A25"/>
    <w:rsid w:val="4F4E3EA4"/>
    <w:rsid w:val="4F6B0DA8"/>
    <w:rsid w:val="4F6B2B1F"/>
    <w:rsid w:val="4F6D3DC4"/>
    <w:rsid w:val="4F762C43"/>
    <w:rsid w:val="4F82477B"/>
    <w:rsid w:val="4F9D2381"/>
    <w:rsid w:val="4F9F185E"/>
    <w:rsid w:val="4FA2522A"/>
    <w:rsid w:val="4FB25B1F"/>
    <w:rsid w:val="4FC675FE"/>
    <w:rsid w:val="4FCF20BE"/>
    <w:rsid w:val="4FDD6193"/>
    <w:rsid w:val="4FDF311C"/>
    <w:rsid w:val="4FEC5731"/>
    <w:rsid w:val="4FF36048"/>
    <w:rsid w:val="5001388B"/>
    <w:rsid w:val="50051DBE"/>
    <w:rsid w:val="50066CDB"/>
    <w:rsid w:val="50081433"/>
    <w:rsid w:val="50147408"/>
    <w:rsid w:val="50195A76"/>
    <w:rsid w:val="501A1195"/>
    <w:rsid w:val="501A73E7"/>
    <w:rsid w:val="501E2A33"/>
    <w:rsid w:val="50250266"/>
    <w:rsid w:val="502E69EF"/>
    <w:rsid w:val="50354221"/>
    <w:rsid w:val="505E72D4"/>
    <w:rsid w:val="50630D4D"/>
    <w:rsid w:val="506348EA"/>
    <w:rsid w:val="50697817"/>
    <w:rsid w:val="506E62E8"/>
    <w:rsid w:val="50792360"/>
    <w:rsid w:val="50854860"/>
    <w:rsid w:val="508C721A"/>
    <w:rsid w:val="50903205"/>
    <w:rsid w:val="50A867A1"/>
    <w:rsid w:val="50AA7726"/>
    <w:rsid w:val="50AB003F"/>
    <w:rsid w:val="50B96C00"/>
    <w:rsid w:val="50DA0D51"/>
    <w:rsid w:val="50EA43F6"/>
    <w:rsid w:val="50ED2E63"/>
    <w:rsid w:val="50FA3A11"/>
    <w:rsid w:val="5118100E"/>
    <w:rsid w:val="511856D5"/>
    <w:rsid w:val="51281690"/>
    <w:rsid w:val="51512619"/>
    <w:rsid w:val="515406D7"/>
    <w:rsid w:val="51585DA9"/>
    <w:rsid w:val="518D27D7"/>
    <w:rsid w:val="519630FA"/>
    <w:rsid w:val="51974326"/>
    <w:rsid w:val="519B757D"/>
    <w:rsid w:val="51A0391C"/>
    <w:rsid w:val="51A61200"/>
    <w:rsid w:val="51A90A23"/>
    <w:rsid w:val="51AA6D0A"/>
    <w:rsid w:val="51AB47EE"/>
    <w:rsid w:val="51AD0775"/>
    <w:rsid w:val="51B318A1"/>
    <w:rsid w:val="51CB2747"/>
    <w:rsid w:val="51CE04D5"/>
    <w:rsid w:val="51D068B2"/>
    <w:rsid w:val="51E17DD8"/>
    <w:rsid w:val="51E5351D"/>
    <w:rsid w:val="51EC7255"/>
    <w:rsid w:val="51F003FF"/>
    <w:rsid w:val="5201260D"/>
    <w:rsid w:val="520E6AD8"/>
    <w:rsid w:val="52176253"/>
    <w:rsid w:val="521A547C"/>
    <w:rsid w:val="52304D2F"/>
    <w:rsid w:val="52326C6A"/>
    <w:rsid w:val="523350A2"/>
    <w:rsid w:val="5259532C"/>
    <w:rsid w:val="525E7A5F"/>
    <w:rsid w:val="525F7333"/>
    <w:rsid w:val="526C0B94"/>
    <w:rsid w:val="52707792"/>
    <w:rsid w:val="52880638"/>
    <w:rsid w:val="528B1ED6"/>
    <w:rsid w:val="52917701"/>
    <w:rsid w:val="52AC708D"/>
    <w:rsid w:val="52B302A6"/>
    <w:rsid w:val="52B814FE"/>
    <w:rsid w:val="52BE7D56"/>
    <w:rsid w:val="52C84ED8"/>
    <w:rsid w:val="52CA0FA4"/>
    <w:rsid w:val="52DE1094"/>
    <w:rsid w:val="52E77591"/>
    <w:rsid w:val="52EC1CE1"/>
    <w:rsid w:val="52F04AE9"/>
    <w:rsid w:val="52F203B0"/>
    <w:rsid w:val="52F3107C"/>
    <w:rsid w:val="52F552A5"/>
    <w:rsid w:val="530E6CE2"/>
    <w:rsid w:val="533407C0"/>
    <w:rsid w:val="534C3D5B"/>
    <w:rsid w:val="53565C5E"/>
    <w:rsid w:val="535F10F2"/>
    <w:rsid w:val="5367649F"/>
    <w:rsid w:val="53682EE2"/>
    <w:rsid w:val="536A5F90"/>
    <w:rsid w:val="53704398"/>
    <w:rsid w:val="537B1F4B"/>
    <w:rsid w:val="53860F02"/>
    <w:rsid w:val="538F59F6"/>
    <w:rsid w:val="539D0113"/>
    <w:rsid w:val="53AA47B9"/>
    <w:rsid w:val="53AC378D"/>
    <w:rsid w:val="53C27B7A"/>
    <w:rsid w:val="53C63FD1"/>
    <w:rsid w:val="53C7491B"/>
    <w:rsid w:val="53DF697E"/>
    <w:rsid w:val="53E144A4"/>
    <w:rsid w:val="53E4700B"/>
    <w:rsid w:val="53FA3C53"/>
    <w:rsid w:val="53FC29DA"/>
    <w:rsid w:val="54071C8E"/>
    <w:rsid w:val="54102FDB"/>
    <w:rsid w:val="54216F96"/>
    <w:rsid w:val="5426635A"/>
    <w:rsid w:val="543A7D6A"/>
    <w:rsid w:val="544B5DC1"/>
    <w:rsid w:val="545318ED"/>
    <w:rsid w:val="54716CC6"/>
    <w:rsid w:val="5472334E"/>
    <w:rsid w:val="54752E3E"/>
    <w:rsid w:val="548412D3"/>
    <w:rsid w:val="54890697"/>
    <w:rsid w:val="549351CF"/>
    <w:rsid w:val="54995E0B"/>
    <w:rsid w:val="549C0855"/>
    <w:rsid w:val="54C618EB"/>
    <w:rsid w:val="54F92EF3"/>
    <w:rsid w:val="55007040"/>
    <w:rsid w:val="55050B9B"/>
    <w:rsid w:val="5512068D"/>
    <w:rsid w:val="551C4417"/>
    <w:rsid w:val="55216B22"/>
    <w:rsid w:val="552503C0"/>
    <w:rsid w:val="55254864"/>
    <w:rsid w:val="553973C4"/>
    <w:rsid w:val="554C0043"/>
    <w:rsid w:val="555461F4"/>
    <w:rsid w:val="55591B89"/>
    <w:rsid w:val="556F788D"/>
    <w:rsid w:val="5573405C"/>
    <w:rsid w:val="557D4431"/>
    <w:rsid w:val="55B55D4B"/>
    <w:rsid w:val="55BD684B"/>
    <w:rsid w:val="55BE25C3"/>
    <w:rsid w:val="55C220B3"/>
    <w:rsid w:val="55C4407D"/>
    <w:rsid w:val="55C56B4E"/>
    <w:rsid w:val="55C92486"/>
    <w:rsid w:val="55D50038"/>
    <w:rsid w:val="55EE4C56"/>
    <w:rsid w:val="55F432B8"/>
    <w:rsid w:val="55F61D5C"/>
    <w:rsid w:val="56053A7E"/>
    <w:rsid w:val="560D1830"/>
    <w:rsid w:val="560D3DAD"/>
    <w:rsid w:val="560D6F51"/>
    <w:rsid w:val="56184A51"/>
    <w:rsid w:val="56351A54"/>
    <w:rsid w:val="56386F4A"/>
    <w:rsid w:val="5648419A"/>
    <w:rsid w:val="564C33E3"/>
    <w:rsid w:val="564E1B99"/>
    <w:rsid w:val="5651115B"/>
    <w:rsid w:val="5651609A"/>
    <w:rsid w:val="5652729B"/>
    <w:rsid w:val="56570A4D"/>
    <w:rsid w:val="56574EF1"/>
    <w:rsid w:val="56646662"/>
    <w:rsid w:val="566E3FE9"/>
    <w:rsid w:val="567A0BDF"/>
    <w:rsid w:val="568A4384"/>
    <w:rsid w:val="56957A31"/>
    <w:rsid w:val="56BC6B02"/>
    <w:rsid w:val="56C035E5"/>
    <w:rsid w:val="56DA342C"/>
    <w:rsid w:val="56DC4D8F"/>
    <w:rsid w:val="56DF0A43"/>
    <w:rsid w:val="56E10C5F"/>
    <w:rsid w:val="56E81623"/>
    <w:rsid w:val="56F3003C"/>
    <w:rsid w:val="56F91B04"/>
    <w:rsid w:val="56F95FA8"/>
    <w:rsid w:val="57075569"/>
    <w:rsid w:val="570F757A"/>
    <w:rsid w:val="5714693E"/>
    <w:rsid w:val="572172AD"/>
    <w:rsid w:val="572528F9"/>
    <w:rsid w:val="573578F0"/>
    <w:rsid w:val="573967DC"/>
    <w:rsid w:val="574057D9"/>
    <w:rsid w:val="57540446"/>
    <w:rsid w:val="575907F5"/>
    <w:rsid w:val="575A0494"/>
    <w:rsid w:val="577D0987"/>
    <w:rsid w:val="57825F9E"/>
    <w:rsid w:val="5785783C"/>
    <w:rsid w:val="57900884"/>
    <w:rsid w:val="57911D3D"/>
    <w:rsid w:val="57946072"/>
    <w:rsid w:val="5798020F"/>
    <w:rsid w:val="579D29FC"/>
    <w:rsid w:val="57A34752"/>
    <w:rsid w:val="57AF6667"/>
    <w:rsid w:val="57B036A5"/>
    <w:rsid w:val="57B4088C"/>
    <w:rsid w:val="57C2639A"/>
    <w:rsid w:val="57C57C38"/>
    <w:rsid w:val="57C9719E"/>
    <w:rsid w:val="57CF0AB7"/>
    <w:rsid w:val="57CF5E09"/>
    <w:rsid w:val="57D321C5"/>
    <w:rsid w:val="57D4431F"/>
    <w:rsid w:val="57D83E10"/>
    <w:rsid w:val="57DD1426"/>
    <w:rsid w:val="57E07B2A"/>
    <w:rsid w:val="57FB18AC"/>
    <w:rsid w:val="580249E9"/>
    <w:rsid w:val="5809221B"/>
    <w:rsid w:val="580E5B38"/>
    <w:rsid w:val="58185A7A"/>
    <w:rsid w:val="581A4428"/>
    <w:rsid w:val="58207565"/>
    <w:rsid w:val="58240E03"/>
    <w:rsid w:val="58276B45"/>
    <w:rsid w:val="583A0626"/>
    <w:rsid w:val="583A23D4"/>
    <w:rsid w:val="583B239C"/>
    <w:rsid w:val="58494664"/>
    <w:rsid w:val="5851771E"/>
    <w:rsid w:val="58597148"/>
    <w:rsid w:val="58600972"/>
    <w:rsid w:val="58605180"/>
    <w:rsid w:val="58737694"/>
    <w:rsid w:val="587A291B"/>
    <w:rsid w:val="587F48DE"/>
    <w:rsid w:val="588418A2"/>
    <w:rsid w:val="5889510A"/>
    <w:rsid w:val="58977827"/>
    <w:rsid w:val="5898138F"/>
    <w:rsid w:val="589C1084"/>
    <w:rsid w:val="58AE4B70"/>
    <w:rsid w:val="58B06B3A"/>
    <w:rsid w:val="58B34C11"/>
    <w:rsid w:val="58C30E7D"/>
    <w:rsid w:val="58C35A5C"/>
    <w:rsid w:val="58C373C9"/>
    <w:rsid w:val="58E6430A"/>
    <w:rsid w:val="58E662A8"/>
    <w:rsid w:val="58F06F37"/>
    <w:rsid w:val="58F5454D"/>
    <w:rsid w:val="58FC1D80"/>
    <w:rsid w:val="59030A18"/>
    <w:rsid w:val="59033C07"/>
    <w:rsid w:val="59084281"/>
    <w:rsid w:val="59102873"/>
    <w:rsid w:val="59156760"/>
    <w:rsid w:val="591A5A7B"/>
    <w:rsid w:val="591D2568"/>
    <w:rsid w:val="592201AE"/>
    <w:rsid w:val="592310BA"/>
    <w:rsid w:val="59253085"/>
    <w:rsid w:val="592D39AB"/>
    <w:rsid w:val="59444C41"/>
    <w:rsid w:val="5952374E"/>
    <w:rsid w:val="59594ADC"/>
    <w:rsid w:val="595B379D"/>
    <w:rsid w:val="59622AE1"/>
    <w:rsid w:val="59646258"/>
    <w:rsid w:val="597459BF"/>
    <w:rsid w:val="597C07CB"/>
    <w:rsid w:val="597C6A1D"/>
    <w:rsid w:val="59995821"/>
    <w:rsid w:val="59A17C3D"/>
    <w:rsid w:val="59CD7278"/>
    <w:rsid w:val="59D6437F"/>
    <w:rsid w:val="59D94E1E"/>
    <w:rsid w:val="59DC6116"/>
    <w:rsid w:val="59E76F1A"/>
    <w:rsid w:val="59E77A8E"/>
    <w:rsid w:val="59E944B5"/>
    <w:rsid w:val="59F64A21"/>
    <w:rsid w:val="59F824B8"/>
    <w:rsid w:val="5A00551A"/>
    <w:rsid w:val="5A13112F"/>
    <w:rsid w:val="5A165FC8"/>
    <w:rsid w:val="5A174AEB"/>
    <w:rsid w:val="5A19426B"/>
    <w:rsid w:val="5A2A1379"/>
    <w:rsid w:val="5A395F05"/>
    <w:rsid w:val="5A3966BC"/>
    <w:rsid w:val="5A494BC1"/>
    <w:rsid w:val="5A621F92"/>
    <w:rsid w:val="5A667E66"/>
    <w:rsid w:val="5A844281"/>
    <w:rsid w:val="5A89319F"/>
    <w:rsid w:val="5A8B6F17"/>
    <w:rsid w:val="5A9304C2"/>
    <w:rsid w:val="5A987931"/>
    <w:rsid w:val="5A9A1850"/>
    <w:rsid w:val="5A9B4B84"/>
    <w:rsid w:val="5AA1498D"/>
    <w:rsid w:val="5AA4447D"/>
    <w:rsid w:val="5AA93841"/>
    <w:rsid w:val="5AB31742"/>
    <w:rsid w:val="5AC266B1"/>
    <w:rsid w:val="5ADB6D77"/>
    <w:rsid w:val="5AFC7E15"/>
    <w:rsid w:val="5B0311A3"/>
    <w:rsid w:val="5B0F13AB"/>
    <w:rsid w:val="5B150ED7"/>
    <w:rsid w:val="5B3951AC"/>
    <w:rsid w:val="5B4E75CF"/>
    <w:rsid w:val="5B547C51"/>
    <w:rsid w:val="5B5852AB"/>
    <w:rsid w:val="5B670635"/>
    <w:rsid w:val="5B783FF8"/>
    <w:rsid w:val="5B8402CF"/>
    <w:rsid w:val="5B901433"/>
    <w:rsid w:val="5BA20379"/>
    <w:rsid w:val="5BA22FF9"/>
    <w:rsid w:val="5BB701E0"/>
    <w:rsid w:val="5BB7574F"/>
    <w:rsid w:val="5BBA79E8"/>
    <w:rsid w:val="5BC37463"/>
    <w:rsid w:val="5BC8419B"/>
    <w:rsid w:val="5BF14E79"/>
    <w:rsid w:val="5BF40AEC"/>
    <w:rsid w:val="5BF44F90"/>
    <w:rsid w:val="5BF84A80"/>
    <w:rsid w:val="5BFD0E7B"/>
    <w:rsid w:val="5C043425"/>
    <w:rsid w:val="5C1E63D9"/>
    <w:rsid w:val="5C2A2760"/>
    <w:rsid w:val="5C2C297C"/>
    <w:rsid w:val="5C2C57D9"/>
    <w:rsid w:val="5C2D3FFE"/>
    <w:rsid w:val="5C3F76AA"/>
    <w:rsid w:val="5C64278E"/>
    <w:rsid w:val="5C6C4B26"/>
    <w:rsid w:val="5C6E01B4"/>
    <w:rsid w:val="5C882B19"/>
    <w:rsid w:val="5C8D77D5"/>
    <w:rsid w:val="5C9127DF"/>
    <w:rsid w:val="5CD54512"/>
    <w:rsid w:val="5CD8040E"/>
    <w:rsid w:val="5CE943C9"/>
    <w:rsid w:val="5CFC234E"/>
    <w:rsid w:val="5CFE4309"/>
    <w:rsid w:val="5D053658"/>
    <w:rsid w:val="5D0E2082"/>
    <w:rsid w:val="5D1F7DEB"/>
    <w:rsid w:val="5D284EF1"/>
    <w:rsid w:val="5D2C22D6"/>
    <w:rsid w:val="5D333A82"/>
    <w:rsid w:val="5D3550EC"/>
    <w:rsid w:val="5D355860"/>
    <w:rsid w:val="5D521F6E"/>
    <w:rsid w:val="5D5B704F"/>
    <w:rsid w:val="5D665A1A"/>
    <w:rsid w:val="5D7F7C86"/>
    <w:rsid w:val="5D8159AA"/>
    <w:rsid w:val="5D8A308E"/>
    <w:rsid w:val="5D900B7B"/>
    <w:rsid w:val="5D9E47C0"/>
    <w:rsid w:val="5DA55635"/>
    <w:rsid w:val="5DB42C29"/>
    <w:rsid w:val="5DB70023"/>
    <w:rsid w:val="5DBD7190"/>
    <w:rsid w:val="5DC866D4"/>
    <w:rsid w:val="5DD0462F"/>
    <w:rsid w:val="5DD13BCE"/>
    <w:rsid w:val="5DD166EA"/>
    <w:rsid w:val="5DD76D12"/>
    <w:rsid w:val="5DE828D3"/>
    <w:rsid w:val="5DF70D68"/>
    <w:rsid w:val="5E23390B"/>
    <w:rsid w:val="5E282CCF"/>
    <w:rsid w:val="5E734892"/>
    <w:rsid w:val="5E83050C"/>
    <w:rsid w:val="5E991118"/>
    <w:rsid w:val="5E9B5B97"/>
    <w:rsid w:val="5EAA7669"/>
    <w:rsid w:val="5EAE6868"/>
    <w:rsid w:val="5EC953DF"/>
    <w:rsid w:val="5ECA3D86"/>
    <w:rsid w:val="5ED66BCF"/>
    <w:rsid w:val="5EE1723E"/>
    <w:rsid w:val="5EEC31DD"/>
    <w:rsid w:val="5EF04772"/>
    <w:rsid w:val="5EF05EE3"/>
    <w:rsid w:val="5EF36EB6"/>
    <w:rsid w:val="5F021772"/>
    <w:rsid w:val="5F096FA4"/>
    <w:rsid w:val="5F0B0627"/>
    <w:rsid w:val="5F171192"/>
    <w:rsid w:val="5F241273"/>
    <w:rsid w:val="5F243081"/>
    <w:rsid w:val="5F2A12F8"/>
    <w:rsid w:val="5F2E22CA"/>
    <w:rsid w:val="5F334021"/>
    <w:rsid w:val="5F3C58B7"/>
    <w:rsid w:val="5F3E6E9B"/>
    <w:rsid w:val="5F4678B1"/>
    <w:rsid w:val="5F4E193D"/>
    <w:rsid w:val="5F642583"/>
    <w:rsid w:val="5F6441DB"/>
    <w:rsid w:val="5F6A0654"/>
    <w:rsid w:val="5F751F44"/>
    <w:rsid w:val="5F7A755A"/>
    <w:rsid w:val="5F7C2BC5"/>
    <w:rsid w:val="5F866F22"/>
    <w:rsid w:val="5F8F4D7B"/>
    <w:rsid w:val="5F8F74AA"/>
    <w:rsid w:val="5F915CB4"/>
    <w:rsid w:val="5F920D48"/>
    <w:rsid w:val="5F9C361C"/>
    <w:rsid w:val="5FA42829"/>
    <w:rsid w:val="5FBF1411"/>
    <w:rsid w:val="5FCA0D9F"/>
    <w:rsid w:val="5FCE126B"/>
    <w:rsid w:val="5FD67828"/>
    <w:rsid w:val="5FD76DC5"/>
    <w:rsid w:val="5FDE04BB"/>
    <w:rsid w:val="600F3107"/>
    <w:rsid w:val="60161096"/>
    <w:rsid w:val="6017749F"/>
    <w:rsid w:val="602478DB"/>
    <w:rsid w:val="603747E8"/>
    <w:rsid w:val="60481228"/>
    <w:rsid w:val="60496E03"/>
    <w:rsid w:val="60533A3D"/>
    <w:rsid w:val="60536729"/>
    <w:rsid w:val="60567FC7"/>
    <w:rsid w:val="605A639A"/>
    <w:rsid w:val="60681728"/>
    <w:rsid w:val="6071159A"/>
    <w:rsid w:val="60760C14"/>
    <w:rsid w:val="60824CE9"/>
    <w:rsid w:val="60870181"/>
    <w:rsid w:val="608F6033"/>
    <w:rsid w:val="609C3324"/>
    <w:rsid w:val="609D1752"/>
    <w:rsid w:val="60A24FBB"/>
    <w:rsid w:val="60AF2BCD"/>
    <w:rsid w:val="60B8658C"/>
    <w:rsid w:val="60BC0341"/>
    <w:rsid w:val="60CC6205"/>
    <w:rsid w:val="60E75352"/>
    <w:rsid w:val="60F40E89"/>
    <w:rsid w:val="60FF065F"/>
    <w:rsid w:val="61037CF4"/>
    <w:rsid w:val="61073840"/>
    <w:rsid w:val="61137C66"/>
    <w:rsid w:val="613F6CAD"/>
    <w:rsid w:val="61471ACE"/>
    <w:rsid w:val="614A2D2C"/>
    <w:rsid w:val="614A7C31"/>
    <w:rsid w:val="615950B5"/>
    <w:rsid w:val="615F10FE"/>
    <w:rsid w:val="617C580C"/>
    <w:rsid w:val="61866A86"/>
    <w:rsid w:val="61907509"/>
    <w:rsid w:val="619E1C26"/>
    <w:rsid w:val="61A82AA5"/>
    <w:rsid w:val="61AB4343"/>
    <w:rsid w:val="61B437D3"/>
    <w:rsid w:val="61BA27D8"/>
    <w:rsid w:val="61BF2475"/>
    <w:rsid w:val="61C947C9"/>
    <w:rsid w:val="61D07906"/>
    <w:rsid w:val="61DE513F"/>
    <w:rsid w:val="61DF3FED"/>
    <w:rsid w:val="61EB0423"/>
    <w:rsid w:val="61ED0120"/>
    <w:rsid w:val="61F25A52"/>
    <w:rsid w:val="620A1884"/>
    <w:rsid w:val="621041A6"/>
    <w:rsid w:val="6214107C"/>
    <w:rsid w:val="623E51B7"/>
    <w:rsid w:val="62483D95"/>
    <w:rsid w:val="624A76B8"/>
    <w:rsid w:val="624B51DE"/>
    <w:rsid w:val="625C1559"/>
    <w:rsid w:val="62683FE2"/>
    <w:rsid w:val="62744735"/>
    <w:rsid w:val="627D06E2"/>
    <w:rsid w:val="627D5CDF"/>
    <w:rsid w:val="62B72874"/>
    <w:rsid w:val="62C51434"/>
    <w:rsid w:val="62CB283C"/>
    <w:rsid w:val="62D653F0"/>
    <w:rsid w:val="62ED0FD3"/>
    <w:rsid w:val="62FD0BCE"/>
    <w:rsid w:val="630261E5"/>
    <w:rsid w:val="63304B00"/>
    <w:rsid w:val="63343EC4"/>
    <w:rsid w:val="633D721D"/>
    <w:rsid w:val="63461B81"/>
    <w:rsid w:val="63720880"/>
    <w:rsid w:val="63860BC4"/>
    <w:rsid w:val="63860E60"/>
    <w:rsid w:val="639808F7"/>
    <w:rsid w:val="639A569E"/>
    <w:rsid w:val="639A6746"/>
    <w:rsid w:val="63A177AC"/>
    <w:rsid w:val="63A46C3D"/>
    <w:rsid w:val="63C11BFC"/>
    <w:rsid w:val="63C139AA"/>
    <w:rsid w:val="63C416EC"/>
    <w:rsid w:val="63C77D26"/>
    <w:rsid w:val="63CD6CBE"/>
    <w:rsid w:val="63D7141F"/>
    <w:rsid w:val="63E2436F"/>
    <w:rsid w:val="63EE4356"/>
    <w:rsid w:val="63F975E8"/>
    <w:rsid w:val="6403064C"/>
    <w:rsid w:val="64046C3B"/>
    <w:rsid w:val="641C5084"/>
    <w:rsid w:val="641F5809"/>
    <w:rsid w:val="642F3009"/>
    <w:rsid w:val="644353F5"/>
    <w:rsid w:val="644D7933"/>
    <w:rsid w:val="644F546A"/>
    <w:rsid w:val="645804F4"/>
    <w:rsid w:val="646A7B3B"/>
    <w:rsid w:val="64871480"/>
    <w:rsid w:val="6487730D"/>
    <w:rsid w:val="64AD03D2"/>
    <w:rsid w:val="64BD0615"/>
    <w:rsid w:val="64BE25DF"/>
    <w:rsid w:val="64D9450A"/>
    <w:rsid w:val="64E220FD"/>
    <w:rsid w:val="64EE4C72"/>
    <w:rsid w:val="64F00736"/>
    <w:rsid w:val="64F34037"/>
    <w:rsid w:val="652977A7"/>
    <w:rsid w:val="652C424A"/>
    <w:rsid w:val="652F0DE7"/>
    <w:rsid w:val="6530072B"/>
    <w:rsid w:val="65366A7B"/>
    <w:rsid w:val="65493C57"/>
    <w:rsid w:val="65544F71"/>
    <w:rsid w:val="655C1270"/>
    <w:rsid w:val="656932F7"/>
    <w:rsid w:val="65695546"/>
    <w:rsid w:val="657131AE"/>
    <w:rsid w:val="65782D4B"/>
    <w:rsid w:val="65837903"/>
    <w:rsid w:val="658E01CE"/>
    <w:rsid w:val="65A76BCF"/>
    <w:rsid w:val="65C854C3"/>
    <w:rsid w:val="65CC6636"/>
    <w:rsid w:val="65DD280C"/>
    <w:rsid w:val="65E25E59"/>
    <w:rsid w:val="65EB2F60"/>
    <w:rsid w:val="65F21520"/>
    <w:rsid w:val="66180023"/>
    <w:rsid w:val="661C5518"/>
    <w:rsid w:val="661D6DEA"/>
    <w:rsid w:val="661E7DF0"/>
    <w:rsid w:val="66214BD4"/>
    <w:rsid w:val="66266DCE"/>
    <w:rsid w:val="66284AF4"/>
    <w:rsid w:val="663A5C95"/>
    <w:rsid w:val="664A237C"/>
    <w:rsid w:val="665066E6"/>
    <w:rsid w:val="6663423B"/>
    <w:rsid w:val="669140FA"/>
    <w:rsid w:val="669C425A"/>
    <w:rsid w:val="66A74E0F"/>
    <w:rsid w:val="66B47F1D"/>
    <w:rsid w:val="66BC5FE0"/>
    <w:rsid w:val="66C11F13"/>
    <w:rsid w:val="66D71736"/>
    <w:rsid w:val="66E23A27"/>
    <w:rsid w:val="67134D8E"/>
    <w:rsid w:val="671604B0"/>
    <w:rsid w:val="671939D8"/>
    <w:rsid w:val="671C6B25"/>
    <w:rsid w:val="672038EA"/>
    <w:rsid w:val="67240B64"/>
    <w:rsid w:val="67307B4D"/>
    <w:rsid w:val="673B33B6"/>
    <w:rsid w:val="674C5C80"/>
    <w:rsid w:val="67582877"/>
    <w:rsid w:val="675E5115"/>
    <w:rsid w:val="676C4760"/>
    <w:rsid w:val="6784541A"/>
    <w:rsid w:val="67917B37"/>
    <w:rsid w:val="679F04A6"/>
    <w:rsid w:val="67A21D44"/>
    <w:rsid w:val="67A61834"/>
    <w:rsid w:val="67A71109"/>
    <w:rsid w:val="67A96EE5"/>
    <w:rsid w:val="67AD7DD6"/>
    <w:rsid w:val="67DB0DB2"/>
    <w:rsid w:val="67DD3A75"/>
    <w:rsid w:val="67ED03C9"/>
    <w:rsid w:val="67F120DA"/>
    <w:rsid w:val="67F51E74"/>
    <w:rsid w:val="67FF2CF3"/>
    <w:rsid w:val="68060525"/>
    <w:rsid w:val="680E1188"/>
    <w:rsid w:val="680E630A"/>
    <w:rsid w:val="68124EB0"/>
    <w:rsid w:val="681364CD"/>
    <w:rsid w:val="68242759"/>
    <w:rsid w:val="68243885"/>
    <w:rsid w:val="68260326"/>
    <w:rsid w:val="683B3B1F"/>
    <w:rsid w:val="683E6AEB"/>
    <w:rsid w:val="68744D1D"/>
    <w:rsid w:val="688356D2"/>
    <w:rsid w:val="68A044D6"/>
    <w:rsid w:val="68A613C0"/>
    <w:rsid w:val="68A71F0C"/>
    <w:rsid w:val="68B51B7E"/>
    <w:rsid w:val="68BC4845"/>
    <w:rsid w:val="68CB0E27"/>
    <w:rsid w:val="68D66127"/>
    <w:rsid w:val="69032E72"/>
    <w:rsid w:val="690C1B6B"/>
    <w:rsid w:val="69286279"/>
    <w:rsid w:val="693B5DB2"/>
    <w:rsid w:val="694105EE"/>
    <w:rsid w:val="6945507D"/>
    <w:rsid w:val="69566E7A"/>
    <w:rsid w:val="69603C65"/>
    <w:rsid w:val="696075A1"/>
    <w:rsid w:val="696B0B76"/>
    <w:rsid w:val="69797B93"/>
    <w:rsid w:val="697A6D19"/>
    <w:rsid w:val="69847953"/>
    <w:rsid w:val="698F2FC0"/>
    <w:rsid w:val="69AC2A06"/>
    <w:rsid w:val="69B02243"/>
    <w:rsid w:val="69B16A82"/>
    <w:rsid w:val="69C67B3E"/>
    <w:rsid w:val="69D57C48"/>
    <w:rsid w:val="69DD5D56"/>
    <w:rsid w:val="69F61B52"/>
    <w:rsid w:val="69FF2B55"/>
    <w:rsid w:val="6A016C65"/>
    <w:rsid w:val="6A0171F6"/>
    <w:rsid w:val="6A0A361D"/>
    <w:rsid w:val="6A0B1E23"/>
    <w:rsid w:val="6A0C7949"/>
    <w:rsid w:val="6A1113CA"/>
    <w:rsid w:val="6A1707C7"/>
    <w:rsid w:val="6A184B90"/>
    <w:rsid w:val="6A19661F"/>
    <w:rsid w:val="6A20375A"/>
    <w:rsid w:val="6A25387A"/>
    <w:rsid w:val="6A2627B9"/>
    <w:rsid w:val="6A4415E9"/>
    <w:rsid w:val="6A5F3BB4"/>
    <w:rsid w:val="6A5F5CCB"/>
    <w:rsid w:val="6A6534F3"/>
    <w:rsid w:val="6A7379C8"/>
    <w:rsid w:val="6A7A370B"/>
    <w:rsid w:val="6A8B2F63"/>
    <w:rsid w:val="6A933BC6"/>
    <w:rsid w:val="6A9516EC"/>
    <w:rsid w:val="6AA41B3A"/>
    <w:rsid w:val="6AAD7B53"/>
    <w:rsid w:val="6AD37B7E"/>
    <w:rsid w:val="6ADF6E0B"/>
    <w:rsid w:val="6AEA7C8A"/>
    <w:rsid w:val="6AF22AF0"/>
    <w:rsid w:val="6B09579B"/>
    <w:rsid w:val="6B32469D"/>
    <w:rsid w:val="6B3709F5"/>
    <w:rsid w:val="6B425A43"/>
    <w:rsid w:val="6B4534B2"/>
    <w:rsid w:val="6B4A43F1"/>
    <w:rsid w:val="6B533A81"/>
    <w:rsid w:val="6B581098"/>
    <w:rsid w:val="6B6A2C01"/>
    <w:rsid w:val="6B6E0E53"/>
    <w:rsid w:val="6B7457A6"/>
    <w:rsid w:val="6B80239C"/>
    <w:rsid w:val="6B8068EB"/>
    <w:rsid w:val="6B84510D"/>
    <w:rsid w:val="6BAF6037"/>
    <w:rsid w:val="6BBD38BD"/>
    <w:rsid w:val="6BCD3CC0"/>
    <w:rsid w:val="6BD00FC6"/>
    <w:rsid w:val="6BD44496"/>
    <w:rsid w:val="6BDA0D35"/>
    <w:rsid w:val="6C0A4BCD"/>
    <w:rsid w:val="6C0E79A8"/>
    <w:rsid w:val="6C163A2B"/>
    <w:rsid w:val="6C1D29BA"/>
    <w:rsid w:val="6C2E143A"/>
    <w:rsid w:val="6C481B35"/>
    <w:rsid w:val="6C690350"/>
    <w:rsid w:val="6C692E30"/>
    <w:rsid w:val="6C70308B"/>
    <w:rsid w:val="6C7F4402"/>
    <w:rsid w:val="6C8D4D71"/>
    <w:rsid w:val="6CA07073"/>
    <w:rsid w:val="6CA87DFD"/>
    <w:rsid w:val="6CAD5413"/>
    <w:rsid w:val="6CB272BB"/>
    <w:rsid w:val="6CB30550"/>
    <w:rsid w:val="6CBF0CA2"/>
    <w:rsid w:val="6CC5493F"/>
    <w:rsid w:val="6CD609FE"/>
    <w:rsid w:val="6CD94064"/>
    <w:rsid w:val="6CDC7AA6"/>
    <w:rsid w:val="6CE10C19"/>
    <w:rsid w:val="6CE8644B"/>
    <w:rsid w:val="6CF7043C"/>
    <w:rsid w:val="6D035033"/>
    <w:rsid w:val="6D08089B"/>
    <w:rsid w:val="6D0F560C"/>
    <w:rsid w:val="6D194857"/>
    <w:rsid w:val="6D2A6553"/>
    <w:rsid w:val="6D321474"/>
    <w:rsid w:val="6D396CA7"/>
    <w:rsid w:val="6D505A47"/>
    <w:rsid w:val="6D526662"/>
    <w:rsid w:val="6D561607"/>
    <w:rsid w:val="6D645431"/>
    <w:rsid w:val="6D6F0791"/>
    <w:rsid w:val="6D75698C"/>
    <w:rsid w:val="6D885538"/>
    <w:rsid w:val="6D9B480C"/>
    <w:rsid w:val="6D9D7236"/>
    <w:rsid w:val="6DA82D3D"/>
    <w:rsid w:val="6DAA42C3"/>
    <w:rsid w:val="6DB644D4"/>
    <w:rsid w:val="6DBE53FE"/>
    <w:rsid w:val="6DC179FA"/>
    <w:rsid w:val="6DC249BF"/>
    <w:rsid w:val="6DC36570"/>
    <w:rsid w:val="6DCF4F15"/>
    <w:rsid w:val="6DD30FEB"/>
    <w:rsid w:val="6DE05374"/>
    <w:rsid w:val="6DE44E65"/>
    <w:rsid w:val="6DE51FC5"/>
    <w:rsid w:val="6DEA61F3"/>
    <w:rsid w:val="6DF00C5C"/>
    <w:rsid w:val="6DFB21AE"/>
    <w:rsid w:val="6E027099"/>
    <w:rsid w:val="6E03170B"/>
    <w:rsid w:val="6E072901"/>
    <w:rsid w:val="6E0E7DF8"/>
    <w:rsid w:val="6E14501E"/>
    <w:rsid w:val="6E2A4841"/>
    <w:rsid w:val="6E3B56D2"/>
    <w:rsid w:val="6E470F4F"/>
    <w:rsid w:val="6E526272"/>
    <w:rsid w:val="6E565F7C"/>
    <w:rsid w:val="6E584EF8"/>
    <w:rsid w:val="6E59013E"/>
    <w:rsid w:val="6E654F2C"/>
    <w:rsid w:val="6E6D6FE0"/>
    <w:rsid w:val="6E6F65BF"/>
    <w:rsid w:val="6E731D44"/>
    <w:rsid w:val="6E801D36"/>
    <w:rsid w:val="6E865F1C"/>
    <w:rsid w:val="6E8D36BE"/>
    <w:rsid w:val="6E923636"/>
    <w:rsid w:val="6E9D4600"/>
    <w:rsid w:val="6EA1100F"/>
    <w:rsid w:val="6EA6162E"/>
    <w:rsid w:val="6EA6688B"/>
    <w:rsid w:val="6EAF43DA"/>
    <w:rsid w:val="6EB557D6"/>
    <w:rsid w:val="6EC6456A"/>
    <w:rsid w:val="6EDC3D8E"/>
    <w:rsid w:val="6EE135E3"/>
    <w:rsid w:val="6EFC4430"/>
    <w:rsid w:val="6EFF5CCE"/>
    <w:rsid w:val="6F1057E5"/>
    <w:rsid w:val="6F2542F6"/>
    <w:rsid w:val="6F2A4AF9"/>
    <w:rsid w:val="6F3C65DA"/>
    <w:rsid w:val="6F4D4C8B"/>
    <w:rsid w:val="6F8166E3"/>
    <w:rsid w:val="6F92269E"/>
    <w:rsid w:val="6F951522"/>
    <w:rsid w:val="6FA10B33"/>
    <w:rsid w:val="6FA441A8"/>
    <w:rsid w:val="6FA52550"/>
    <w:rsid w:val="6FB6638D"/>
    <w:rsid w:val="6FBA413A"/>
    <w:rsid w:val="6FC569FF"/>
    <w:rsid w:val="6FCB0CF7"/>
    <w:rsid w:val="6FD35191"/>
    <w:rsid w:val="6FD46C64"/>
    <w:rsid w:val="6FEE4BEB"/>
    <w:rsid w:val="700215D2"/>
    <w:rsid w:val="700510C2"/>
    <w:rsid w:val="70126A6A"/>
    <w:rsid w:val="70190E0F"/>
    <w:rsid w:val="70371866"/>
    <w:rsid w:val="70553D17"/>
    <w:rsid w:val="705931BC"/>
    <w:rsid w:val="705D2AD6"/>
    <w:rsid w:val="705E5AAA"/>
    <w:rsid w:val="705F2369"/>
    <w:rsid w:val="7064228D"/>
    <w:rsid w:val="70755457"/>
    <w:rsid w:val="7082528E"/>
    <w:rsid w:val="70A07FA3"/>
    <w:rsid w:val="70A64653"/>
    <w:rsid w:val="70AC7790"/>
    <w:rsid w:val="70B7060E"/>
    <w:rsid w:val="70BA00FF"/>
    <w:rsid w:val="70BD7BEF"/>
    <w:rsid w:val="70C45C38"/>
    <w:rsid w:val="70C97A41"/>
    <w:rsid w:val="70D34D1C"/>
    <w:rsid w:val="70F51656"/>
    <w:rsid w:val="70F84783"/>
    <w:rsid w:val="70FA273A"/>
    <w:rsid w:val="71037B0A"/>
    <w:rsid w:val="71154EDC"/>
    <w:rsid w:val="71174225"/>
    <w:rsid w:val="71461035"/>
    <w:rsid w:val="714A7C64"/>
    <w:rsid w:val="71535959"/>
    <w:rsid w:val="715C5FD9"/>
    <w:rsid w:val="717C1858"/>
    <w:rsid w:val="717C7162"/>
    <w:rsid w:val="71816E6E"/>
    <w:rsid w:val="71817BFF"/>
    <w:rsid w:val="718907D9"/>
    <w:rsid w:val="719F001B"/>
    <w:rsid w:val="71A25CF6"/>
    <w:rsid w:val="71A30E03"/>
    <w:rsid w:val="71A863B8"/>
    <w:rsid w:val="71B74082"/>
    <w:rsid w:val="71BB412E"/>
    <w:rsid w:val="71C50D8A"/>
    <w:rsid w:val="71C97242"/>
    <w:rsid w:val="71CC1958"/>
    <w:rsid w:val="71CF3736"/>
    <w:rsid w:val="71E90971"/>
    <w:rsid w:val="72037883"/>
    <w:rsid w:val="72141A90"/>
    <w:rsid w:val="722436B3"/>
    <w:rsid w:val="722C51DE"/>
    <w:rsid w:val="724335ED"/>
    <w:rsid w:val="72455208"/>
    <w:rsid w:val="72536897"/>
    <w:rsid w:val="72577769"/>
    <w:rsid w:val="725D0E4E"/>
    <w:rsid w:val="72632DD6"/>
    <w:rsid w:val="72693B8A"/>
    <w:rsid w:val="72710C91"/>
    <w:rsid w:val="72713736"/>
    <w:rsid w:val="727D2B35"/>
    <w:rsid w:val="7289156A"/>
    <w:rsid w:val="7294672D"/>
    <w:rsid w:val="729A01E8"/>
    <w:rsid w:val="72A15DC8"/>
    <w:rsid w:val="72B017B9"/>
    <w:rsid w:val="72B03567"/>
    <w:rsid w:val="72B175CC"/>
    <w:rsid w:val="72D134AC"/>
    <w:rsid w:val="72EB3CBE"/>
    <w:rsid w:val="72EB459F"/>
    <w:rsid w:val="72FA6ED8"/>
    <w:rsid w:val="73143081"/>
    <w:rsid w:val="73467A28"/>
    <w:rsid w:val="73577FD4"/>
    <w:rsid w:val="73691968"/>
    <w:rsid w:val="736B1B84"/>
    <w:rsid w:val="737724A0"/>
    <w:rsid w:val="738320CD"/>
    <w:rsid w:val="73852C46"/>
    <w:rsid w:val="738F56A5"/>
    <w:rsid w:val="7394423F"/>
    <w:rsid w:val="739939DD"/>
    <w:rsid w:val="739B4217"/>
    <w:rsid w:val="73A368C1"/>
    <w:rsid w:val="73B04E40"/>
    <w:rsid w:val="73C63158"/>
    <w:rsid w:val="73CD1EF7"/>
    <w:rsid w:val="73D50AB3"/>
    <w:rsid w:val="73D634A1"/>
    <w:rsid w:val="73D76CAF"/>
    <w:rsid w:val="73EF1E6D"/>
    <w:rsid w:val="74075FB0"/>
    <w:rsid w:val="740C0C71"/>
    <w:rsid w:val="7416616B"/>
    <w:rsid w:val="74193F58"/>
    <w:rsid w:val="741D778A"/>
    <w:rsid w:val="741E2752"/>
    <w:rsid w:val="742C42E4"/>
    <w:rsid w:val="74387CB8"/>
    <w:rsid w:val="7445482C"/>
    <w:rsid w:val="74467A52"/>
    <w:rsid w:val="744B07FC"/>
    <w:rsid w:val="744F6DB0"/>
    <w:rsid w:val="746C1710"/>
    <w:rsid w:val="7470370E"/>
    <w:rsid w:val="74736F42"/>
    <w:rsid w:val="747607E0"/>
    <w:rsid w:val="74784D53"/>
    <w:rsid w:val="748F61B6"/>
    <w:rsid w:val="749073BC"/>
    <w:rsid w:val="749A1F54"/>
    <w:rsid w:val="74A013B9"/>
    <w:rsid w:val="74A71A4B"/>
    <w:rsid w:val="74AC1C9D"/>
    <w:rsid w:val="74AE7A9D"/>
    <w:rsid w:val="74AF784E"/>
    <w:rsid w:val="74C4154C"/>
    <w:rsid w:val="74D06143"/>
    <w:rsid w:val="74D27F2D"/>
    <w:rsid w:val="74D94952"/>
    <w:rsid w:val="74E36A44"/>
    <w:rsid w:val="74E90FB2"/>
    <w:rsid w:val="74EB5C99"/>
    <w:rsid w:val="74FF6B82"/>
    <w:rsid w:val="75037369"/>
    <w:rsid w:val="750603EC"/>
    <w:rsid w:val="750671AB"/>
    <w:rsid w:val="750E0A19"/>
    <w:rsid w:val="75283036"/>
    <w:rsid w:val="752E55CB"/>
    <w:rsid w:val="75306BE1"/>
    <w:rsid w:val="75377F70"/>
    <w:rsid w:val="753D3294"/>
    <w:rsid w:val="754206C3"/>
    <w:rsid w:val="754601B3"/>
    <w:rsid w:val="755C3532"/>
    <w:rsid w:val="75656E97"/>
    <w:rsid w:val="757614C7"/>
    <w:rsid w:val="758233BE"/>
    <w:rsid w:val="758B5863"/>
    <w:rsid w:val="759D60A7"/>
    <w:rsid w:val="75A60C51"/>
    <w:rsid w:val="75AB59D8"/>
    <w:rsid w:val="75B34AF2"/>
    <w:rsid w:val="75C01EA3"/>
    <w:rsid w:val="75CA033B"/>
    <w:rsid w:val="75E46FC4"/>
    <w:rsid w:val="75E8126A"/>
    <w:rsid w:val="75EA4FE2"/>
    <w:rsid w:val="75ED4AD2"/>
    <w:rsid w:val="75F57246"/>
    <w:rsid w:val="760360A4"/>
    <w:rsid w:val="761262E7"/>
    <w:rsid w:val="761612B3"/>
    <w:rsid w:val="763B49C3"/>
    <w:rsid w:val="765B39FF"/>
    <w:rsid w:val="766351AE"/>
    <w:rsid w:val="76645C78"/>
    <w:rsid w:val="766905FD"/>
    <w:rsid w:val="767825EE"/>
    <w:rsid w:val="767B2F7C"/>
    <w:rsid w:val="76805946"/>
    <w:rsid w:val="7682346D"/>
    <w:rsid w:val="768374B6"/>
    <w:rsid w:val="76876225"/>
    <w:rsid w:val="76876CD5"/>
    <w:rsid w:val="76972F5A"/>
    <w:rsid w:val="769B568F"/>
    <w:rsid w:val="769D0129"/>
    <w:rsid w:val="769F6722"/>
    <w:rsid w:val="76A417B2"/>
    <w:rsid w:val="76A96C4B"/>
    <w:rsid w:val="76BF6130"/>
    <w:rsid w:val="76DB2B7D"/>
    <w:rsid w:val="76DD68F5"/>
    <w:rsid w:val="770A5210"/>
    <w:rsid w:val="770C2D36"/>
    <w:rsid w:val="771F2A69"/>
    <w:rsid w:val="772042D9"/>
    <w:rsid w:val="7728424C"/>
    <w:rsid w:val="77291B3A"/>
    <w:rsid w:val="77336515"/>
    <w:rsid w:val="77372CC4"/>
    <w:rsid w:val="773C699C"/>
    <w:rsid w:val="7741229E"/>
    <w:rsid w:val="77601CBF"/>
    <w:rsid w:val="7762556B"/>
    <w:rsid w:val="778F0FBE"/>
    <w:rsid w:val="7790745B"/>
    <w:rsid w:val="77923A19"/>
    <w:rsid w:val="77E90BBD"/>
    <w:rsid w:val="77EE068E"/>
    <w:rsid w:val="780600CD"/>
    <w:rsid w:val="780F6F82"/>
    <w:rsid w:val="78153E6C"/>
    <w:rsid w:val="78372035"/>
    <w:rsid w:val="78393FFF"/>
    <w:rsid w:val="7840713B"/>
    <w:rsid w:val="78474C8B"/>
    <w:rsid w:val="784F27C1"/>
    <w:rsid w:val="78526E6F"/>
    <w:rsid w:val="786A00BE"/>
    <w:rsid w:val="78746DE5"/>
    <w:rsid w:val="78872FBC"/>
    <w:rsid w:val="788C2381"/>
    <w:rsid w:val="78A7292D"/>
    <w:rsid w:val="78B13B95"/>
    <w:rsid w:val="78BB0E3D"/>
    <w:rsid w:val="78D635FC"/>
    <w:rsid w:val="78DD2859"/>
    <w:rsid w:val="78E81250"/>
    <w:rsid w:val="78F61EF0"/>
    <w:rsid w:val="79102FB2"/>
    <w:rsid w:val="791D122B"/>
    <w:rsid w:val="795D3C1D"/>
    <w:rsid w:val="796075AF"/>
    <w:rsid w:val="79650C6A"/>
    <w:rsid w:val="79667075"/>
    <w:rsid w:val="79703A50"/>
    <w:rsid w:val="798019D1"/>
    <w:rsid w:val="79823784"/>
    <w:rsid w:val="798E2128"/>
    <w:rsid w:val="798E42B3"/>
    <w:rsid w:val="79AC25AE"/>
    <w:rsid w:val="79AD6A52"/>
    <w:rsid w:val="79B17BC5"/>
    <w:rsid w:val="79B576B5"/>
    <w:rsid w:val="79BF5F60"/>
    <w:rsid w:val="79D02741"/>
    <w:rsid w:val="79D5608F"/>
    <w:rsid w:val="79E4061A"/>
    <w:rsid w:val="79EE5FFB"/>
    <w:rsid w:val="79F226B7"/>
    <w:rsid w:val="7A0423EA"/>
    <w:rsid w:val="7A155F22"/>
    <w:rsid w:val="7A1E3683"/>
    <w:rsid w:val="7A2C376D"/>
    <w:rsid w:val="7A370F38"/>
    <w:rsid w:val="7A392094"/>
    <w:rsid w:val="7A574C10"/>
    <w:rsid w:val="7A5C5D83"/>
    <w:rsid w:val="7A635363"/>
    <w:rsid w:val="7A7272AE"/>
    <w:rsid w:val="7A7632E8"/>
    <w:rsid w:val="7A76533C"/>
    <w:rsid w:val="7A9674E6"/>
    <w:rsid w:val="7AAA1FDB"/>
    <w:rsid w:val="7AB91427"/>
    <w:rsid w:val="7ABC2730"/>
    <w:rsid w:val="7AC733F4"/>
    <w:rsid w:val="7ACD6FD5"/>
    <w:rsid w:val="7AD616C9"/>
    <w:rsid w:val="7AD87AFF"/>
    <w:rsid w:val="7ADB4DD1"/>
    <w:rsid w:val="7AE244DA"/>
    <w:rsid w:val="7AE30252"/>
    <w:rsid w:val="7AE51809"/>
    <w:rsid w:val="7AEC5358"/>
    <w:rsid w:val="7AED55D2"/>
    <w:rsid w:val="7AF95CC7"/>
    <w:rsid w:val="7AFA5427"/>
    <w:rsid w:val="7B084A14"/>
    <w:rsid w:val="7B252618"/>
    <w:rsid w:val="7B297EA4"/>
    <w:rsid w:val="7B3566C9"/>
    <w:rsid w:val="7B474C85"/>
    <w:rsid w:val="7B533629"/>
    <w:rsid w:val="7B610EBF"/>
    <w:rsid w:val="7B6475E5"/>
    <w:rsid w:val="7B65510B"/>
    <w:rsid w:val="7B72293D"/>
    <w:rsid w:val="7B784E3E"/>
    <w:rsid w:val="7B931C78"/>
    <w:rsid w:val="7BBB4173"/>
    <w:rsid w:val="7BBF019E"/>
    <w:rsid w:val="7BC260B9"/>
    <w:rsid w:val="7BC41A78"/>
    <w:rsid w:val="7BD86151"/>
    <w:rsid w:val="7BDA78A7"/>
    <w:rsid w:val="7BE023AE"/>
    <w:rsid w:val="7BE40725"/>
    <w:rsid w:val="7BE95D3C"/>
    <w:rsid w:val="7C086E90"/>
    <w:rsid w:val="7C0E57A2"/>
    <w:rsid w:val="7C1C1C6D"/>
    <w:rsid w:val="7C2E374F"/>
    <w:rsid w:val="7C336D80"/>
    <w:rsid w:val="7C3A5D4A"/>
    <w:rsid w:val="7C3F3BAE"/>
    <w:rsid w:val="7C3F595C"/>
    <w:rsid w:val="7C4250E9"/>
    <w:rsid w:val="7C45537B"/>
    <w:rsid w:val="7C605FFE"/>
    <w:rsid w:val="7C66738C"/>
    <w:rsid w:val="7C6944CC"/>
    <w:rsid w:val="7C6D24C9"/>
    <w:rsid w:val="7C857813"/>
    <w:rsid w:val="7C8D6A46"/>
    <w:rsid w:val="7C8E3521"/>
    <w:rsid w:val="7C995777"/>
    <w:rsid w:val="7C9D3D1B"/>
    <w:rsid w:val="7C9E79C2"/>
    <w:rsid w:val="7C9F1FF3"/>
    <w:rsid w:val="7CAE75E0"/>
    <w:rsid w:val="7CAF663E"/>
    <w:rsid w:val="7CB5571E"/>
    <w:rsid w:val="7CC15684"/>
    <w:rsid w:val="7CC16371"/>
    <w:rsid w:val="7CC534D5"/>
    <w:rsid w:val="7CD2719C"/>
    <w:rsid w:val="7CDE33C7"/>
    <w:rsid w:val="7CDE6F23"/>
    <w:rsid w:val="7CE32552"/>
    <w:rsid w:val="7CE87DA1"/>
    <w:rsid w:val="7CEF1130"/>
    <w:rsid w:val="7CF2727E"/>
    <w:rsid w:val="7D1961AD"/>
    <w:rsid w:val="7D257B78"/>
    <w:rsid w:val="7D2C5EE0"/>
    <w:rsid w:val="7D3134F6"/>
    <w:rsid w:val="7D41294B"/>
    <w:rsid w:val="7D4415A9"/>
    <w:rsid w:val="7D4C5992"/>
    <w:rsid w:val="7D630C0D"/>
    <w:rsid w:val="7D6A07B6"/>
    <w:rsid w:val="7D7004C3"/>
    <w:rsid w:val="7D717D97"/>
    <w:rsid w:val="7D721A7F"/>
    <w:rsid w:val="7D7635FF"/>
    <w:rsid w:val="7D767CCF"/>
    <w:rsid w:val="7D841263"/>
    <w:rsid w:val="7D897FB0"/>
    <w:rsid w:val="7D8C08A4"/>
    <w:rsid w:val="7D8C5801"/>
    <w:rsid w:val="7D983576"/>
    <w:rsid w:val="7DB62063"/>
    <w:rsid w:val="7DB92843"/>
    <w:rsid w:val="7DBB7264"/>
    <w:rsid w:val="7DBD0B76"/>
    <w:rsid w:val="7DCC76C3"/>
    <w:rsid w:val="7DD6660C"/>
    <w:rsid w:val="7DD87AEC"/>
    <w:rsid w:val="7DDD141E"/>
    <w:rsid w:val="7DE41430"/>
    <w:rsid w:val="7DE5777F"/>
    <w:rsid w:val="7E0B1F99"/>
    <w:rsid w:val="7E1627B9"/>
    <w:rsid w:val="7E2272E3"/>
    <w:rsid w:val="7E24305B"/>
    <w:rsid w:val="7E27490B"/>
    <w:rsid w:val="7E485582"/>
    <w:rsid w:val="7E5378C5"/>
    <w:rsid w:val="7E611BB9"/>
    <w:rsid w:val="7E6B25BB"/>
    <w:rsid w:val="7E6C3D1C"/>
    <w:rsid w:val="7E6E2528"/>
    <w:rsid w:val="7E714AA9"/>
    <w:rsid w:val="7E725B75"/>
    <w:rsid w:val="7E8104AE"/>
    <w:rsid w:val="7E865AC4"/>
    <w:rsid w:val="7E8F67B5"/>
    <w:rsid w:val="7E9802BB"/>
    <w:rsid w:val="7E9C6D4C"/>
    <w:rsid w:val="7EAA512E"/>
    <w:rsid w:val="7EAA7A04"/>
    <w:rsid w:val="7EC108AA"/>
    <w:rsid w:val="7EC272FC"/>
    <w:rsid w:val="7ED42AEF"/>
    <w:rsid w:val="7EDC55AA"/>
    <w:rsid w:val="7EDF54D0"/>
    <w:rsid w:val="7EEA7E01"/>
    <w:rsid w:val="7EEB1D75"/>
    <w:rsid w:val="7EF23159"/>
    <w:rsid w:val="7EF23CE2"/>
    <w:rsid w:val="7F0950B4"/>
    <w:rsid w:val="7F0C2702"/>
    <w:rsid w:val="7F0E68CA"/>
    <w:rsid w:val="7F211349"/>
    <w:rsid w:val="7F233313"/>
    <w:rsid w:val="7F2822B2"/>
    <w:rsid w:val="7F2F3374"/>
    <w:rsid w:val="7F3472CE"/>
    <w:rsid w:val="7F370B6C"/>
    <w:rsid w:val="7F383F22"/>
    <w:rsid w:val="7F427C3D"/>
    <w:rsid w:val="7F44676E"/>
    <w:rsid w:val="7F531E4A"/>
    <w:rsid w:val="7F555E5A"/>
    <w:rsid w:val="7F5D6511"/>
    <w:rsid w:val="7F671451"/>
    <w:rsid w:val="7F6C4C41"/>
    <w:rsid w:val="7F8253D1"/>
    <w:rsid w:val="7F923880"/>
    <w:rsid w:val="7F933E41"/>
    <w:rsid w:val="7F947D6D"/>
    <w:rsid w:val="7F9963BC"/>
    <w:rsid w:val="7F9B10FB"/>
    <w:rsid w:val="7F9D4908"/>
    <w:rsid w:val="7F9E4EE6"/>
    <w:rsid w:val="7FA5765E"/>
    <w:rsid w:val="7FA85ABC"/>
    <w:rsid w:val="7FAC4FAE"/>
    <w:rsid w:val="7FAF70F7"/>
    <w:rsid w:val="7FBB179D"/>
    <w:rsid w:val="7FCC5758"/>
    <w:rsid w:val="7FD567C9"/>
    <w:rsid w:val="7FD840FD"/>
    <w:rsid w:val="7FE17456"/>
    <w:rsid w:val="7FF70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jc w:val="center"/>
      <w:outlineLvl w:val="0"/>
    </w:pPr>
    <w:rPr>
      <w:rFonts w:ascii="楷体_GB2312" w:eastAsia="楷体_GB2312"/>
      <w:b/>
      <w:bCs/>
    </w:rPr>
  </w:style>
  <w:style w:type="paragraph" w:styleId="3">
    <w:name w:val="heading 2"/>
    <w:basedOn w:val="1"/>
    <w:next w:val="1"/>
    <w:link w:val="48"/>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link w:val="50"/>
    <w:qFormat/>
    <w:uiPriority w:val="0"/>
    <w:pPr>
      <w:keepNext/>
      <w:keepLines/>
      <w:spacing w:before="280" w:beforeLines="0" w:after="290" w:afterLines="0" w:line="376" w:lineRule="auto"/>
      <w:outlineLvl w:val="3"/>
    </w:pPr>
    <w:rPr>
      <w:rFonts w:ascii="Cambria" w:hAnsi="Cambria"/>
      <w:b/>
      <w:bCs/>
      <w:sz w:val="28"/>
      <w:szCs w:val="28"/>
    </w:rPr>
  </w:style>
  <w:style w:type="paragraph" w:styleId="6">
    <w:name w:val="heading 5"/>
    <w:basedOn w:val="1"/>
    <w:next w:val="1"/>
    <w:link w:val="5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8">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5">
    <w:name w:val="Default Paragraph Font"/>
    <w:unhideWhenUsed/>
    <w:qFormat/>
    <w:uiPriority w:val="1"/>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link w:val="55"/>
    <w:qFormat/>
    <w:uiPriority w:val="0"/>
    <w:pPr>
      <w:adjustRightInd w:val="0"/>
      <w:spacing w:line="312" w:lineRule="atLeast"/>
      <w:ind w:firstLine="420"/>
      <w:textAlignment w:val="baseline"/>
    </w:pPr>
    <w:rPr>
      <w:kern w:val="0"/>
      <w:szCs w:val="20"/>
    </w:rPr>
  </w:style>
  <w:style w:type="paragraph" w:styleId="12">
    <w:name w:val="Document Map"/>
    <w:basedOn w:val="1"/>
    <w:qFormat/>
    <w:uiPriority w:val="0"/>
    <w:pPr>
      <w:shd w:val="clear" w:color="auto" w:fill="000080"/>
    </w:pPr>
  </w:style>
  <w:style w:type="paragraph" w:styleId="13">
    <w:name w:val="annotation text"/>
    <w:basedOn w:val="1"/>
    <w:link w:val="56"/>
    <w:qFormat/>
    <w:uiPriority w:val="0"/>
    <w:pPr>
      <w:jc w:val="left"/>
    </w:pPr>
  </w:style>
  <w:style w:type="paragraph" w:styleId="14">
    <w:name w:val="Body Text"/>
    <w:basedOn w:val="1"/>
    <w:next w:val="15"/>
    <w:link w:val="45"/>
    <w:qFormat/>
    <w:uiPriority w:val="0"/>
    <w:pPr>
      <w:keepNext w:val="0"/>
      <w:keepLines w:val="0"/>
      <w:widowControl w:val="0"/>
      <w:suppressLineNumbers w:val="0"/>
      <w:spacing w:before="0" w:beforeAutospacing="0" w:after="120" w:afterAutospacing="0"/>
      <w:ind w:left="0" w:right="0"/>
      <w:jc w:val="both"/>
    </w:pPr>
  </w:style>
  <w:style w:type="paragraph" w:styleId="15">
    <w:name w:val="Body Text First Indent"/>
    <w:basedOn w:val="14"/>
    <w:next w:val="16"/>
    <w:link w:val="46"/>
    <w:qFormat/>
    <w:uiPriority w:val="0"/>
    <w:pPr>
      <w:ind w:firstLine="420" w:firstLineChars="100"/>
    </w:pPr>
  </w:style>
  <w:style w:type="paragraph" w:styleId="16">
    <w:name w:val="toc 6"/>
    <w:basedOn w:val="1"/>
    <w:next w:val="1"/>
    <w:semiHidden/>
    <w:qFormat/>
    <w:uiPriority w:val="0"/>
    <w:pPr>
      <w:ind w:left="1050"/>
      <w:jc w:val="left"/>
    </w:pPr>
    <w:rPr>
      <w:sz w:val="18"/>
      <w:szCs w:val="18"/>
    </w:rPr>
  </w:style>
  <w:style w:type="paragraph" w:styleId="17">
    <w:name w:val="Body Text Indent"/>
    <w:basedOn w:val="1"/>
    <w:link w:val="57"/>
    <w:qFormat/>
    <w:uiPriority w:val="0"/>
    <w:pPr>
      <w:ind w:left="480" w:hanging="480" w:hangingChars="200"/>
    </w:pPr>
    <w:rPr>
      <w:sz w:val="24"/>
    </w:rPr>
  </w:style>
  <w:style w:type="paragraph" w:styleId="18">
    <w:name w:val="Block Text"/>
    <w:basedOn w:val="1"/>
    <w:qFormat/>
    <w:uiPriority w:val="0"/>
    <w:pPr>
      <w:spacing w:before="156" w:beforeLines="50" w:after="156" w:afterLines="50"/>
      <w:ind w:left="426" w:right="-11" w:hanging="426" w:hangingChars="203"/>
    </w:pPr>
    <w:rPr>
      <w:rFonts w:eastAsia="楷体_GB2312"/>
    </w:rPr>
  </w:style>
  <w:style w:type="paragraph" w:styleId="19">
    <w:name w:val="toc 3"/>
    <w:basedOn w:val="1"/>
    <w:next w:val="1"/>
    <w:qFormat/>
    <w:uiPriority w:val="39"/>
    <w:pPr>
      <w:ind w:left="840" w:leftChars="400"/>
    </w:pPr>
  </w:style>
  <w:style w:type="paragraph" w:styleId="20">
    <w:name w:val="Plain Text"/>
    <w:basedOn w:val="1"/>
    <w:link w:val="5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1">
    <w:name w:val="Date"/>
    <w:basedOn w:val="1"/>
    <w:next w:val="1"/>
    <w:link w:val="59"/>
    <w:qFormat/>
    <w:uiPriority w:val="0"/>
    <w:pPr>
      <w:ind w:left="100" w:leftChars="2500"/>
    </w:pPr>
  </w:style>
  <w:style w:type="paragraph" w:styleId="22">
    <w:name w:val="Body Text Indent 2"/>
    <w:basedOn w:val="1"/>
    <w:qFormat/>
    <w:uiPriority w:val="0"/>
    <w:pPr>
      <w:spacing w:line="500" w:lineRule="exact"/>
      <w:ind w:firstLine="511" w:firstLineChars="213"/>
    </w:pPr>
    <w:rPr>
      <w:sz w:val="24"/>
    </w:rPr>
  </w:style>
  <w:style w:type="paragraph" w:styleId="23">
    <w:name w:val="Balloon Text"/>
    <w:basedOn w:val="1"/>
    <w:qFormat/>
    <w:uiPriority w:val="0"/>
    <w:rPr>
      <w:sz w:val="18"/>
      <w:szCs w:val="18"/>
    </w:rPr>
  </w:style>
  <w:style w:type="paragraph" w:styleId="24">
    <w:name w:val="footer"/>
    <w:basedOn w:val="1"/>
    <w:link w:val="60"/>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7">
    <w:name w:val="Body Text Indent 3"/>
    <w:basedOn w:val="1"/>
    <w:link w:val="62"/>
    <w:qFormat/>
    <w:uiPriority w:val="0"/>
    <w:pPr>
      <w:spacing w:line="500" w:lineRule="exact"/>
      <w:ind w:left="511" w:hanging="511" w:hangingChars="213"/>
    </w:pPr>
    <w:rPr>
      <w:sz w:val="24"/>
    </w:rPr>
  </w:style>
  <w:style w:type="paragraph" w:styleId="28">
    <w:name w:val="toc 2"/>
    <w:basedOn w:val="1"/>
    <w:next w:val="1"/>
    <w:qFormat/>
    <w:uiPriority w:val="39"/>
    <w:pPr>
      <w:ind w:left="420" w:leftChars="200"/>
    </w:pPr>
  </w:style>
  <w:style w:type="paragraph" w:styleId="2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0">
    <w:name w:val="Title"/>
    <w:basedOn w:val="1"/>
    <w:next w:val="1"/>
    <w:link w:val="63"/>
    <w:qFormat/>
    <w:uiPriority w:val="0"/>
    <w:pPr>
      <w:spacing w:before="240" w:after="60"/>
      <w:jc w:val="center"/>
      <w:outlineLvl w:val="0"/>
    </w:pPr>
    <w:rPr>
      <w:rFonts w:ascii="Cambria" w:hAnsi="Cambria"/>
      <w:b/>
      <w:bCs/>
      <w:sz w:val="32"/>
      <w:szCs w:val="32"/>
    </w:rPr>
  </w:style>
  <w:style w:type="paragraph" w:styleId="31">
    <w:name w:val="annotation subject"/>
    <w:basedOn w:val="13"/>
    <w:next w:val="13"/>
    <w:link w:val="64"/>
    <w:qFormat/>
    <w:uiPriority w:val="0"/>
    <w:rPr>
      <w:b/>
      <w:bCs/>
    </w:rPr>
  </w:style>
  <w:style w:type="paragraph" w:styleId="32">
    <w:name w:val="Body Text First Indent 2"/>
    <w:basedOn w:val="17"/>
    <w:unhideWhenUsed/>
    <w:qFormat/>
    <w:uiPriority w:val="99"/>
    <w:pPr>
      <w:ind w:firstLine="420" w:firstLineChars="200"/>
    </w:pPr>
  </w:style>
  <w:style w:type="table" w:styleId="34">
    <w:name w:val="Table Grid"/>
    <w:basedOn w:val="3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none"/>
    </w:rPr>
  </w:style>
  <w:style w:type="character" w:styleId="39">
    <w:name w:val="Emphasis"/>
    <w:basedOn w:val="35"/>
    <w:qFormat/>
    <w:uiPriority w:val="0"/>
  </w:style>
  <w:style w:type="character" w:styleId="40">
    <w:name w:val="Hyperlink"/>
    <w:qFormat/>
    <w:uiPriority w:val="99"/>
    <w:rPr>
      <w:color w:val="000000"/>
      <w:sz w:val="20"/>
      <w:szCs w:val="20"/>
      <w:u w:val="none"/>
    </w:rPr>
  </w:style>
  <w:style w:type="character" w:styleId="41">
    <w:name w:val="HTML Code"/>
    <w:basedOn w:val="35"/>
    <w:qFormat/>
    <w:uiPriority w:val="0"/>
    <w:rPr>
      <w:rFonts w:ascii="Courier New" w:hAnsi="Courier New"/>
      <w:sz w:val="20"/>
    </w:rPr>
  </w:style>
  <w:style w:type="character" w:styleId="42">
    <w:name w:val="annotation reference"/>
    <w:qFormat/>
    <w:uiPriority w:val="0"/>
    <w:rPr>
      <w:sz w:val="21"/>
      <w:szCs w:val="21"/>
    </w:rPr>
  </w:style>
  <w:style w:type="character" w:styleId="43">
    <w:name w:val="HTML Cite"/>
    <w:basedOn w:val="35"/>
    <w:qFormat/>
    <w:uiPriority w:val="0"/>
  </w:style>
  <w:style w:type="paragraph" w:customStyle="1" w:styleId="44">
    <w:name w:val="首行缩进"/>
    <w:basedOn w:val="1"/>
    <w:qFormat/>
    <w:uiPriority w:val="0"/>
    <w:pPr>
      <w:spacing w:line="360" w:lineRule="auto"/>
      <w:ind w:firstLine="480" w:firstLineChars="200"/>
    </w:pPr>
    <w:rPr>
      <w:rFonts w:hAnsi="宋体" w:cs="宋体"/>
      <w:sz w:val="24"/>
    </w:rPr>
  </w:style>
  <w:style w:type="character" w:customStyle="1" w:styleId="45">
    <w:name w:val="正文文本 Char"/>
    <w:link w:val="14"/>
    <w:qFormat/>
    <w:uiPriority w:val="0"/>
    <w:rPr>
      <w:kern w:val="2"/>
      <w:sz w:val="21"/>
      <w:szCs w:val="24"/>
    </w:rPr>
  </w:style>
  <w:style w:type="character" w:customStyle="1" w:styleId="46">
    <w:name w:val="正文首行缩进 Char"/>
    <w:basedOn w:val="45"/>
    <w:link w:val="15"/>
    <w:qFormat/>
    <w:uiPriority w:val="0"/>
  </w:style>
  <w:style w:type="character" w:customStyle="1" w:styleId="47">
    <w:name w:val="标题 1 Char"/>
    <w:link w:val="2"/>
    <w:qFormat/>
    <w:uiPriority w:val="0"/>
    <w:rPr>
      <w:rFonts w:ascii="楷体_GB2312" w:eastAsia="楷体_GB2312"/>
      <w:b/>
      <w:bCs/>
      <w:kern w:val="2"/>
      <w:sz w:val="21"/>
      <w:szCs w:val="24"/>
      <w:lang w:val="en-US" w:eastAsia="zh-CN" w:bidi="ar-SA"/>
    </w:rPr>
  </w:style>
  <w:style w:type="character" w:customStyle="1" w:styleId="48">
    <w:name w:val="标题 2 Char"/>
    <w:link w:val="3"/>
    <w:qFormat/>
    <w:uiPriority w:val="0"/>
    <w:rPr>
      <w:rFonts w:ascii="Arial" w:hAnsi="Arial" w:eastAsia="黑体"/>
      <w:b/>
      <w:bCs/>
      <w:kern w:val="2"/>
      <w:sz w:val="32"/>
      <w:szCs w:val="32"/>
    </w:rPr>
  </w:style>
  <w:style w:type="character" w:customStyle="1" w:styleId="49">
    <w:name w:val="标题 3 Char"/>
    <w:link w:val="4"/>
    <w:qFormat/>
    <w:uiPriority w:val="0"/>
    <w:rPr>
      <w:b/>
      <w:bCs/>
      <w:kern w:val="2"/>
      <w:sz w:val="32"/>
      <w:szCs w:val="32"/>
      <w:lang w:bidi="ar-SA"/>
    </w:rPr>
  </w:style>
  <w:style w:type="character" w:customStyle="1" w:styleId="50">
    <w:name w:val="标题 4 Char"/>
    <w:link w:val="5"/>
    <w:qFormat/>
    <w:uiPriority w:val="0"/>
    <w:rPr>
      <w:rFonts w:ascii="Cambria" w:hAnsi="Cambria" w:eastAsia="宋体"/>
      <w:b/>
      <w:bCs/>
      <w:kern w:val="2"/>
      <w:sz w:val="28"/>
      <w:szCs w:val="28"/>
      <w:lang w:bidi="ar-SA"/>
    </w:rPr>
  </w:style>
  <w:style w:type="character" w:customStyle="1" w:styleId="51">
    <w:name w:val="标题 5 Char"/>
    <w:link w:val="6"/>
    <w:qFormat/>
    <w:uiPriority w:val="0"/>
    <w:rPr>
      <w:b/>
      <w:bCs/>
      <w:kern w:val="2"/>
      <w:sz w:val="28"/>
      <w:szCs w:val="28"/>
    </w:rPr>
  </w:style>
  <w:style w:type="character" w:customStyle="1" w:styleId="52">
    <w:name w:val="标题 7 Char"/>
    <w:link w:val="8"/>
    <w:qFormat/>
    <w:uiPriority w:val="0"/>
    <w:rPr>
      <w:b/>
      <w:bCs/>
      <w:kern w:val="2"/>
      <w:sz w:val="24"/>
      <w:szCs w:val="24"/>
    </w:rPr>
  </w:style>
  <w:style w:type="character" w:customStyle="1" w:styleId="53">
    <w:name w:val="标题 8 Char"/>
    <w:link w:val="9"/>
    <w:qFormat/>
    <w:uiPriority w:val="0"/>
    <w:rPr>
      <w:rFonts w:ascii="Arial" w:hAnsi="Arial" w:eastAsia="黑体"/>
      <w:kern w:val="2"/>
      <w:sz w:val="24"/>
      <w:szCs w:val="24"/>
    </w:rPr>
  </w:style>
  <w:style w:type="character" w:customStyle="1" w:styleId="54">
    <w:name w:val="标题 9 Char"/>
    <w:link w:val="10"/>
    <w:qFormat/>
    <w:uiPriority w:val="0"/>
    <w:rPr>
      <w:rFonts w:ascii="Arial" w:hAnsi="Arial" w:eastAsia="黑体"/>
      <w:kern w:val="2"/>
      <w:sz w:val="24"/>
      <w:szCs w:val="21"/>
    </w:rPr>
  </w:style>
  <w:style w:type="character" w:customStyle="1" w:styleId="55">
    <w:name w:val="正文缩进 Char"/>
    <w:link w:val="11"/>
    <w:qFormat/>
    <w:uiPriority w:val="0"/>
    <w:rPr>
      <w:rFonts w:eastAsia="宋体"/>
      <w:sz w:val="21"/>
      <w:lang w:val="en-US" w:eastAsia="zh-CN" w:bidi="ar-SA"/>
    </w:rPr>
  </w:style>
  <w:style w:type="character" w:customStyle="1" w:styleId="56">
    <w:name w:val="批注文字 Char"/>
    <w:link w:val="13"/>
    <w:qFormat/>
    <w:uiPriority w:val="0"/>
    <w:rPr>
      <w:kern w:val="2"/>
      <w:sz w:val="21"/>
      <w:szCs w:val="24"/>
    </w:rPr>
  </w:style>
  <w:style w:type="character" w:customStyle="1" w:styleId="57">
    <w:name w:val="正文文本缩进 Char"/>
    <w:link w:val="17"/>
    <w:qFormat/>
    <w:uiPriority w:val="0"/>
    <w:rPr>
      <w:kern w:val="2"/>
      <w:sz w:val="24"/>
      <w:szCs w:val="24"/>
    </w:rPr>
  </w:style>
  <w:style w:type="character" w:customStyle="1" w:styleId="58">
    <w:name w:val="纯文本 Char"/>
    <w:link w:val="20"/>
    <w:qFormat/>
    <w:uiPriority w:val="0"/>
    <w:rPr>
      <w:rFonts w:ascii="宋体" w:hAnsi="Courier New" w:eastAsia="宋体"/>
      <w:sz w:val="21"/>
      <w:szCs w:val="21"/>
      <w:lang w:val="en-US" w:eastAsia="zh-CN" w:bidi="ar-SA"/>
    </w:rPr>
  </w:style>
  <w:style w:type="character" w:customStyle="1" w:styleId="59">
    <w:name w:val="日期 Char"/>
    <w:link w:val="21"/>
    <w:qFormat/>
    <w:uiPriority w:val="0"/>
    <w:rPr>
      <w:kern w:val="2"/>
      <w:sz w:val="21"/>
      <w:szCs w:val="24"/>
    </w:rPr>
  </w:style>
  <w:style w:type="character" w:customStyle="1" w:styleId="60">
    <w:name w:val="页脚 Char"/>
    <w:link w:val="24"/>
    <w:qFormat/>
    <w:uiPriority w:val="0"/>
    <w:rPr>
      <w:kern w:val="2"/>
      <w:sz w:val="18"/>
      <w:szCs w:val="18"/>
    </w:rPr>
  </w:style>
  <w:style w:type="character" w:customStyle="1" w:styleId="61">
    <w:name w:val="页眉 Char"/>
    <w:link w:val="25"/>
    <w:qFormat/>
    <w:uiPriority w:val="0"/>
    <w:rPr>
      <w:kern w:val="2"/>
      <w:sz w:val="18"/>
      <w:szCs w:val="18"/>
    </w:rPr>
  </w:style>
  <w:style w:type="character" w:customStyle="1" w:styleId="62">
    <w:name w:val="正文文本缩进 3 Char"/>
    <w:link w:val="27"/>
    <w:qFormat/>
    <w:uiPriority w:val="0"/>
    <w:rPr>
      <w:kern w:val="2"/>
      <w:sz w:val="24"/>
      <w:szCs w:val="24"/>
    </w:rPr>
  </w:style>
  <w:style w:type="character" w:customStyle="1" w:styleId="63">
    <w:name w:val="标题 Char"/>
    <w:link w:val="30"/>
    <w:qFormat/>
    <w:uiPriority w:val="0"/>
    <w:rPr>
      <w:rFonts w:ascii="Cambria" w:hAnsi="Cambria" w:cs="Times New Roman"/>
      <w:b/>
      <w:bCs/>
      <w:kern w:val="2"/>
      <w:sz w:val="32"/>
      <w:szCs w:val="32"/>
    </w:rPr>
  </w:style>
  <w:style w:type="character" w:customStyle="1" w:styleId="64">
    <w:name w:val="批注主题 Char"/>
    <w:link w:val="31"/>
    <w:qFormat/>
    <w:uiPriority w:val="0"/>
    <w:rPr>
      <w:b/>
      <w:bCs/>
      <w:kern w:val="2"/>
      <w:sz w:val="21"/>
      <w:szCs w:val="24"/>
    </w:rPr>
  </w:style>
  <w:style w:type="paragraph" w:customStyle="1" w:styleId="65">
    <w:name w:val="BodyText1I"/>
    <w:basedOn w:val="66"/>
    <w:qFormat/>
    <w:uiPriority w:val="0"/>
    <w:pPr>
      <w:spacing w:after="120" w:line="240" w:lineRule="auto"/>
      <w:ind w:firstLine="420" w:firstLineChars="100"/>
      <w:jc w:val="both"/>
    </w:pPr>
  </w:style>
  <w:style w:type="paragraph" w:customStyle="1" w:styleId="66">
    <w:name w:val="BodyText"/>
    <w:basedOn w:val="1"/>
    <w:qFormat/>
    <w:uiPriority w:val="0"/>
    <w:pPr>
      <w:spacing w:after="120" w:line="240" w:lineRule="auto"/>
      <w:jc w:val="both"/>
    </w:pPr>
  </w:style>
  <w:style w:type="character" w:customStyle="1" w:styleId="67">
    <w:name w:val="正文（缩进） Char Char"/>
    <w:link w:val="68"/>
    <w:qFormat/>
    <w:uiPriority w:val="0"/>
    <w:rPr>
      <w:sz w:val="24"/>
      <w:szCs w:val="24"/>
    </w:rPr>
  </w:style>
  <w:style w:type="paragraph" w:customStyle="1" w:styleId="68">
    <w:name w:val="正文（缩进）"/>
    <w:basedOn w:val="1"/>
    <w:link w:val="67"/>
    <w:qFormat/>
    <w:uiPriority w:val="0"/>
    <w:pPr>
      <w:spacing w:before="156" w:beforeLines="50" w:after="156" w:afterLines="50" w:line="360" w:lineRule="auto"/>
      <w:ind w:firstLine="480" w:firstLineChars="200"/>
    </w:pPr>
    <w:rPr>
      <w:kern w:val="0"/>
      <w:sz w:val="24"/>
    </w:rPr>
  </w:style>
  <w:style w:type="character" w:customStyle="1" w:styleId="69">
    <w:name w:val="正文（标记） Char Char"/>
    <w:link w:val="70"/>
    <w:qFormat/>
    <w:uiPriority w:val="0"/>
    <w:rPr>
      <w:sz w:val="24"/>
      <w:szCs w:val="24"/>
    </w:rPr>
  </w:style>
  <w:style w:type="paragraph" w:customStyle="1" w:styleId="70">
    <w:name w:val="正文（标记）"/>
    <w:basedOn w:val="1"/>
    <w:link w:val="69"/>
    <w:qFormat/>
    <w:uiPriority w:val="0"/>
    <w:pPr>
      <w:numPr>
        <w:ilvl w:val="0"/>
        <w:numId w:val="1"/>
      </w:numPr>
      <w:spacing w:before="156" w:beforeLines="50" w:after="156" w:afterLines="50"/>
    </w:pPr>
    <w:rPr>
      <w:kern w:val="0"/>
      <w:sz w:val="24"/>
    </w:rPr>
  </w:style>
  <w:style w:type="character" w:customStyle="1" w:styleId="71">
    <w:name w:val="文档正文 Char"/>
    <w:link w:val="72"/>
    <w:qFormat/>
    <w:uiPriority w:val="0"/>
    <w:rPr>
      <w:rFonts w:ascii="Tahoma" w:hAnsi="Tahoma" w:eastAsia="仿宋_GB2312"/>
      <w:sz w:val="28"/>
      <w:lang w:val="en-US" w:eastAsia="zh-CN" w:bidi="ar-SA"/>
    </w:rPr>
  </w:style>
  <w:style w:type="paragraph" w:customStyle="1" w:styleId="72">
    <w:name w:val="文档正文"/>
    <w:basedOn w:val="1"/>
    <w:link w:val="71"/>
    <w:qFormat/>
    <w:uiPriority w:val="0"/>
    <w:pPr>
      <w:spacing w:line="360" w:lineRule="auto"/>
      <w:ind w:firstLine="480" w:firstLineChars="200"/>
    </w:pPr>
    <w:rPr>
      <w:rFonts w:ascii="Tahoma" w:hAnsi="Tahoma" w:eastAsia="仿宋_GB2312"/>
      <w:kern w:val="0"/>
      <w:sz w:val="28"/>
      <w:szCs w:val="20"/>
    </w:rPr>
  </w:style>
  <w:style w:type="character" w:customStyle="1" w:styleId="73">
    <w:name w:val="unnamed51"/>
    <w:qFormat/>
    <w:uiPriority w:val="0"/>
    <w:rPr>
      <w:sz w:val="22"/>
      <w:szCs w:val="22"/>
    </w:rPr>
  </w:style>
  <w:style w:type="character" w:customStyle="1" w:styleId="74">
    <w:name w:val="textcolor1"/>
    <w:qFormat/>
    <w:uiPriority w:val="0"/>
    <w:rPr>
      <w:color w:val="FF6600"/>
    </w:rPr>
  </w:style>
  <w:style w:type="character" w:customStyle="1" w:styleId="75">
    <w:name w:val="Char Char2"/>
    <w:qFormat/>
    <w:uiPriority w:val="0"/>
    <w:rPr>
      <w:rFonts w:ascii="宋体" w:hAnsi="Courier New" w:eastAsia="宋体"/>
      <w:kern w:val="2"/>
      <w:sz w:val="21"/>
      <w:lang w:val="en-US" w:eastAsia="zh-CN"/>
    </w:rPr>
  </w:style>
  <w:style w:type="character" w:customStyle="1" w:styleId="76">
    <w:name w:val="无间隔 Char Char"/>
    <w:link w:val="77"/>
    <w:qFormat/>
    <w:uiPriority w:val="0"/>
    <w:rPr>
      <w:rFonts w:ascii="楷体_GB2312" w:hAnsi="宋体" w:eastAsia="楷体_GB2312"/>
      <w:bCs/>
      <w:kern w:val="2"/>
      <w:sz w:val="24"/>
      <w:szCs w:val="24"/>
      <w:u w:val="single"/>
      <w:lang w:val="en-US" w:eastAsia="zh-CN" w:bidi="ar-SA"/>
    </w:rPr>
  </w:style>
  <w:style w:type="paragraph" w:customStyle="1" w:styleId="77">
    <w:name w:val="无间隔1"/>
    <w:link w:val="76"/>
    <w:qFormat/>
    <w:uiPriority w:val="0"/>
    <w:pPr>
      <w:widowControl w:val="0"/>
      <w:spacing w:line="300" w:lineRule="auto"/>
    </w:pPr>
    <w:rPr>
      <w:rFonts w:ascii="楷体_GB2312" w:hAnsi="宋体" w:eastAsia="楷体_GB2312" w:cs="Times New Roman"/>
      <w:bCs/>
      <w:kern w:val="2"/>
      <w:sz w:val="24"/>
      <w:szCs w:val="24"/>
      <w:u w:val="single"/>
      <w:lang w:val="en-US" w:eastAsia="zh-CN" w:bidi="ar-SA"/>
    </w:rPr>
  </w:style>
  <w:style w:type="character" w:customStyle="1" w:styleId="78">
    <w:name w:val="彩色列表 - 强调文字颜色 1 Char"/>
    <w:link w:val="79"/>
    <w:qFormat/>
    <w:uiPriority w:val="0"/>
    <w:rPr>
      <w:rFonts w:ascii="Calibri" w:hAnsi="Calibri"/>
      <w:kern w:val="2"/>
      <w:sz w:val="21"/>
      <w:szCs w:val="24"/>
    </w:rPr>
  </w:style>
  <w:style w:type="paragraph" w:customStyle="1" w:styleId="79">
    <w:name w:val="彩色列表 - 强调文字颜色 11"/>
    <w:basedOn w:val="1"/>
    <w:link w:val="78"/>
    <w:qFormat/>
    <w:uiPriority w:val="0"/>
    <w:pPr>
      <w:ind w:firstLine="420" w:firstLineChars="200"/>
    </w:pPr>
    <w:rPr>
      <w:rFonts w:ascii="Calibri" w:hAnsi="Calibri"/>
    </w:rPr>
  </w:style>
  <w:style w:type="character" w:customStyle="1" w:styleId="80">
    <w:name w:val="样式6 列表并列 Char"/>
    <w:link w:val="81"/>
    <w:qFormat/>
    <w:locked/>
    <w:uiPriority w:val="0"/>
    <w:rPr>
      <w:rFonts w:ascii="Arial" w:hAnsi="Arial" w:cs="Arial"/>
      <w:kern w:val="21"/>
      <w:sz w:val="21"/>
      <w:szCs w:val="24"/>
      <w:lang w:val="en-US" w:eastAsia="zh-CN" w:bidi="ar-SA"/>
    </w:rPr>
  </w:style>
  <w:style w:type="paragraph" w:customStyle="1" w:styleId="81">
    <w:name w:val="样式6 列表并列"/>
    <w:link w:val="80"/>
    <w:qFormat/>
    <w:uiPriority w:val="0"/>
    <w:pPr>
      <w:widowControl w:val="0"/>
      <w:numPr>
        <w:ilvl w:val="0"/>
        <w:numId w:val="2"/>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82">
    <w:name w:val="证 Char Char"/>
    <w:link w:val="83"/>
    <w:qFormat/>
    <w:uiPriority w:val="0"/>
    <w:rPr>
      <w:rFonts w:ascii="宋体" w:hAnsi="宋体"/>
      <w:kern w:val="2"/>
      <w:sz w:val="24"/>
      <w:szCs w:val="24"/>
    </w:rPr>
  </w:style>
  <w:style w:type="paragraph" w:customStyle="1" w:styleId="83">
    <w:name w:val="证"/>
    <w:basedOn w:val="1"/>
    <w:link w:val="82"/>
    <w:qFormat/>
    <w:uiPriority w:val="0"/>
    <w:pPr>
      <w:spacing w:line="360" w:lineRule="auto"/>
      <w:ind w:firstLine="480" w:firstLineChars="200"/>
    </w:pPr>
    <w:rPr>
      <w:rFonts w:ascii="宋体" w:hAnsi="宋体"/>
      <w:sz w:val="24"/>
    </w:rPr>
  </w:style>
  <w:style w:type="character" w:customStyle="1" w:styleId="84">
    <w:name w:val="font31"/>
    <w:qFormat/>
    <w:uiPriority w:val="0"/>
    <w:rPr>
      <w:rFonts w:hint="eastAsia" w:ascii="宋体" w:hAnsi="宋体" w:eastAsia="宋体" w:cs="宋体"/>
      <w:color w:val="000000"/>
      <w:sz w:val="20"/>
      <w:szCs w:val="20"/>
      <w:u w:val="none"/>
    </w:rPr>
  </w:style>
  <w:style w:type="character" w:customStyle="1" w:styleId="85">
    <w:name w:val="List Paragraph Char"/>
    <w:link w:val="86"/>
    <w:qFormat/>
    <w:uiPriority w:val="0"/>
    <w:rPr>
      <w:rFonts w:ascii="Calibri" w:hAnsi="Calibri" w:eastAsia="宋体"/>
      <w:kern w:val="2"/>
      <w:sz w:val="21"/>
      <w:szCs w:val="22"/>
      <w:lang w:val="en-US" w:eastAsia="zh-CN" w:bidi="ar-SA"/>
    </w:rPr>
  </w:style>
  <w:style w:type="paragraph" w:customStyle="1" w:styleId="86">
    <w:name w:val="List Paragraph1"/>
    <w:basedOn w:val="1"/>
    <w:link w:val="85"/>
    <w:qFormat/>
    <w:uiPriority w:val="0"/>
    <w:pPr>
      <w:ind w:firstLine="420" w:firstLineChars="200"/>
    </w:pPr>
    <w:rPr>
      <w:rFonts w:ascii="Calibri" w:hAnsi="Calibri"/>
      <w:szCs w:val="22"/>
    </w:rPr>
  </w:style>
  <w:style w:type="character" w:customStyle="1" w:styleId="87">
    <w:name w:val="标准文本 Char Char"/>
    <w:link w:val="88"/>
    <w:qFormat/>
    <w:uiPriority w:val="0"/>
    <w:rPr>
      <w:sz w:val="24"/>
    </w:rPr>
  </w:style>
  <w:style w:type="paragraph" w:customStyle="1" w:styleId="88">
    <w:name w:val="标准文本"/>
    <w:basedOn w:val="1"/>
    <w:link w:val="87"/>
    <w:qFormat/>
    <w:uiPriority w:val="0"/>
    <w:pPr>
      <w:spacing w:line="360" w:lineRule="auto"/>
      <w:ind w:firstLine="480" w:firstLineChars="200"/>
    </w:pPr>
    <w:rPr>
      <w:kern w:val="0"/>
      <w:sz w:val="24"/>
      <w:szCs w:val="20"/>
    </w:rPr>
  </w:style>
  <w:style w:type="character" w:customStyle="1" w:styleId="89">
    <w:name w:val="Char Char1"/>
    <w:qFormat/>
    <w:uiPriority w:val="0"/>
    <w:rPr>
      <w:rFonts w:ascii="宋体" w:hAnsi="Courier New" w:eastAsia="宋体"/>
      <w:kern w:val="2"/>
      <w:sz w:val="21"/>
      <w:lang w:val="en-US" w:eastAsia="zh-CN" w:bidi="ar-SA"/>
    </w:rPr>
  </w:style>
  <w:style w:type="character" w:customStyle="1" w:styleId="90">
    <w:name w:val="ca-18"/>
    <w:qFormat/>
    <w:uiPriority w:val="0"/>
  </w:style>
  <w:style w:type="character" w:customStyle="1" w:styleId="91">
    <w:name w:val="Texte Char Char"/>
    <w:qFormat/>
    <w:uiPriority w:val="0"/>
    <w:rPr>
      <w:rFonts w:ascii="宋体" w:hAnsi="Courier New" w:eastAsia="宋体"/>
      <w:sz w:val="21"/>
      <w:szCs w:val="21"/>
      <w:lang w:val="en-US" w:eastAsia="zh-CN" w:bidi="ar-SA"/>
    </w:rPr>
  </w:style>
  <w:style w:type="character" w:customStyle="1" w:styleId="92">
    <w:name w:val="目录1 Char"/>
    <w:link w:val="93"/>
    <w:qFormat/>
    <w:uiPriority w:val="0"/>
    <w:rPr>
      <w:b/>
      <w:bCs/>
      <w:kern w:val="44"/>
      <w:sz w:val="36"/>
      <w:szCs w:val="36"/>
    </w:rPr>
  </w:style>
  <w:style w:type="paragraph" w:customStyle="1" w:styleId="93">
    <w:name w:val="目录1"/>
    <w:basedOn w:val="2"/>
    <w:link w:val="92"/>
    <w:qFormat/>
    <w:uiPriority w:val="0"/>
    <w:pPr>
      <w:keepLines/>
      <w:spacing w:before="340" w:after="330" w:line="440" w:lineRule="exact"/>
    </w:pPr>
    <w:rPr>
      <w:rFonts w:ascii="Times New Roman" w:eastAsia="宋体"/>
      <w:kern w:val="44"/>
      <w:sz w:val="36"/>
      <w:szCs w:val="36"/>
    </w:rPr>
  </w:style>
  <w:style w:type="character" w:customStyle="1" w:styleId="94">
    <w:name w:val="Char Char Char"/>
    <w:qFormat/>
    <w:uiPriority w:val="0"/>
    <w:rPr>
      <w:rFonts w:ascii="宋体" w:hAnsi="Courier New" w:eastAsia="宋体"/>
      <w:sz w:val="21"/>
      <w:szCs w:val="21"/>
      <w:lang w:val="en-US" w:eastAsia="zh-CN" w:bidi="ar-SA"/>
    </w:rPr>
  </w:style>
  <w:style w:type="character" w:customStyle="1" w:styleId="95">
    <w:name w:val="表内 Char Char"/>
    <w:link w:val="96"/>
    <w:qFormat/>
    <w:uiPriority w:val="0"/>
    <w:rPr>
      <w:rFonts w:ascii="宋体" w:hAnsi="宋体"/>
      <w:kern w:val="2"/>
      <w:sz w:val="18"/>
      <w:szCs w:val="18"/>
    </w:rPr>
  </w:style>
  <w:style w:type="paragraph" w:customStyle="1" w:styleId="96">
    <w:name w:val="表内"/>
    <w:basedOn w:val="1"/>
    <w:link w:val="95"/>
    <w:qFormat/>
    <w:uiPriority w:val="0"/>
    <w:rPr>
      <w:rFonts w:ascii="宋体" w:hAnsi="宋体"/>
      <w:sz w:val="18"/>
      <w:szCs w:val="18"/>
    </w:rPr>
  </w:style>
  <w:style w:type="character" w:customStyle="1" w:styleId="97">
    <w:name w:val="font01"/>
    <w:qFormat/>
    <w:uiPriority w:val="0"/>
    <w:rPr>
      <w:rFonts w:ascii="font-weight : 400" w:hAnsi="font-weight : 400" w:eastAsia="font-weight : 400" w:cs="font-weight : 400"/>
      <w:color w:val="000000"/>
      <w:sz w:val="22"/>
      <w:szCs w:val="22"/>
      <w:u w:val="none"/>
    </w:rPr>
  </w:style>
  <w:style w:type="character" w:customStyle="1" w:styleId="98">
    <w:name w:val="style21"/>
    <w:qFormat/>
    <w:uiPriority w:val="0"/>
    <w:rPr>
      <w:sz w:val="15"/>
      <w:szCs w:val="15"/>
    </w:rPr>
  </w:style>
  <w:style w:type="character" w:customStyle="1" w:styleId="99">
    <w:name w:val="apple-converted-space"/>
    <w:basedOn w:val="35"/>
    <w:qFormat/>
    <w:uiPriority w:val="0"/>
  </w:style>
  <w:style w:type="character" w:customStyle="1" w:styleId="100">
    <w:name w:val="哈哈正文 Char"/>
    <w:link w:val="101"/>
    <w:qFormat/>
    <w:uiPriority w:val="0"/>
    <w:rPr>
      <w:rFonts w:ascii="宋体" w:hAnsi="宋体" w:eastAsia="宋体" w:cs="宋体"/>
      <w:kern w:val="2"/>
      <w:sz w:val="24"/>
      <w:lang w:val="en-US" w:eastAsia="zh-CN" w:bidi="ar-SA"/>
    </w:rPr>
  </w:style>
  <w:style w:type="paragraph" w:customStyle="1" w:styleId="101">
    <w:name w:val="哈哈正文"/>
    <w:basedOn w:val="1"/>
    <w:link w:val="100"/>
    <w:qFormat/>
    <w:uiPriority w:val="0"/>
    <w:pPr>
      <w:spacing w:line="360" w:lineRule="auto"/>
      <w:ind w:firstLine="200" w:firstLineChars="200"/>
    </w:pPr>
    <w:rPr>
      <w:rFonts w:ascii="宋体" w:hAnsi="宋体" w:cs="宋体"/>
      <w:sz w:val="24"/>
      <w:szCs w:val="20"/>
    </w:rPr>
  </w:style>
  <w:style w:type="character" w:customStyle="1" w:styleId="102">
    <w:name w:val="font11"/>
    <w:qFormat/>
    <w:uiPriority w:val="0"/>
    <w:rPr>
      <w:rFonts w:hint="eastAsia" w:ascii="宋体" w:hAnsi="宋体" w:eastAsia="宋体" w:cs="宋体"/>
      <w:color w:val="000000"/>
      <w:sz w:val="22"/>
      <w:szCs w:val="22"/>
      <w:u w:val="none"/>
    </w:rPr>
  </w:style>
  <w:style w:type="paragraph" w:customStyle="1" w:styleId="103">
    <w:name w:val="Char Char Char Char"/>
    <w:basedOn w:val="12"/>
    <w:qFormat/>
    <w:uiPriority w:val="0"/>
    <w:rPr>
      <w:rFonts w:ascii="Tahoma" w:hAnsi="Tahoma"/>
      <w:sz w:val="24"/>
    </w:rPr>
  </w:style>
  <w:style w:type="paragraph" w:customStyle="1" w:styleId="104">
    <w:name w:val="style3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Char Char Char Char Char Char"/>
    <w:basedOn w:val="1"/>
    <w:qFormat/>
    <w:uiPriority w:val="0"/>
    <w:rPr>
      <w:rFonts w:ascii="Tahoma" w:hAnsi="Tahoma"/>
      <w:sz w:val="24"/>
      <w:szCs w:val="20"/>
    </w:rPr>
  </w:style>
  <w:style w:type="paragraph" w:customStyle="1" w:styleId="106">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07">
    <w:name w:val="列表内容"/>
    <w:basedOn w:val="1"/>
    <w:next w:val="1"/>
    <w:qFormat/>
    <w:uiPriority w:val="0"/>
    <w:pPr>
      <w:widowControl/>
      <w:tabs>
        <w:tab w:val="left" w:pos="840"/>
      </w:tabs>
      <w:ind w:left="360"/>
      <w:jc w:val="left"/>
    </w:pPr>
    <w:rPr>
      <w:kern w:val="0"/>
      <w:sz w:val="18"/>
      <w:szCs w:val="20"/>
    </w:rPr>
  </w:style>
  <w:style w:type="paragraph" w:customStyle="1" w:styleId="10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xl35"/>
    <w:basedOn w:val="1"/>
    <w:qFormat/>
    <w:uiPriority w:val="0"/>
    <w:pPr>
      <w:widowControl/>
      <w:pBdr>
        <w:left w:val="single" w:color="auto" w:sz="2" w:space="0"/>
        <w:bottom w:val="single" w:color="auto" w:sz="2" w:space="0"/>
        <w:right w:val="single" w:color="auto" w:sz="2"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0">
    <w:name w:val="Char Char1 Char Char Char Char Char Char"/>
    <w:basedOn w:val="1"/>
    <w:qFormat/>
    <w:uiPriority w:val="0"/>
    <w:pPr>
      <w:widowControl/>
      <w:spacing w:after="160" w:afterLines="0" w:line="240" w:lineRule="exact"/>
      <w:jc w:val="left"/>
    </w:pPr>
    <w:rPr>
      <w:rFonts w:ascii="宋体" w:hAnsi="宋体" w:cs="宋体"/>
      <w:kern w:val="0"/>
      <w:szCs w:val="20"/>
    </w:rPr>
  </w:style>
  <w:style w:type="paragraph" w:customStyle="1" w:styleId="111">
    <w:name w:val="列出段落1"/>
    <w:basedOn w:val="1"/>
    <w:qFormat/>
    <w:uiPriority w:val="0"/>
    <w:pPr>
      <w:spacing w:line="415" w:lineRule="auto"/>
      <w:ind w:left="420" w:firstLine="420" w:firstLineChars="200"/>
      <w:jc w:val="left"/>
    </w:pPr>
    <w:rPr>
      <w:rFonts w:ascii="Calibri" w:hAnsi="Calibri"/>
      <w:sz w:val="28"/>
      <w:szCs w:val="22"/>
    </w:rPr>
  </w:style>
  <w:style w:type="paragraph" w:customStyle="1" w:styleId="112">
    <w:name w:val="Char Char Char Char Char Char Char Char Char Char Char Char Char1"/>
    <w:basedOn w:val="1"/>
    <w:qFormat/>
    <w:uiPriority w:val="0"/>
    <w:rPr>
      <w:rFonts w:ascii="Tahoma" w:hAnsi="Tahoma"/>
      <w:sz w:val="24"/>
      <w:szCs w:val="20"/>
    </w:rPr>
  </w:style>
  <w:style w:type="paragraph" w:customStyle="1" w:styleId="113">
    <w:name w:val=" Char3"/>
    <w:basedOn w:val="12"/>
    <w:qFormat/>
    <w:uiPriority w:val="0"/>
  </w:style>
  <w:style w:type="paragraph" w:customStyle="1" w:styleId="114">
    <w:name w:val=" Char Char7 Char"/>
    <w:basedOn w:val="1"/>
    <w:qFormat/>
    <w:uiPriority w:val="0"/>
    <w:pPr>
      <w:tabs>
        <w:tab w:val="left" w:pos="425"/>
      </w:tabs>
      <w:ind w:left="420" w:leftChars="200" w:firstLine="270" w:firstLineChars="150"/>
    </w:pPr>
  </w:style>
  <w:style w:type="paragraph" w:customStyle="1" w:styleId="115">
    <w:name w:val="正文2"/>
    <w:basedOn w:val="1"/>
    <w:qFormat/>
    <w:uiPriority w:val="0"/>
    <w:pPr>
      <w:spacing w:before="156" w:beforeLines="0" w:line="360" w:lineRule="auto"/>
      <w:ind w:firstLine="510" w:firstLineChars="200"/>
    </w:pPr>
    <w:rPr>
      <w:sz w:val="24"/>
      <w:szCs w:val="20"/>
    </w:rPr>
  </w:style>
  <w:style w:type="paragraph" w:customStyle="1" w:styleId="116">
    <w:name w:val="正文－恩普"/>
    <w:basedOn w:val="11"/>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7">
    <w:name w:val="默认段落字体 Para Char"/>
    <w:basedOn w:val="1"/>
    <w:qFormat/>
    <w:uiPriority w:val="0"/>
    <w:pPr>
      <w:tabs>
        <w:tab w:val="left" w:pos="360"/>
      </w:tabs>
      <w:adjustRightInd w:val="0"/>
      <w:textAlignment w:val="baseline"/>
    </w:pPr>
  </w:style>
  <w:style w:type="paragraph" w:customStyle="1" w:styleId="118">
    <w:name w:val=" Char Char Char Char Char Char Char"/>
    <w:basedOn w:val="1"/>
    <w:qFormat/>
    <w:uiPriority w:val="0"/>
    <w:rPr>
      <w:rFonts w:ascii="仿宋_GB2312" w:eastAsia="仿宋_GB2312"/>
      <w:b/>
      <w:sz w:val="32"/>
      <w:szCs w:val="32"/>
    </w:rPr>
  </w:style>
  <w:style w:type="paragraph" w:customStyle="1" w:styleId="119">
    <w:name w:val=" Char Char1 Char Char Char Char Char Char"/>
    <w:basedOn w:val="1"/>
    <w:qFormat/>
    <w:uiPriority w:val="0"/>
    <w:rPr>
      <w:rFonts w:ascii="仿宋_GB2312" w:eastAsia="仿宋_GB2312"/>
      <w:b/>
      <w:sz w:val="32"/>
      <w:szCs w:val="32"/>
    </w:rPr>
  </w:style>
  <w:style w:type="paragraph" w:customStyle="1" w:styleId="120">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1">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2">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123">
    <w:name w:val="_Style 121"/>
    <w:basedOn w:val="2"/>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4">
    <w:name w:val="GP标题1"/>
    <w:basedOn w:val="1"/>
    <w:next w:val="1"/>
    <w:qFormat/>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5">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26">
    <w:name w:val="简单回函地址"/>
    <w:basedOn w:val="1"/>
    <w:qFormat/>
    <w:uiPriority w:val="0"/>
  </w:style>
  <w:style w:type="paragraph" w:customStyle="1" w:styleId="127">
    <w:name w:val=" Char Char Char Char Char Char Char Char Char Char Char Char Char"/>
    <w:basedOn w:val="1"/>
    <w:qFormat/>
    <w:uiPriority w:val="0"/>
    <w:rPr>
      <w:rFonts w:ascii="Tahoma" w:hAnsi="Tahoma"/>
      <w:sz w:val="24"/>
      <w:szCs w:val="20"/>
    </w:rPr>
  </w:style>
  <w:style w:type="paragraph" w:customStyle="1" w:styleId="128">
    <w:name w:val="正文首行缩进1"/>
    <w:basedOn w:val="14"/>
    <w:qFormat/>
    <w:uiPriority w:val="0"/>
    <w:pPr>
      <w:ind w:firstLine="420" w:firstLineChars="100"/>
    </w:pPr>
    <w:rPr>
      <w:rFonts w:ascii="Calibri" w:hAnsi="Calibri"/>
    </w:rPr>
  </w:style>
  <w:style w:type="paragraph" w:customStyle="1" w:styleId="129">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1">
    <w:name w:val="编号，小四"/>
    <w:basedOn w:val="1"/>
    <w:qFormat/>
    <w:uiPriority w:val="0"/>
    <w:pPr>
      <w:numPr>
        <w:ilvl w:val="0"/>
        <w:numId w:val="4"/>
      </w:numPr>
      <w:spacing w:line="360" w:lineRule="auto"/>
    </w:pPr>
    <w:rPr>
      <w:rFonts w:ascii="Arial" w:hAnsi="Arial" w:cs="宋体"/>
      <w:sz w:val="24"/>
      <w:szCs w:val="20"/>
    </w:rPr>
  </w:style>
  <w:style w:type="paragraph" w:customStyle="1" w:styleId="132">
    <w:name w:val="p0"/>
    <w:basedOn w:val="1"/>
    <w:qFormat/>
    <w:uiPriority w:val="0"/>
    <w:pPr>
      <w:widowControl/>
    </w:pPr>
    <w:rPr>
      <w:rFonts w:ascii="Calibri" w:hAnsi="Calibri" w:cs="Calibri"/>
      <w:kern w:val="0"/>
      <w:szCs w:val="21"/>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_Style 13"/>
    <w:basedOn w:val="1"/>
    <w:qFormat/>
    <w:uiPriority w:val="0"/>
    <w:rPr>
      <w:rFonts w:ascii="Tahoma" w:hAnsi="Tahoma"/>
      <w:sz w:val="24"/>
      <w:szCs w:val="20"/>
    </w:rPr>
  </w:style>
  <w:style w:type="paragraph" w:customStyle="1" w:styleId="135">
    <w:name w:val="表内文字"/>
    <w:basedOn w:val="1"/>
    <w:qFormat/>
    <w:uiPriority w:val="0"/>
    <w:pPr>
      <w:spacing w:line="240" w:lineRule="atLeast"/>
      <w:jc w:val="center"/>
    </w:pPr>
    <w:rPr>
      <w:rFonts w:ascii="Arial" w:hAnsi="Arial" w:eastAsia="宋体" w:cs="Arial"/>
      <w:b/>
      <w:bCs/>
    </w:rPr>
  </w:style>
  <w:style w:type="paragraph" w:styleId="136">
    <w:name w:val="No Spacing"/>
    <w:basedOn w:val="4"/>
    <w:qFormat/>
    <w:uiPriority w:val="0"/>
    <w:pPr>
      <w:widowControl w:val="0"/>
      <w:jc w:val="both"/>
    </w:pPr>
    <w:rPr>
      <w:kern w:val="2"/>
      <w:sz w:val="21"/>
      <w:szCs w:val="24"/>
      <w:lang w:val="en-US" w:eastAsia="zh-CN" w:bidi="ar-SA"/>
    </w:rPr>
  </w:style>
  <w:style w:type="paragraph" w:customStyle="1" w:styleId="137">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38">
    <w:name w:val="Char Char Char Char Char Char Char"/>
    <w:basedOn w:val="1"/>
    <w:qFormat/>
    <w:uiPriority w:val="0"/>
    <w:rPr>
      <w:rFonts w:ascii="仿宋_GB2312" w:eastAsia="仿宋_GB2312"/>
      <w:b/>
      <w:sz w:val="32"/>
      <w:szCs w:val="32"/>
    </w:rPr>
  </w:style>
  <w:style w:type="paragraph" w:customStyle="1" w:styleId="139">
    <w:name w:val="Char Char"/>
    <w:basedOn w:val="1"/>
    <w:qFormat/>
    <w:uiPriority w:val="0"/>
    <w:rPr>
      <w:rFonts w:ascii="仿宋_GB2312" w:eastAsia="仿宋_GB2312"/>
      <w:b/>
      <w:sz w:val="32"/>
      <w:szCs w:val="32"/>
    </w:rPr>
  </w:style>
  <w:style w:type="paragraph" w:customStyle="1" w:styleId="140">
    <w:name w:val="Char Char Char Char Char Char Char Char Char Char Char Char Char"/>
    <w:basedOn w:val="1"/>
    <w:qFormat/>
    <w:uiPriority w:val="0"/>
    <w:rPr>
      <w:rFonts w:ascii="Tahoma" w:hAnsi="Tahoma"/>
      <w:sz w:val="24"/>
      <w:szCs w:val="20"/>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 Char Char Char Char"/>
    <w:basedOn w:val="12"/>
    <w:qFormat/>
    <w:uiPriority w:val="0"/>
    <w:rPr>
      <w:rFonts w:ascii="Tahoma" w:hAnsi="Tahoma"/>
      <w:sz w:val="24"/>
    </w:rPr>
  </w:style>
  <w:style w:type="paragraph" w:customStyle="1" w:styleId="143">
    <w:name w:val="正文1"/>
    <w:basedOn w:val="1"/>
    <w:qFormat/>
    <w:uiPriority w:val="0"/>
    <w:pPr>
      <w:spacing w:line="480" w:lineRule="exact"/>
      <w:ind w:firstLine="480" w:firstLineChars="200"/>
    </w:pPr>
    <w:rPr>
      <w:rFonts w:ascii="宋体"/>
      <w:sz w:val="24"/>
      <w:szCs w:val="20"/>
    </w:rPr>
  </w:style>
  <w:style w:type="paragraph" w:customStyle="1" w:styleId="144">
    <w:name w:val="Char1 Char Char Char Char"/>
    <w:basedOn w:val="12"/>
    <w:qFormat/>
    <w:uiPriority w:val="0"/>
    <w:rPr>
      <w:rFonts w:ascii="Tahoma" w:hAnsi="Tahoma" w:cs="Tahoma"/>
      <w:kern w:val="0"/>
      <w:sz w:val="18"/>
    </w:rPr>
  </w:style>
  <w:style w:type="paragraph" w:customStyle="1" w:styleId="145">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表标题"/>
    <w:next w:val="141"/>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7">
    <w:name w:val="表内容"/>
    <w:basedOn w:val="1"/>
    <w:qFormat/>
    <w:uiPriority w:val="0"/>
    <w:pPr>
      <w:widowControl/>
      <w:spacing w:line="320" w:lineRule="exact"/>
      <w:jc w:val="left"/>
    </w:pPr>
    <w:rPr>
      <w:rFonts w:cs="Arial"/>
      <w:kern w:val="0"/>
      <w:sz w:val="20"/>
      <w:szCs w:val="20"/>
    </w:rPr>
  </w:style>
  <w:style w:type="paragraph" w:customStyle="1" w:styleId="148">
    <w:name w:val="保留正文"/>
    <w:basedOn w:val="14"/>
    <w:qFormat/>
    <w:uiPriority w:val="0"/>
    <w:pPr>
      <w:keepNext/>
      <w:spacing w:after="160" w:afterLines="0"/>
    </w:pPr>
  </w:style>
  <w:style w:type="paragraph" w:customStyle="1" w:styleId="149">
    <w:name w:val="TableCaption Char"/>
    <w:next w:val="1"/>
    <w:qFormat/>
    <w:uiPriority w:val="0"/>
    <w:pPr>
      <w:numPr>
        <w:ilvl w:val="0"/>
        <w:numId w:val="2"/>
      </w:numPr>
      <w:tabs>
        <w:tab w:val="left" w:pos="720"/>
      </w:tabs>
      <w:spacing w:line="480" w:lineRule="auto"/>
      <w:ind w:left="907" w:hanging="907"/>
    </w:pPr>
    <w:rPr>
      <w:rFonts w:ascii="Arial" w:hAnsi="Arial" w:eastAsia="宋体" w:cs="Times New Roman"/>
      <w:color w:val="000000"/>
      <w:sz w:val="18"/>
      <w:lang w:val="en-US" w:eastAsia="en-US" w:bidi="ar-SA"/>
    </w:rPr>
  </w:style>
  <w:style w:type="paragraph" w:customStyle="1" w:styleId="150">
    <w:name w:val="pa-8"/>
    <w:basedOn w:val="1"/>
    <w:qFormat/>
    <w:uiPriority w:val="0"/>
    <w:pPr>
      <w:widowControl/>
      <w:spacing w:before="150" w:after="150"/>
      <w:jc w:val="left"/>
    </w:pPr>
    <w:rPr>
      <w:rFonts w:ascii="宋体" w:hAnsi="宋体" w:cs="宋体"/>
      <w:kern w:val="0"/>
      <w:sz w:val="24"/>
    </w:rPr>
  </w:style>
  <w:style w:type="paragraph" w:styleId="151">
    <w:name w:val="List Paragraph"/>
    <w:basedOn w:val="1"/>
    <w:qFormat/>
    <w:uiPriority w:val="34"/>
    <w:pPr>
      <w:ind w:firstLine="420" w:firstLineChars="200"/>
    </w:pPr>
  </w:style>
  <w:style w:type="paragraph" w:customStyle="1" w:styleId="152">
    <w:name w:val="Char Char Char Char1"/>
    <w:basedOn w:val="1"/>
    <w:qFormat/>
    <w:uiPriority w:val="0"/>
    <w:rPr>
      <w:rFonts w:ascii="Tahoma" w:hAnsi="Tahoma"/>
      <w:sz w:val="24"/>
      <w:szCs w:val="20"/>
    </w:rPr>
  </w:style>
  <w:style w:type="paragraph" w:customStyle="1" w:styleId="153">
    <w:name w:val="pbulletcmt"/>
    <w:basedOn w:val="1"/>
    <w:qFormat/>
    <w:uiPriority w:val="0"/>
    <w:pPr>
      <w:widowControl/>
      <w:spacing w:before="100" w:beforeAutospacing="1" w:after="100" w:afterAutospacing="1"/>
      <w:jc w:val="left"/>
    </w:pPr>
    <w:rPr>
      <w:kern w:val="0"/>
      <w:sz w:val="24"/>
    </w:rPr>
  </w:style>
  <w:style w:type="paragraph" w:customStyle="1" w:styleId="154">
    <w:name w:val="项目标号"/>
    <w:qFormat/>
    <w:uiPriority w:val="0"/>
    <w:pPr>
      <w:numPr>
        <w:ilvl w:val="1"/>
        <w:numId w:val="5"/>
      </w:numPr>
      <w:tabs>
        <w:tab w:val="left" w:pos="780"/>
      </w:tabs>
      <w:spacing w:line="360" w:lineRule="auto"/>
    </w:pPr>
    <w:rPr>
      <w:rFonts w:ascii="Times New Roman" w:hAnsi="Times New Roman" w:eastAsia="宋体" w:cs="Times New Roman"/>
      <w:sz w:val="24"/>
      <w:lang w:val="en-US" w:eastAsia="zh-CN" w:bidi="ar-SA"/>
    </w:rPr>
  </w:style>
  <w:style w:type="paragraph" w:customStyle="1" w:styleId="155">
    <w:name w:val="样式 四号 首行缩进:  1 厘米"/>
    <w:basedOn w:val="1"/>
    <w:qFormat/>
    <w:uiPriority w:val="0"/>
    <w:pPr>
      <w:spacing w:line="440" w:lineRule="exact"/>
      <w:ind w:firstLine="567"/>
    </w:pPr>
    <w:rPr>
      <w:rFonts w:cs="宋体"/>
      <w:sz w:val="28"/>
      <w:szCs w:val="20"/>
    </w:rPr>
  </w:style>
  <w:style w:type="paragraph" w:customStyle="1" w:styleId="156">
    <w:name w:val="表格"/>
    <w:basedOn w:val="157"/>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7">
    <w:name w:val="表头"/>
    <w:basedOn w:val="136"/>
    <w:qFormat/>
    <w:uiPriority w:val="0"/>
    <w:pPr>
      <w:jc w:val="center"/>
    </w:pPr>
    <w:rPr>
      <w:rFonts w:ascii="楷体_GB2312"/>
      <w:kern w:val="28"/>
      <w:sz w:val="28"/>
      <w:szCs w:val="28"/>
    </w:rPr>
  </w:style>
  <w:style w:type="paragraph" w:customStyle="1" w:styleId="158">
    <w:name w:val="正文文本首行缩进1"/>
    <w:basedOn w:val="14"/>
    <w:qFormat/>
    <w:uiPriority w:val="0"/>
    <w:pPr>
      <w:ind w:firstLine="420" w:firstLineChars="100"/>
    </w:pPr>
    <w:rPr>
      <w:szCs w:val="21"/>
    </w:rPr>
  </w:style>
  <w:style w:type="paragraph" w:customStyle="1" w:styleId="159">
    <w:name w:val="[Normal]"/>
    <w:qFormat/>
    <w:uiPriority w:val="0"/>
    <w:rPr>
      <w:rFonts w:ascii="宋体" w:hAnsi="宋体" w:eastAsia="宋体" w:cs="Times New Roman"/>
      <w:sz w:val="24"/>
      <w:szCs w:val="22"/>
      <w:lang w:val="zh-CN" w:eastAsia="zh-CN" w:bidi="ar-SA"/>
    </w:rPr>
  </w:style>
  <w:style w:type="paragraph" w:customStyle="1" w:styleId="16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msonospacing"/>
    <w:basedOn w:val="1"/>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2">
    <w:name w:val="内文正文"/>
    <w:basedOn w:val="1"/>
    <w:qFormat/>
    <w:uiPriority w:val="0"/>
    <w:pPr>
      <w:adjustRightInd w:val="0"/>
      <w:snapToGrid w:val="0"/>
      <w:spacing w:line="400" w:lineRule="atLeast"/>
      <w:ind w:firstLine="200" w:firstLineChars="200"/>
    </w:pPr>
    <w:rPr>
      <w:rFonts w:ascii="宋体"/>
    </w:rPr>
  </w:style>
  <w:style w:type="paragraph" w:customStyle="1" w:styleId="163">
    <w:name w:val="Table Paragraph"/>
    <w:basedOn w:val="1"/>
    <w:qFormat/>
    <w:uiPriority w:val="1"/>
  </w:style>
  <w:style w:type="table" w:customStyle="1" w:styleId="16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29835</Words>
  <Characters>31171</Characters>
  <Lines>316</Lines>
  <Paragraphs>89</Paragraphs>
  <TotalTime>5</TotalTime>
  <ScaleCrop>false</ScaleCrop>
  <LinksUpToDate>false</LinksUpToDate>
  <CharactersWithSpaces>33426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未知</cp:lastModifiedBy>
  <cp:lastPrinted>2023-11-27T02:17:00Z</cp:lastPrinted>
  <dcterms:modified xsi:type="dcterms:W3CDTF">2024-01-10T06:51:06Z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9CE1BFC752BD43EAB7E4C13B240D4561_13</vt:lpwstr>
  </property>
</Properties>
</file>