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360" w:lineRule="auto"/>
        <w:jc w:val="center"/>
        <w:textAlignment w:val="bottom"/>
        <w:rPr>
          <w:rFonts w:hint="eastAsia" w:ascii="宋体" w:hAnsi="宋体" w:eastAsia="宋体" w:cs="宋体"/>
          <w:b/>
          <w:bCs/>
          <w:spacing w:val="120"/>
          <w:sz w:val="72"/>
          <w:szCs w:val="72"/>
          <w:highlight w:val="none"/>
        </w:rPr>
      </w:pPr>
    </w:p>
    <w:p>
      <w:pPr>
        <w:autoSpaceDE w:val="0"/>
        <w:autoSpaceDN w:val="0"/>
        <w:spacing w:line="500" w:lineRule="atLeast"/>
        <w:jc w:val="center"/>
        <w:textAlignment w:val="bottom"/>
        <w:rPr>
          <w:rFonts w:hint="eastAsia" w:ascii="宋体" w:hAnsi="宋体" w:eastAsia="宋体" w:cs="宋体"/>
          <w:bCs/>
          <w:spacing w:val="227"/>
          <w:sz w:val="72"/>
          <w:szCs w:val="72"/>
          <w:highlight w:val="none"/>
        </w:rPr>
      </w:pPr>
      <w:r>
        <w:rPr>
          <w:rFonts w:hint="eastAsia" w:ascii="宋体" w:hAnsi="宋体" w:eastAsia="宋体" w:cs="宋体"/>
          <w:bCs/>
          <w:spacing w:val="227"/>
          <w:sz w:val="72"/>
          <w:szCs w:val="72"/>
          <w:highlight w:val="none"/>
        </w:rPr>
        <w:t>温州市国有企业</w:t>
      </w:r>
    </w:p>
    <w:p>
      <w:pPr>
        <w:spacing w:line="400" w:lineRule="atLeast"/>
        <w:jc w:val="center"/>
        <w:rPr>
          <w:rFonts w:hint="eastAsia" w:ascii="宋体" w:hAnsi="宋体" w:eastAsia="宋体" w:cs="宋体"/>
          <w:b/>
          <w:sz w:val="52"/>
          <w:szCs w:val="24"/>
          <w:highlight w:val="none"/>
        </w:rPr>
      </w:pPr>
    </w:p>
    <w:p>
      <w:pPr>
        <w:spacing w:line="400" w:lineRule="atLeast"/>
        <w:jc w:val="center"/>
        <w:rPr>
          <w:rFonts w:hint="eastAsia" w:ascii="宋体" w:hAnsi="宋体" w:eastAsia="宋体" w:cs="宋体"/>
          <w:b/>
          <w:sz w:val="52"/>
          <w:szCs w:val="24"/>
          <w:highlight w:val="none"/>
        </w:rPr>
      </w:pPr>
    </w:p>
    <w:p>
      <w:pPr>
        <w:autoSpaceDE w:val="0"/>
        <w:autoSpaceDN w:val="0"/>
        <w:spacing w:line="500" w:lineRule="atLeast"/>
        <w:jc w:val="center"/>
        <w:textAlignment w:val="bottom"/>
        <w:rPr>
          <w:rFonts w:hint="eastAsia" w:ascii="宋体" w:hAnsi="宋体" w:eastAsia="宋体" w:cs="宋体"/>
          <w:b/>
          <w:sz w:val="72"/>
          <w:szCs w:val="72"/>
          <w:highlight w:val="none"/>
        </w:rPr>
      </w:pPr>
      <w:r>
        <w:rPr>
          <w:rFonts w:hint="eastAsia" w:ascii="宋体" w:hAnsi="宋体" w:eastAsia="宋体" w:cs="宋体"/>
          <w:b/>
          <w:sz w:val="72"/>
          <w:szCs w:val="72"/>
          <w:highlight w:val="none"/>
        </w:rPr>
        <w:t>采  购  文  件</w:t>
      </w:r>
    </w:p>
    <w:p>
      <w:pPr>
        <w:spacing w:line="400" w:lineRule="exact"/>
        <w:jc w:val="center"/>
        <w:rPr>
          <w:rFonts w:hint="eastAsia" w:ascii="宋体" w:hAnsi="宋体" w:eastAsia="宋体" w:cs="宋体"/>
          <w:b/>
          <w:sz w:val="32"/>
          <w:szCs w:val="24"/>
          <w:highlight w:val="none"/>
        </w:rPr>
      </w:pPr>
    </w:p>
    <w:p>
      <w:pPr>
        <w:spacing w:line="400" w:lineRule="exact"/>
        <w:jc w:val="center"/>
        <w:rPr>
          <w:rFonts w:hint="eastAsia" w:ascii="宋体" w:hAnsi="宋体" w:eastAsia="宋体" w:cs="宋体"/>
          <w:b/>
          <w:sz w:val="32"/>
          <w:szCs w:val="24"/>
          <w:highlight w:val="none"/>
        </w:rPr>
      </w:pPr>
    </w:p>
    <w:tbl>
      <w:tblPr>
        <w:tblStyle w:val="24"/>
        <w:tblW w:w="0" w:type="auto"/>
        <w:jc w:val="center"/>
        <w:tblLayout w:type="fixed"/>
        <w:tblCellMar>
          <w:top w:w="0" w:type="dxa"/>
          <w:left w:w="108" w:type="dxa"/>
          <w:bottom w:w="0" w:type="dxa"/>
          <w:right w:w="108" w:type="dxa"/>
        </w:tblCellMar>
      </w:tblPr>
      <w:tblGrid>
        <w:gridCol w:w="2340"/>
        <w:gridCol w:w="360"/>
        <w:gridCol w:w="3233"/>
      </w:tblGrid>
      <w:tr>
        <w:tblPrEx>
          <w:tblCellMar>
            <w:top w:w="0" w:type="dxa"/>
            <w:left w:w="108" w:type="dxa"/>
            <w:bottom w:w="0" w:type="dxa"/>
            <w:right w:w="108" w:type="dxa"/>
          </w:tblCellMar>
        </w:tblPrEx>
        <w:trPr>
          <w:trHeight w:val="659" w:hRule="atLeast"/>
          <w:jc w:val="center"/>
        </w:trPr>
        <w:tc>
          <w:tcPr>
            <w:tcW w:w="2340" w:type="dxa"/>
            <w:vAlign w:val="center"/>
          </w:tcPr>
          <w:p>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pacing w:val="40"/>
                <w:sz w:val="30"/>
                <w:szCs w:val="30"/>
                <w:highlight w:val="none"/>
              </w:rPr>
              <w:t>采购编号</w:t>
            </w:r>
          </w:p>
        </w:tc>
        <w:tc>
          <w:tcPr>
            <w:tcW w:w="360" w:type="dxa"/>
            <w:vAlign w:val="center"/>
          </w:tcPr>
          <w:p>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w:t>
            </w:r>
          </w:p>
        </w:tc>
        <w:tc>
          <w:tcPr>
            <w:tcW w:w="3233" w:type="dxa"/>
            <w:vAlign w:val="center"/>
          </w:tcPr>
          <w:p>
            <w:pPr>
              <w:adjustRightInd w:val="0"/>
              <w:snapToGrid w:val="0"/>
              <w:spacing w:line="440" w:lineRule="exact"/>
              <w:rPr>
                <w:rFonts w:hint="eastAsia" w:ascii="宋体" w:hAnsi="宋体" w:eastAsia="宋体" w:cs="宋体"/>
                <w:spacing w:val="-20"/>
                <w:sz w:val="30"/>
                <w:szCs w:val="30"/>
                <w:highlight w:val="none"/>
                <w:lang w:eastAsia="zh-CN"/>
              </w:rPr>
            </w:pPr>
            <w:r>
              <w:rPr>
                <w:rFonts w:hint="eastAsia" w:ascii="宋体" w:hAnsi="宋体" w:eastAsia="宋体" w:cs="宋体"/>
                <w:sz w:val="30"/>
                <w:szCs w:val="30"/>
                <w:highlight w:val="none"/>
                <w:lang w:eastAsia="zh-CN"/>
              </w:rPr>
              <w:t>WGSS-JFJT-X-2023005</w:t>
            </w:r>
          </w:p>
        </w:tc>
      </w:tr>
      <w:tr>
        <w:tblPrEx>
          <w:tblCellMar>
            <w:top w:w="0" w:type="dxa"/>
            <w:left w:w="108" w:type="dxa"/>
            <w:bottom w:w="0" w:type="dxa"/>
            <w:right w:w="108" w:type="dxa"/>
          </w:tblCellMar>
        </w:tblPrEx>
        <w:trPr>
          <w:trHeight w:val="614" w:hRule="atLeast"/>
          <w:jc w:val="center"/>
        </w:trPr>
        <w:tc>
          <w:tcPr>
            <w:tcW w:w="2340" w:type="dxa"/>
            <w:vAlign w:val="center"/>
          </w:tcPr>
          <w:p>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pacing w:val="40"/>
                <w:sz w:val="30"/>
                <w:szCs w:val="30"/>
                <w:highlight w:val="none"/>
              </w:rPr>
              <w:t>项目名称</w:t>
            </w:r>
          </w:p>
        </w:tc>
        <w:tc>
          <w:tcPr>
            <w:tcW w:w="360" w:type="dxa"/>
            <w:vAlign w:val="center"/>
          </w:tcPr>
          <w:p>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w:t>
            </w:r>
          </w:p>
        </w:tc>
        <w:tc>
          <w:tcPr>
            <w:tcW w:w="3233" w:type="dxa"/>
            <w:vAlign w:val="center"/>
          </w:tcPr>
          <w:p>
            <w:pPr>
              <w:adjustRightInd w:val="0"/>
              <w:snapToGrid w:val="0"/>
              <w:spacing w:line="440" w:lineRule="exact"/>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lang w:eastAsia="zh-CN"/>
              </w:rPr>
              <w:t>陶山服务区物业服务</w:t>
            </w:r>
          </w:p>
        </w:tc>
      </w:tr>
      <w:tr>
        <w:tblPrEx>
          <w:tblCellMar>
            <w:top w:w="0" w:type="dxa"/>
            <w:left w:w="108" w:type="dxa"/>
            <w:bottom w:w="0" w:type="dxa"/>
            <w:right w:w="108" w:type="dxa"/>
          </w:tblCellMar>
        </w:tblPrEx>
        <w:trPr>
          <w:trHeight w:val="614" w:hRule="atLeast"/>
          <w:jc w:val="center"/>
        </w:trPr>
        <w:tc>
          <w:tcPr>
            <w:tcW w:w="2340" w:type="dxa"/>
            <w:vAlign w:val="center"/>
          </w:tcPr>
          <w:p>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pacing w:val="40"/>
                <w:sz w:val="30"/>
                <w:szCs w:val="30"/>
                <w:highlight w:val="none"/>
              </w:rPr>
              <w:t>采购方式</w:t>
            </w:r>
          </w:p>
        </w:tc>
        <w:tc>
          <w:tcPr>
            <w:tcW w:w="360" w:type="dxa"/>
            <w:vAlign w:val="center"/>
          </w:tcPr>
          <w:p>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w:t>
            </w:r>
          </w:p>
        </w:tc>
        <w:tc>
          <w:tcPr>
            <w:tcW w:w="3233" w:type="dxa"/>
            <w:vAlign w:val="center"/>
          </w:tcPr>
          <w:p>
            <w:pPr>
              <w:adjustRightInd w:val="0"/>
              <w:snapToGrid w:val="0"/>
              <w:spacing w:line="440" w:lineRule="exact"/>
              <w:rPr>
                <w:rFonts w:hint="eastAsia" w:ascii="宋体" w:hAnsi="宋体" w:eastAsia="宋体" w:cs="宋体"/>
                <w:sz w:val="30"/>
                <w:szCs w:val="30"/>
                <w:highlight w:val="none"/>
              </w:rPr>
            </w:pPr>
            <w:r>
              <w:rPr>
                <w:rFonts w:hint="eastAsia" w:ascii="宋体" w:hAnsi="宋体" w:eastAsia="宋体" w:cs="宋体"/>
                <w:sz w:val="30"/>
                <w:szCs w:val="30"/>
                <w:highlight w:val="none"/>
              </w:rPr>
              <w:t>公开招标</w:t>
            </w:r>
          </w:p>
        </w:tc>
      </w:tr>
    </w:tbl>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tbl>
      <w:tblPr>
        <w:tblStyle w:val="24"/>
        <w:tblW w:w="0" w:type="auto"/>
        <w:jc w:val="center"/>
        <w:tblLayout w:type="fixed"/>
        <w:tblCellMar>
          <w:top w:w="0" w:type="dxa"/>
          <w:left w:w="108" w:type="dxa"/>
          <w:bottom w:w="0" w:type="dxa"/>
          <w:right w:w="108" w:type="dxa"/>
        </w:tblCellMar>
      </w:tblPr>
      <w:tblGrid>
        <w:gridCol w:w="2199"/>
        <w:gridCol w:w="360"/>
        <w:gridCol w:w="4789"/>
      </w:tblGrid>
      <w:tr>
        <w:tblPrEx>
          <w:tblCellMar>
            <w:top w:w="0" w:type="dxa"/>
            <w:left w:w="108" w:type="dxa"/>
            <w:bottom w:w="0" w:type="dxa"/>
            <w:right w:w="108" w:type="dxa"/>
          </w:tblCellMar>
        </w:tblPrEx>
        <w:trPr>
          <w:trHeight w:val="614" w:hRule="atLeast"/>
          <w:jc w:val="center"/>
        </w:trPr>
        <w:tc>
          <w:tcPr>
            <w:tcW w:w="2199" w:type="dxa"/>
            <w:vAlign w:val="center"/>
          </w:tcPr>
          <w:p>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采购人</w:t>
            </w:r>
          </w:p>
        </w:tc>
        <w:tc>
          <w:tcPr>
            <w:tcW w:w="360" w:type="dxa"/>
            <w:tcBorders>
              <w:left w:val="nil"/>
            </w:tcBorders>
            <w:vAlign w:val="center"/>
          </w:tcPr>
          <w:p>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w:t>
            </w:r>
          </w:p>
        </w:tc>
        <w:tc>
          <w:tcPr>
            <w:tcW w:w="4789" w:type="dxa"/>
            <w:vAlign w:val="center"/>
          </w:tcPr>
          <w:p>
            <w:pPr>
              <w:adjustRightInd w:val="0"/>
              <w:snapToGrid w:val="0"/>
              <w:spacing w:line="440" w:lineRule="exact"/>
              <w:jc w:val="distribute"/>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lang w:eastAsia="zh-CN"/>
              </w:rPr>
              <w:t>温州市高速公路资产经营有限公司</w:t>
            </w:r>
          </w:p>
        </w:tc>
      </w:tr>
      <w:tr>
        <w:tblPrEx>
          <w:tblCellMar>
            <w:top w:w="0" w:type="dxa"/>
            <w:left w:w="108" w:type="dxa"/>
            <w:bottom w:w="0" w:type="dxa"/>
            <w:right w:w="108" w:type="dxa"/>
          </w:tblCellMar>
        </w:tblPrEx>
        <w:trPr>
          <w:trHeight w:val="614" w:hRule="atLeast"/>
          <w:jc w:val="center"/>
        </w:trPr>
        <w:tc>
          <w:tcPr>
            <w:tcW w:w="2199" w:type="dxa"/>
            <w:vAlign w:val="center"/>
          </w:tcPr>
          <w:p>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采购代理机构</w:t>
            </w:r>
          </w:p>
        </w:tc>
        <w:tc>
          <w:tcPr>
            <w:tcW w:w="360" w:type="dxa"/>
            <w:tcBorders>
              <w:left w:val="nil"/>
            </w:tcBorders>
            <w:vAlign w:val="center"/>
          </w:tcPr>
          <w:p>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w:t>
            </w:r>
          </w:p>
        </w:tc>
        <w:tc>
          <w:tcPr>
            <w:tcW w:w="4789" w:type="dxa"/>
            <w:vAlign w:val="center"/>
          </w:tcPr>
          <w:p>
            <w:pPr>
              <w:adjustRightInd w:val="0"/>
              <w:snapToGrid w:val="0"/>
              <w:spacing w:line="440" w:lineRule="exact"/>
              <w:jc w:val="distribute"/>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lang w:eastAsia="zh-CN"/>
              </w:rPr>
              <w:t>浙江国际招投标有限公司</w:t>
            </w:r>
          </w:p>
        </w:tc>
      </w:tr>
    </w:tbl>
    <w:p>
      <w:pPr>
        <w:spacing w:before="156" w:beforeLines="50" w:line="360" w:lineRule="auto"/>
        <w:jc w:val="center"/>
        <w:rPr>
          <w:rFonts w:hint="eastAsia" w:ascii="宋体" w:hAnsi="宋体" w:eastAsia="宋体" w:cs="宋体"/>
          <w:spacing w:val="40"/>
          <w:sz w:val="30"/>
          <w:szCs w:val="30"/>
          <w:highlight w:val="none"/>
        </w:rPr>
      </w:pPr>
      <w:r>
        <w:rPr>
          <w:rFonts w:hint="eastAsia" w:ascii="宋体" w:hAnsi="宋体" w:eastAsia="宋体" w:cs="宋体"/>
          <w:spacing w:val="40"/>
          <w:sz w:val="30"/>
          <w:szCs w:val="30"/>
          <w:highlight w:val="none"/>
        </w:rPr>
        <w:t>二〇二</w:t>
      </w:r>
      <w:r>
        <w:rPr>
          <w:rFonts w:hint="eastAsia" w:ascii="宋体" w:hAnsi="宋体" w:eastAsia="宋体" w:cs="宋体"/>
          <w:spacing w:val="40"/>
          <w:sz w:val="30"/>
          <w:szCs w:val="30"/>
          <w:highlight w:val="none"/>
          <w:lang w:val="en-US" w:eastAsia="zh-CN"/>
        </w:rPr>
        <w:t>三</w:t>
      </w:r>
      <w:r>
        <w:rPr>
          <w:rFonts w:hint="eastAsia" w:ascii="宋体" w:hAnsi="宋体" w:eastAsia="宋体" w:cs="宋体"/>
          <w:spacing w:val="40"/>
          <w:sz w:val="30"/>
          <w:szCs w:val="30"/>
          <w:highlight w:val="none"/>
        </w:rPr>
        <w:t>年</w:t>
      </w:r>
    </w:p>
    <w:p>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目    录</w:t>
      </w:r>
    </w:p>
    <w:p>
      <w:pPr>
        <w:tabs>
          <w:tab w:val="right" w:leader="dot" w:pos="9660"/>
        </w:tabs>
        <w:spacing w:line="480" w:lineRule="auto"/>
        <w:rPr>
          <w:rFonts w:hint="eastAsia" w:ascii="宋体" w:hAnsi="宋体" w:eastAsia="宋体" w:cs="宋体"/>
          <w:szCs w:val="21"/>
          <w:highlight w:val="none"/>
        </w:rPr>
      </w:pPr>
      <w:r>
        <w:rPr>
          <w:rFonts w:hint="eastAsia" w:ascii="宋体" w:hAnsi="宋体" w:eastAsia="宋体" w:cs="宋体"/>
          <w:sz w:val="33"/>
          <w:szCs w:val="24"/>
          <w:highlight w:val="none"/>
        </w:rPr>
        <w:fldChar w:fldCharType="begin"/>
      </w:r>
      <w:r>
        <w:rPr>
          <w:rFonts w:hint="eastAsia" w:ascii="宋体" w:hAnsi="宋体" w:eastAsia="宋体" w:cs="宋体"/>
          <w:sz w:val="33"/>
          <w:szCs w:val="24"/>
          <w:highlight w:val="none"/>
          <w:u w:val="single"/>
        </w:rPr>
        <w:instrText xml:space="preserve"> TOC \o "1-3" \h \z \u </w:instrText>
      </w:r>
      <w:r>
        <w:rPr>
          <w:rFonts w:hint="eastAsia" w:ascii="宋体" w:hAnsi="宋体" w:eastAsia="宋体" w:cs="宋体"/>
          <w:sz w:val="33"/>
          <w:szCs w:val="24"/>
          <w:highlight w:val="none"/>
        </w:rPr>
        <w:fldChar w:fldCharType="separate"/>
      </w:r>
    </w:p>
    <w:p>
      <w:pPr>
        <w:tabs>
          <w:tab w:val="right" w:leader="dot" w:pos="9660"/>
        </w:tabs>
        <w:spacing w:line="480" w:lineRule="auto"/>
        <w:rPr>
          <w:rFonts w:hint="eastAsia" w:ascii="宋体" w:hAnsi="宋体" w:eastAsia="宋体" w:cs="宋体"/>
          <w:spacing w:val="-20"/>
          <w:szCs w:val="24"/>
          <w:highlight w:val="none"/>
          <w:u w:val="single"/>
        </w:rPr>
      </w:pPr>
      <w:r>
        <w:rPr>
          <w:rFonts w:hint="eastAsia" w:ascii="宋体" w:hAnsi="宋体" w:eastAsia="宋体" w:cs="宋体"/>
          <w:snapToGrid w:val="0"/>
          <w:spacing w:val="-20"/>
          <w:kern w:val="0"/>
          <w:szCs w:val="24"/>
          <w:highlight w:val="none"/>
          <w:u w:val="single"/>
          <w:lang w:eastAsia="zh-CN"/>
        </w:rPr>
        <w:t>温州市交发集团所属温州市高速公路资产经营有限公司关于</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"_Toc491780521" </w:instrText>
      </w:r>
      <w:r>
        <w:rPr>
          <w:rFonts w:hint="eastAsia" w:ascii="宋体" w:hAnsi="宋体" w:eastAsia="宋体" w:cs="宋体"/>
          <w:highlight w:val="none"/>
        </w:rPr>
        <w:fldChar w:fldCharType="separate"/>
      </w:r>
      <w:r>
        <w:rPr>
          <w:rFonts w:hint="eastAsia" w:ascii="宋体" w:hAnsi="宋体" w:eastAsia="宋体" w:cs="宋体"/>
          <w:snapToGrid w:val="0"/>
          <w:spacing w:val="-20"/>
          <w:kern w:val="0"/>
          <w:szCs w:val="24"/>
          <w:highlight w:val="none"/>
          <w:u w:val="single"/>
          <w:lang w:eastAsia="zh-CN"/>
        </w:rPr>
        <w:t>陶山服务区物业服务</w:t>
      </w:r>
      <w:r>
        <w:rPr>
          <w:rFonts w:hint="eastAsia" w:ascii="宋体" w:hAnsi="宋体" w:eastAsia="宋体" w:cs="宋体"/>
          <w:snapToGrid w:val="0"/>
          <w:spacing w:val="-20"/>
          <w:kern w:val="0"/>
          <w:szCs w:val="24"/>
          <w:highlight w:val="none"/>
          <w:u w:val="single"/>
        </w:rPr>
        <w:t>的采购公告</w:t>
      </w:r>
      <w:r>
        <w:rPr>
          <w:rFonts w:hint="eastAsia" w:ascii="宋体" w:hAnsi="宋体" w:eastAsia="宋体" w:cs="宋体"/>
          <w:snapToGrid w:val="0"/>
          <w:spacing w:val="-20"/>
          <w:kern w:val="0"/>
          <w:szCs w:val="24"/>
          <w:highlight w:val="none"/>
          <w:u w:val="single"/>
        </w:rPr>
        <w:tab/>
      </w:r>
      <w:r>
        <w:rPr>
          <w:rFonts w:hint="eastAsia" w:ascii="宋体" w:hAnsi="宋体" w:eastAsia="宋体" w:cs="宋体"/>
          <w:snapToGrid w:val="0"/>
          <w:spacing w:val="-20"/>
          <w:kern w:val="0"/>
          <w:szCs w:val="24"/>
          <w:highlight w:val="none"/>
          <w:u w:val="single"/>
        </w:rPr>
        <w:t>3</w:t>
      </w:r>
      <w:r>
        <w:rPr>
          <w:rFonts w:hint="eastAsia" w:ascii="宋体" w:hAnsi="宋体" w:eastAsia="宋体" w:cs="宋体"/>
          <w:snapToGrid w:val="0"/>
          <w:spacing w:val="-20"/>
          <w:kern w:val="0"/>
          <w:szCs w:val="24"/>
          <w:highlight w:val="none"/>
          <w:u w:val="single"/>
        </w:rPr>
        <w:fldChar w:fldCharType="end"/>
      </w:r>
    </w:p>
    <w:p>
      <w:pPr>
        <w:tabs>
          <w:tab w:val="right" w:leader="dot" w:pos="9660"/>
        </w:tabs>
        <w:spacing w:line="480" w:lineRule="auto"/>
        <w:rPr>
          <w:rFonts w:hint="eastAsia" w:ascii="宋体" w:hAnsi="宋体" w:eastAsia="宋体" w:cs="宋体"/>
          <w:spacing w:val="-20"/>
          <w:szCs w:val="24"/>
          <w:highlight w:val="none"/>
          <w:u w:val="single"/>
        </w:rPr>
      </w:pPr>
      <w:r>
        <w:rPr>
          <w:rFonts w:hint="eastAsia" w:ascii="宋体" w:hAnsi="宋体" w:eastAsia="宋体" w:cs="宋体"/>
          <w:spacing w:val="-20"/>
          <w:szCs w:val="24"/>
          <w:highlight w:val="none"/>
          <w:u w:val="single"/>
          <w:lang w:eastAsia="zh-CN"/>
        </w:rPr>
        <w:t>温州市交发集团所属温州市高速公路资产经营有限公司关于</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"_Toc491780522" </w:instrText>
      </w:r>
      <w:r>
        <w:rPr>
          <w:rFonts w:hint="eastAsia" w:ascii="宋体" w:hAnsi="宋体" w:eastAsia="宋体" w:cs="宋体"/>
          <w:highlight w:val="none"/>
        </w:rPr>
        <w:fldChar w:fldCharType="separate"/>
      </w:r>
      <w:r>
        <w:rPr>
          <w:rFonts w:hint="eastAsia" w:ascii="宋体" w:hAnsi="宋体" w:eastAsia="宋体" w:cs="宋体"/>
          <w:spacing w:val="-20"/>
          <w:szCs w:val="24"/>
          <w:highlight w:val="none"/>
          <w:u w:val="single"/>
          <w:lang w:eastAsia="zh-CN"/>
        </w:rPr>
        <w:t>陶山服务区物业服务</w:t>
      </w:r>
      <w:r>
        <w:rPr>
          <w:rFonts w:hint="eastAsia" w:ascii="宋体" w:hAnsi="宋体" w:eastAsia="宋体" w:cs="宋体"/>
          <w:spacing w:val="-20"/>
          <w:szCs w:val="24"/>
          <w:highlight w:val="none"/>
          <w:u w:val="single"/>
          <w:lang w:val="en-US" w:eastAsia="zh-CN"/>
        </w:rPr>
        <w:t>项目</w:t>
      </w:r>
      <w:r>
        <w:rPr>
          <w:rFonts w:hint="eastAsia" w:ascii="宋体" w:hAnsi="宋体" w:eastAsia="宋体" w:cs="宋体"/>
          <w:spacing w:val="-20"/>
          <w:szCs w:val="24"/>
          <w:highlight w:val="none"/>
          <w:u w:val="single"/>
        </w:rPr>
        <w:t>征求意见公示</w:t>
      </w:r>
      <w:r>
        <w:rPr>
          <w:rFonts w:hint="eastAsia" w:ascii="宋体" w:hAnsi="宋体" w:eastAsia="宋体" w:cs="宋体"/>
          <w:spacing w:val="-20"/>
          <w:szCs w:val="24"/>
          <w:highlight w:val="none"/>
          <w:u w:val="single"/>
        </w:rPr>
        <w:tab/>
      </w:r>
      <w:r>
        <w:rPr>
          <w:rFonts w:hint="eastAsia" w:ascii="宋体" w:hAnsi="宋体" w:eastAsia="宋体" w:cs="宋体"/>
          <w:spacing w:val="-20"/>
          <w:szCs w:val="24"/>
          <w:highlight w:val="none"/>
          <w:u w:val="single"/>
        </w:rPr>
        <w:t>5</w:t>
      </w:r>
      <w:r>
        <w:rPr>
          <w:rFonts w:hint="eastAsia" w:ascii="宋体" w:hAnsi="宋体" w:eastAsia="宋体" w:cs="宋体"/>
          <w:spacing w:val="-20"/>
          <w:szCs w:val="24"/>
          <w:highlight w:val="none"/>
          <w:u w:val="single"/>
        </w:rPr>
        <w:fldChar w:fldCharType="end"/>
      </w:r>
    </w:p>
    <w:p>
      <w:pPr>
        <w:tabs>
          <w:tab w:val="right" w:leader="dot" w:pos="9660"/>
        </w:tabs>
        <w:spacing w:line="480" w:lineRule="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"_Toc491780523" </w:instrText>
      </w:r>
      <w:r>
        <w:rPr>
          <w:rFonts w:hint="eastAsia" w:ascii="宋体" w:hAnsi="宋体" w:eastAsia="宋体" w:cs="宋体"/>
          <w:highlight w:val="none"/>
        </w:rPr>
        <w:fldChar w:fldCharType="separate"/>
      </w:r>
      <w:r>
        <w:rPr>
          <w:rFonts w:hint="eastAsia" w:ascii="宋体" w:hAnsi="宋体" w:eastAsia="宋体" w:cs="宋体"/>
          <w:szCs w:val="24"/>
          <w:highlight w:val="none"/>
          <w:u w:val="single"/>
        </w:rPr>
        <w:t>第一部分 投标人须知及投标人须知前附表</w:t>
      </w:r>
      <w:r>
        <w:rPr>
          <w:rFonts w:hint="eastAsia" w:ascii="宋体" w:hAnsi="宋体" w:eastAsia="宋体" w:cs="宋体"/>
          <w:szCs w:val="24"/>
          <w:highlight w:val="none"/>
        </w:rPr>
        <w:tab/>
      </w:r>
      <w:r>
        <w:rPr>
          <w:rFonts w:hint="eastAsia" w:ascii="宋体" w:hAnsi="宋体" w:eastAsia="宋体" w:cs="宋体"/>
          <w:szCs w:val="24"/>
          <w:highlight w:val="none"/>
        </w:rPr>
        <w:t>6</w:t>
      </w:r>
      <w:r>
        <w:rPr>
          <w:rFonts w:hint="eastAsia" w:ascii="宋体" w:hAnsi="宋体" w:eastAsia="宋体" w:cs="宋体"/>
          <w:szCs w:val="24"/>
          <w:highlight w:val="none"/>
        </w:rPr>
        <w:fldChar w:fldCharType="end"/>
      </w:r>
    </w:p>
    <w:p>
      <w:pPr>
        <w:tabs>
          <w:tab w:val="right" w:leader="dot" w:pos="9660"/>
        </w:tabs>
        <w:spacing w:line="480" w:lineRule="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"_Toc491780524" </w:instrText>
      </w:r>
      <w:r>
        <w:rPr>
          <w:rFonts w:hint="eastAsia" w:ascii="宋体" w:hAnsi="宋体" w:eastAsia="宋体" w:cs="宋体"/>
          <w:highlight w:val="none"/>
        </w:rPr>
        <w:fldChar w:fldCharType="separate"/>
      </w:r>
      <w:r>
        <w:rPr>
          <w:rFonts w:hint="eastAsia" w:ascii="宋体" w:hAnsi="宋体" w:eastAsia="宋体" w:cs="宋体"/>
          <w:szCs w:val="24"/>
          <w:highlight w:val="none"/>
          <w:u w:val="single"/>
        </w:rPr>
        <w:t>第二部分 合同条款</w:t>
      </w:r>
      <w:r>
        <w:rPr>
          <w:rFonts w:hint="eastAsia" w:ascii="宋体" w:hAnsi="宋体" w:eastAsia="宋体" w:cs="宋体"/>
          <w:szCs w:val="24"/>
          <w:highlight w:val="none"/>
        </w:rPr>
        <w:tab/>
      </w: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PAGEREF _Toc491780524 \h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17</w:t>
      </w:r>
      <w:r>
        <w:rPr>
          <w:rFonts w:hint="eastAsia" w:ascii="宋体" w:hAnsi="宋体" w:eastAsia="宋体" w:cs="宋体"/>
          <w:szCs w:val="24"/>
          <w:highlight w:val="none"/>
        </w:rPr>
        <w:fldChar w:fldCharType="end"/>
      </w:r>
      <w:r>
        <w:rPr>
          <w:rFonts w:hint="eastAsia" w:ascii="宋体" w:hAnsi="宋体" w:eastAsia="宋体" w:cs="宋体"/>
          <w:szCs w:val="24"/>
          <w:highlight w:val="none"/>
        </w:rPr>
        <w:fldChar w:fldCharType="end"/>
      </w:r>
    </w:p>
    <w:p>
      <w:pPr>
        <w:tabs>
          <w:tab w:val="right" w:leader="dot" w:pos="9660"/>
        </w:tabs>
        <w:spacing w:line="480" w:lineRule="auto"/>
        <w:rPr>
          <w:rFonts w:hint="eastAsia" w:ascii="宋体" w:hAnsi="宋体" w:eastAsia="宋体" w:cs="宋体"/>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"_Toc491780525" </w:instrText>
      </w:r>
      <w:r>
        <w:rPr>
          <w:rFonts w:hint="eastAsia" w:ascii="宋体" w:hAnsi="宋体" w:eastAsia="宋体" w:cs="宋体"/>
          <w:highlight w:val="none"/>
        </w:rPr>
        <w:fldChar w:fldCharType="separate"/>
      </w:r>
      <w:r>
        <w:rPr>
          <w:rFonts w:hint="eastAsia" w:ascii="宋体" w:hAnsi="宋体" w:eastAsia="宋体" w:cs="宋体"/>
          <w:szCs w:val="24"/>
          <w:highlight w:val="none"/>
          <w:u w:val="single"/>
        </w:rPr>
        <w:t>第三部分 投标文件的编制格式</w:t>
      </w:r>
      <w:r>
        <w:rPr>
          <w:rFonts w:hint="eastAsia" w:ascii="宋体" w:hAnsi="宋体" w:eastAsia="宋体" w:cs="宋体"/>
          <w:szCs w:val="24"/>
          <w:highlight w:val="none"/>
        </w:rPr>
        <w:tab/>
      </w:r>
      <w:r>
        <w:rPr>
          <w:rFonts w:hint="eastAsia" w:ascii="宋体" w:hAnsi="宋体" w:eastAsia="宋体" w:cs="宋体"/>
          <w:szCs w:val="24"/>
          <w:highlight w:val="none"/>
        </w:rPr>
        <w:fldChar w:fldCharType="end"/>
      </w:r>
      <w:r>
        <w:rPr>
          <w:rFonts w:hint="eastAsia" w:ascii="宋体" w:hAnsi="宋体" w:eastAsia="宋体" w:cs="宋体"/>
          <w:szCs w:val="24"/>
          <w:highlight w:val="none"/>
          <w:lang w:val="en-US" w:eastAsia="zh-CN"/>
        </w:rPr>
        <w:t>37</w:t>
      </w:r>
    </w:p>
    <w:p>
      <w:pPr>
        <w:tabs>
          <w:tab w:val="right" w:leader="dot" w:pos="9660"/>
        </w:tabs>
        <w:spacing w:line="480" w:lineRule="auto"/>
        <w:rPr>
          <w:rFonts w:hint="eastAsia" w:ascii="宋体" w:hAnsi="宋体" w:eastAsia="宋体" w:cs="宋体"/>
          <w:szCs w:val="24"/>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"_Toc491780526" </w:instrText>
      </w:r>
      <w:r>
        <w:rPr>
          <w:rFonts w:hint="eastAsia" w:ascii="宋体" w:hAnsi="宋体" w:eastAsia="宋体" w:cs="宋体"/>
          <w:highlight w:val="none"/>
        </w:rPr>
        <w:fldChar w:fldCharType="separate"/>
      </w:r>
      <w:r>
        <w:rPr>
          <w:rFonts w:hint="eastAsia" w:ascii="宋体" w:hAnsi="宋体" w:eastAsia="宋体" w:cs="宋体"/>
          <w:szCs w:val="24"/>
          <w:highlight w:val="none"/>
          <w:u w:val="single"/>
        </w:rPr>
        <w:t>第四部分 采购内</w:t>
      </w:r>
      <w:bookmarkStart w:id="0" w:name="_Hlt491780538"/>
      <w:r>
        <w:rPr>
          <w:rFonts w:hint="eastAsia" w:ascii="宋体" w:hAnsi="宋体" w:eastAsia="宋体" w:cs="宋体"/>
          <w:szCs w:val="24"/>
          <w:highlight w:val="none"/>
          <w:u w:val="single"/>
        </w:rPr>
        <w:t>容</w:t>
      </w:r>
      <w:bookmarkEnd w:id="0"/>
      <w:r>
        <w:rPr>
          <w:rFonts w:hint="eastAsia" w:ascii="宋体" w:hAnsi="宋体" w:eastAsia="宋体" w:cs="宋体"/>
          <w:szCs w:val="24"/>
          <w:highlight w:val="none"/>
          <w:u w:val="single"/>
        </w:rPr>
        <w:t>及要求</w:t>
      </w:r>
      <w:r>
        <w:rPr>
          <w:rFonts w:hint="eastAsia" w:ascii="宋体" w:hAnsi="宋体" w:eastAsia="宋体" w:cs="宋体"/>
          <w:szCs w:val="24"/>
          <w:highlight w:val="none"/>
        </w:rPr>
        <w:tab/>
      </w:r>
      <w:r>
        <w:rPr>
          <w:rFonts w:hint="eastAsia" w:ascii="宋体" w:hAnsi="宋体" w:eastAsia="宋体" w:cs="宋体"/>
          <w:szCs w:val="24"/>
          <w:highlight w:val="none"/>
        </w:rPr>
        <w:fldChar w:fldCharType="end"/>
      </w:r>
      <w:r>
        <w:rPr>
          <w:rFonts w:hint="eastAsia" w:ascii="宋体" w:hAnsi="宋体" w:eastAsia="宋体" w:cs="宋体"/>
          <w:szCs w:val="24"/>
          <w:highlight w:val="none"/>
          <w:lang w:val="en-US" w:eastAsia="zh-CN"/>
        </w:rPr>
        <w:t>56</w:t>
      </w:r>
    </w:p>
    <w:p>
      <w:pPr>
        <w:tabs>
          <w:tab w:val="right" w:leader="dot" w:pos="9660"/>
        </w:tabs>
        <w:spacing w:line="480" w:lineRule="auto"/>
        <w:rPr>
          <w:rFonts w:hint="eastAsia" w:ascii="宋体" w:hAnsi="宋体" w:eastAsia="宋体" w:cs="宋体"/>
          <w:szCs w:val="24"/>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"_Toc491780527" </w:instrText>
      </w:r>
      <w:r>
        <w:rPr>
          <w:rFonts w:hint="eastAsia" w:ascii="宋体" w:hAnsi="宋体" w:eastAsia="宋体" w:cs="宋体"/>
          <w:highlight w:val="none"/>
        </w:rPr>
        <w:fldChar w:fldCharType="separate"/>
      </w:r>
      <w:r>
        <w:rPr>
          <w:rFonts w:hint="eastAsia" w:ascii="宋体" w:hAnsi="宋体" w:eastAsia="宋体" w:cs="宋体"/>
          <w:szCs w:val="24"/>
          <w:highlight w:val="none"/>
        </w:rPr>
        <w:t>第五部分 评标原则及方法</w:t>
      </w:r>
      <w:r>
        <w:rPr>
          <w:rFonts w:hint="eastAsia" w:ascii="宋体" w:hAnsi="宋体" w:eastAsia="宋体" w:cs="宋体"/>
          <w:szCs w:val="24"/>
          <w:highlight w:val="none"/>
        </w:rPr>
        <w:tab/>
      </w:r>
      <w:r>
        <w:rPr>
          <w:rFonts w:hint="eastAsia" w:ascii="宋体" w:hAnsi="宋体" w:eastAsia="宋体" w:cs="宋体"/>
          <w:szCs w:val="24"/>
          <w:highlight w:val="none"/>
        </w:rPr>
        <w:fldChar w:fldCharType="end"/>
      </w:r>
      <w:r>
        <w:rPr>
          <w:rFonts w:hint="eastAsia" w:ascii="宋体" w:hAnsi="宋体" w:eastAsia="宋体" w:cs="宋体"/>
          <w:szCs w:val="24"/>
          <w:highlight w:val="none"/>
          <w:lang w:val="en-US" w:eastAsia="zh-CN"/>
        </w:rPr>
        <w:t>62</w:t>
      </w:r>
    </w:p>
    <w:p>
      <w:pPr>
        <w:tabs>
          <w:tab w:val="right" w:leader="dot" w:pos="9660"/>
        </w:tabs>
        <w:spacing w:line="360" w:lineRule="auto"/>
        <w:rPr>
          <w:rFonts w:hint="eastAsia" w:ascii="宋体" w:hAnsi="宋体" w:eastAsia="宋体" w:cs="宋体"/>
          <w:b/>
          <w:bCs/>
          <w:sz w:val="28"/>
          <w:szCs w:val="30"/>
          <w:highlight w:val="none"/>
        </w:rPr>
      </w:pPr>
      <w:r>
        <w:rPr>
          <w:rFonts w:hint="eastAsia" w:ascii="宋体" w:hAnsi="宋体" w:eastAsia="宋体" w:cs="宋体"/>
          <w:sz w:val="33"/>
          <w:szCs w:val="24"/>
          <w:highlight w:val="none"/>
        </w:rPr>
        <w:fldChar w:fldCharType="end"/>
      </w:r>
      <w:r>
        <w:rPr>
          <w:rFonts w:hint="eastAsia" w:ascii="宋体" w:hAnsi="宋体" w:eastAsia="宋体" w:cs="宋体"/>
          <w:b/>
          <w:bCs/>
          <w:sz w:val="28"/>
          <w:szCs w:val="30"/>
          <w:highlight w:val="none"/>
        </w:rPr>
        <w:t>注：本采购文件中加“▲”</w:t>
      </w:r>
      <w:r>
        <w:rPr>
          <w:rFonts w:hint="eastAsia" w:ascii="宋体" w:hAnsi="宋体" w:eastAsia="宋体" w:cs="宋体"/>
          <w:b/>
          <w:bCs/>
          <w:sz w:val="28"/>
          <w:szCs w:val="30"/>
          <w:highlight w:val="none"/>
          <w:lang w:val="en-US" w:eastAsia="zh-CN"/>
        </w:rPr>
        <w:t>同时加下划线</w:t>
      </w:r>
      <w:r>
        <w:rPr>
          <w:rFonts w:hint="eastAsia" w:ascii="宋体" w:hAnsi="宋体" w:eastAsia="宋体" w:cs="宋体"/>
          <w:b/>
          <w:bCs/>
          <w:sz w:val="28"/>
          <w:szCs w:val="30"/>
          <w:highlight w:val="none"/>
        </w:rPr>
        <w:t>的条款，为采购文件的实质性要求和条件，着重提醒各投标人注意（不响应</w:t>
      </w:r>
      <w:r>
        <w:rPr>
          <w:rFonts w:hint="eastAsia" w:ascii="宋体" w:hAnsi="宋体" w:eastAsia="宋体" w:cs="宋体"/>
          <w:b/>
          <w:bCs/>
          <w:sz w:val="28"/>
          <w:szCs w:val="30"/>
          <w:highlight w:val="none"/>
          <w:lang w:val="en-US" w:eastAsia="zh-CN"/>
        </w:rPr>
        <w:t>加</w:t>
      </w:r>
      <w:r>
        <w:rPr>
          <w:rFonts w:hint="eastAsia" w:ascii="宋体" w:hAnsi="宋体" w:eastAsia="宋体" w:cs="宋体"/>
          <w:b/>
          <w:bCs/>
          <w:sz w:val="28"/>
          <w:szCs w:val="30"/>
          <w:highlight w:val="none"/>
        </w:rPr>
        <w:t>“▲”</w:t>
      </w:r>
      <w:r>
        <w:rPr>
          <w:rFonts w:hint="eastAsia" w:ascii="宋体" w:hAnsi="宋体" w:eastAsia="宋体" w:cs="宋体"/>
          <w:b/>
          <w:bCs/>
          <w:sz w:val="28"/>
          <w:szCs w:val="30"/>
          <w:highlight w:val="none"/>
          <w:lang w:val="en-US" w:eastAsia="zh-CN"/>
        </w:rPr>
        <w:t>同时加下划线</w:t>
      </w:r>
      <w:r>
        <w:rPr>
          <w:rFonts w:hint="eastAsia" w:ascii="宋体" w:hAnsi="宋体" w:eastAsia="宋体" w:cs="宋体"/>
          <w:b/>
          <w:bCs/>
          <w:sz w:val="28"/>
          <w:szCs w:val="30"/>
          <w:highlight w:val="none"/>
        </w:rPr>
        <w:t>条款的作无效标处理），并认真查看采购文件中的每一个条款及要求，因误读采购文件而造成的后果，采购人概不负责。</w:t>
      </w:r>
    </w:p>
    <w:p>
      <w:pPr>
        <w:jc w:val="center"/>
        <w:rPr>
          <w:rFonts w:hint="eastAsia" w:ascii="宋体" w:hAnsi="宋体" w:eastAsia="宋体" w:cs="宋体"/>
          <w:sz w:val="24"/>
          <w:highlight w:val="none"/>
        </w:rPr>
      </w:pPr>
      <w:bookmarkStart w:id="1" w:name="_Hlk10719563"/>
      <w:bookmarkStart w:id="2" w:name="_Hlk10921265"/>
      <w:r>
        <w:rPr>
          <w:rFonts w:hint="eastAsia" w:ascii="宋体" w:hAnsi="宋体" w:eastAsia="宋体" w:cs="宋体"/>
          <w:sz w:val="24"/>
          <w:szCs w:val="24"/>
          <w:highlight w:val="none"/>
        </w:rPr>
        <w:br w:type="page"/>
      </w:r>
      <w:bookmarkEnd w:id="1"/>
      <w:bookmarkStart w:id="227" w:name="_GoBack"/>
      <w:r>
        <w:rPr>
          <w:rFonts w:hint="eastAsia" w:ascii="宋体" w:hAnsi="宋体" w:eastAsia="宋体" w:cs="宋体"/>
          <w:sz w:val="24"/>
          <w:highlight w:val="none"/>
          <w:lang w:eastAsia="zh-CN"/>
        </w:rPr>
        <w:t>温州市交发集团</w:t>
      </w:r>
      <w:r>
        <w:rPr>
          <w:rFonts w:hint="eastAsia" w:ascii="宋体" w:hAnsi="宋体" w:eastAsia="宋体" w:cs="宋体"/>
          <w:sz w:val="24"/>
          <w:highlight w:val="none"/>
          <w:lang w:val="en-US" w:eastAsia="zh-CN"/>
        </w:rPr>
        <w:t>所属</w:t>
      </w:r>
      <w:r>
        <w:rPr>
          <w:rFonts w:hint="eastAsia" w:ascii="宋体" w:hAnsi="宋体" w:eastAsia="宋体" w:cs="宋体"/>
          <w:sz w:val="24"/>
          <w:highlight w:val="none"/>
          <w:lang w:eastAsia="zh-CN"/>
        </w:rPr>
        <w:t>温州市高速公路资产经营有限公司关于陶山服务区物业服务</w:t>
      </w:r>
      <w:r>
        <w:rPr>
          <w:rFonts w:hint="eastAsia" w:ascii="宋体" w:hAnsi="宋体" w:eastAsia="宋体" w:cs="宋体"/>
          <w:sz w:val="24"/>
          <w:highlight w:val="none"/>
          <w:lang w:val="en-US" w:eastAsia="zh-CN"/>
        </w:rPr>
        <w:t>项目</w:t>
      </w:r>
      <w:r>
        <w:rPr>
          <w:rFonts w:hint="eastAsia" w:ascii="宋体" w:hAnsi="宋体" w:eastAsia="宋体" w:cs="宋体"/>
          <w:sz w:val="24"/>
          <w:highlight w:val="none"/>
        </w:rPr>
        <w:t>的采购公告</w:t>
      </w:r>
    </w:p>
    <w:p>
      <w:pPr>
        <w:jc w:val="center"/>
        <w:rPr>
          <w:rFonts w:hint="eastAsia" w:ascii="宋体" w:hAnsi="宋体" w:eastAsia="宋体" w:cs="宋体"/>
          <w:highlight w:val="none"/>
        </w:rPr>
      </w:pPr>
    </w:p>
    <w:p>
      <w:pPr>
        <w:widowControl/>
        <w:spacing w:before="60" w:after="60"/>
        <w:ind w:right="60" w:firstLine="420" w:firstLineChars="200"/>
        <w:jc w:val="left"/>
        <w:rPr>
          <w:rFonts w:hint="eastAsia" w:ascii="宋体" w:hAnsi="宋体" w:eastAsia="宋体" w:cs="宋体"/>
          <w:highlight w:val="none"/>
        </w:rPr>
      </w:pPr>
      <w:r>
        <w:rPr>
          <w:rFonts w:hint="eastAsia" w:ascii="宋体" w:hAnsi="宋体" w:eastAsia="宋体" w:cs="宋体"/>
          <w:highlight w:val="none"/>
        </w:rPr>
        <w:t>根据《温州市市属国有企业采购管理办法（试行）》等有关规定，</w:t>
      </w:r>
      <w:r>
        <w:rPr>
          <w:rFonts w:hint="eastAsia" w:ascii="宋体" w:hAnsi="宋体" w:eastAsia="宋体" w:cs="宋体"/>
          <w:highlight w:val="none"/>
          <w:lang w:eastAsia="zh-CN"/>
        </w:rPr>
        <w:t>浙江国际招投标有限公司</w:t>
      </w:r>
      <w:r>
        <w:rPr>
          <w:rFonts w:hint="eastAsia" w:ascii="宋体" w:hAnsi="宋体" w:eastAsia="宋体" w:cs="宋体"/>
          <w:highlight w:val="none"/>
        </w:rPr>
        <w:t>受</w:t>
      </w:r>
      <w:r>
        <w:rPr>
          <w:rFonts w:hint="eastAsia" w:ascii="宋体" w:hAnsi="宋体" w:eastAsia="宋体" w:cs="宋体"/>
          <w:highlight w:val="none"/>
          <w:lang w:eastAsia="zh-CN"/>
        </w:rPr>
        <w:t>温州市高速公路资产经营有限公司</w:t>
      </w:r>
      <w:r>
        <w:rPr>
          <w:rFonts w:hint="eastAsia" w:ascii="宋体" w:hAnsi="宋体" w:eastAsia="宋体" w:cs="宋体"/>
          <w:highlight w:val="none"/>
        </w:rPr>
        <w:t>的委托，就</w:t>
      </w:r>
      <w:r>
        <w:rPr>
          <w:rFonts w:hint="eastAsia" w:ascii="宋体" w:hAnsi="宋体" w:eastAsia="宋体" w:cs="宋体"/>
          <w:highlight w:val="none"/>
          <w:lang w:eastAsia="zh-CN"/>
        </w:rPr>
        <w:t>陶山服务区物业服务</w:t>
      </w:r>
      <w:r>
        <w:rPr>
          <w:rFonts w:hint="eastAsia" w:ascii="宋体" w:hAnsi="宋体" w:eastAsia="宋体" w:cs="宋体"/>
          <w:highlight w:val="none"/>
          <w:lang w:val="en-US" w:eastAsia="zh-CN"/>
        </w:rPr>
        <w:t>项目</w:t>
      </w:r>
      <w:r>
        <w:rPr>
          <w:rFonts w:hint="eastAsia" w:ascii="宋体" w:hAnsi="宋体" w:eastAsia="宋体" w:cs="宋体"/>
          <w:highlight w:val="none"/>
        </w:rPr>
        <w:t>以公开招标方式进行国企采购，欢迎国内合格的投标供应商前来投标。</w:t>
      </w:r>
    </w:p>
    <w:p>
      <w:pPr>
        <w:widowControl/>
        <w:spacing w:before="60" w:after="60"/>
        <w:ind w:right="6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一、公告类型：采购公告</w:t>
      </w:r>
    </w:p>
    <w:p>
      <w:pPr>
        <w:widowControl/>
        <w:spacing w:before="60" w:after="60"/>
        <w:ind w:right="6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二、采购方式：公开招标</w:t>
      </w:r>
    </w:p>
    <w:p>
      <w:pPr>
        <w:widowControl/>
        <w:spacing w:before="60" w:after="60"/>
        <w:ind w:right="60"/>
        <w:jc w:val="left"/>
        <w:rPr>
          <w:rFonts w:hint="eastAsia" w:ascii="宋体" w:hAnsi="宋体" w:eastAsia="宋体" w:cs="宋体"/>
          <w:bCs/>
          <w:kern w:val="0"/>
          <w:szCs w:val="21"/>
          <w:highlight w:val="none"/>
          <w:lang w:eastAsia="zh-CN"/>
        </w:rPr>
      </w:pPr>
      <w:r>
        <w:rPr>
          <w:rFonts w:hint="eastAsia" w:ascii="宋体" w:hAnsi="宋体" w:eastAsia="宋体" w:cs="宋体"/>
          <w:bCs/>
          <w:kern w:val="0"/>
          <w:szCs w:val="21"/>
          <w:highlight w:val="none"/>
        </w:rPr>
        <w:t>三、项目编号：</w:t>
      </w:r>
      <w:r>
        <w:rPr>
          <w:rFonts w:hint="eastAsia" w:ascii="宋体" w:hAnsi="宋体" w:eastAsia="宋体" w:cs="宋体"/>
          <w:bCs/>
          <w:kern w:val="0"/>
          <w:szCs w:val="21"/>
          <w:highlight w:val="none"/>
          <w:lang w:eastAsia="zh-CN"/>
        </w:rPr>
        <w:t>WGSS-JFJT-X-2023005</w:t>
      </w:r>
    </w:p>
    <w:p>
      <w:pPr>
        <w:widowControl/>
        <w:spacing w:before="60" w:after="60"/>
        <w:ind w:right="60"/>
        <w:jc w:val="left"/>
        <w:rPr>
          <w:rFonts w:hint="eastAsia" w:ascii="宋体" w:hAnsi="宋体" w:eastAsia="宋体" w:cs="宋体"/>
          <w:bCs/>
          <w:kern w:val="0"/>
          <w:szCs w:val="21"/>
          <w:highlight w:val="none"/>
          <w:lang w:eastAsia="zh-CN"/>
        </w:rPr>
      </w:pPr>
      <w:r>
        <w:rPr>
          <w:rFonts w:hint="eastAsia" w:ascii="宋体" w:hAnsi="宋体" w:eastAsia="宋体" w:cs="宋体"/>
          <w:bCs/>
          <w:kern w:val="0"/>
          <w:szCs w:val="21"/>
          <w:highlight w:val="none"/>
        </w:rPr>
        <w:t>四、项目名称：</w:t>
      </w:r>
      <w:r>
        <w:rPr>
          <w:rFonts w:hint="eastAsia" w:ascii="宋体" w:hAnsi="宋体" w:eastAsia="宋体" w:cs="宋体"/>
          <w:bCs/>
          <w:kern w:val="0"/>
          <w:szCs w:val="21"/>
          <w:highlight w:val="none"/>
          <w:lang w:eastAsia="zh-CN"/>
        </w:rPr>
        <w:t>陶山服务区物业服务</w:t>
      </w:r>
    </w:p>
    <w:p>
      <w:pPr>
        <w:widowControl/>
        <w:spacing w:before="60" w:after="60"/>
        <w:ind w:right="6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五、采购性质：国企采购（非政府采购）</w:t>
      </w:r>
    </w:p>
    <w:p>
      <w:pPr>
        <w:widowControl/>
        <w:spacing w:before="60" w:after="60"/>
        <w:ind w:right="6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六、预算金额：人民币</w:t>
      </w:r>
      <w:r>
        <w:rPr>
          <w:rFonts w:hint="eastAsia" w:ascii="宋体" w:hAnsi="宋体" w:eastAsia="宋体" w:cs="宋体"/>
          <w:bCs/>
          <w:kern w:val="0"/>
          <w:szCs w:val="21"/>
          <w:highlight w:val="none"/>
          <w:lang w:val="en-US" w:eastAsia="zh-CN"/>
        </w:rPr>
        <w:t>362.5</w:t>
      </w:r>
      <w:r>
        <w:rPr>
          <w:rFonts w:hint="eastAsia" w:ascii="宋体" w:hAnsi="宋体" w:eastAsia="宋体" w:cs="宋体"/>
          <w:bCs/>
          <w:kern w:val="0"/>
          <w:szCs w:val="21"/>
          <w:highlight w:val="none"/>
        </w:rPr>
        <w:t>万元</w:t>
      </w:r>
    </w:p>
    <w:p>
      <w:pPr>
        <w:widowControl/>
        <w:spacing w:before="60" w:after="60"/>
        <w:ind w:right="60"/>
        <w:jc w:val="left"/>
        <w:rPr>
          <w:rFonts w:hint="eastAsia" w:ascii="宋体" w:hAnsi="宋体" w:eastAsia="宋体" w:cs="宋体"/>
          <w:highlight w:val="none"/>
        </w:rPr>
      </w:pPr>
      <w:r>
        <w:rPr>
          <w:rFonts w:hint="eastAsia" w:ascii="宋体" w:hAnsi="宋体" w:eastAsia="宋体" w:cs="宋体"/>
          <w:bCs/>
          <w:kern w:val="0"/>
          <w:szCs w:val="21"/>
          <w:highlight w:val="none"/>
        </w:rPr>
        <w:t>七、采购内容（具体采购内容及详细技术要求见采购文件相关部分）：</w:t>
      </w:r>
    </w:p>
    <w:tbl>
      <w:tblPr>
        <w:tblStyle w:val="24"/>
        <w:tblW w:w="0" w:type="auto"/>
        <w:jc w:val="center"/>
        <w:tblLayout w:type="fixed"/>
        <w:tblCellMar>
          <w:top w:w="0" w:type="dxa"/>
          <w:left w:w="108" w:type="dxa"/>
          <w:bottom w:w="0" w:type="dxa"/>
          <w:right w:w="108" w:type="dxa"/>
        </w:tblCellMar>
      </w:tblPr>
      <w:tblGrid>
        <w:gridCol w:w="763"/>
        <w:gridCol w:w="1509"/>
        <w:gridCol w:w="621"/>
        <w:gridCol w:w="653"/>
        <w:gridCol w:w="1105"/>
        <w:gridCol w:w="4305"/>
      </w:tblGrid>
      <w:tr>
        <w:tblPrEx>
          <w:tblCellMar>
            <w:top w:w="0" w:type="dxa"/>
            <w:left w:w="108" w:type="dxa"/>
            <w:bottom w:w="0" w:type="dxa"/>
            <w:right w:w="108" w:type="dxa"/>
          </w:tblCellMar>
        </w:tblPrEx>
        <w:trPr>
          <w:jc w:val="center"/>
        </w:trPr>
        <w:tc>
          <w:tcPr>
            <w:tcW w:w="7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ind w:left="60" w:right="60"/>
              <w:jc w:val="center"/>
              <w:rPr>
                <w:rFonts w:hint="eastAsia" w:ascii="宋体" w:hAnsi="宋体" w:eastAsia="宋体" w:cs="宋体"/>
                <w:b/>
                <w:kern w:val="0"/>
                <w:sz w:val="18"/>
                <w:szCs w:val="18"/>
                <w:highlight w:val="none"/>
              </w:rPr>
            </w:pPr>
            <w:r>
              <w:rPr>
                <w:rFonts w:hint="eastAsia" w:ascii="宋体" w:hAnsi="宋体" w:eastAsia="宋体" w:cs="宋体"/>
                <w:b/>
                <w:kern w:val="0"/>
                <w:sz w:val="18"/>
                <w:szCs w:val="18"/>
                <w:highlight w:val="none"/>
              </w:rPr>
              <w:t>序号</w:t>
            </w:r>
          </w:p>
        </w:tc>
        <w:tc>
          <w:tcPr>
            <w:tcW w:w="15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ind w:left="60" w:right="60"/>
              <w:jc w:val="center"/>
              <w:rPr>
                <w:rFonts w:hint="eastAsia" w:ascii="宋体" w:hAnsi="宋体" w:eastAsia="宋体" w:cs="宋体"/>
                <w:b/>
                <w:kern w:val="0"/>
                <w:sz w:val="18"/>
                <w:szCs w:val="18"/>
                <w:highlight w:val="none"/>
              </w:rPr>
            </w:pPr>
            <w:r>
              <w:rPr>
                <w:rFonts w:hint="eastAsia" w:ascii="宋体" w:hAnsi="宋体" w:eastAsia="宋体" w:cs="宋体"/>
                <w:b/>
                <w:kern w:val="0"/>
                <w:sz w:val="18"/>
                <w:szCs w:val="18"/>
                <w:highlight w:val="none"/>
              </w:rPr>
              <w:t>标项内容</w:t>
            </w:r>
          </w:p>
        </w:tc>
        <w:tc>
          <w:tcPr>
            <w:tcW w:w="6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ind w:left="60" w:right="60"/>
              <w:jc w:val="center"/>
              <w:rPr>
                <w:rFonts w:hint="eastAsia" w:ascii="宋体" w:hAnsi="宋体" w:eastAsia="宋体" w:cs="宋体"/>
                <w:b/>
                <w:kern w:val="0"/>
                <w:sz w:val="18"/>
                <w:szCs w:val="18"/>
                <w:highlight w:val="none"/>
              </w:rPr>
            </w:pPr>
            <w:r>
              <w:rPr>
                <w:rFonts w:hint="eastAsia" w:ascii="宋体" w:hAnsi="宋体" w:eastAsia="宋体" w:cs="宋体"/>
                <w:b/>
                <w:kern w:val="0"/>
                <w:sz w:val="18"/>
                <w:szCs w:val="18"/>
                <w:highlight w:val="none"/>
              </w:rPr>
              <w:t>数量</w:t>
            </w:r>
          </w:p>
        </w:tc>
        <w:tc>
          <w:tcPr>
            <w:tcW w:w="6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ind w:left="60" w:right="60"/>
              <w:jc w:val="center"/>
              <w:rPr>
                <w:rFonts w:hint="eastAsia" w:ascii="宋体" w:hAnsi="宋体" w:eastAsia="宋体" w:cs="宋体"/>
                <w:b/>
                <w:kern w:val="0"/>
                <w:sz w:val="18"/>
                <w:szCs w:val="18"/>
                <w:highlight w:val="none"/>
              </w:rPr>
            </w:pPr>
            <w:r>
              <w:rPr>
                <w:rFonts w:hint="eastAsia" w:ascii="宋体" w:hAnsi="宋体" w:eastAsia="宋体" w:cs="宋体"/>
                <w:b/>
                <w:kern w:val="0"/>
                <w:sz w:val="18"/>
                <w:szCs w:val="18"/>
                <w:highlight w:val="none"/>
              </w:rPr>
              <w:t>单位</w:t>
            </w:r>
          </w:p>
        </w:tc>
        <w:tc>
          <w:tcPr>
            <w:tcW w:w="11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ind w:left="60" w:right="60"/>
              <w:jc w:val="center"/>
              <w:rPr>
                <w:rFonts w:hint="eastAsia" w:ascii="宋体" w:hAnsi="宋体" w:eastAsia="宋体" w:cs="宋体"/>
                <w:b/>
                <w:kern w:val="0"/>
                <w:sz w:val="18"/>
                <w:szCs w:val="18"/>
                <w:highlight w:val="none"/>
              </w:rPr>
            </w:pPr>
            <w:r>
              <w:rPr>
                <w:rFonts w:hint="eastAsia" w:ascii="宋体" w:hAnsi="宋体" w:eastAsia="宋体" w:cs="宋体"/>
                <w:b/>
                <w:kern w:val="0"/>
                <w:sz w:val="18"/>
                <w:szCs w:val="18"/>
                <w:highlight w:val="none"/>
              </w:rPr>
              <w:t>预算金额(万元)</w:t>
            </w:r>
          </w:p>
        </w:tc>
        <w:tc>
          <w:tcPr>
            <w:tcW w:w="43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ind w:left="60" w:right="60"/>
              <w:jc w:val="center"/>
              <w:rPr>
                <w:rFonts w:hint="eastAsia" w:ascii="宋体" w:hAnsi="宋体" w:eastAsia="宋体" w:cs="宋体"/>
                <w:b/>
                <w:kern w:val="0"/>
                <w:sz w:val="18"/>
                <w:szCs w:val="18"/>
                <w:highlight w:val="none"/>
              </w:rPr>
            </w:pPr>
            <w:r>
              <w:rPr>
                <w:rFonts w:hint="eastAsia" w:ascii="宋体" w:hAnsi="宋体" w:eastAsia="宋体" w:cs="宋体"/>
                <w:b/>
                <w:kern w:val="0"/>
                <w:sz w:val="18"/>
                <w:szCs w:val="18"/>
                <w:highlight w:val="none"/>
              </w:rPr>
              <w:t>简要技术要求、用途</w:t>
            </w:r>
          </w:p>
        </w:tc>
      </w:tr>
      <w:tr>
        <w:tblPrEx>
          <w:tblCellMar>
            <w:top w:w="0" w:type="dxa"/>
            <w:left w:w="108" w:type="dxa"/>
            <w:bottom w:w="0" w:type="dxa"/>
            <w:right w:w="108" w:type="dxa"/>
          </w:tblCellMar>
        </w:tblPrEx>
        <w:trPr>
          <w:jc w:val="center"/>
        </w:trPr>
        <w:tc>
          <w:tcPr>
            <w:tcW w:w="7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jc w:val="center"/>
              <w:rPr>
                <w:rFonts w:hint="eastAsia" w:ascii="宋体" w:hAnsi="宋体" w:eastAsia="宋体" w:cs="宋体"/>
                <w:bCs/>
                <w:kern w:val="0"/>
                <w:sz w:val="18"/>
                <w:szCs w:val="18"/>
                <w:highlight w:val="none"/>
              </w:rPr>
            </w:pPr>
            <w:r>
              <w:rPr>
                <w:rFonts w:hint="eastAsia" w:ascii="宋体" w:hAnsi="宋体" w:eastAsia="宋体" w:cs="宋体"/>
                <w:bCs/>
                <w:kern w:val="0"/>
                <w:sz w:val="18"/>
                <w:szCs w:val="18"/>
                <w:highlight w:val="none"/>
              </w:rPr>
              <w:t>1</w:t>
            </w:r>
          </w:p>
        </w:tc>
        <w:tc>
          <w:tcPr>
            <w:tcW w:w="15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jc w:val="center"/>
              <w:rPr>
                <w:rFonts w:hint="eastAsia" w:ascii="宋体" w:hAnsi="宋体" w:eastAsia="宋体" w:cs="宋体"/>
                <w:bCs/>
                <w:kern w:val="0"/>
                <w:sz w:val="18"/>
                <w:szCs w:val="18"/>
                <w:highlight w:val="none"/>
                <w:lang w:eastAsia="zh-CN"/>
              </w:rPr>
            </w:pPr>
            <w:r>
              <w:rPr>
                <w:rFonts w:hint="eastAsia" w:ascii="宋体" w:hAnsi="宋体" w:eastAsia="宋体" w:cs="宋体"/>
                <w:bCs/>
                <w:kern w:val="0"/>
                <w:sz w:val="18"/>
                <w:szCs w:val="18"/>
                <w:highlight w:val="none"/>
                <w:lang w:eastAsia="zh-CN"/>
              </w:rPr>
              <w:t>陶山服务区物业服务</w:t>
            </w:r>
          </w:p>
        </w:tc>
        <w:tc>
          <w:tcPr>
            <w:tcW w:w="6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jc w:val="center"/>
              <w:rPr>
                <w:rFonts w:hint="eastAsia" w:ascii="宋体" w:hAnsi="宋体" w:eastAsia="宋体" w:cs="宋体"/>
                <w:bCs/>
                <w:kern w:val="0"/>
                <w:sz w:val="18"/>
                <w:szCs w:val="18"/>
                <w:highlight w:val="none"/>
              </w:rPr>
            </w:pPr>
            <w:r>
              <w:rPr>
                <w:rFonts w:hint="eastAsia" w:ascii="宋体" w:hAnsi="宋体" w:eastAsia="宋体" w:cs="宋体"/>
                <w:bCs/>
                <w:kern w:val="0"/>
                <w:sz w:val="18"/>
                <w:szCs w:val="18"/>
                <w:highlight w:val="none"/>
              </w:rPr>
              <w:t>1</w:t>
            </w:r>
          </w:p>
        </w:tc>
        <w:tc>
          <w:tcPr>
            <w:tcW w:w="6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val="en-US" w:eastAsia="zh-CN"/>
              </w:rPr>
              <w:t>项</w:t>
            </w:r>
          </w:p>
        </w:tc>
        <w:tc>
          <w:tcPr>
            <w:tcW w:w="11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jc w:val="center"/>
              <w:rPr>
                <w:rFonts w:hint="eastAsia" w:ascii="宋体" w:hAnsi="宋体" w:eastAsia="宋体" w:cs="宋体"/>
                <w:bCs/>
                <w:kern w:val="0"/>
                <w:sz w:val="18"/>
                <w:szCs w:val="18"/>
                <w:highlight w:val="none"/>
                <w:lang w:val="en-US" w:eastAsia="zh-CN"/>
              </w:rPr>
            </w:pPr>
            <w:r>
              <w:rPr>
                <w:rFonts w:hint="eastAsia" w:ascii="宋体" w:hAnsi="宋体" w:eastAsia="宋体" w:cs="宋体"/>
                <w:bCs/>
                <w:kern w:val="0"/>
                <w:sz w:val="18"/>
                <w:szCs w:val="18"/>
                <w:highlight w:val="none"/>
                <w:lang w:val="en-US" w:eastAsia="zh-CN"/>
              </w:rPr>
              <w:t>362.5</w:t>
            </w:r>
          </w:p>
        </w:tc>
        <w:tc>
          <w:tcPr>
            <w:tcW w:w="43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rPr>
                <w:rFonts w:hint="eastAsia" w:ascii="宋体" w:hAnsi="宋体" w:eastAsia="宋体" w:cs="宋体"/>
                <w:sz w:val="18"/>
                <w:szCs w:val="18"/>
                <w:highlight w:val="none"/>
                <w:u w:val="single"/>
              </w:rPr>
            </w:pPr>
            <w:r>
              <w:rPr>
                <w:rFonts w:hint="eastAsia" w:ascii="宋体" w:hAnsi="宋体" w:eastAsia="宋体" w:cs="宋体"/>
                <w:sz w:val="18"/>
                <w:szCs w:val="18"/>
                <w:highlight w:val="none"/>
              </w:rPr>
              <w:t>温州市高速公路资产经营有限公司所需</w:t>
            </w:r>
            <w:r>
              <w:rPr>
                <w:rFonts w:hint="eastAsia" w:ascii="宋体" w:hAnsi="宋体" w:eastAsia="宋体" w:cs="宋体"/>
                <w:sz w:val="18"/>
                <w:szCs w:val="18"/>
                <w:highlight w:val="none"/>
                <w:lang w:val="en-US" w:eastAsia="zh-CN"/>
              </w:rPr>
              <w:t>的</w:t>
            </w:r>
            <w:r>
              <w:rPr>
                <w:rFonts w:hint="eastAsia" w:ascii="宋体" w:hAnsi="宋体" w:eastAsia="宋体" w:cs="宋体"/>
                <w:sz w:val="18"/>
                <w:szCs w:val="18"/>
                <w:highlight w:val="none"/>
                <w:lang w:eastAsia="zh-CN"/>
              </w:rPr>
              <w:t>陶山服务区物业服务</w:t>
            </w:r>
            <w:r>
              <w:rPr>
                <w:rFonts w:hint="eastAsia" w:ascii="宋体" w:hAnsi="宋体" w:eastAsia="宋体" w:cs="宋体"/>
                <w:sz w:val="18"/>
                <w:szCs w:val="18"/>
                <w:highlight w:val="none"/>
              </w:rPr>
              <w:t>，具体服务内容包括秩序维护、安保管理、卫生管理、设备维护等，</w:t>
            </w:r>
            <w:r>
              <w:rPr>
                <w:rFonts w:hint="eastAsia" w:ascii="宋体" w:hAnsi="宋体" w:eastAsia="宋体" w:cs="宋体"/>
                <w:sz w:val="18"/>
                <w:szCs w:val="18"/>
                <w:highlight w:val="none"/>
                <w:lang w:val="en-US" w:eastAsia="zh-CN"/>
              </w:rPr>
              <w:t>采购</w:t>
            </w:r>
            <w:r>
              <w:rPr>
                <w:rFonts w:hint="eastAsia" w:ascii="宋体" w:hAnsi="宋体" w:eastAsia="宋体" w:cs="宋体"/>
                <w:sz w:val="18"/>
                <w:szCs w:val="18"/>
                <w:highlight w:val="none"/>
              </w:rPr>
              <w:t>内容及详细技术要求见采购文件相关部分。</w:t>
            </w:r>
          </w:p>
        </w:tc>
      </w:tr>
    </w:tbl>
    <w:p>
      <w:pPr>
        <w:widowControl/>
        <w:spacing w:before="60" w:after="60"/>
        <w:ind w:right="60"/>
        <w:jc w:val="left"/>
        <w:rPr>
          <w:rFonts w:hint="eastAsia" w:ascii="宋体" w:hAnsi="宋体" w:eastAsia="宋体" w:cs="宋体"/>
          <w:bCs/>
          <w:kern w:val="0"/>
          <w:szCs w:val="21"/>
          <w:highlight w:val="none"/>
        </w:rPr>
      </w:pPr>
      <w:bookmarkStart w:id="3" w:name="B09_招标内容"/>
      <w:bookmarkEnd w:id="3"/>
      <w:r>
        <w:rPr>
          <w:rFonts w:hint="eastAsia" w:ascii="宋体" w:hAnsi="宋体" w:eastAsia="宋体" w:cs="宋体"/>
          <w:bCs/>
          <w:kern w:val="0"/>
          <w:szCs w:val="21"/>
          <w:highlight w:val="none"/>
        </w:rPr>
        <w:t>八、投标供应商资格要求：</w:t>
      </w:r>
    </w:p>
    <w:p>
      <w:pPr>
        <w:widowControl/>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1、符合《温州市市属国有企业采购管理办法（试行）》第十五条对投标供应商参加温州市国有企业采购活动应当具备的基本资格条件；</w:t>
      </w:r>
    </w:p>
    <w:p>
      <w:pPr>
        <w:widowControl/>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w:t>
      </w:r>
      <w:r>
        <w:rPr>
          <w:rFonts w:hint="eastAsia" w:ascii="宋体" w:hAnsi="宋体" w:eastAsia="宋体" w:cs="宋体"/>
          <w:color w:val="auto"/>
          <w:kern w:val="0"/>
          <w:szCs w:val="21"/>
          <w:highlight w:val="none"/>
          <w:lang w:val="en-US" w:eastAsia="zh-CN"/>
        </w:rPr>
        <w:t>至本项目投标截止前未被列入“信用中国”网站(www.creditchina.gov.cn)“记录失信被执行人或重大税收违法案件当事人名单”记录名单</w:t>
      </w:r>
      <w:r>
        <w:rPr>
          <w:rFonts w:hint="eastAsia" w:ascii="宋体" w:hAnsi="宋体" w:eastAsia="宋体" w:cs="宋体"/>
          <w:szCs w:val="21"/>
          <w:highlight w:val="none"/>
        </w:rPr>
        <w:t>；</w:t>
      </w:r>
    </w:p>
    <w:p>
      <w:pPr>
        <w:widowControl/>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、单位负责人为同一人或者存在直接控股、管理关系的不同供应商，不得同时参加本项目投标活动；</w:t>
      </w:r>
    </w:p>
    <w:p>
      <w:pPr>
        <w:widowControl/>
        <w:ind w:firstLine="420" w:firstLineChars="200"/>
        <w:jc w:val="left"/>
        <w:rPr>
          <w:rFonts w:hint="eastAsia" w:ascii="宋体" w:hAnsi="宋体" w:eastAsia="宋体" w:cs="宋体"/>
          <w:kern w:val="0"/>
          <w:szCs w:val="21"/>
          <w:highlight w:val="none"/>
        </w:rPr>
      </w:pP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w:t>
      </w:r>
      <w:r>
        <w:rPr>
          <w:rFonts w:hint="eastAsia" w:ascii="宋体" w:hAnsi="宋体" w:eastAsia="宋体" w:cs="宋体"/>
          <w:kern w:val="0"/>
          <w:szCs w:val="21"/>
          <w:highlight w:val="none"/>
        </w:rPr>
        <w:t>本项目不接受联合体投标。</w:t>
      </w:r>
      <w:r>
        <w:rPr>
          <w:rFonts w:hint="eastAsia" w:ascii="宋体" w:hAnsi="宋体" w:eastAsia="宋体" w:cs="宋体"/>
          <w:kern w:val="0"/>
          <w:szCs w:val="21"/>
          <w:highlight w:val="none"/>
        </w:rPr>
        <w:tab/>
      </w:r>
    </w:p>
    <w:p>
      <w:pPr>
        <w:widowControl/>
        <w:spacing w:before="60" w:after="60"/>
        <w:ind w:right="60"/>
        <w:jc w:val="left"/>
        <w:rPr>
          <w:rFonts w:hint="eastAsia" w:ascii="宋体" w:hAnsi="宋体" w:eastAsia="宋体" w:cs="宋体"/>
          <w:kern w:val="0"/>
          <w:szCs w:val="21"/>
          <w:highlight w:val="none"/>
        </w:rPr>
      </w:pPr>
      <w:r>
        <w:rPr>
          <w:rFonts w:hint="eastAsia" w:ascii="宋体" w:hAnsi="宋体" w:eastAsia="宋体" w:cs="宋体"/>
          <w:bCs/>
          <w:kern w:val="0"/>
          <w:szCs w:val="21"/>
          <w:highlight w:val="none"/>
        </w:rPr>
        <w:t>九、发售</w:t>
      </w:r>
      <w:r>
        <w:rPr>
          <w:rFonts w:hint="eastAsia" w:ascii="宋体" w:hAnsi="宋体" w:eastAsia="宋体" w:cs="宋体"/>
          <w:kern w:val="0"/>
          <w:szCs w:val="21"/>
          <w:highlight w:val="none"/>
        </w:rPr>
        <w:t>采购文件时间及地点：</w:t>
      </w:r>
    </w:p>
    <w:p>
      <w:pPr>
        <w:widowControl/>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1、报名时间及采购文件发售时间：公告发布之日起至投标截止时间止（上午08：30-11：30，下午14：30-17：00，节假日除外，未购买采购文件的潜在投标人拒绝参加投标。）；</w:t>
      </w:r>
    </w:p>
    <w:p>
      <w:pPr>
        <w:widowControl/>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w:t>
      </w:r>
      <w:r>
        <w:rPr>
          <w:rFonts w:hint="eastAsia" w:ascii="宋体" w:hAnsi="宋体" w:eastAsia="宋体" w:cs="宋体"/>
          <w:bCs/>
          <w:kern w:val="0"/>
          <w:szCs w:val="21"/>
          <w:highlight w:val="none"/>
        </w:rPr>
        <w:t>购领</w:t>
      </w:r>
      <w:r>
        <w:rPr>
          <w:rFonts w:hint="eastAsia" w:ascii="宋体" w:hAnsi="宋体" w:eastAsia="宋体" w:cs="宋体"/>
          <w:kern w:val="0"/>
          <w:szCs w:val="21"/>
          <w:highlight w:val="none"/>
        </w:rPr>
        <w:t>采购文件地址：鉴于目前疫情形势，本项目暂不接受现场获取采购文件；</w:t>
      </w:r>
    </w:p>
    <w:p>
      <w:pPr>
        <w:widowControl/>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3、采购文件售价：人民币500元整（售后不退）；</w:t>
      </w:r>
    </w:p>
    <w:p>
      <w:pPr>
        <w:widowControl/>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4、报名方式、购买标书及注意事项：</w:t>
      </w:r>
    </w:p>
    <w:p>
      <w:pPr>
        <w:keepNext w:val="0"/>
        <w:keepLines w:val="0"/>
        <w:pageBreakBefore w:val="0"/>
        <w:widowControl/>
        <w:kinsoku/>
        <w:wordWrap/>
        <w:overflowPunct/>
        <w:topLinePunct w:val="0"/>
        <w:autoSpaceDE/>
        <w:autoSpaceDN/>
        <w:bidi w:val="0"/>
        <w:adjustRightInd/>
        <w:snapToGrid/>
        <w:spacing w:before="60" w:after="60"/>
        <w:ind w:right="62" w:firstLine="420" w:firstLineChars="200"/>
        <w:jc w:val="lef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网上报名（政采云报名）：请供应商登录浙江政府采购网（http://zfcg.czt.zj.gov.cn），进入“政采云”平台进行注册并报名（未注册的供应商请尽早注册，客服电话：95763），（操作路径：浙江政府采购网：供应商注册-项目采购-获取采购文件-申请获取采购文件）。网上报名后，请将标书购买费汇入代理公司账户（将缴纳报名费凭证、开票信息）等资料发代理机构电子邮箱1826066763@qq.com）并联系采购代理公司审核。标书款汇入账户信息：</w:t>
      </w:r>
    </w:p>
    <w:p>
      <w:pPr>
        <w:widowControl/>
        <w:spacing w:before="60" w:after="60"/>
        <w:ind w:left="60" w:right="6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单  位 名 称：浙江国际招投标有限公司</w:t>
      </w:r>
    </w:p>
    <w:p>
      <w:pPr>
        <w:widowControl/>
        <w:spacing w:before="60" w:after="60"/>
        <w:ind w:left="60" w:right="6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开  户 银 行：工商银行杭州市武林支行</w:t>
      </w:r>
    </w:p>
    <w:p>
      <w:pPr>
        <w:widowControl/>
        <w:spacing w:before="60" w:after="60"/>
        <w:ind w:left="60" w:right="6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账        号：1202021209906782015</w:t>
      </w:r>
    </w:p>
    <w:p>
      <w:pPr>
        <w:widowControl/>
        <w:spacing w:before="60" w:after="60"/>
        <w:ind w:left="60" w:right="60"/>
        <w:jc w:val="left"/>
        <w:rPr>
          <w:rFonts w:hint="eastAsia" w:ascii="宋体" w:hAnsi="宋体" w:eastAsia="宋体" w:cs="宋体"/>
          <w:bCs/>
          <w:color w:val="auto"/>
          <w:kern w:val="0"/>
          <w:szCs w:val="21"/>
          <w:highlight w:val="none"/>
        </w:rPr>
      </w:pPr>
      <w:r>
        <w:rPr>
          <w:rFonts w:hint="eastAsia" w:ascii="宋体" w:hAnsi="宋体" w:eastAsia="宋体" w:cs="宋体"/>
          <w:bCs/>
          <w:kern w:val="0"/>
          <w:szCs w:val="21"/>
          <w:highlight w:val="none"/>
        </w:rPr>
        <w:t>十、投标截止时间：</w:t>
      </w:r>
      <w:bookmarkStart w:id="4" w:name="B23_谈判响应文件提交截止日期"/>
      <w:bookmarkEnd w:id="4"/>
      <w:r>
        <w:rPr>
          <w:rFonts w:hint="eastAsia" w:ascii="宋体" w:hAnsi="宋体" w:eastAsia="宋体" w:cs="宋体"/>
          <w:bCs/>
          <w:kern w:val="0"/>
          <w:szCs w:val="21"/>
          <w:highlight w:val="none"/>
        </w:rPr>
        <w:t>投标截止时间：</w:t>
      </w:r>
      <w:r>
        <w:rPr>
          <w:rFonts w:hint="eastAsia" w:ascii="宋体" w:hAnsi="宋体" w:eastAsia="宋体" w:cs="宋体"/>
          <w:bCs/>
          <w:color w:val="0000FF"/>
          <w:kern w:val="0"/>
          <w:szCs w:val="21"/>
          <w:highlight w:val="none"/>
        </w:rPr>
        <w:t>202</w:t>
      </w:r>
      <w:r>
        <w:rPr>
          <w:rFonts w:hint="eastAsia" w:ascii="宋体" w:hAnsi="宋体" w:eastAsia="宋体" w:cs="宋体"/>
          <w:bCs/>
          <w:color w:val="0000FF"/>
          <w:kern w:val="0"/>
          <w:szCs w:val="21"/>
          <w:highlight w:val="none"/>
          <w:lang w:val="en-US" w:eastAsia="zh-CN"/>
        </w:rPr>
        <w:t>3</w:t>
      </w:r>
      <w:r>
        <w:rPr>
          <w:rFonts w:hint="eastAsia" w:ascii="宋体" w:hAnsi="宋体" w:eastAsia="宋体" w:cs="宋体"/>
          <w:bCs/>
          <w:color w:val="0000FF"/>
          <w:kern w:val="0"/>
          <w:szCs w:val="21"/>
          <w:highlight w:val="none"/>
        </w:rPr>
        <w:t>年</w:t>
      </w:r>
      <w:r>
        <w:rPr>
          <w:rFonts w:hint="eastAsia" w:ascii="宋体" w:hAnsi="宋体" w:eastAsia="宋体" w:cs="宋体"/>
          <w:bCs/>
          <w:color w:val="0000FF"/>
          <w:kern w:val="0"/>
          <w:szCs w:val="21"/>
          <w:highlight w:val="none"/>
          <w:lang w:val="en-US" w:eastAsia="zh-CN"/>
        </w:rPr>
        <w:t>4</w:t>
      </w:r>
      <w:r>
        <w:rPr>
          <w:rFonts w:hint="eastAsia" w:ascii="宋体" w:hAnsi="宋体" w:eastAsia="宋体" w:cs="宋体"/>
          <w:bCs/>
          <w:color w:val="0000FF"/>
          <w:kern w:val="0"/>
          <w:szCs w:val="21"/>
          <w:highlight w:val="none"/>
        </w:rPr>
        <w:t>月</w:t>
      </w:r>
      <w:r>
        <w:rPr>
          <w:rFonts w:hint="eastAsia" w:ascii="宋体" w:hAnsi="宋体" w:eastAsia="宋体" w:cs="宋体"/>
          <w:bCs/>
          <w:color w:val="0000FF"/>
          <w:kern w:val="0"/>
          <w:szCs w:val="21"/>
          <w:highlight w:val="none"/>
          <w:lang w:val="en-US" w:eastAsia="zh-CN"/>
        </w:rPr>
        <w:t>13</w:t>
      </w:r>
      <w:r>
        <w:rPr>
          <w:rFonts w:hint="eastAsia" w:ascii="宋体" w:hAnsi="宋体" w:eastAsia="宋体" w:cs="宋体"/>
          <w:bCs/>
          <w:color w:val="0000FF"/>
          <w:kern w:val="0"/>
          <w:szCs w:val="21"/>
          <w:highlight w:val="none"/>
        </w:rPr>
        <w:t>日</w:t>
      </w:r>
      <w:r>
        <w:rPr>
          <w:rFonts w:hint="eastAsia" w:ascii="宋体" w:hAnsi="宋体" w:eastAsia="宋体" w:cs="宋体"/>
          <w:bCs/>
          <w:color w:val="0000FF"/>
          <w:kern w:val="0"/>
          <w:szCs w:val="21"/>
          <w:highlight w:val="none"/>
          <w:lang w:val="en-US" w:eastAsia="zh-CN"/>
        </w:rPr>
        <w:t>下午14</w:t>
      </w:r>
      <w:r>
        <w:rPr>
          <w:rFonts w:hint="eastAsia" w:ascii="宋体" w:hAnsi="宋体" w:eastAsia="宋体" w:cs="宋体"/>
          <w:bCs/>
          <w:color w:val="0000FF"/>
          <w:kern w:val="0"/>
          <w:szCs w:val="21"/>
          <w:highlight w:val="none"/>
        </w:rPr>
        <w:t>时30分</w:t>
      </w:r>
      <w:r>
        <w:rPr>
          <w:rFonts w:hint="eastAsia" w:ascii="宋体" w:hAnsi="宋体" w:eastAsia="宋体" w:cs="宋体"/>
          <w:bCs/>
          <w:color w:val="auto"/>
          <w:kern w:val="0"/>
          <w:szCs w:val="21"/>
          <w:highlight w:val="none"/>
        </w:rPr>
        <w:t>(北京时间，下同)。</w:t>
      </w:r>
    </w:p>
    <w:p>
      <w:pPr>
        <w:widowControl/>
        <w:spacing w:before="60" w:after="60"/>
        <w:ind w:left="575" w:leftChars="29" w:right="60" w:hanging="514" w:hangingChars="245"/>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十一、投标文件提交地点：温州市政务服务管理中心收标区 (温州市鹿城区会展路1268号温州市民中心A座3楼公共资源交易专区)（详见当天大厅大屏幕）。</w:t>
      </w:r>
    </w:p>
    <w:p>
      <w:pPr>
        <w:widowControl/>
        <w:spacing w:before="60" w:after="60"/>
        <w:ind w:left="60" w:right="6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十二、开标时间：</w:t>
      </w:r>
      <w:bookmarkStart w:id="5" w:name="B26_谈判时间日期"/>
      <w:bookmarkEnd w:id="5"/>
      <w:r>
        <w:rPr>
          <w:rFonts w:hint="eastAsia" w:ascii="宋体" w:hAnsi="宋体" w:eastAsia="宋体" w:cs="宋体"/>
          <w:bCs/>
          <w:kern w:val="0"/>
          <w:szCs w:val="21"/>
          <w:highlight w:val="none"/>
        </w:rPr>
        <w:t>同投标截止时间。</w:t>
      </w:r>
    </w:p>
    <w:p>
      <w:pPr>
        <w:widowControl/>
        <w:spacing w:before="60" w:after="60"/>
        <w:ind w:left="575" w:leftChars="29" w:right="60" w:hanging="514" w:hangingChars="245"/>
        <w:jc w:val="left"/>
        <w:rPr>
          <w:rFonts w:hint="eastAsia" w:ascii="宋体" w:hAnsi="宋体" w:eastAsia="宋体" w:cs="宋体"/>
          <w:szCs w:val="21"/>
          <w:highlight w:val="none"/>
          <w:shd w:val="clear" w:color="auto" w:fill="FFFFFF"/>
        </w:rPr>
      </w:pPr>
      <w:r>
        <w:rPr>
          <w:rFonts w:hint="eastAsia" w:ascii="宋体" w:hAnsi="宋体" w:eastAsia="宋体" w:cs="宋体"/>
          <w:bCs/>
          <w:kern w:val="0"/>
          <w:szCs w:val="21"/>
          <w:highlight w:val="none"/>
        </w:rPr>
        <w:t>十三、开标地点：</w:t>
      </w:r>
      <w:r>
        <w:rPr>
          <w:rFonts w:hint="eastAsia" w:ascii="宋体" w:hAnsi="宋体" w:eastAsia="宋体" w:cs="宋体"/>
          <w:kern w:val="0"/>
          <w:szCs w:val="21"/>
          <w:highlight w:val="none"/>
        </w:rPr>
        <w:t>温州市政务服务管理中心</w:t>
      </w:r>
      <w:r>
        <w:rPr>
          <w:rFonts w:hint="eastAsia" w:ascii="宋体" w:hAnsi="宋体" w:eastAsia="宋体" w:cs="宋体"/>
          <w:bCs/>
          <w:kern w:val="0"/>
          <w:szCs w:val="21"/>
          <w:highlight w:val="none"/>
        </w:rPr>
        <w:t>开标区</w:t>
      </w:r>
      <w:r>
        <w:rPr>
          <w:rFonts w:hint="eastAsia" w:ascii="宋体" w:hAnsi="宋体" w:eastAsia="宋体" w:cs="宋体"/>
          <w:szCs w:val="21"/>
          <w:highlight w:val="none"/>
          <w:shd w:val="clear" w:color="auto" w:fill="FFFFFF"/>
        </w:rPr>
        <w:t>。</w:t>
      </w:r>
    </w:p>
    <w:p>
      <w:pPr>
        <w:widowControl/>
        <w:spacing w:before="60" w:after="60"/>
        <w:ind w:left="60" w:right="6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十四、投标保证金及交付方式：</w:t>
      </w:r>
    </w:p>
    <w:p>
      <w:pPr>
        <w:widowControl/>
        <w:spacing w:before="60" w:after="60" w:line="280" w:lineRule="exact"/>
        <w:ind w:right="62" w:firstLine="420" w:firstLineChars="200"/>
        <w:jc w:val="left"/>
        <w:rPr>
          <w:rFonts w:hint="eastAsia" w:ascii="宋体" w:hAnsi="宋体" w:eastAsia="宋体" w:cs="宋体"/>
          <w:b/>
          <w:bCs/>
          <w:kern w:val="0"/>
          <w:szCs w:val="21"/>
          <w:highlight w:val="none"/>
          <w:u w:val="single"/>
        </w:rPr>
      </w:pPr>
      <w:bookmarkStart w:id="6" w:name="B29_谈判保证金"/>
      <w:bookmarkEnd w:id="6"/>
      <w:bookmarkStart w:id="7" w:name="_Hlk3381632"/>
      <w:bookmarkStart w:id="8" w:name="_Hlk516555339"/>
      <w:r>
        <w:rPr>
          <w:rFonts w:hint="eastAsia" w:ascii="宋体" w:hAnsi="宋体" w:eastAsia="宋体" w:cs="宋体"/>
          <w:kern w:val="0"/>
          <w:szCs w:val="21"/>
          <w:highlight w:val="none"/>
        </w:rPr>
        <w:t>投标保证金：人民币</w:t>
      </w:r>
      <w:r>
        <w:rPr>
          <w:rFonts w:hint="eastAsia" w:ascii="宋体" w:hAnsi="宋体" w:eastAsia="宋体" w:cs="宋体"/>
          <w:kern w:val="0"/>
          <w:szCs w:val="21"/>
          <w:highlight w:val="none"/>
          <w:lang w:val="en-US" w:eastAsia="zh-CN"/>
        </w:rPr>
        <w:t>2</w:t>
      </w:r>
      <w:r>
        <w:rPr>
          <w:rFonts w:hint="eastAsia" w:ascii="宋体" w:hAnsi="宋体" w:eastAsia="宋体" w:cs="宋体"/>
          <w:kern w:val="0"/>
          <w:szCs w:val="21"/>
          <w:highlight w:val="none"/>
        </w:rPr>
        <w:t>0000元整，采用银行转账形式，保证金缴纳截止时间：与投标截止时间相同。</w:t>
      </w:r>
      <w:r>
        <w:rPr>
          <w:rFonts w:hint="eastAsia" w:ascii="宋体" w:hAnsi="宋体" w:eastAsia="宋体" w:cs="宋体"/>
          <w:b/>
          <w:bCs/>
          <w:kern w:val="0"/>
          <w:szCs w:val="21"/>
          <w:highlight w:val="none"/>
          <w:u w:val="single"/>
        </w:rPr>
        <w:t>投标保证金要求从投标人在政采云登记的银行账号汇出，保证金缴纳时间以到账时间为准。</w:t>
      </w:r>
    </w:p>
    <w:p>
      <w:pPr>
        <w:widowControl/>
        <w:spacing w:before="60" w:after="60" w:line="280" w:lineRule="exact"/>
        <w:ind w:right="62"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户名：政采云有限公司</w:t>
      </w:r>
    </w:p>
    <w:p>
      <w:pPr>
        <w:widowControl/>
        <w:spacing w:before="60" w:after="60" w:line="280" w:lineRule="exact"/>
        <w:ind w:right="62"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开户银行：中国农业银行杭州西湖支行</w:t>
      </w:r>
    </w:p>
    <w:p>
      <w:pPr>
        <w:widowControl/>
        <w:spacing w:before="60" w:after="60" w:line="280" w:lineRule="exact"/>
        <w:ind w:right="62"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账号：190001010400276210000003807</w:t>
      </w:r>
    </w:p>
    <w:bookmarkEnd w:id="7"/>
    <w:bookmarkEnd w:id="8"/>
    <w:p>
      <w:pPr>
        <w:widowControl/>
        <w:spacing w:before="60" w:after="60"/>
        <w:ind w:left="60" w:right="6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十五、其他事项：</w:t>
      </w:r>
    </w:p>
    <w:p>
      <w:pPr>
        <w:keepNext w:val="0"/>
        <w:keepLines w:val="0"/>
        <w:pageBreakBefore w:val="0"/>
        <w:widowControl/>
        <w:kinsoku/>
        <w:wordWrap/>
        <w:overflowPunct/>
        <w:topLinePunct w:val="0"/>
        <w:autoSpaceDE/>
        <w:autoSpaceDN/>
        <w:bidi w:val="0"/>
        <w:adjustRightInd/>
        <w:snapToGrid/>
        <w:ind w:left="0" w:right="0" w:firstLine="420" w:firstLineChars="200"/>
        <w:jc w:val="left"/>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1、采购公告期限：5个工作日，从公告在浙江政府采购网上发布的次日起算；</w:t>
      </w:r>
    </w:p>
    <w:p>
      <w:pPr>
        <w:keepNext w:val="0"/>
        <w:keepLines w:val="0"/>
        <w:pageBreakBefore w:val="0"/>
        <w:widowControl/>
        <w:kinsoku/>
        <w:wordWrap/>
        <w:overflowPunct/>
        <w:topLinePunct w:val="0"/>
        <w:autoSpaceDE/>
        <w:autoSpaceDN/>
        <w:bidi w:val="0"/>
        <w:adjustRightInd/>
        <w:snapToGrid/>
        <w:ind w:left="0" w:right="0" w:firstLine="420" w:firstLineChars="200"/>
        <w:jc w:val="left"/>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2、投标人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以书面形式向采购人和采购代理机构提出质疑。</w:t>
      </w:r>
    </w:p>
    <w:p>
      <w:pPr>
        <w:keepNext w:val="0"/>
        <w:keepLines w:val="0"/>
        <w:pageBreakBefore w:val="0"/>
        <w:widowControl/>
        <w:kinsoku/>
        <w:wordWrap/>
        <w:overflowPunct/>
        <w:topLinePunct w:val="0"/>
        <w:autoSpaceDE/>
        <w:autoSpaceDN/>
        <w:bidi w:val="0"/>
        <w:adjustRightInd/>
        <w:snapToGrid/>
        <w:ind w:left="0" w:right="0" w:firstLine="420" w:firstLineChars="200"/>
        <w:jc w:val="left"/>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采购公告附件的采购文件仅供阅览使用，未按照本公告规定的方式获取采购文件的潜在投标人提起的质疑，采购人及采购代理机构将不予受理、答复。</w:t>
      </w:r>
    </w:p>
    <w:p>
      <w:pPr>
        <w:keepNext w:val="0"/>
        <w:keepLines w:val="0"/>
        <w:pageBreakBefore w:val="0"/>
        <w:widowControl/>
        <w:kinsoku/>
        <w:wordWrap/>
        <w:overflowPunct/>
        <w:topLinePunct w:val="0"/>
        <w:autoSpaceDE/>
        <w:autoSpaceDN/>
        <w:bidi w:val="0"/>
        <w:adjustRightInd/>
        <w:snapToGrid/>
        <w:ind w:left="0" w:right="0" w:firstLine="420" w:firstLineChars="200"/>
        <w:jc w:val="left"/>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3、质疑投标人对采购人、采购代理机构的答复不满意或者采购人、采购代理机构未在规定的时间内作出答复的，可以在答复期满后15个工作日内向采购人（集团）的内设监管职能部门投诉。</w:t>
      </w:r>
    </w:p>
    <w:p>
      <w:pPr>
        <w:keepNext w:val="0"/>
        <w:keepLines w:val="0"/>
        <w:pageBreakBefore w:val="0"/>
        <w:widowControl/>
        <w:kinsoku/>
        <w:wordWrap/>
        <w:overflowPunct/>
        <w:topLinePunct w:val="0"/>
        <w:autoSpaceDE/>
        <w:autoSpaceDN/>
        <w:bidi w:val="0"/>
        <w:adjustRightInd/>
        <w:snapToGrid/>
        <w:ind w:left="0" w:right="0" w:firstLine="420" w:firstLineChars="200"/>
        <w:jc w:val="left"/>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4、</w:t>
      </w:r>
      <w:r>
        <w:rPr>
          <w:rFonts w:hint="eastAsia" w:ascii="宋体" w:hAnsi="宋体" w:eastAsia="宋体" w:cs="宋体"/>
          <w:bCs/>
          <w:kern w:val="0"/>
          <w:szCs w:val="21"/>
          <w:highlight w:val="none"/>
          <w:lang w:eastAsia="zh-CN"/>
        </w:rPr>
        <w:t>温州市交通发展集团有限公司</w:t>
      </w:r>
      <w:r>
        <w:rPr>
          <w:rFonts w:hint="eastAsia" w:ascii="宋体" w:hAnsi="宋体" w:eastAsia="宋体" w:cs="宋体"/>
          <w:bCs/>
          <w:kern w:val="0"/>
          <w:szCs w:val="21"/>
          <w:highlight w:val="none"/>
        </w:rPr>
        <w:t>负责对投标人反映的企业本部及所属企业在采购活动中出现的违法违规问题进行答疑回复。投标人认为</w:t>
      </w:r>
      <w:r>
        <w:rPr>
          <w:rFonts w:hint="eastAsia" w:ascii="宋体" w:hAnsi="宋体" w:eastAsia="宋体" w:cs="宋体"/>
          <w:bCs/>
          <w:kern w:val="0"/>
          <w:szCs w:val="21"/>
          <w:highlight w:val="none"/>
          <w:lang w:eastAsia="zh-CN"/>
        </w:rPr>
        <w:t>温州市交通发展集团有限公司</w:t>
      </w:r>
      <w:r>
        <w:rPr>
          <w:rFonts w:hint="eastAsia" w:ascii="宋体" w:hAnsi="宋体" w:eastAsia="宋体" w:cs="宋体"/>
          <w:bCs/>
          <w:kern w:val="0"/>
          <w:szCs w:val="21"/>
          <w:highlight w:val="none"/>
        </w:rPr>
        <w:t>答疑回复处理结果不合法的，可以采购人或采购代理机构为对象依法向人民法院提起诉讼。</w:t>
      </w:r>
    </w:p>
    <w:p>
      <w:pPr>
        <w:keepNext w:val="0"/>
        <w:keepLines w:val="0"/>
        <w:pageBreakBefore w:val="0"/>
        <w:widowControl/>
        <w:kinsoku/>
        <w:wordWrap/>
        <w:overflowPunct/>
        <w:topLinePunct w:val="0"/>
        <w:autoSpaceDE/>
        <w:autoSpaceDN/>
        <w:bidi w:val="0"/>
        <w:adjustRightInd/>
        <w:snapToGrid/>
        <w:ind w:left="0" w:right="0" w:firstLine="420" w:firstLineChars="200"/>
        <w:jc w:val="left"/>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5、投标人如对采购文件有疑问应按采购文件规定的询疑截止时间前提出，逾期提出的，采购组织机构可以不予受理、答复。</w:t>
      </w:r>
    </w:p>
    <w:p>
      <w:pPr>
        <w:widowControl/>
        <w:spacing w:before="60" w:after="60"/>
        <w:ind w:left="60" w:right="6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十六、联系方式</w:t>
      </w:r>
    </w:p>
    <w:p>
      <w:pPr>
        <w:widowControl/>
        <w:spacing w:before="60" w:after="60"/>
        <w:ind w:left="62" w:right="62" w:firstLine="420" w:firstLineChars="200"/>
        <w:jc w:val="left"/>
        <w:rPr>
          <w:rFonts w:hint="eastAsia" w:ascii="宋体" w:hAnsi="宋体" w:eastAsia="宋体" w:cs="宋体"/>
          <w:highlight w:val="none"/>
          <w:lang w:eastAsia="zh-CN"/>
        </w:rPr>
      </w:pPr>
      <w:r>
        <w:rPr>
          <w:rFonts w:hint="eastAsia" w:ascii="宋体" w:hAnsi="宋体" w:eastAsia="宋体" w:cs="宋体"/>
          <w:highlight w:val="none"/>
        </w:rPr>
        <w:t>采购人名称：</w:t>
      </w:r>
      <w:r>
        <w:rPr>
          <w:rFonts w:hint="eastAsia" w:ascii="宋体" w:hAnsi="宋体" w:eastAsia="宋体" w:cs="宋体"/>
          <w:highlight w:val="none"/>
          <w:lang w:eastAsia="zh-CN"/>
        </w:rPr>
        <w:t>温州市高速公路资产经营有限公司</w:t>
      </w:r>
    </w:p>
    <w:p>
      <w:pPr>
        <w:widowControl/>
        <w:spacing w:before="60" w:after="60"/>
        <w:ind w:left="62" w:right="62" w:firstLine="420" w:firstLineChars="200"/>
        <w:jc w:val="left"/>
        <w:rPr>
          <w:rFonts w:hint="eastAsia" w:ascii="宋体" w:hAnsi="宋体" w:eastAsia="宋体" w:cs="宋体"/>
          <w:highlight w:val="none"/>
          <w:lang w:eastAsia="zh-CN"/>
        </w:rPr>
      </w:pPr>
      <w:r>
        <w:rPr>
          <w:rFonts w:hint="eastAsia" w:ascii="宋体" w:hAnsi="宋体" w:eastAsia="宋体" w:cs="宋体"/>
          <w:highlight w:val="none"/>
        </w:rPr>
        <w:t>地  址：</w:t>
      </w:r>
      <w:r>
        <w:rPr>
          <w:rFonts w:hint="eastAsia" w:ascii="宋体" w:hAnsi="宋体" w:eastAsia="宋体" w:cs="宋体"/>
          <w:highlight w:val="none"/>
          <w:lang w:eastAsia="zh-CN"/>
        </w:rPr>
        <w:t>温州市汤家桥国大广场东首5-6楼</w:t>
      </w:r>
    </w:p>
    <w:p>
      <w:pPr>
        <w:widowControl/>
        <w:spacing w:before="60" w:after="60"/>
        <w:ind w:left="62" w:right="62" w:firstLine="420" w:firstLineChars="200"/>
        <w:jc w:val="left"/>
        <w:rPr>
          <w:rFonts w:hint="eastAsia" w:ascii="宋体" w:hAnsi="宋体" w:eastAsia="宋体" w:cs="宋体"/>
          <w:highlight w:val="none"/>
          <w:lang w:eastAsia="zh-CN"/>
        </w:rPr>
      </w:pPr>
      <w:r>
        <w:rPr>
          <w:rFonts w:hint="eastAsia" w:ascii="宋体" w:hAnsi="宋体" w:eastAsia="宋体" w:cs="宋体"/>
          <w:highlight w:val="none"/>
        </w:rPr>
        <w:t>联系人：</w:t>
      </w:r>
      <w:r>
        <w:rPr>
          <w:rFonts w:hint="eastAsia" w:ascii="宋体" w:hAnsi="宋体" w:eastAsia="宋体" w:cs="宋体"/>
          <w:highlight w:val="none"/>
          <w:lang w:val="en-US" w:eastAsia="zh-CN"/>
        </w:rPr>
        <w:t>蔡先生</w:t>
      </w:r>
      <w:r>
        <w:rPr>
          <w:rFonts w:hint="eastAsia" w:ascii="宋体" w:hAnsi="宋体" w:eastAsia="宋体" w:cs="宋体"/>
          <w:highlight w:val="none"/>
        </w:rPr>
        <w:t>，联系电话：</w:t>
      </w:r>
      <w:r>
        <w:rPr>
          <w:rFonts w:hint="eastAsia" w:ascii="宋体" w:hAnsi="宋体" w:eastAsia="宋体" w:cs="宋体"/>
          <w:highlight w:val="none"/>
          <w:lang w:eastAsia="zh-CN"/>
        </w:rPr>
        <w:t>13376871622</w:t>
      </w:r>
    </w:p>
    <w:p>
      <w:pPr>
        <w:widowControl/>
        <w:spacing w:before="60" w:after="60"/>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采购代理机构：浙江国际招投标有限公司</w:t>
      </w:r>
    </w:p>
    <w:p>
      <w:pPr>
        <w:widowControl/>
        <w:spacing w:before="60" w:after="60"/>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联系人：冯先生</w:t>
      </w:r>
    </w:p>
    <w:p>
      <w:pPr>
        <w:widowControl/>
        <w:spacing w:before="60" w:after="60"/>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联系方式：13857723185 邮箱：1826066763@qq.com</w:t>
      </w:r>
    </w:p>
    <w:p>
      <w:pPr>
        <w:widowControl/>
        <w:spacing w:before="60" w:after="60"/>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质疑联系人：易先生，联系电话：15305718087</w:t>
      </w:r>
    </w:p>
    <w:p>
      <w:pPr>
        <w:widowControl/>
        <w:spacing w:before="60" w:after="60"/>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书面质疑受理地点：温州市黎明西路342号人保财险鹿城支公司办公大楼401室</w:t>
      </w:r>
    </w:p>
    <w:p>
      <w:pPr>
        <w:widowControl/>
        <w:spacing w:before="60" w:after="60"/>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采购监管部门：</w:t>
      </w:r>
      <w:r>
        <w:rPr>
          <w:rFonts w:hint="eastAsia" w:ascii="宋体" w:hAnsi="宋体" w:eastAsia="宋体" w:cs="宋体"/>
          <w:highlight w:val="none"/>
          <w:lang w:eastAsia="zh-CN"/>
        </w:rPr>
        <w:t>温州市交通发展集团有限公司</w:t>
      </w:r>
      <w:r>
        <w:rPr>
          <w:rFonts w:hint="eastAsia" w:ascii="宋体" w:hAnsi="宋体" w:eastAsia="宋体" w:cs="宋体"/>
          <w:highlight w:val="none"/>
        </w:rPr>
        <w:t>纪检监察室    </w:t>
      </w:r>
    </w:p>
    <w:p>
      <w:pPr>
        <w:widowControl/>
        <w:spacing w:before="60" w:after="60"/>
        <w:ind w:left="62" w:right="62" w:firstLine="420" w:firstLineChars="200"/>
        <w:jc w:val="left"/>
        <w:rPr>
          <w:rFonts w:hint="eastAsia" w:ascii="宋体" w:hAnsi="宋体" w:eastAsia="宋体" w:cs="宋体"/>
          <w:highlight w:val="none"/>
          <w:lang w:eastAsia="zh-CN"/>
        </w:rPr>
      </w:pPr>
      <w:r>
        <w:rPr>
          <w:rFonts w:hint="eastAsia" w:ascii="宋体" w:hAnsi="宋体" w:eastAsia="宋体" w:cs="宋体"/>
          <w:highlight w:val="none"/>
        </w:rPr>
        <w:t>联系人：</w:t>
      </w:r>
      <w:r>
        <w:rPr>
          <w:rFonts w:hint="eastAsia" w:ascii="宋体" w:hAnsi="宋体" w:eastAsia="宋体" w:cs="宋体"/>
          <w:highlight w:val="none"/>
          <w:lang w:val="en-US" w:eastAsia="zh-CN"/>
        </w:rPr>
        <w:t>胡先生</w:t>
      </w:r>
    </w:p>
    <w:p>
      <w:pPr>
        <w:widowControl/>
        <w:spacing w:before="60" w:after="60"/>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联系电话：0577-85559092</w:t>
      </w:r>
    </w:p>
    <w:p>
      <w:pPr>
        <w:widowControl/>
        <w:spacing w:before="60" w:after="60"/>
        <w:ind w:left="62" w:right="62" w:firstLine="420" w:firstLineChars="200"/>
        <w:jc w:val="right"/>
        <w:rPr>
          <w:rFonts w:hint="eastAsia" w:ascii="宋体" w:hAnsi="宋体" w:eastAsia="宋体" w:cs="宋体"/>
          <w:bCs/>
          <w:kern w:val="0"/>
          <w:szCs w:val="21"/>
          <w:highlight w:val="none"/>
        </w:rPr>
      </w:pPr>
      <w:r>
        <w:rPr>
          <w:rFonts w:hint="eastAsia" w:ascii="宋体" w:hAnsi="宋体" w:eastAsia="宋体" w:cs="宋体"/>
          <w:kern w:val="0"/>
          <w:szCs w:val="21"/>
          <w:highlight w:val="none"/>
          <w:lang w:eastAsia="zh-CN"/>
        </w:rPr>
        <w:t>温州市高速公路资产经营有限公司</w:t>
      </w:r>
      <w:r>
        <w:rPr>
          <w:rFonts w:hint="eastAsia" w:ascii="宋体" w:hAnsi="宋体" w:eastAsia="宋体" w:cs="宋体"/>
          <w:bCs/>
          <w:kern w:val="0"/>
          <w:szCs w:val="21"/>
          <w:highlight w:val="none"/>
        </w:rPr>
        <w:t xml:space="preserve"> </w:t>
      </w:r>
    </w:p>
    <w:p>
      <w:pPr>
        <w:widowControl/>
        <w:spacing w:before="60" w:after="60"/>
        <w:ind w:left="62" w:right="62" w:firstLine="420" w:firstLineChars="200"/>
        <w:jc w:val="right"/>
        <w:rPr>
          <w:rFonts w:hint="eastAsia" w:ascii="宋体" w:hAnsi="宋体" w:eastAsia="宋体" w:cs="宋体"/>
          <w:bCs/>
          <w:kern w:val="0"/>
          <w:szCs w:val="21"/>
          <w:highlight w:val="none"/>
          <w:lang w:eastAsia="zh-CN"/>
        </w:rPr>
      </w:pPr>
      <w:r>
        <w:rPr>
          <w:rFonts w:hint="eastAsia" w:ascii="宋体" w:hAnsi="宋体" w:eastAsia="宋体" w:cs="宋体"/>
          <w:bCs/>
          <w:kern w:val="0"/>
          <w:szCs w:val="21"/>
          <w:highlight w:val="none"/>
          <w:lang w:eastAsia="zh-CN"/>
        </w:rPr>
        <w:t>浙江国际招投标有限公司</w:t>
      </w:r>
    </w:p>
    <w:p>
      <w:pPr>
        <w:widowControl/>
        <w:spacing w:before="60" w:after="60"/>
        <w:ind w:left="62" w:right="62" w:firstLine="420" w:firstLineChars="200"/>
        <w:jc w:val="right"/>
        <w:rPr>
          <w:rFonts w:hint="eastAsia" w:ascii="宋体" w:hAnsi="宋体" w:eastAsia="宋体" w:cs="宋体"/>
          <w:color w:val="0000FF"/>
          <w:kern w:val="0"/>
          <w:szCs w:val="21"/>
          <w:highlight w:val="none"/>
        </w:rPr>
      </w:pPr>
      <w:r>
        <w:rPr>
          <w:rFonts w:hint="eastAsia" w:ascii="宋体" w:hAnsi="宋体" w:eastAsia="宋体" w:cs="宋体"/>
          <w:color w:val="0000FF"/>
          <w:kern w:val="0"/>
          <w:szCs w:val="21"/>
          <w:highlight w:val="none"/>
        </w:rPr>
        <w:t>202</w:t>
      </w:r>
      <w:r>
        <w:rPr>
          <w:rFonts w:hint="eastAsia" w:ascii="宋体" w:hAnsi="宋体" w:eastAsia="宋体" w:cs="宋体"/>
          <w:color w:val="0000FF"/>
          <w:kern w:val="0"/>
          <w:szCs w:val="21"/>
          <w:highlight w:val="none"/>
          <w:lang w:val="en-US" w:eastAsia="zh-CN"/>
        </w:rPr>
        <w:t>3</w:t>
      </w:r>
      <w:r>
        <w:rPr>
          <w:rFonts w:hint="eastAsia" w:ascii="宋体" w:hAnsi="宋体" w:eastAsia="宋体" w:cs="宋体"/>
          <w:color w:val="0000FF"/>
          <w:kern w:val="0"/>
          <w:szCs w:val="21"/>
          <w:highlight w:val="none"/>
        </w:rPr>
        <w:t>年</w:t>
      </w:r>
      <w:r>
        <w:rPr>
          <w:rFonts w:hint="eastAsia" w:ascii="宋体" w:hAnsi="宋体" w:eastAsia="宋体" w:cs="宋体"/>
          <w:color w:val="0000FF"/>
          <w:kern w:val="0"/>
          <w:szCs w:val="21"/>
          <w:highlight w:val="none"/>
          <w:lang w:val="en-US" w:eastAsia="zh-CN"/>
        </w:rPr>
        <w:t>3</w:t>
      </w:r>
      <w:r>
        <w:rPr>
          <w:rFonts w:hint="eastAsia" w:ascii="宋体" w:hAnsi="宋体" w:eastAsia="宋体" w:cs="宋体"/>
          <w:color w:val="0000FF"/>
          <w:kern w:val="0"/>
          <w:szCs w:val="21"/>
          <w:highlight w:val="none"/>
        </w:rPr>
        <w:t>月</w:t>
      </w:r>
      <w:r>
        <w:rPr>
          <w:rFonts w:hint="eastAsia" w:ascii="宋体" w:hAnsi="宋体" w:eastAsia="宋体" w:cs="宋体"/>
          <w:color w:val="0000FF"/>
          <w:kern w:val="0"/>
          <w:szCs w:val="21"/>
          <w:highlight w:val="none"/>
          <w:lang w:val="en-US" w:eastAsia="zh-CN"/>
        </w:rPr>
        <w:t>23</w:t>
      </w:r>
      <w:r>
        <w:rPr>
          <w:rFonts w:hint="eastAsia" w:ascii="宋体" w:hAnsi="宋体" w:eastAsia="宋体" w:cs="宋体"/>
          <w:color w:val="0000FF"/>
          <w:kern w:val="0"/>
          <w:szCs w:val="21"/>
          <w:highlight w:val="none"/>
        </w:rPr>
        <w:t>日</w:t>
      </w:r>
    </w:p>
    <w:p>
      <w:pPr>
        <w:jc w:val="center"/>
        <w:rPr>
          <w:rFonts w:hint="eastAsia" w:ascii="宋体" w:hAnsi="宋体" w:eastAsia="宋体" w:cs="宋体"/>
          <w:sz w:val="24"/>
          <w:highlight w:val="none"/>
        </w:rPr>
      </w:pPr>
      <w:bookmarkStart w:id="9" w:name="_Toc491780522"/>
    </w:p>
    <w:p>
      <w:pPr>
        <w:jc w:val="center"/>
        <w:rPr>
          <w:rFonts w:hint="eastAsia" w:ascii="宋体" w:hAnsi="宋体" w:eastAsia="宋体" w:cs="宋体"/>
          <w:sz w:val="24"/>
          <w:highlight w:val="none"/>
        </w:rPr>
      </w:pPr>
    </w:p>
    <w:p>
      <w:pPr>
        <w:jc w:val="center"/>
        <w:rPr>
          <w:rFonts w:hint="eastAsia" w:ascii="宋体" w:hAnsi="宋体" w:eastAsia="宋体" w:cs="宋体"/>
          <w:sz w:val="24"/>
          <w:highlight w:val="none"/>
        </w:rPr>
      </w:pPr>
      <w:r>
        <w:rPr>
          <w:rFonts w:hint="eastAsia" w:ascii="宋体" w:hAnsi="宋体" w:eastAsia="宋体" w:cs="宋体"/>
          <w:sz w:val="24"/>
          <w:highlight w:val="none"/>
          <w:lang w:eastAsia="zh-CN"/>
        </w:rPr>
        <w:t>温州市交发集团</w:t>
      </w:r>
      <w:r>
        <w:rPr>
          <w:rFonts w:hint="eastAsia" w:ascii="宋体" w:hAnsi="宋体" w:eastAsia="宋体" w:cs="宋体"/>
          <w:sz w:val="24"/>
          <w:highlight w:val="none"/>
          <w:lang w:val="en-US" w:eastAsia="zh-CN"/>
        </w:rPr>
        <w:t>所属</w:t>
      </w:r>
      <w:r>
        <w:rPr>
          <w:rFonts w:hint="eastAsia" w:ascii="宋体" w:hAnsi="宋体" w:eastAsia="宋体" w:cs="宋体"/>
          <w:sz w:val="24"/>
          <w:highlight w:val="none"/>
          <w:lang w:eastAsia="zh-CN"/>
        </w:rPr>
        <w:t>温州市高速公路资产经营有限公司关于陶山服务区物业服务</w:t>
      </w:r>
      <w:r>
        <w:rPr>
          <w:rFonts w:hint="eastAsia" w:ascii="宋体" w:hAnsi="宋体" w:eastAsia="宋体" w:cs="宋体"/>
          <w:sz w:val="24"/>
          <w:highlight w:val="none"/>
          <w:lang w:val="en-US" w:eastAsia="zh-CN"/>
        </w:rPr>
        <w:t>项目</w:t>
      </w:r>
      <w:r>
        <w:rPr>
          <w:rFonts w:hint="eastAsia" w:ascii="宋体" w:hAnsi="宋体" w:eastAsia="宋体" w:cs="宋体"/>
          <w:sz w:val="24"/>
          <w:highlight w:val="none"/>
        </w:rPr>
        <w:t>的征求意见公示</w:t>
      </w:r>
      <w:bookmarkEnd w:id="9"/>
    </w:p>
    <w:p>
      <w:pPr>
        <w:rPr>
          <w:rFonts w:hint="eastAsia" w:ascii="宋体" w:hAnsi="宋体" w:eastAsia="宋体" w:cs="宋体"/>
          <w:highlight w:val="none"/>
        </w:rPr>
      </w:pPr>
    </w:p>
    <w:p>
      <w:pPr>
        <w:widowControl/>
        <w:spacing w:before="60" w:after="60"/>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lang w:eastAsia="zh-CN"/>
        </w:rPr>
        <w:t>浙江国际招投标有限公司</w:t>
      </w:r>
      <w:r>
        <w:rPr>
          <w:rFonts w:hint="eastAsia" w:ascii="宋体" w:hAnsi="宋体" w:eastAsia="宋体" w:cs="宋体"/>
          <w:bCs/>
          <w:kern w:val="0"/>
          <w:szCs w:val="21"/>
          <w:highlight w:val="none"/>
        </w:rPr>
        <w:t>受</w:t>
      </w:r>
      <w:r>
        <w:rPr>
          <w:rFonts w:hint="eastAsia" w:ascii="宋体" w:hAnsi="宋体" w:eastAsia="宋体" w:cs="宋体"/>
          <w:bCs/>
          <w:kern w:val="0"/>
          <w:szCs w:val="21"/>
          <w:highlight w:val="none"/>
          <w:lang w:eastAsia="zh-CN"/>
        </w:rPr>
        <w:t>温州市高速公路资产经营有限公司</w:t>
      </w:r>
      <w:r>
        <w:rPr>
          <w:rFonts w:hint="eastAsia" w:ascii="宋体" w:hAnsi="宋体" w:eastAsia="宋体" w:cs="宋体"/>
          <w:bCs/>
          <w:kern w:val="0"/>
          <w:szCs w:val="21"/>
          <w:highlight w:val="none"/>
        </w:rPr>
        <w:t>的委托，就</w:t>
      </w:r>
      <w:r>
        <w:rPr>
          <w:rFonts w:hint="eastAsia" w:ascii="宋体" w:hAnsi="宋体" w:eastAsia="宋体" w:cs="宋体"/>
          <w:bCs/>
          <w:kern w:val="0"/>
          <w:szCs w:val="21"/>
          <w:highlight w:val="none"/>
          <w:lang w:eastAsia="zh-CN"/>
        </w:rPr>
        <w:t>陶山服务区物业服务</w:t>
      </w:r>
      <w:r>
        <w:rPr>
          <w:rFonts w:hint="eastAsia" w:ascii="宋体" w:hAnsi="宋体" w:eastAsia="宋体" w:cs="宋体"/>
          <w:bCs/>
          <w:kern w:val="0"/>
          <w:szCs w:val="21"/>
          <w:highlight w:val="none"/>
        </w:rPr>
        <w:t>以公开招标方式进行采购。现将本项目采购文件公布如下（详见附件），并公开征求投标供应商及专家意见。</w:t>
      </w:r>
    </w:p>
    <w:p>
      <w:pPr>
        <w:widowControl/>
        <w:spacing w:before="60" w:after="60"/>
        <w:ind w:right="62"/>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一、征求意见范围：</w:t>
      </w:r>
    </w:p>
    <w:p>
      <w:pPr>
        <w:widowControl/>
        <w:spacing w:before="60" w:after="60"/>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1、是否出现明显的倾向性意见和特定的性能指标；</w:t>
      </w:r>
    </w:p>
    <w:p>
      <w:pPr>
        <w:widowControl/>
        <w:spacing w:before="60" w:after="60"/>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2、投标供应商资格条件是否具有明显倾向性和歧视性；</w:t>
      </w:r>
    </w:p>
    <w:p>
      <w:pPr>
        <w:widowControl/>
        <w:spacing w:before="60" w:after="60"/>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3、影响温州市国有企业采购“公开、公平、公正”原则的其他情况。 </w:t>
      </w:r>
    </w:p>
    <w:p>
      <w:pPr>
        <w:widowControl/>
        <w:spacing w:before="60" w:after="60"/>
        <w:ind w:right="62"/>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二、征求意见的回复：</w:t>
      </w:r>
    </w:p>
    <w:p>
      <w:pPr>
        <w:widowControl/>
        <w:spacing w:before="60" w:after="60"/>
        <w:ind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各投标供应商及专家提出修改理由和建议的，请于</w:t>
      </w:r>
      <w:r>
        <w:rPr>
          <w:rFonts w:hint="eastAsia" w:ascii="宋体" w:hAnsi="宋体" w:eastAsia="宋体" w:cs="宋体"/>
          <w:bCs/>
          <w:color w:val="0000FF"/>
          <w:kern w:val="0"/>
          <w:szCs w:val="21"/>
          <w:highlight w:val="none"/>
        </w:rPr>
        <w:t>202</w:t>
      </w:r>
      <w:r>
        <w:rPr>
          <w:rFonts w:hint="eastAsia" w:ascii="宋体" w:hAnsi="宋体" w:eastAsia="宋体" w:cs="宋体"/>
          <w:bCs/>
          <w:color w:val="0000FF"/>
          <w:kern w:val="0"/>
          <w:szCs w:val="21"/>
          <w:highlight w:val="none"/>
          <w:lang w:val="en-US" w:eastAsia="zh-CN"/>
        </w:rPr>
        <w:t>3</w:t>
      </w:r>
      <w:r>
        <w:rPr>
          <w:rFonts w:hint="eastAsia" w:ascii="宋体" w:hAnsi="宋体" w:eastAsia="宋体" w:cs="宋体"/>
          <w:bCs/>
          <w:color w:val="0000FF"/>
          <w:kern w:val="0"/>
          <w:szCs w:val="21"/>
          <w:highlight w:val="none"/>
        </w:rPr>
        <w:t>年</w:t>
      </w:r>
      <w:r>
        <w:rPr>
          <w:rFonts w:hint="eastAsia" w:ascii="宋体" w:hAnsi="宋体" w:eastAsia="宋体" w:cs="宋体"/>
          <w:bCs/>
          <w:color w:val="0000FF"/>
          <w:kern w:val="0"/>
          <w:szCs w:val="21"/>
          <w:highlight w:val="none"/>
          <w:lang w:val="en-US" w:eastAsia="zh-CN"/>
        </w:rPr>
        <w:t>3</w:t>
      </w:r>
      <w:r>
        <w:rPr>
          <w:rFonts w:hint="eastAsia" w:ascii="宋体" w:hAnsi="宋体" w:eastAsia="宋体" w:cs="宋体"/>
          <w:bCs/>
          <w:color w:val="0000FF"/>
          <w:kern w:val="0"/>
          <w:szCs w:val="21"/>
          <w:highlight w:val="none"/>
        </w:rPr>
        <w:t>月</w:t>
      </w:r>
      <w:r>
        <w:rPr>
          <w:rFonts w:hint="eastAsia" w:ascii="宋体" w:hAnsi="宋体" w:eastAsia="宋体" w:cs="宋体"/>
          <w:bCs/>
          <w:color w:val="0000FF"/>
          <w:kern w:val="0"/>
          <w:szCs w:val="21"/>
          <w:highlight w:val="none"/>
          <w:lang w:val="en-US" w:eastAsia="zh-CN"/>
        </w:rPr>
        <w:t>29</w:t>
      </w:r>
      <w:r>
        <w:rPr>
          <w:rFonts w:hint="eastAsia" w:ascii="宋体" w:hAnsi="宋体" w:eastAsia="宋体" w:cs="宋体"/>
          <w:bCs/>
          <w:color w:val="0000FF"/>
          <w:kern w:val="0"/>
          <w:szCs w:val="21"/>
          <w:highlight w:val="none"/>
        </w:rPr>
        <w:t>日</w:t>
      </w:r>
      <w:r>
        <w:rPr>
          <w:rFonts w:hint="eastAsia" w:ascii="宋体" w:hAnsi="宋体" w:eastAsia="宋体" w:cs="宋体"/>
          <w:bCs/>
          <w:color w:val="0000FF"/>
          <w:kern w:val="0"/>
          <w:szCs w:val="21"/>
          <w:highlight w:val="none"/>
          <w:lang w:val="en-US" w:eastAsia="zh-CN"/>
        </w:rPr>
        <w:t>上</w:t>
      </w:r>
      <w:r>
        <w:rPr>
          <w:rFonts w:hint="eastAsia" w:ascii="宋体" w:hAnsi="宋体" w:eastAsia="宋体" w:cs="宋体"/>
          <w:bCs/>
          <w:color w:val="0000FF"/>
          <w:kern w:val="0"/>
          <w:szCs w:val="21"/>
          <w:highlight w:val="none"/>
        </w:rPr>
        <w:t>午1</w:t>
      </w:r>
      <w:r>
        <w:rPr>
          <w:rFonts w:hint="eastAsia" w:ascii="宋体" w:hAnsi="宋体" w:eastAsia="宋体" w:cs="宋体"/>
          <w:bCs/>
          <w:color w:val="0000FF"/>
          <w:kern w:val="0"/>
          <w:szCs w:val="21"/>
          <w:highlight w:val="none"/>
          <w:lang w:val="en-US" w:eastAsia="zh-CN"/>
        </w:rPr>
        <w:t>1</w:t>
      </w:r>
      <w:r>
        <w:rPr>
          <w:rFonts w:hint="eastAsia" w:ascii="宋体" w:hAnsi="宋体" w:eastAsia="宋体" w:cs="宋体"/>
          <w:bCs/>
          <w:color w:val="0000FF"/>
          <w:kern w:val="0"/>
          <w:szCs w:val="21"/>
          <w:highlight w:val="none"/>
        </w:rPr>
        <w:t>时00分</w:t>
      </w:r>
      <w:r>
        <w:rPr>
          <w:rFonts w:hint="eastAsia" w:ascii="宋体" w:hAnsi="宋体" w:eastAsia="宋体" w:cs="宋体"/>
          <w:bCs/>
          <w:kern w:val="0"/>
          <w:szCs w:val="21"/>
          <w:highlight w:val="none"/>
        </w:rPr>
        <w:t>前将书面材料签字（盖公章）并密封后送至</w:t>
      </w:r>
      <w:r>
        <w:rPr>
          <w:rFonts w:hint="eastAsia" w:ascii="宋体" w:hAnsi="宋体" w:eastAsia="宋体" w:cs="宋体"/>
          <w:bCs/>
          <w:kern w:val="0"/>
          <w:szCs w:val="21"/>
          <w:highlight w:val="none"/>
          <w:lang w:eastAsia="zh-CN"/>
        </w:rPr>
        <w:t>温州市黎明西路342号人保财险鹿城支公司办公大楼401室</w:t>
      </w:r>
      <w:r>
        <w:rPr>
          <w:rFonts w:hint="eastAsia" w:ascii="宋体" w:hAnsi="宋体" w:eastAsia="宋体" w:cs="宋体"/>
          <w:bCs/>
          <w:kern w:val="0"/>
          <w:szCs w:val="21"/>
          <w:highlight w:val="none"/>
        </w:rPr>
        <w:t>采购代理公司，或先将扫描件及电子版发送至邮箱</w:t>
      </w:r>
      <w:r>
        <w:rPr>
          <w:rFonts w:hint="eastAsia" w:ascii="宋体" w:hAnsi="宋体" w:eastAsia="宋体" w:cs="宋体"/>
          <w:bCs/>
          <w:kern w:val="0"/>
          <w:szCs w:val="21"/>
          <w:highlight w:val="none"/>
          <w:lang w:eastAsia="zh-CN"/>
        </w:rPr>
        <w:t>1826066763</w:t>
      </w:r>
      <w:r>
        <w:rPr>
          <w:rFonts w:hint="eastAsia" w:ascii="宋体" w:hAnsi="宋体" w:eastAsia="宋体" w:cs="宋体"/>
          <w:bCs/>
          <w:kern w:val="0"/>
          <w:szCs w:val="21"/>
          <w:highlight w:val="none"/>
        </w:rPr>
        <w:t>3@qq.com，并同时将该原件书面寄至</w:t>
      </w:r>
      <w:r>
        <w:rPr>
          <w:rFonts w:hint="eastAsia" w:ascii="宋体" w:hAnsi="宋体" w:eastAsia="宋体" w:cs="宋体"/>
          <w:bCs/>
          <w:kern w:val="0"/>
          <w:szCs w:val="21"/>
          <w:highlight w:val="none"/>
          <w:lang w:eastAsia="zh-CN"/>
        </w:rPr>
        <w:t>浙江国际招投标有限公司</w:t>
      </w:r>
      <w:r>
        <w:rPr>
          <w:rFonts w:hint="eastAsia" w:ascii="宋体" w:hAnsi="宋体" w:eastAsia="宋体" w:cs="宋体"/>
          <w:bCs/>
          <w:kern w:val="0"/>
          <w:szCs w:val="21"/>
          <w:highlight w:val="none"/>
        </w:rPr>
        <w:t>。</w:t>
      </w:r>
    </w:p>
    <w:p>
      <w:pPr>
        <w:widowControl/>
        <w:spacing w:before="60" w:after="60"/>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联系人：易先生，联系电话：</w:t>
      </w:r>
      <w:r>
        <w:rPr>
          <w:rFonts w:hint="eastAsia" w:ascii="宋体" w:hAnsi="宋体" w:eastAsia="宋体" w:cs="宋体"/>
          <w:highlight w:val="none"/>
        </w:rPr>
        <w:t>15305718087</w:t>
      </w:r>
      <w:r>
        <w:rPr>
          <w:rFonts w:hint="eastAsia" w:ascii="宋体" w:hAnsi="宋体" w:eastAsia="宋体" w:cs="宋体"/>
          <w:bCs/>
          <w:kern w:val="0"/>
          <w:szCs w:val="21"/>
          <w:highlight w:val="none"/>
        </w:rPr>
        <w:t>。</w:t>
      </w:r>
    </w:p>
    <w:p>
      <w:pPr>
        <w:widowControl/>
        <w:spacing w:before="60" w:after="60"/>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对逾期送达的意见、建议书恕不接受。</w:t>
      </w:r>
    </w:p>
    <w:p>
      <w:pPr>
        <w:widowControl/>
        <w:spacing w:before="60" w:after="60"/>
        <w:ind w:right="62"/>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三、附本项目采购文件</w:t>
      </w:r>
    </w:p>
    <w:p>
      <w:pPr>
        <w:widowControl/>
        <w:spacing w:before="60" w:after="60"/>
        <w:ind w:left="62" w:right="62" w:firstLine="420" w:firstLineChars="200"/>
        <w:jc w:val="right"/>
        <w:rPr>
          <w:rFonts w:hint="eastAsia" w:ascii="宋体" w:hAnsi="宋体" w:eastAsia="宋体" w:cs="宋体"/>
          <w:bCs/>
          <w:kern w:val="0"/>
          <w:szCs w:val="21"/>
          <w:highlight w:val="none"/>
          <w:lang w:eastAsia="zh-CN"/>
        </w:rPr>
      </w:pPr>
      <w:r>
        <w:rPr>
          <w:rFonts w:hint="eastAsia" w:ascii="宋体" w:hAnsi="宋体" w:eastAsia="宋体" w:cs="宋体"/>
          <w:bCs/>
          <w:kern w:val="0"/>
          <w:szCs w:val="21"/>
          <w:highlight w:val="none"/>
          <w:lang w:eastAsia="zh-CN"/>
        </w:rPr>
        <w:t>温州市高速公路资产经营有限公司</w:t>
      </w:r>
    </w:p>
    <w:p>
      <w:pPr>
        <w:widowControl/>
        <w:spacing w:before="60" w:after="60"/>
        <w:ind w:left="62" w:right="62" w:firstLine="420" w:firstLineChars="200"/>
        <w:jc w:val="right"/>
        <w:rPr>
          <w:rFonts w:hint="eastAsia" w:ascii="宋体" w:hAnsi="宋体" w:eastAsia="宋体" w:cs="宋体"/>
          <w:bCs/>
          <w:kern w:val="0"/>
          <w:szCs w:val="21"/>
          <w:highlight w:val="none"/>
          <w:lang w:eastAsia="zh-CN"/>
        </w:rPr>
      </w:pPr>
      <w:r>
        <w:rPr>
          <w:rFonts w:hint="eastAsia" w:ascii="宋体" w:hAnsi="宋体" w:eastAsia="宋体" w:cs="宋体"/>
          <w:bCs/>
          <w:kern w:val="0"/>
          <w:szCs w:val="21"/>
          <w:highlight w:val="none"/>
          <w:lang w:eastAsia="zh-CN"/>
        </w:rPr>
        <w:t>浙江国际招投标有限公司</w:t>
      </w:r>
    </w:p>
    <w:p>
      <w:pPr>
        <w:widowControl/>
        <w:spacing w:before="60" w:after="60"/>
        <w:ind w:left="62" w:right="62" w:firstLine="420" w:firstLineChars="200"/>
        <w:jc w:val="right"/>
        <w:rPr>
          <w:rFonts w:hint="eastAsia" w:ascii="宋体" w:hAnsi="宋体" w:eastAsia="宋体" w:cs="宋体"/>
          <w:bCs/>
          <w:kern w:val="0"/>
          <w:szCs w:val="21"/>
          <w:highlight w:val="none"/>
        </w:rPr>
      </w:pPr>
      <w:r>
        <w:rPr>
          <w:rFonts w:hint="eastAsia" w:ascii="宋体" w:hAnsi="宋体" w:eastAsia="宋体" w:cs="宋体"/>
          <w:bCs/>
          <w:color w:val="0000FF"/>
          <w:kern w:val="0"/>
          <w:szCs w:val="21"/>
          <w:highlight w:val="none"/>
        </w:rPr>
        <w:t>202</w:t>
      </w:r>
      <w:r>
        <w:rPr>
          <w:rFonts w:hint="eastAsia" w:ascii="宋体" w:hAnsi="宋体" w:eastAsia="宋体" w:cs="宋体"/>
          <w:bCs/>
          <w:color w:val="0000FF"/>
          <w:kern w:val="0"/>
          <w:szCs w:val="21"/>
          <w:highlight w:val="none"/>
          <w:lang w:val="en-US" w:eastAsia="zh-CN"/>
        </w:rPr>
        <w:t>3</w:t>
      </w:r>
      <w:r>
        <w:rPr>
          <w:rFonts w:hint="eastAsia" w:ascii="宋体" w:hAnsi="宋体" w:eastAsia="宋体" w:cs="宋体"/>
          <w:bCs/>
          <w:color w:val="0000FF"/>
          <w:kern w:val="0"/>
          <w:szCs w:val="21"/>
          <w:highlight w:val="none"/>
        </w:rPr>
        <w:t>年</w:t>
      </w:r>
      <w:r>
        <w:rPr>
          <w:rFonts w:hint="eastAsia" w:ascii="宋体" w:hAnsi="宋体" w:eastAsia="宋体" w:cs="宋体"/>
          <w:bCs/>
          <w:color w:val="0000FF"/>
          <w:kern w:val="0"/>
          <w:szCs w:val="21"/>
          <w:highlight w:val="none"/>
          <w:lang w:val="en-US" w:eastAsia="zh-CN"/>
        </w:rPr>
        <w:t>3</w:t>
      </w:r>
      <w:r>
        <w:rPr>
          <w:rFonts w:hint="eastAsia" w:ascii="宋体" w:hAnsi="宋体" w:eastAsia="宋体" w:cs="宋体"/>
          <w:bCs/>
          <w:color w:val="0000FF"/>
          <w:kern w:val="0"/>
          <w:szCs w:val="21"/>
          <w:highlight w:val="none"/>
        </w:rPr>
        <w:t>月</w:t>
      </w:r>
      <w:r>
        <w:rPr>
          <w:rFonts w:hint="eastAsia" w:ascii="宋体" w:hAnsi="宋体" w:eastAsia="宋体" w:cs="宋体"/>
          <w:bCs/>
          <w:color w:val="0000FF"/>
          <w:kern w:val="0"/>
          <w:szCs w:val="21"/>
          <w:highlight w:val="none"/>
          <w:lang w:val="en-US" w:eastAsia="zh-CN"/>
        </w:rPr>
        <w:t>23</w:t>
      </w:r>
      <w:r>
        <w:rPr>
          <w:rFonts w:hint="eastAsia" w:ascii="宋体" w:hAnsi="宋体" w:eastAsia="宋体" w:cs="宋体"/>
          <w:bCs/>
          <w:color w:val="0000FF"/>
          <w:kern w:val="0"/>
          <w:szCs w:val="21"/>
          <w:highlight w:val="none"/>
        </w:rPr>
        <w:t>日</w:t>
      </w:r>
      <w:bookmarkEnd w:id="2"/>
    </w:p>
    <w:bookmarkEnd w:id="227"/>
    <w:p>
      <w:pPr>
        <w:widowControl/>
        <w:spacing w:before="60" w:after="60"/>
        <w:ind w:left="62" w:right="62" w:firstLine="420" w:firstLineChars="200"/>
        <w:jc w:val="center"/>
        <w:rPr>
          <w:rFonts w:hint="eastAsia" w:ascii="宋体" w:hAnsi="宋体" w:eastAsia="宋体" w:cs="宋体"/>
          <w:sz w:val="36"/>
          <w:szCs w:val="36"/>
          <w:highlight w:val="none"/>
        </w:rPr>
      </w:pPr>
      <w:r>
        <w:rPr>
          <w:rFonts w:hint="eastAsia" w:ascii="宋体" w:hAnsi="宋体" w:eastAsia="宋体" w:cs="宋体"/>
          <w:bCs/>
          <w:kern w:val="0"/>
          <w:szCs w:val="21"/>
          <w:highlight w:val="none"/>
        </w:rPr>
        <w:br w:type="page"/>
      </w:r>
      <w:bookmarkStart w:id="10" w:name="_Toc219538612"/>
      <w:bookmarkStart w:id="11" w:name="_Toc227489886"/>
      <w:bookmarkStart w:id="12" w:name="_Toc491780523"/>
      <w:bookmarkStart w:id="13" w:name="_Toc218041725"/>
      <w:bookmarkStart w:id="14" w:name="_Toc223933220"/>
      <w:bookmarkStart w:id="15" w:name="_Toc216667819"/>
      <w:bookmarkStart w:id="16" w:name="_Toc223717603"/>
      <w:bookmarkStart w:id="17" w:name="_Toc215415529"/>
      <w:bookmarkStart w:id="18" w:name="_Toc217460684"/>
      <w:bookmarkStart w:id="19" w:name="_Toc227056845"/>
      <w:bookmarkStart w:id="20" w:name="_Toc227057032"/>
      <w:r>
        <w:rPr>
          <w:rFonts w:hint="eastAsia" w:ascii="宋体" w:hAnsi="宋体" w:eastAsia="宋体" w:cs="宋体"/>
          <w:sz w:val="36"/>
          <w:szCs w:val="36"/>
          <w:highlight w:val="none"/>
        </w:rPr>
        <w:t>第一部分 投标人须知</w:t>
      </w:r>
      <w:bookmarkEnd w:id="10"/>
      <w:bookmarkEnd w:id="11"/>
      <w:bookmarkEnd w:id="12"/>
      <w:bookmarkEnd w:id="13"/>
      <w:bookmarkEnd w:id="14"/>
      <w:bookmarkEnd w:id="15"/>
      <w:bookmarkEnd w:id="16"/>
      <w:bookmarkEnd w:id="17"/>
      <w:bookmarkEnd w:id="18"/>
      <w:bookmarkEnd w:id="19"/>
      <w:bookmarkEnd w:id="20"/>
      <w:r>
        <w:rPr>
          <w:rFonts w:hint="eastAsia" w:ascii="宋体" w:hAnsi="宋体" w:eastAsia="宋体" w:cs="宋体"/>
          <w:sz w:val="36"/>
          <w:szCs w:val="36"/>
          <w:highlight w:val="none"/>
        </w:rPr>
        <w:t>及投标人须知前附表</w:t>
      </w:r>
    </w:p>
    <w:p>
      <w:pPr>
        <w:spacing w:before="156" w:beforeLines="50" w:after="156" w:afterLines="50"/>
        <w:jc w:val="center"/>
        <w:rPr>
          <w:rFonts w:hint="eastAsia" w:ascii="宋体" w:hAnsi="宋体" w:eastAsia="宋体" w:cs="宋体"/>
          <w:b/>
          <w:sz w:val="28"/>
          <w:szCs w:val="28"/>
          <w:highlight w:val="none"/>
        </w:rPr>
      </w:pPr>
      <w:bookmarkStart w:id="21" w:name="_Toc401243876"/>
      <w:bookmarkStart w:id="22" w:name="_Toc433729304"/>
      <w:bookmarkStart w:id="23" w:name="_Toc219538613"/>
      <w:bookmarkStart w:id="24" w:name="_Toc216667820"/>
      <w:bookmarkStart w:id="25" w:name="_Toc215415530"/>
      <w:bookmarkStart w:id="26" w:name="_Toc223717604"/>
      <w:bookmarkStart w:id="27" w:name="_Toc223933221"/>
      <w:bookmarkStart w:id="28" w:name="_Toc217460685"/>
      <w:bookmarkStart w:id="29" w:name="_Toc227056846"/>
      <w:bookmarkStart w:id="30" w:name="_Toc227489887"/>
      <w:bookmarkStart w:id="31" w:name="_Toc218041726"/>
      <w:bookmarkStart w:id="32" w:name="_Toc227057033"/>
      <w:r>
        <w:rPr>
          <w:rFonts w:hint="eastAsia" w:ascii="宋体" w:hAnsi="宋体" w:eastAsia="宋体" w:cs="宋体"/>
          <w:b/>
          <w:sz w:val="28"/>
          <w:szCs w:val="28"/>
          <w:highlight w:val="none"/>
        </w:rPr>
        <w:t>投标人须知前附表</w:t>
      </w:r>
      <w:bookmarkEnd w:id="21"/>
      <w:bookmarkEnd w:id="22"/>
    </w:p>
    <w:tbl>
      <w:tblPr>
        <w:tblStyle w:val="24"/>
        <w:tblW w:w="0" w:type="auto"/>
        <w:jc w:val="center"/>
        <w:tblLayout w:type="fixed"/>
        <w:tblCellMar>
          <w:top w:w="0" w:type="dxa"/>
          <w:left w:w="108" w:type="dxa"/>
          <w:bottom w:w="0" w:type="dxa"/>
          <w:right w:w="108" w:type="dxa"/>
        </w:tblCellMar>
      </w:tblPr>
      <w:tblGrid>
        <w:gridCol w:w="836"/>
        <w:gridCol w:w="1624"/>
        <w:gridCol w:w="6528"/>
      </w:tblGrid>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序号</w:t>
            </w: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条款名称</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编列内容</w:t>
            </w:r>
          </w:p>
        </w:tc>
      </w:tr>
      <w:tr>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项目名称</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eastAsia="zh-CN"/>
              </w:rPr>
              <w:t>陶山服务区物业服务</w:t>
            </w:r>
          </w:p>
        </w:tc>
      </w:tr>
      <w:tr>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采购编号</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eastAsia="zh-CN"/>
              </w:rPr>
              <w:t>WGSS-JFJT-X-2023005</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采购人</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采购人名称：</w:t>
            </w:r>
            <w:r>
              <w:rPr>
                <w:rFonts w:hint="eastAsia" w:ascii="宋体" w:hAnsi="宋体" w:eastAsia="宋体" w:cs="宋体"/>
                <w:kern w:val="0"/>
                <w:sz w:val="18"/>
                <w:szCs w:val="18"/>
                <w:highlight w:val="none"/>
                <w:lang w:eastAsia="zh-CN"/>
              </w:rPr>
              <w:t>温州市高速公路资产经营有限公司</w:t>
            </w:r>
          </w:p>
          <w:p>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地  址：</w:t>
            </w:r>
            <w:r>
              <w:rPr>
                <w:rFonts w:hint="eastAsia" w:ascii="宋体" w:hAnsi="宋体" w:eastAsia="宋体" w:cs="宋体"/>
                <w:kern w:val="0"/>
                <w:sz w:val="18"/>
                <w:szCs w:val="18"/>
                <w:highlight w:val="none"/>
                <w:lang w:eastAsia="zh-CN"/>
              </w:rPr>
              <w:t>温州市汤家桥国大广场东首5-6楼</w:t>
            </w:r>
          </w:p>
          <w:p>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联系人：</w:t>
            </w:r>
            <w:r>
              <w:rPr>
                <w:rFonts w:hint="eastAsia" w:ascii="宋体" w:hAnsi="宋体" w:eastAsia="宋体" w:cs="宋体"/>
                <w:kern w:val="0"/>
                <w:sz w:val="18"/>
                <w:szCs w:val="18"/>
                <w:highlight w:val="none"/>
                <w:lang w:val="en-US" w:eastAsia="zh-CN"/>
              </w:rPr>
              <w:t>蔡先生</w:t>
            </w:r>
            <w:r>
              <w:rPr>
                <w:rFonts w:hint="eastAsia" w:ascii="宋体" w:hAnsi="宋体" w:eastAsia="宋体" w:cs="宋体"/>
                <w:kern w:val="0"/>
                <w:sz w:val="18"/>
                <w:szCs w:val="18"/>
                <w:highlight w:val="none"/>
              </w:rPr>
              <w:t>，联系电话：</w:t>
            </w:r>
            <w:r>
              <w:rPr>
                <w:rFonts w:hint="eastAsia" w:ascii="宋体" w:hAnsi="宋体" w:eastAsia="宋体" w:cs="宋体"/>
                <w:kern w:val="0"/>
                <w:sz w:val="18"/>
                <w:szCs w:val="18"/>
                <w:highlight w:val="none"/>
                <w:lang w:eastAsia="zh-CN"/>
              </w:rPr>
              <w:t>13376871622</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采购代理机构</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代理机构名称：</w:t>
            </w:r>
            <w:r>
              <w:rPr>
                <w:rFonts w:hint="eastAsia" w:ascii="宋体" w:hAnsi="宋体" w:eastAsia="宋体" w:cs="宋体"/>
                <w:kern w:val="0"/>
                <w:sz w:val="18"/>
                <w:szCs w:val="18"/>
                <w:highlight w:val="none"/>
                <w:lang w:eastAsia="zh-CN"/>
              </w:rPr>
              <w:t>浙江国际招投标有限公司</w:t>
            </w:r>
          </w:p>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代理机构地址：温州市黎明西路342号人保财险鹿城支公司办公大楼401室</w:t>
            </w:r>
          </w:p>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联系人：冯先生</w:t>
            </w:r>
          </w:p>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联系方式：13857723185 邮箱：1826066763@qq.com</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采购内容</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sz w:val="18"/>
                <w:szCs w:val="18"/>
                <w:highlight w:val="none"/>
              </w:rPr>
              <w:t>温州市高速公路资产经营有限公司所需</w:t>
            </w:r>
            <w:r>
              <w:rPr>
                <w:rFonts w:hint="eastAsia" w:ascii="宋体" w:hAnsi="宋体" w:eastAsia="宋体" w:cs="宋体"/>
                <w:sz w:val="18"/>
                <w:szCs w:val="18"/>
                <w:highlight w:val="none"/>
                <w:lang w:val="en-US" w:eastAsia="zh-CN"/>
              </w:rPr>
              <w:t>的</w:t>
            </w:r>
            <w:r>
              <w:rPr>
                <w:rFonts w:hint="eastAsia" w:ascii="宋体" w:hAnsi="宋体" w:eastAsia="宋体" w:cs="宋体"/>
                <w:sz w:val="18"/>
                <w:szCs w:val="18"/>
                <w:highlight w:val="none"/>
                <w:lang w:eastAsia="zh-CN"/>
              </w:rPr>
              <w:t>陶山服务区物业服务</w:t>
            </w:r>
            <w:r>
              <w:rPr>
                <w:rFonts w:hint="eastAsia" w:ascii="宋体" w:hAnsi="宋体" w:eastAsia="宋体" w:cs="宋体"/>
                <w:sz w:val="18"/>
                <w:szCs w:val="18"/>
                <w:highlight w:val="none"/>
              </w:rPr>
              <w:t>，具体服务内容包括秩序维护、安保管理、卫生管理、设备维护，</w:t>
            </w:r>
            <w:r>
              <w:rPr>
                <w:rFonts w:hint="eastAsia" w:ascii="宋体" w:hAnsi="宋体" w:eastAsia="宋体" w:cs="宋体"/>
                <w:sz w:val="18"/>
                <w:szCs w:val="18"/>
                <w:highlight w:val="none"/>
                <w:lang w:val="en-US" w:eastAsia="zh-CN"/>
              </w:rPr>
              <w:t>采购</w:t>
            </w:r>
            <w:r>
              <w:rPr>
                <w:rFonts w:hint="eastAsia" w:ascii="宋体" w:hAnsi="宋体" w:eastAsia="宋体" w:cs="宋体"/>
                <w:sz w:val="18"/>
                <w:szCs w:val="18"/>
                <w:highlight w:val="none"/>
              </w:rPr>
              <w:t>内容及详细技术要求见采购文件相关部分</w:t>
            </w:r>
            <w:r>
              <w:rPr>
                <w:rFonts w:hint="eastAsia" w:ascii="宋体" w:hAnsi="宋体" w:eastAsia="宋体" w:cs="宋体"/>
                <w:kern w:val="0"/>
                <w:sz w:val="18"/>
                <w:szCs w:val="18"/>
                <w:highlight w:val="none"/>
              </w:rPr>
              <w:t>。</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采购预算</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b/>
                <w:kern w:val="0"/>
                <w:sz w:val="18"/>
                <w:szCs w:val="18"/>
                <w:highlight w:val="none"/>
              </w:rPr>
            </w:pPr>
            <w:r>
              <w:rPr>
                <w:rFonts w:hint="eastAsia" w:ascii="宋体" w:hAnsi="宋体" w:eastAsia="宋体" w:cs="宋体"/>
                <w:b/>
                <w:kern w:val="0"/>
                <w:sz w:val="18"/>
                <w:szCs w:val="18"/>
                <w:highlight w:val="none"/>
                <w:u w:val="single"/>
              </w:rPr>
              <w:t>▲本项目采购预算为人民币</w:t>
            </w:r>
            <w:r>
              <w:rPr>
                <w:rFonts w:hint="eastAsia" w:ascii="宋体" w:hAnsi="宋体" w:eastAsia="宋体" w:cs="宋体"/>
                <w:b/>
                <w:kern w:val="0"/>
                <w:sz w:val="18"/>
                <w:szCs w:val="18"/>
                <w:highlight w:val="none"/>
                <w:u w:val="single"/>
                <w:lang w:val="en-US" w:eastAsia="zh-CN"/>
              </w:rPr>
              <w:t>362.5</w:t>
            </w:r>
            <w:r>
              <w:rPr>
                <w:rFonts w:hint="eastAsia" w:ascii="宋体" w:hAnsi="宋体" w:eastAsia="宋体" w:cs="宋体"/>
                <w:b/>
                <w:kern w:val="0"/>
                <w:sz w:val="18"/>
                <w:szCs w:val="18"/>
                <w:highlight w:val="none"/>
                <w:u w:val="single"/>
              </w:rPr>
              <w:t>万元，投标供应商的投标报价超出</w:t>
            </w:r>
            <w:r>
              <w:rPr>
                <w:rFonts w:hint="eastAsia" w:ascii="宋体" w:hAnsi="宋体" w:eastAsia="宋体" w:cs="宋体"/>
                <w:b/>
                <w:kern w:val="0"/>
                <w:sz w:val="18"/>
                <w:szCs w:val="18"/>
                <w:highlight w:val="none"/>
                <w:u w:val="single"/>
                <w:lang w:val="en-US" w:eastAsia="zh-CN"/>
              </w:rPr>
              <w:t>采购预算</w:t>
            </w:r>
            <w:r>
              <w:rPr>
                <w:rFonts w:hint="eastAsia" w:ascii="宋体" w:hAnsi="宋体" w:eastAsia="宋体" w:cs="宋体"/>
                <w:b/>
                <w:kern w:val="0"/>
                <w:sz w:val="18"/>
                <w:szCs w:val="18"/>
                <w:highlight w:val="none"/>
                <w:u w:val="single"/>
              </w:rPr>
              <w:t>（大于</w:t>
            </w:r>
            <w:r>
              <w:rPr>
                <w:rFonts w:hint="eastAsia" w:ascii="宋体" w:hAnsi="宋体" w:eastAsia="宋体" w:cs="宋体"/>
                <w:b/>
                <w:kern w:val="0"/>
                <w:sz w:val="18"/>
                <w:szCs w:val="18"/>
                <w:highlight w:val="none"/>
                <w:u w:val="single"/>
                <w:lang w:val="en-US" w:eastAsia="zh-CN"/>
              </w:rPr>
              <w:t>362.5</w:t>
            </w:r>
            <w:r>
              <w:rPr>
                <w:rFonts w:hint="eastAsia" w:ascii="宋体" w:hAnsi="宋体" w:eastAsia="宋体" w:cs="宋体"/>
                <w:b/>
                <w:kern w:val="0"/>
                <w:sz w:val="18"/>
                <w:szCs w:val="18"/>
                <w:highlight w:val="none"/>
                <w:u w:val="single"/>
              </w:rPr>
              <w:t>万元）的作无效标处理</w:t>
            </w:r>
            <w:r>
              <w:rPr>
                <w:rFonts w:hint="eastAsia" w:ascii="宋体" w:hAnsi="宋体" w:eastAsia="宋体" w:cs="宋体"/>
                <w:b/>
                <w:kern w:val="0"/>
                <w:sz w:val="18"/>
                <w:szCs w:val="18"/>
                <w:highlight w:val="none"/>
              </w:rPr>
              <w:t>。</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CN"/>
              </w:rPr>
              <w:t>服务</w:t>
            </w:r>
            <w:r>
              <w:rPr>
                <w:rFonts w:hint="eastAsia" w:ascii="宋体" w:hAnsi="宋体" w:eastAsia="宋体" w:cs="宋体"/>
                <w:kern w:val="0"/>
                <w:sz w:val="18"/>
                <w:szCs w:val="18"/>
                <w:highlight w:val="none"/>
              </w:rPr>
              <w:t>期限</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合同签订之日起1年，采用“1+1</w:t>
            </w:r>
            <w:r>
              <w:rPr>
                <w:rFonts w:hint="eastAsia" w:ascii="宋体" w:hAnsi="宋体" w:eastAsia="宋体" w:cs="宋体"/>
                <w:kern w:val="0"/>
                <w:sz w:val="18"/>
                <w:szCs w:val="18"/>
                <w:highlight w:val="none"/>
                <w:lang w:val="en-US" w:eastAsia="zh-CN"/>
              </w:rPr>
              <w:t>年</w:t>
            </w:r>
            <w:r>
              <w:rPr>
                <w:rFonts w:hint="eastAsia" w:ascii="宋体" w:hAnsi="宋体" w:eastAsia="宋体" w:cs="宋体"/>
                <w:kern w:val="0"/>
                <w:sz w:val="18"/>
                <w:szCs w:val="18"/>
                <w:highlight w:val="none"/>
              </w:rPr>
              <w:t>”模式，合同期满后，经经营公司各项考核合格后，合同可以顺延1年。</w:t>
            </w:r>
          </w:p>
        </w:tc>
      </w:tr>
      <w:tr>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投标供应商资格要求</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b/>
                <w:bCs/>
                <w:kern w:val="0"/>
                <w:sz w:val="18"/>
                <w:szCs w:val="18"/>
                <w:highlight w:val="none"/>
              </w:rPr>
              <w:t>见采购公告中的要求</w:t>
            </w:r>
            <w:r>
              <w:rPr>
                <w:rFonts w:hint="eastAsia" w:ascii="宋体" w:hAnsi="宋体" w:eastAsia="宋体" w:cs="宋体"/>
                <w:b/>
                <w:bCs/>
                <w:kern w:val="0"/>
                <w:sz w:val="18"/>
                <w:szCs w:val="18"/>
                <w:highlight w:val="none"/>
                <w:lang w:eastAsia="zh-CN"/>
              </w:rPr>
              <w:t>。</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是否接受联合体投标</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不接受</w:t>
            </w:r>
          </w:p>
        </w:tc>
      </w:tr>
      <w:tr>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踏勘现场</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不组织</w:t>
            </w:r>
            <w:r>
              <w:rPr>
                <w:rFonts w:hint="eastAsia" w:ascii="宋体" w:hAnsi="宋体" w:eastAsia="宋体" w:cs="宋体"/>
                <w:kern w:val="0"/>
                <w:sz w:val="18"/>
                <w:szCs w:val="18"/>
                <w:highlight w:val="none"/>
                <w:lang w:eastAsia="zh-CN"/>
              </w:rPr>
              <w:t>，投标供应商若需踏勘现场，请联系</w:t>
            </w:r>
            <w:r>
              <w:rPr>
                <w:rFonts w:hint="eastAsia" w:ascii="宋体" w:hAnsi="宋体" w:eastAsia="宋体" w:cs="宋体"/>
                <w:kern w:val="0"/>
                <w:sz w:val="18"/>
                <w:szCs w:val="18"/>
                <w:highlight w:val="none"/>
                <w:lang w:val="en-US" w:eastAsia="zh-CN"/>
              </w:rPr>
              <w:t>采购</w:t>
            </w:r>
            <w:r>
              <w:rPr>
                <w:rFonts w:hint="eastAsia" w:ascii="宋体" w:hAnsi="宋体" w:eastAsia="宋体" w:cs="宋体"/>
                <w:kern w:val="0"/>
                <w:sz w:val="18"/>
                <w:szCs w:val="18"/>
                <w:highlight w:val="none"/>
                <w:lang w:eastAsia="zh-CN"/>
              </w:rPr>
              <w:t>人</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投标预备会</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不召开</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投标供应商对采购文件提出疑问</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CN"/>
              </w:rPr>
              <w:t>询疑</w:t>
            </w:r>
            <w:r>
              <w:rPr>
                <w:rFonts w:hint="eastAsia" w:ascii="宋体" w:hAnsi="宋体" w:eastAsia="宋体" w:cs="宋体"/>
                <w:kern w:val="0"/>
                <w:sz w:val="18"/>
                <w:szCs w:val="18"/>
                <w:highlight w:val="none"/>
              </w:rPr>
              <w:t>截止时间：</w:t>
            </w:r>
            <w:r>
              <w:rPr>
                <w:rFonts w:hint="eastAsia" w:ascii="宋体" w:hAnsi="宋体" w:eastAsia="宋体" w:cs="宋体"/>
                <w:color w:val="0000FF"/>
                <w:kern w:val="0"/>
                <w:sz w:val="18"/>
                <w:szCs w:val="18"/>
                <w:highlight w:val="none"/>
              </w:rPr>
              <w:t>202</w:t>
            </w:r>
            <w:r>
              <w:rPr>
                <w:rFonts w:hint="eastAsia" w:ascii="宋体" w:hAnsi="宋体" w:eastAsia="宋体" w:cs="宋体"/>
                <w:color w:val="0000FF"/>
                <w:kern w:val="0"/>
                <w:sz w:val="18"/>
                <w:szCs w:val="18"/>
                <w:highlight w:val="none"/>
                <w:lang w:val="en-US" w:eastAsia="zh-CN"/>
              </w:rPr>
              <w:t>3</w:t>
            </w:r>
            <w:r>
              <w:rPr>
                <w:rFonts w:hint="eastAsia" w:ascii="宋体" w:hAnsi="宋体" w:eastAsia="宋体" w:cs="宋体"/>
                <w:color w:val="0000FF"/>
                <w:kern w:val="0"/>
                <w:sz w:val="18"/>
                <w:szCs w:val="18"/>
                <w:highlight w:val="none"/>
              </w:rPr>
              <w:t>年</w:t>
            </w:r>
            <w:r>
              <w:rPr>
                <w:rFonts w:hint="eastAsia" w:ascii="宋体" w:hAnsi="宋体" w:eastAsia="宋体" w:cs="宋体"/>
                <w:color w:val="0000FF"/>
                <w:kern w:val="0"/>
                <w:sz w:val="18"/>
                <w:szCs w:val="18"/>
                <w:highlight w:val="none"/>
                <w:lang w:val="en-US" w:eastAsia="zh-CN"/>
              </w:rPr>
              <w:t>3</w:t>
            </w:r>
            <w:r>
              <w:rPr>
                <w:rFonts w:hint="eastAsia" w:ascii="宋体" w:hAnsi="宋体" w:eastAsia="宋体" w:cs="宋体"/>
                <w:color w:val="0000FF"/>
                <w:kern w:val="0"/>
                <w:sz w:val="18"/>
                <w:szCs w:val="18"/>
                <w:highlight w:val="none"/>
              </w:rPr>
              <w:t>月</w:t>
            </w:r>
            <w:r>
              <w:rPr>
                <w:rFonts w:hint="eastAsia" w:ascii="宋体" w:hAnsi="宋体" w:eastAsia="宋体" w:cs="宋体"/>
                <w:color w:val="0000FF"/>
                <w:kern w:val="0"/>
                <w:sz w:val="18"/>
                <w:szCs w:val="18"/>
                <w:highlight w:val="none"/>
                <w:lang w:val="en-US" w:eastAsia="zh-CN"/>
              </w:rPr>
              <w:t>29</w:t>
            </w:r>
            <w:r>
              <w:rPr>
                <w:rFonts w:hint="eastAsia" w:ascii="宋体" w:hAnsi="宋体" w:eastAsia="宋体" w:cs="宋体"/>
                <w:color w:val="0000FF"/>
                <w:kern w:val="0"/>
                <w:sz w:val="18"/>
                <w:szCs w:val="18"/>
                <w:highlight w:val="none"/>
              </w:rPr>
              <w:t>日</w:t>
            </w:r>
            <w:r>
              <w:rPr>
                <w:rFonts w:hint="eastAsia" w:ascii="宋体" w:hAnsi="宋体" w:eastAsia="宋体" w:cs="宋体"/>
                <w:color w:val="0000FF"/>
                <w:kern w:val="0"/>
                <w:sz w:val="18"/>
                <w:szCs w:val="18"/>
                <w:highlight w:val="none"/>
                <w:lang w:val="en-US" w:eastAsia="zh-CN"/>
              </w:rPr>
              <w:t>上</w:t>
            </w:r>
            <w:r>
              <w:rPr>
                <w:rFonts w:hint="eastAsia" w:ascii="宋体" w:hAnsi="宋体" w:eastAsia="宋体" w:cs="宋体"/>
                <w:color w:val="0000FF"/>
                <w:kern w:val="0"/>
                <w:sz w:val="18"/>
                <w:szCs w:val="18"/>
                <w:highlight w:val="none"/>
              </w:rPr>
              <w:t>午1</w:t>
            </w:r>
            <w:r>
              <w:rPr>
                <w:rFonts w:hint="eastAsia" w:ascii="宋体" w:hAnsi="宋体" w:eastAsia="宋体" w:cs="宋体"/>
                <w:color w:val="0000FF"/>
                <w:kern w:val="0"/>
                <w:sz w:val="18"/>
                <w:szCs w:val="18"/>
                <w:highlight w:val="none"/>
                <w:lang w:val="en-US" w:eastAsia="zh-CN"/>
              </w:rPr>
              <w:t>1</w:t>
            </w:r>
            <w:r>
              <w:rPr>
                <w:rFonts w:hint="eastAsia" w:ascii="宋体" w:hAnsi="宋体" w:eastAsia="宋体" w:cs="宋体"/>
                <w:color w:val="0000FF"/>
                <w:kern w:val="0"/>
                <w:sz w:val="18"/>
                <w:szCs w:val="18"/>
                <w:highlight w:val="none"/>
              </w:rPr>
              <w:t>时00分前</w:t>
            </w:r>
            <w:r>
              <w:rPr>
                <w:rFonts w:hint="eastAsia" w:ascii="宋体" w:hAnsi="宋体" w:eastAsia="宋体" w:cs="宋体"/>
                <w:kern w:val="0"/>
                <w:sz w:val="18"/>
                <w:szCs w:val="18"/>
                <w:highlight w:val="none"/>
              </w:rPr>
              <w:t>（以公告为准）</w:t>
            </w:r>
          </w:p>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澄清文件提交：</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"mailto:质疑文件加盖公章后以照片或扫描件发送至邮箱517411407@qq.com" </w:instrText>
            </w:r>
            <w:r>
              <w:rPr>
                <w:rFonts w:hint="eastAsia" w:ascii="宋体" w:hAnsi="宋体" w:eastAsia="宋体" w:cs="宋体"/>
                <w:highlight w:val="none"/>
              </w:rPr>
              <w:fldChar w:fldCharType="separate"/>
            </w:r>
            <w:r>
              <w:rPr>
                <w:rStyle w:val="30"/>
                <w:rFonts w:hint="eastAsia" w:ascii="宋体" w:hAnsi="宋体" w:eastAsia="宋体" w:cs="宋体"/>
                <w:color w:val="auto"/>
                <w:kern w:val="0"/>
                <w:sz w:val="18"/>
                <w:szCs w:val="18"/>
                <w:highlight w:val="none"/>
              </w:rPr>
              <w:t>澄清文件加盖公章后以扫描件发送至邮箱</w:t>
            </w:r>
            <w:r>
              <w:rPr>
                <w:rStyle w:val="30"/>
                <w:rFonts w:hint="eastAsia" w:ascii="宋体" w:hAnsi="宋体" w:eastAsia="宋体" w:cs="宋体"/>
                <w:color w:val="auto"/>
                <w:kern w:val="0"/>
                <w:sz w:val="18"/>
                <w:szCs w:val="18"/>
                <w:highlight w:val="none"/>
                <w:lang w:eastAsia="zh-CN"/>
              </w:rPr>
              <w:t>1826066763</w:t>
            </w:r>
            <w:r>
              <w:rPr>
                <w:rStyle w:val="30"/>
                <w:rFonts w:hint="eastAsia" w:ascii="宋体" w:hAnsi="宋体" w:eastAsia="宋体" w:cs="宋体"/>
                <w:color w:val="auto"/>
                <w:kern w:val="0"/>
                <w:sz w:val="18"/>
                <w:szCs w:val="18"/>
                <w:highlight w:val="none"/>
              </w:rPr>
              <w:t>@qq.com</w:t>
            </w:r>
            <w:r>
              <w:rPr>
                <w:rStyle w:val="30"/>
                <w:rFonts w:hint="eastAsia" w:ascii="宋体" w:hAnsi="宋体" w:eastAsia="宋体" w:cs="宋体"/>
                <w:color w:val="auto"/>
                <w:kern w:val="0"/>
                <w:sz w:val="18"/>
                <w:szCs w:val="18"/>
                <w:highlight w:val="none"/>
              </w:rPr>
              <w:fldChar w:fldCharType="end"/>
            </w:r>
            <w:r>
              <w:rPr>
                <w:rFonts w:hint="eastAsia" w:ascii="宋体" w:hAnsi="宋体" w:eastAsia="宋体" w:cs="宋体"/>
                <w:kern w:val="0"/>
                <w:sz w:val="18"/>
                <w:szCs w:val="18"/>
                <w:highlight w:val="none"/>
              </w:rPr>
              <w:t>，并将原件同时寄出。</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是否允许递交备选投标方案</w:t>
            </w:r>
          </w:p>
        </w:tc>
        <w:tc>
          <w:tcPr>
            <w:tcW w:w="6528"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exact"/>
              <w:textAlignment w:val="baseline"/>
              <w:rPr>
                <w:rFonts w:hint="eastAsia" w:ascii="宋体" w:hAnsi="宋体" w:eastAsia="宋体" w:cs="宋体"/>
                <w:sz w:val="18"/>
                <w:szCs w:val="18"/>
                <w:highlight w:val="none"/>
              </w:rPr>
            </w:pPr>
            <w:r>
              <w:rPr>
                <w:rFonts w:hint="eastAsia" w:ascii="宋体" w:hAnsi="宋体" w:eastAsia="宋体" w:cs="宋体"/>
                <w:kern w:val="0"/>
                <w:sz w:val="18"/>
                <w:szCs w:val="18"/>
                <w:highlight w:val="none"/>
              </w:rPr>
              <w:t>不允许</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是否退还投标文件</w:t>
            </w:r>
          </w:p>
        </w:tc>
        <w:tc>
          <w:tcPr>
            <w:tcW w:w="6528"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exact"/>
              <w:jc w:val="left"/>
              <w:textAlignment w:val="baseline"/>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否，证照、证件和证明文件的原件除外</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偏离</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偏差允许幅度及其处理方法：允许细微偏差，不允许重大偏差。由评标委员会判断，细微偏差要求投标供应商在评标结束前予以澄清、说明或补正，不接受要求进行的，评标委员会有权做无效标处理，详见第一部分投标供应商须知条款“23.</w:t>
            </w:r>
            <w:r>
              <w:rPr>
                <w:rFonts w:hint="eastAsia" w:ascii="宋体" w:hAnsi="宋体" w:eastAsia="宋体" w:cs="宋体"/>
                <w:sz w:val="18"/>
                <w:szCs w:val="18"/>
                <w:highlight w:val="none"/>
              </w:rPr>
              <w:t>投标文件的澄清</w:t>
            </w:r>
            <w:r>
              <w:rPr>
                <w:rFonts w:hint="eastAsia" w:ascii="宋体" w:hAnsi="宋体" w:eastAsia="宋体" w:cs="宋体"/>
                <w:kern w:val="0"/>
                <w:sz w:val="18"/>
                <w:szCs w:val="18"/>
                <w:highlight w:val="none"/>
              </w:rPr>
              <w:t>”</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投标有效期</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投标文件自投标文件递交截止时间起生效，有效期90天。</w:t>
            </w:r>
          </w:p>
        </w:tc>
      </w:tr>
      <w:tr>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投标保证金</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b/>
                <w:kern w:val="0"/>
                <w:sz w:val="18"/>
                <w:szCs w:val="18"/>
                <w:highlight w:val="none"/>
              </w:rPr>
            </w:pPr>
            <w:r>
              <w:rPr>
                <w:rFonts w:hint="eastAsia" w:ascii="宋体" w:hAnsi="宋体" w:eastAsia="宋体" w:cs="宋体"/>
                <w:kern w:val="0"/>
                <w:sz w:val="18"/>
                <w:szCs w:val="18"/>
                <w:highlight w:val="none"/>
              </w:rPr>
              <w:t>见采购公告内容</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b/>
                <w:sz w:val="18"/>
                <w:szCs w:val="18"/>
                <w:highlight w:val="none"/>
              </w:rPr>
            </w:pPr>
            <w:r>
              <w:rPr>
                <w:rFonts w:hint="eastAsia" w:ascii="宋体" w:hAnsi="宋体" w:eastAsia="宋体" w:cs="宋体"/>
                <w:b/>
                <w:sz w:val="18"/>
                <w:szCs w:val="18"/>
                <w:highlight w:val="none"/>
              </w:rPr>
              <w:t>投标文件份数</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提供技术资信标一式</w:t>
            </w:r>
            <w:r>
              <w:rPr>
                <w:rFonts w:hint="eastAsia" w:ascii="宋体" w:hAnsi="宋体" w:eastAsia="宋体" w:cs="宋体"/>
                <w:sz w:val="18"/>
                <w:szCs w:val="18"/>
                <w:highlight w:val="none"/>
                <w:lang w:val="en-US" w:eastAsia="zh-CN"/>
              </w:rPr>
              <w:t>五</w:t>
            </w:r>
            <w:r>
              <w:rPr>
                <w:rFonts w:hint="eastAsia" w:ascii="宋体" w:hAnsi="宋体" w:eastAsia="宋体" w:cs="宋体"/>
                <w:sz w:val="18"/>
                <w:szCs w:val="18"/>
                <w:highlight w:val="none"/>
              </w:rPr>
              <w:t>份，正本</w:t>
            </w:r>
            <w:r>
              <w:rPr>
                <w:rFonts w:hint="eastAsia" w:ascii="宋体" w:hAnsi="宋体" w:eastAsia="宋体" w:cs="宋体"/>
                <w:sz w:val="18"/>
                <w:szCs w:val="18"/>
                <w:highlight w:val="none"/>
                <w:lang w:val="en-US" w:eastAsia="zh-CN"/>
              </w:rPr>
              <w:t>一</w:t>
            </w:r>
            <w:r>
              <w:rPr>
                <w:rFonts w:hint="eastAsia" w:ascii="宋体" w:hAnsi="宋体" w:eastAsia="宋体" w:cs="宋体"/>
                <w:sz w:val="18"/>
                <w:szCs w:val="18"/>
                <w:highlight w:val="none"/>
              </w:rPr>
              <w:t>份，副本</w:t>
            </w:r>
            <w:r>
              <w:rPr>
                <w:rFonts w:hint="eastAsia" w:ascii="宋体" w:hAnsi="宋体" w:eastAsia="宋体" w:cs="宋体"/>
                <w:sz w:val="18"/>
                <w:szCs w:val="18"/>
                <w:highlight w:val="none"/>
                <w:lang w:val="en-US" w:eastAsia="zh-CN"/>
              </w:rPr>
              <w:t>四</w:t>
            </w:r>
            <w:r>
              <w:rPr>
                <w:rFonts w:hint="eastAsia" w:ascii="宋体" w:hAnsi="宋体" w:eastAsia="宋体" w:cs="宋体"/>
                <w:sz w:val="18"/>
                <w:szCs w:val="18"/>
                <w:highlight w:val="none"/>
              </w:rPr>
              <w:t>份；</w:t>
            </w:r>
          </w:p>
          <w:p>
            <w:pPr>
              <w:spacing w:line="240" w:lineRule="exact"/>
              <w:rPr>
                <w:rFonts w:hint="eastAsia" w:ascii="宋体" w:hAnsi="宋体" w:eastAsia="宋体" w:cs="宋体"/>
                <w:b/>
                <w:sz w:val="18"/>
                <w:szCs w:val="18"/>
                <w:highlight w:val="none"/>
              </w:rPr>
            </w:pPr>
            <w:r>
              <w:rPr>
                <w:rFonts w:hint="eastAsia" w:ascii="宋体" w:hAnsi="宋体" w:eastAsia="宋体" w:cs="宋体"/>
                <w:sz w:val="18"/>
                <w:szCs w:val="18"/>
                <w:highlight w:val="none"/>
              </w:rPr>
              <w:t>提供商务（报价）标一式</w:t>
            </w:r>
            <w:r>
              <w:rPr>
                <w:rFonts w:hint="eastAsia" w:ascii="宋体" w:hAnsi="宋体" w:eastAsia="宋体" w:cs="宋体"/>
                <w:sz w:val="18"/>
                <w:szCs w:val="18"/>
                <w:highlight w:val="none"/>
                <w:lang w:val="en-US" w:eastAsia="zh-CN"/>
              </w:rPr>
              <w:t>五</w:t>
            </w:r>
            <w:r>
              <w:rPr>
                <w:rFonts w:hint="eastAsia" w:ascii="宋体" w:hAnsi="宋体" w:eastAsia="宋体" w:cs="宋体"/>
                <w:sz w:val="18"/>
                <w:szCs w:val="18"/>
                <w:highlight w:val="none"/>
              </w:rPr>
              <w:t>份，正本</w:t>
            </w:r>
            <w:r>
              <w:rPr>
                <w:rFonts w:hint="eastAsia" w:ascii="宋体" w:hAnsi="宋体" w:eastAsia="宋体" w:cs="宋体"/>
                <w:sz w:val="18"/>
                <w:szCs w:val="18"/>
                <w:highlight w:val="none"/>
                <w:lang w:val="en-US" w:eastAsia="zh-CN"/>
              </w:rPr>
              <w:t>一</w:t>
            </w:r>
            <w:r>
              <w:rPr>
                <w:rFonts w:hint="eastAsia" w:ascii="宋体" w:hAnsi="宋体" w:eastAsia="宋体" w:cs="宋体"/>
                <w:sz w:val="18"/>
                <w:szCs w:val="18"/>
                <w:highlight w:val="none"/>
              </w:rPr>
              <w:t>份，副本</w:t>
            </w:r>
            <w:r>
              <w:rPr>
                <w:rFonts w:hint="eastAsia" w:ascii="宋体" w:hAnsi="宋体" w:eastAsia="宋体" w:cs="宋体"/>
                <w:sz w:val="18"/>
                <w:szCs w:val="18"/>
                <w:highlight w:val="none"/>
                <w:lang w:val="en-US" w:eastAsia="zh-CN"/>
              </w:rPr>
              <w:t>四</w:t>
            </w:r>
            <w:r>
              <w:rPr>
                <w:rFonts w:hint="eastAsia" w:ascii="宋体" w:hAnsi="宋体" w:eastAsia="宋体" w:cs="宋体"/>
                <w:sz w:val="18"/>
                <w:szCs w:val="18"/>
                <w:highlight w:val="none"/>
              </w:rPr>
              <w:t>份；</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投标文件递交截止时间及地点</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投标文件递交截止时间：</w:t>
            </w:r>
            <w:r>
              <w:rPr>
                <w:rFonts w:hint="eastAsia" w:ascii="宋体" w:hAnsi="宋体" w:eastAsia="宋体" w:cs="宋体"/>
                <w:b/>
                <w:bCs/>
                <w:color w:val="0000FF"/>
                <w:kern w:val="0"/>
                <w:sz w:val="18"/>
                <w:szCs w:val="18"/>
                <w:highlight w:val="none"/>
              </w:rPr>
              <w:t>202</w:t>
            </w:r>
            <w:r>
              <w:rPr>
                <w:rFonts w:hint="eastAsia" w:ascii="宋体" w:hAnsi="宋体" w:eastAsia="宋体" w:cs="宋体"/>
                <w:b/>
                <w:bCs/>
                <w:color w:val="0000FF"/>
                <w:kern w:val="0"/>
                <w:sz w:val="18"/>
                <w:szCs w:val="18"/>
                <w:highlight w:val="none"/>
                <w:lang w:val="en-US" w:eastAsia="zh-CN"/>
              </w:rPr>
              <w:t>3</w:t>
            </w:r>
            <w:r>
              <w:rPr>
                <w:rFonts w:hint="eastAsia" w:ascii="宋体" w:hAnsi="宋体" w:eastAsia="宋体" w:cs="宋体"/>
                <w:b/>
                <w:bCs/>
                <w:color w:val="0000FF"/>
                <w:kern w:val="0"/>
                <w:sz w:val="18"/>
                <w:szCs w:val="18"/>
                <w:highlight w:val="none"/>
              </w:rPr>
              <w:t>年</w:t>
            </w:r>
            <w:r>
              <w:rPr>
                <w:rFonts w:hint="eastAsia" w:ascii="宋体" w:hAnsi="宋体" w:eastAsia="宋体" w:cs="宋体"/>
                <w:b/>
                <w:bCs/>
                <w:color w:val="0000FF"/>
                <w:kern w:val="0"/>
                <w:sz w:val="18"/>
                <w:szCs w:val="18"/>
                <w:highlight w:val="none"/>
                <w:lang w:val="en-US" w:eastAsia="zh-CN"/>
              </w:rPr>
              <w:t>4</w:t>
            </w:r>
            <w:r>
              <w:rPr>
                <w:rFonts w:hint="eastAsia" w:ascii="宋体" w:hAnsi="宋体" w:eastAsia="宋体" w:cs="宋体"/>
                <w:b/>
                <w:bCs/>
                <w:color w:val="0000FF"/>
                <w:kern w:val="0"/>
                <w:sz w:val="18"/>
                <w:szCs w:val="18"/>
                <w:highlight w:val="none"/>
              </w:rPr>
              <w:t>月</w:t>
            </w:r>
            <w:r>
              <w:rPr>
                <w:rFonts w:hint="eastAsia" w:ascii="宋体" w:hAnsi="宋体" w:eastAsia="宋体" w:cs="宋体"/>
                <w:b/>
                <w:bCs/>
                <w:color w:val="0000FF"/>
                <w:kern w:val="0"/>
                <w:sz w:val="18"/>
                <w:szCs w:val="18"/>
                <w:highlight w:val="none"/>
                <w:lang w:val="en-US" w:eastAsia="zh-CN"/>
              </w:rPr>
              <w:t>13</w:t>
            </w:r>
            <w:r>
              <w:rPr>
                <w:rFonts w:hint="eastAsia" w:ascii="宋体" w:hAnsi="宋体" w:eastAsia="宋体" w:cs="宋体"/>
                <w:b/>
                <w:bCs/>
                <w:color w:val="0000FF"/>
                <w:kern w:val="0"/>
                <w:sz w:val="18"/>
                <w:szCs w:val="18"/>
                <w:highlight w:val="none"/>
              </w:rPr>
              <w:t>日</w:t>
            </w:r>
            <w:r>
              <w:rPr>
                <w:rFonts w:hint="eastAsia" w:ascii="宋体" w:hAnsi="宋体" w:eastAsia="宋体" w:cs="宋体"/>
                <w:b/>
                <w:bCs/>
                <w:color w:val="0000FF"/>
                <w:kern w:val="0"/>
                <w:sz w:val="18"/>
                <w:szCs w:val="18"/>
                <w:highlight w:val="none"/>
                <w:lang w:val="en-US" w:eastAsia="zh-CN"/>
              </w:rPr>
              <w:t>下午14</w:t>
            </w:r>
            <w:r>
              <w:rPr>
                <w:rFonts w:hint="eastAsia" w:ascii="宋体" w:hAnsi="宋体" w:eastAsia="宋体" w:cs="宋体"/>
                <w:b/>
                <w:bCs/>
                <w:color w:val="0000FF"/>
                <w:kern w:val="0"/>
                <w:sz w:val="18"/>
                <w:szCs w:val="18"/>
                <w:highlight w:val="none"/>
              </w:rPr>
              <w:t>时30分</w:t>
            </w:r>
          </w:p>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递交地点：</w:t>
            </w:r>
            <w:r>
              <w:rPr>
                <w:rFonts w:hint="eastAsia" w:ascii="宋体" w:hAnsi="宋体" w:eastAsia="宋体" w:cs="宋体"/>
                <w:bCs/>
                <w:kern w:val="0"/>
                <w:sz w:val="18"/>
                <w:szCs w:val="18"/>
                <w:highlight w:val="none"/>
              </w:rPr>
              <w:t>温州市政务服务管理中心收标区 (温州市鹿城区会展路1268号温州市民中心A座3楼公共资源交易专区)（详见当天大厅大屏幕）</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开标时间</w:t>
            </w:r>
          </w:p>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和地点</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开标时间：同投标文件递交截止时间</w:t>
            </w:r>
          </w:p>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开标地点：</w:t>
            </w:r>
            <w:r>
              <w:rPr>
                <w:rFonts w:hint="eastAsia" w:ascii="宋体" w:hAnsi="宋体" w:eastAsia="宋体" w:cs="宋体"/>
                <w:bCs/>
                <w:kern w:val="0"/>
                <w:sz w:val="18"/>
                <w:szCs w:val="18"/>
                <w:highlight w:val="none"/>
              </w:rPr>
              <w:t>温州市政务服务管理中心开标区</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开评标程序</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1.宣布开标纪律；</w:t>
            </w:r>
          </w:p>
          <w:p>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2.公布在投标截止时间前递交投标文件的投标供应商名称，并点名确认投标供应商是否派授权代表到场；</w:t>
            </w:r>
          </w:p>
          <w:p>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3.宣布唱标人、记录人、监督人员等有关人员姓名；</w:t>
            </w:r>
          </w:p>
          <w:p>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4.密封情况检查：由投标供应商或其推选的代表检查投标文件密封情况；</w:t>
            </w:r>
          </w:p>
          <w:p>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5.开标顺序：</w:t>
            </w:r>
            <w:r>
              <w:rPr>
                <w:rFonts w:hint="eastAsia" w:ascii="宋体" w:hAnsi="宋体" w:eastAsia="宋体" w:cs="宋体"/>
                <w:sz w:val="18"/>
                <w:szCs w:val="18"/>
                <w:highlight w:val="none"/>
                <w:lang w:val="en-US" w:eastAsia="zh-CN"/>
              </w:rPr>
              <w:t>同时</w:t>
            </w:r>
            <w:r>
              <w:rPr>
                <w:rFonts w:hint="eastAsia" w:ascii="宋体" w:hAnsi="宋体" w:eastAsia="宋体" w:cs="宋体"/>
                <w:sz w:val="18"/>
                <w:szCs w:val="18"/>
                <w:highlight w:val="none"/>
              </w:rPr>
              <w:t>开启技术资信部分投标文件、开启商务（报价）文件；</w:t>
            </w:r>
            <w:r>
              <w:rPr>
                <w:rFonts w:hint="eastAsia" w:ascii="宋体" w:hAnsi="宋体" w:eastAsia="宋体" w:cs="宋体"/>
                <w:bCs/>
                <w:sz w:val="18"/>
                <w:szCs w:val="18"/>
                <w:highlight w:val="none"/>
              </w:rPr>
              <w:t>宣读“开标一览表”中包括投标报价等内容。</w:t>
            </w:r>
          </w:p>
          <w:p>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6.确认开标结果：投标供应商授权代表对开标记录进行当场校核及勘误，并签字确认；并同时由记录人、核对人当场签字确认。</w:t>
            </w:r>
          </w:p>
          <w:p>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7.宣布开标结束。</w:t>
            </w:r>
          </w:p>
          <w:p>
            <w:pPr>
              <w:spacing w:line="240" w:lineRule="exact"/>
              <w:rPr>
                <w:rFonts w:hint="eastAsia" w:ascii="宋体" w:hAnsi="宋体" w:eastAsia="宋体" w:cs="宋体"/>
                <w:kern w:val="0"/>
                <w:sz w:val="18"/>
                <w:szCs w:val="18"/>
                <w:highlight w:val="none"/>
              </w:rPr>
            </w:pPr>
            <w:r>
              <w:rPr>
                <w:rFonts w:hint="eastAsia" w:ascii="宋体" w:hAnsi="宋体" w:eastAsia="宋体" w:cs="宋体"/>
                <w:sz w:val="18"/>
                <w:szCs w:val="18"/>
                <w:highlight w:val="none"/>
              </w:rPr>
              <w:t>8.投标供应商授权代表未参加开标会议；未到场签字确认的，不影响开标，评标过程，视同认可开标结果；事后不得对采购相关人员、开标过程和开标结果提出异议。</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评标委员会</w:t>
            </w:r>
          </w:p>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的组建</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sz w:val="18"/>
                <w:szCs w:val="18"/>
                <w:highlight w:val="none"/>
              </w:rPr>
              <w:t>评标委员会成员依法由采购人代表和有关技术、经济等方面的专家组成，人数为5人及以上单数，除采购人代表外的专家将在浙江省政府采购云平台的评标专家库中按规定抽取产生。</w:t>
            </w:r>
          </w:p>
        </w:tc>
      </w:tr>
      <w:tr>
        <w:tblPrEx>
          <w:tblCellMar>
            <w:top w:w="0" w:type="dxa"/>
            <w:left w:w="108" w:type="dxa"/>
            <w:bottom w:w="0" w:type="dxa"/>
            <w:right w:w="108" w:type="dxa"/>
          </w:tblCellMar>
        </w:tblPrEx>
        <w:trPr>
          <w:trHeight w:val="90"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bCs/>
                <w:kern w:val="0"/>
                <w:sz w:val="18"/>
                <w:szCs w:val="18"/>
                <w:highlight w:val="none"/>
              </w:rPr>
            </w:pPr>
            <w:r>
              <w:rPr>
                <w:rFonts w:hint="eastAsia" w:ascii="宋体" w:hAnsi="宋体" w:eastAsia="宋体" w:cs="宋体"/>
                <w:kern w:val="0"/>
                <w:sz w:val="18"/>
                <w:szCs w:val="18"/>
                <w:highlight w:val="none"/>
              </w:rPr>
              <w:t>履约担保</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履约担保的形式：履约保证金（转账形式）</w:t>
            </w:r>
          </w:p>
          <w:p>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履约担保的金额：合同价的</w:t>
            </w:r>
            <w:r>
              <w:rPr>
                <w:rFonts w:hint="eastAsia" w:ascii="宋体" w:hAnsi="宋体" w:eastAsia="宋体" w:cs="宋体"/>
                <w:sz w:val="18"/>
                <w:szCs w:val="18"/>
                <w:highlight w:val="none"/>
                <w:lang w:val="en-US" w:eastAsia="zh-CN"/>
              </w:rPr>
              <w:t>5</w:t>
            </w:r>
            <w:r>
              <w:rPr>
                <w:rFonts w:hint="eastAsia" w:ascii="宋体" w:hAnsi="宋体" w:eastAsia="宋体" w:cs="宋体"/>
                <w:sz w:val="18"/>
                <w:szCs w:val="18"/>
                <w:highlight w:val="none"/>
              </w:rPr>
              <w:t>%</w:t>
            </w:r>
          </w:p>
          <w:p>
            <w:pPr>
              <w:spacing w:line="240" w:lineRule="exact"/>
              <w:rPr>
                <w:rFonts w:hint="eastAsia" w:ascii="宋体" w:hAnsi="宋体" w:eastAsia="宋体" w:cs="宋体"/>
                <w:bCs/>
                <w:kern w:val="0"/>
                <w:sz w:val="18"/>
                <w:szCs w:val="18"/>
                <w:highlight w:val="none"/>
              </w:rPr>
            </w:pPr>
            <w:r>
              <w:rPr>
                <w:rFonts w:hint="eastAsia" w:ascii="宋体" w:hAnsi="宋体" w:eastAsia="宋体" w:cs="宋体"/>
                <w:sz w:val="18"/>
                <w:szCs w:val="18"/>
                <w:highlight w:val="none"/>
              </w:rPr>
              <w:t>须按规定向采购人一次性提交履约保证金。</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b/>
                <w:sz w:val="18"/>
                <w:szCs w:val="18"/>
                <w:highlight w:val="none"/>
              </w:rPr>
            </w:pPr>
            <w:r>
              <w:rPr>
                <w:rFonts w:hint="eastAsia" w:ascii="宋体" w:hAnsi="宋体" w:eastAsia="宋体" w:cs="宋体"/>
                <w:kern w:val="0"/>
                <w:sz w:val="18"/>
                <w:szCs w:val="18"/>
                <w:highlight w:val="none"/>
              </w:rPr>
              <w:t>中标通知书及合同备案</w:t>
            </w:r>
          </w:p>
        </w:tc>
        <w:tc>
          <w:tcPr>
            <w:tcW w:w="6528"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exact"/>
              <w:rPr>
                <w:rFonts w:hint="eastAsia" w:ascii="宋体" w:hAnsi="宋体" w:eastAsia="宋体" w:cs="宋体"/>
                <w:bCs/>
                <w:snapToGrid w:val="0"/>
                <w:sz w:val="18"/>
                <w:szCs w:val="18"/>
                <w:highlight w:val="none"/>
              </w:rPr>
            </w:pPr>
            <w:r>
              <w:rPr>
                <w:rFonts w:hint="eastAsia" w:ascii="宋体" w:hAnsi="宋体" w:eastAsia="宋体" w:cs="宋体"/>
                <w:bCs/>
                <w:snapToGrid w:val="0"/>
                <w:sz w:val="18"/>
                <w:szCs w:val="18"/>
                <w:highlight w:val="none"/>
              </w:rPr>
              <w:t>（1）中标人须在收到中标通知书之日起30天内与采购人签订合同。</w:t>
            </w:r>
          </w:p>
          <w:p>
            <w:pPr>
              <w:spacing w:line="240" w:lineRule="exact"/>
              <w:rPr>
                <w:rFonts w:hint="eastAsia" w:ascii="宋体" w:hAnsi="宋体" w:eastAsia="宋体" w:cs="宋体"/>
                <w:b/>
                <w:sz w:val="18"/>
                <w:szCs w:val="18"/>
                <w:highlight w:val="none"/>
              </w:rPr>
            </w:pPr>
            <w:r>
              <w:rPr>
                <w:rFonts w:hint="eastAsia" w:ascii="宋体" w:hAnsi="宋体" w:eastAsia="宋体" w:cs="宋体"/>
                <w:bCs/>
                <w:snapToGrid w:val="0"/>
                <w:sz w:val="18"/>
                <w:szCs w:val="18"/>
                <w:highlight w:val="none"/>
              </w:rPr>
              <w:t>（2）合同签订后，中标人应在2个工作日内将合同扫描件电子版发给采购代理机构，由采购代理机构负责备案。邮箱：</w:t>
            </w:r>
            <w:r>
              <w:rPr>
                <w:rFonts w:hint="eastAsia" w:ascii="宋体" w:hAnsi="宋体" w:eastAsia="宋体" w:cs="宋体"/>
                <w:bCs/>
                <w:snapToGrid w:val="0"/>
                <w:sz w:val="18"/>
                <w:szCs w:val="18"/>
                <w:highlight w:val="none"/>
                <w:lang w:eastAsia="zh-CN"/>
              </w:rPr>
              <w:t>1826066763</w:t>
            </w:r>
            <w:r>
              <w:rPr>
                <w:rFonts w:hint="eastAsia" w:ascii="宋体" w:hAnsi="宋体" w:eastAsia="宋体" w:cs="宋体"/>
                <w:bCs/>
                <w:snapToGrid w:val="0"/>
                <w:sz w:val="18"/>
                <w:szCs w:val="18"/>
                <w:highlight w:val="none"/>
              </w:rPr>
              <w:t>@qq.com。</w:t>
            </w:r>
          </w:p>
        </w:tc>
      </w:tr>
      <w:tr>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注意事项</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1、采购文件、采购公告中如有前后不一致的，一律以本“投标供应商须知前附表”为准；</w:t>
            </w:r>
          </w:p>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2、本采购文件涉及的时间为“北京时间”；</w:t>
            </w:r>
          </w:p>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3、本采购文件涉及的货币为“人民币”；</w:t>
            </w:r>
          </w:p>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4、采购监督管理部门：</w:t>
            </w:r>
            <w:r>
              <w:rPr>
                <w:rFonts w:hint="eastAsia" w:ascii="宋体" w:hAnsi="宋体" w:eastAsia="宋体" w:cs="宋体"/>
                <w:kern w:val="0"/>
                <w:sz w:val="18"/>
                <w:szCs w:val="18"/>
                <w:highlight w:val="none"/>
                <w:lang w:eastAsia="zh-CN"/>
              </w:rPr>
              <w:t>温州市高速公路资产经营有限公司</w:t>
            </w:r>
            <w:r>
              <w:rPr>
                <w:rFonts w:hint="eastAsia" w:ascii="宋体" w:hAnsi="宋体" w:eastAsia="宋体" w:cs="宋体"/>
                <w:kern w:val="0"/>
                <w:sz w:val="18"/>
                <w:szCs w:val="18"/>
                <w:highlight w:val="none"/>
              </w:rPr>
              <w:t>纪检监察室</w:t>
            </w:r>
          </w:p>
          <w:p>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联 系 人：</w:t>
            </w:r>
            <w:r>
              <w:rPr>
                <w:rFonts w:hint="eastAsia" w:ascii="宋体" w:hAnsi="宋体" w:eastAsia="宋体" w:cs="宋体"/>
                <w:kern w:val="0"/>
                <w:sz w:val="18"/>
                <w:szCs w:val="18"/>
                <w:highlight w:val="none"/>
                <w:lang w:val="en-US" w:eastAsia="zh-CN"/>
              </w:rPr>
              <w:t>胡先生</w:t>
            </w:r>
          </w:p>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联系电话：0577-85559092</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其他注意事项</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b/>
                <w:bCs/>
                <w:kern w:val="0"/>
                <w:sz w:val="18"/>
                <w:szCs w:val="18"/>
                <w:highlight w:val="none"/>
                <w:u w:val="single"/>
              </w:rPr>
              <w:t>如发现采购文件中存在含糊不清的，请在规定的</w:t>
            </w:r>
            <w:r>
              <w:rPr>
                <w:rFonts w:hint="eastAsia" w:ascii="宋体" w:hAnsi="宋体" w:eastAsia="宋体" w:cs="宋体"/>
                <w:b/>
                <w:bCs/>
                <w:kern w:val="0"/>
                <w:sz w:val="18"/>
                <w:szCs w:val="18"/>
                <w:highlight w:val="none"/>
                <w:u w:val="single"/>
                <w:lang w:eastAsia="zh-CN"/>
              </w:rPr>
              <w:t>询疑</w:t>
            </w:r>
            <w:r>
              <w:rPr>
                <w:rFonts w:hint="eastAsia" w:ascii="宋体" w:hAnsi="宋体" w:eastAsia="宋体" w:cs="宋体"/>
                <w:b/>
                <w:bCs/>
                <w:kern w:val="0"/>
                <w:sz w:val="18"/>
                <w:szCs w:val="18"/>
                <w:highlight w:val="none"/>
                <w:u w:val="single"/>
              </w:rPr>
              <w:t>截止时间前向采购人、采购代理书面提出，逾期不得再对采购文件的条款提出疑问。</w:t>
            </w:r>
          </w:p>
        </w:tc>
      </w:tr>
      <w:tr>
        <w:tblPrEx>
          <w:tblCellMar>
            <w:top w:w="0" w:type="dxa"/>
            <w:left w:w="108" w:type="dxa"/>
            <w:bottom w:w="0" w:type="dxa"/>
            <w:right w:w="108" w:type="dxa"/>
          </w:tblCellMar>
        </w:tblPrEx>
        <w:trPr>
          <w:trHeight w:val="711" w:hRule="atLeast"/>
          <w:jc w:val="center"/>
        </w:trPr>
        <w:tc>
          <w:tcPr>
            <w:tcW w:w="8988"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b/>
                <w:bCs/>
                <w:kern w:val="0"/>
                <w:sz w:val="18"/>
                <w:szCs w:val="18"/>
                <w:highlight w:val="none"/>
                <w:u w:val="single"/>
              </w:rPr>
            </w:pPr>
            <w:r>
              <w:rPr>
                <w:rFonts w:hint="eastAsia" w:ascii="宋体" w:hAnsi="宋体" w:eastAsia="宋体" w:cs="宋体"/>
                <w:bCs/>
                <w:sz w:val="18"/>
                <w:szCs w:val="18"/>
                <w:highlight w:val="none"/>
              </w:rPr>
              <w:t>“投标人须知前附表”中的内容是对“投标人须知”正文的补充和说明，“投标人须知”正文与“投标人须知前附表”的内容不一致时，以“投标人须知前附表”为准。</w:t>
            </w:r>
          </w:p>
        </w:tc>
      </w:tr>
    </w:tbl>
    <w:p>
      <w:pPr>
        <w:rPr>
          <w:rFonts w:hint="eastAsia" w:ascii="宋体" w:hAnsi="宋体" w:eastAsia="宋体" w:cs="宋体"/>
          <w:szCs w:val="24"/>
          <w:highlight w:val="none"/>
        </w:rPr>
      </w:pPr>
    </w:p>
    <w:p>
      <w:pPr>
        <w:spacing w:before="156" w:beforeLines="50" w:after="156" w:afterLines="50"/>
        <w:jc w:val="center"/>
        <w:rPr>
          <w:rFonts w:hint="eastAsia" w:ascii="宋体" w:hAnsi="宋体" w:eastAsia="宋体" w:cs="宋体"/>
          <w:sz w:val="36"/>
          <w:szCs w:val="36"/>
          <w:highlight w:val="none"/>
        </w:rPr>
      </w:pPr>
      <w:r>
        <w:rPr>
          <w:rFonts w:hint="eastAsia" w:ascii="宋体" w:hAnsi="宋体" w:eastAsia="宋体" w:cs="宋体"/>
          <w:szCs w:val="24"/>
          <w:highlight w:val="none"/>
        </w:rPr>
        <w:br w:type="page"/>
      </w:r>
      <w:r>
        <w:rPr>
          <w:rFonts w:hint="eastAsia" w:ascii="宋体" w:hAnsi="宋体" w:eastAsia="宋体" w:cs="宋体"/>
          <w:b/>
          <w:sz w:val="36"/>
          <w:szCs w:val="36"/>
          <w:highlight w:val="none"/>
        </w:rPr>
        <w:t>投标人须知</w:t>
      </w:r>
    </w:p>
    <w:p>
      <w:pPr>
        <w:spacing w:before="156" w:beforeLines="50" w:after="156" w:afterLines="5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一、 说明</w:t>
      </w:r>
      <w:bookmarkEnd w:id="23"/>
      <w:bookmarkEnd w:id="24"/>
      <w:bookmarkEnd w:id="25"/>
      <w:bookmarkEnd w:id="26"/>
      <w:bookmarkEnd w:id="27"/>
      <w:bookmarkEnd w:id="28"/>
      <w:bookmarkEnd w:id="29"/>
      <w:bookmarkEnd w:id="30"/>
      <w:bookmarkEnd w:id="31"/>
      <w:bookmarkEnd w:id="32"/>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本次采购工作是按照《温州市市属国有企业采购管理办法（试行）》等有关法律、法规组织和实施的。</w:t>
      </w:r>
    </w:p>
    <w:p>
      <w:pPr>
        <w:numPr>
          <w:ilvl w:val="0"/>
          <w:numId w:val="3"/>
        </w:numPr>
        <w:tabs>
          <w:tab w:val="left" w:pos="540"/>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采购人和采购代理机构：见投标人须知前附表。</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b/>
          <w:bCs/>
          <w:sz w:val="22"/>
          <w:highlight w:val="none"/>
          <w:u w:val="single"/>
        </w:rPr>
        <w:t>合格的投标人：以本项目采购公告及投标人须知前附表表述为准</w:t>
      </w:r>
      <w:r>
        <w:rPr>
          <w:rFonts w:hint="eastAsia" w:ascii="宋体" w:hAnsi="宋体" w:eastAsia="宋体" w:cs="宋体"/>
          <w:sz w:val="22"/>
          <w:highlight w:val="none"/>
        </w:rPr>
        <w:t>。</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投标人代表</w:t>
      </w:r>
    </w:p>
    <w:p>
      <w:pPr>
        <w:ind w:left="538" w:leftChars="256"/>
        <w:rPr>
          <w:rFonts w:hint="eastAsia" w:ascii="宋体" w:hAnsi="宋体" w:eastAsia="宋体" w:cs="宋体"/>
          <w:sz w:val="22"/>
          <w:highlight w:val="none"/>
        </w:rPr>
      </w:pPr>
      <w:r>
        <w:rPr>
          <w:rFonts w:hint="eastAsia" w:ascii="宋体" w:hAnsi="宋体" w:eastAsia="宋体" w:cs="宋体"/>
          <w:sz w:val="22"/>
          <w:highlight w:val="none"/>
        </w:rPr>
        <w:t>指全权代表投标人参加投标活动并签署投标文件的人。如果投标人代表不是</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，须持有《</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授权书》。</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现场勘察及投标费用</w:t>
      </w:r>
    </w:p>
    <w:p>
      <w:pPr>
        <w:ind w:left="550" w:hanging="550" w:hangingChars="250"/>
        <w:rPr>
          <w:rFonts w:hint="eastAsia" w:ascii="宋体" w:hAnsi="宋体" w:eastAsia="宋体" w:cs="宋体"/>
          <w:sz w:val="22"/>
          <w:highlight w:val="none"/>
        </w:rPr>
      </w:pPr>
      <w:r>
        <w:rPr>
          <w:rFonts w:hint="eastAsia" w:ascii="宋体" w:hAnsi="宋体" w:eastAsia="宋体" w:cs="宋体"/>
          <w:sz w:val="22"/>
          <w:highlight w:val="none"/>
        </w:rPr>
        <w:t>5.1  投标人须知前附表规定组织踏勘现场、召开标前会的，采购人按投标人须知前附表规定的时间、地点组织投标人踏勘项目现场、召开标前会。</w:t>
      </w:r>
    </w:p>
    <w:p>
      <w:pPr>
        <w:ind w:left="550" w:hanging="550" w:hangingChars="250"/>
        <w:rPr>
          <w:rFonts w:hint="eastAsia" w:ascii="宋体" w:hAnsi="宋体" w:eastAsia="宋体" w:cs="宋体"/>
          <w:sz w:val="22"/>
          <w:highlight w:val="none"/>
        </w:rPr>
      </w:pPr>
      <w:r>
        <w:rPr>
          <w:rFonts w:hint="eastAsia" w:ascii="宋体" w:hAnsi="宋体" w:eastAsia="宋体" w:cs="宋体"/>
          <w:sz w:val="22"/>
          <w:highlight w:val="none"/>
        </w:rPr>
        <w:t>5.2  为了便于编制投标文件，投标人自行对现场和周围环境进行现场察勘，察勘现场的费用由投标人自行承担。</w:t>
      </w:r>
    </w:p>
    <w:p>
      <w:pPr>
        <w:ind w:left="550" w:hanging="550" w:hangingChars="250"/>
        <w:rPr>
          <w:rFonts w:hint="eastAsia" w:ascii="宋体" w:hAnsi="宋体" w:eastAsia="宋体" w:cs="宋体"/>
          <w:sz w:val="22"/>
          <w:highlight w:val="none"/>
        </w:rPr>
      </w:pPr>
      <w:r>
        <w:rPr>
          <w:rFonts w:hint="eastAsia" w:ascii="宋体" w:hAnsi="宋体" w:eastAsia="宋体" w:cs="宋体"/>
          <w:sz w:val="22"/>
          <w:highlight w:val="none"/>
        </w:rPr>
        <w:t>5.3  在现场察勘中所发生的人员伤亡和财产损失应由投标人自行负责。</w:t>
      </w:r>
    </w:p>
    <w:p>
      <w:pPr>
        <w:ind w:left="550" w:hanging="550" w:hangingChars="250"/>
        <w:rPr>
          <w:rFonts w:hint="eastAsia" w:ascii="宋体" w:hAnsi="宋体" w:eastAsia="宋体" w:cs="宋体"/>
          <w:sz w:val="22"/>
          <w:highlight w:val="none"/>
        </w:rPr>
      </w:pPr>
      <w:r>
        <w:rPr>
          <w:rFonts w:hint="eastAsia" w:ascii="宋体" w:hAnsi="宋体" w:eastAsia="宋体" w:cs="宋体"/>
          <w:sz w:val="22"/>
          <w:highlight w:val="none"/>
        </w:rPr>
        <w:t>5.4  投标人应承担所有与准备和参加投标有关费用，不论投标的结果如何，采购人和采购代理机构（以下统称“采购单位”）均无义务和责任承担这些费用。</w:t>
      </w:r>
    </w:p>
    <w:p>
      <w:pPr>
        <w:spacing w:before="156" w:beforeLines="50" w:after="156" w:afterLines="50"/>
        <w:jc w:val="center"/>
        <w:rPr>
          <w:rFonts w:hint="eastAsia" w:ascii="宋体" w:hAnsi="宋体" w:eastAsia="宋体" w:cs="宋体"/>
          <w:b/>
          <w:sz w:val="28"/>
          <w:szCs w:val="28"/>
          <w:highlight w:val="none"/>
        </w:rPr>
      </w:pPr>
      <w:bookmarkStart w:id="33" w:name="_Toc223717605"/>
      <w:bookmarkStart w:id="34" w:name="_Toc205877558"/>
      <w:bookmarkStart w:id="35" w:name="_Toc218041727"/>
      <w:bookmarkStart w:id="36" w:name="_Toc209251128"/>
      <w:bookmarkStart w:id="37" w:name="_Toc219538614"/>
      <w:bookmarkStart w:id="38" w:name="_Toc205703103"/>
      <w:bookmarkStart w:id="39" w:name="_Toc209332634"/>
      <w:bookmarkStart w:id="40" w:name="_Toc227056847"/>
      <w:bookmarkStart w:id="41" w:name="_Toc205877453"/>
      <w:bookmarkStart w:id="42" w:name="_Toc205005287"/>
      <w:bookmarkStart w:id="43" w:name="_Toc209250720"/>
      <w:bookmarkStart w:id="44" w:name="_Toc227057034"/>
      <w:bookmarkStart w:id="45" w:name="_Toc209261433"/>
      <w:bookmarkStart w:id="46" w:name="_Toc227489888"/>
      <w:bookmarkStart w:id="47" w:name="_Toc216667821"/>
      <w:bookmarkStart w:id="48" w:name="_Toc223933222"/>
      <w:bookmarkStart w:id="49" w:name="_Toc204491318"/>
      <w:bookmarkStart w:id="50" w:name="_Toc209261366"/>
      <w:bookmarkStart w:id="51" w:name="_Toc205004969"/>
      <w:bookmarkStart w:id="52" w:name="_Toc204578576"/>
      <w:bookmarkStart w:id="53" w:name="_Toc215415531"/>
      <w:bookmarkStart w:id="54" w:name="_Toc207609182"/>
      <w:bookmarkStart w:id="55" w:name="_Toc210879709"/>
      <w:bookmarkStart w:id="56" w:name="_Toc217460686"/>
      <w:bookmarkStart w:id="57" w:name="_Toc214365791"/>
      <w:r>
        <w:rPr>
          <w:rFonts w:hint="eastAsia" w:ascii="宋体" w:hAnsi="宋体" w:eastAsia="宋体" w:cs="宋体"/>
          <w:b/>
          <w:sz w:val="28"/>
          <w:szCs w:val="28"/>
          <w:highlight w:val="none"/>
        </w:rPr>
        <w:t>二、 采购文件</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采购文件由采购文件目录所列内容及相关资料等组成。</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采购文件的澄清</w:t>
      </w:r>
    </w:p>
    <w:p>
      <w:pPr>
        <w:tabs>
          <w:tab w:val="left" w:pos="625"/>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 xml:space="preserve">7.1  </w:t>
      </w:r>
      <w:r>
        <w:rPr>
          <w:rFonts w:hint="eastAsia" w:ascii="宋体" w:hAnsi="宋体" w:eastAsia="宋体" w:cs="宋体"/>
          <w:sz w:val="22"/>
          <w:highlight w:val="none"/>
        </w:rPr>
        <w:tab/>
      </w:r>
      <w:r>
        <w:rPr>
          <w:rFonts w:hint="eastAsia" w:ascii="宋体" w:hAnsi="宋体" w:eastAsia="宋体" w:cs="宋体"/>
          <w:sz w:val="22"/>
          <w:highlight w:val="none"/>
        </w:rPr>
        <w:t>投标人对采购文件如有疑点或未尽事宜要求澄清，或认为有必要与采购人或采购代理机构进行说明或交流，应于“投标人须知前附表”中规定的</w:t>
      </w:r>
      <w:r>
        <w:rPr>
          <w:rFonts w:hint="eastAsia" w:ascii="宋体" w:hAnsi="宋体" w:eastAsia="宋体" w:cs="宋体"/>
          <w:sz w:val="22"/>
          <w:highlight w:val="none"/>
          <w:lang w:val="en-US" w:eastAsia="zh-CN"/>
        </w:rPr>
        <w:t>询疑</w:t>
      </w:r>
      <w:r>
        <w:rPr>
          <w:rFonts w:hint="eastAsia" w:ascii="宋体" w:hAnsi="宋体" w:eastAsia="宋体" w:cs="宋体"/>
          <w:sz w:val="22"/>
          <w:highlight w:val="none"/>
        </w:rPr>
        <w:t>截止时间之前，将书面材料（盖公章）递交或邮寄给采购人或采购代理机构，截止期后的疑问将不予受理、答复。如果采购文件</w:t>
      </w:r>
      <w:r>
        <w:rPr>
          <w:rFonts w:hint="eastAsia" w:ascii="宋体" w:hAnsi="宋体" w:eastAsia="宋体" w:cs="宋体"/>
          <w:sz w:val="22"/>
          <w:highlight w:val="none"/>
          <w:lang w:eastAsia="zh-CN"/>
        </w:rPr>
        <w:t>询疑</w:t>
      </w:r>
      <w:r>
        <w:rPr>
          <w:rFonts w:hint="eastAsia" w:ascii="宋体" w:hAnsi="宋体" w:eastAsia="宋体" w:cs="宋体"/>
          <w:sz w:val="22"/>
          <w:highlight w:val="none"/>
        </w:rPr>
        <w:t>期内未收到有关疑问，视为投标人完全同意采购文件所有条款，且对于采购文件相关表述以及未尽事宜如有争议，以采购人解释为准。</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采购文件的修改</w:t>
      </w:r>
    </w:p>
    <w:p>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8.1  在投标截止期前，由于各种原因，不论是自己主动提出还是答复投标人的澄清要求，采购人和采购机构可能会对已发出的采购文件进行必要澄清或者修改，澄清或者修改的内容可能影响投标文件编制的，应当在要求递交投标文件截止时间15日前发布更正公告，不足15日应当顺延递交投标文件截止时间。采购人可以视采购具体情况在采购文件要求提交截止时间前，依法作出延长投标文件递交截止时间和开标时间的决定，并发布更正公告。更正公告澄清或者修改的内容为采购文件的组成部分。</w:t>
      </w:r>
    </w:p>
    <w:p>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8.2  采购文件的澄清修改将以更正公告形式在原采购公告发布平台上予以公示，以通知所有获取采购文件的潜在投标人。</w:t>
      </w:r>
    </w:p>
    <w:p>
      <w:pPr>
        <w:tabs>
          <w:tab w:val="left" w:pos="1080"/>
        </w:tabs>
        <w:ind w:left="524" w:hanging="523" w:hangingChars="238"/>
        <w:rPr>
          <w:rFonts w:hint="eastAsia" w:ascii="宋体" w:hAnsi="宋体" w:eastAsia="宋体" w:cs="宋体"/>
          <w:szCs w:val="24"/>
          <w:highlight w:val="none"/>
        </w:rPr>
      </w:pPr>
      <w:r>
        <w:rPr>
          <w:rFonts w:hint="eastAsia" w:ascii="宋体" w:hAnsi="宋体" w:eastAsia="宋体" w:cs="宋体"/>
          <w:sz w:val="22"/>
          <w:highlight w:val="none"/>
        </w:rPr>
        <w:t>8.3  采购文件答复、澄清、修改或补充的内容为采购文件的组成部分。当采购文件与采购文件的答复、澄清、修改或补充通知就同一内容的表述不一致时，以最后发出的书面文件为准。采购文件的答复、澄清、修改或补充都应该通过采购代理机构以法定形式发布，除此以外的发布不属于采购文件的组成部分。</w:t>
      </w:r>
    </w:p>
    <w:p>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8.4</w:t>
      </w:r>
      <w:r>
        <w:rPr>
          <w:rFonts w:hint="eastAsia" w:ascii="宋体" w:hAnsi="宋体" w:eastAsia="宋体" w:cs="宋体"/>
          <w:sz w:val="22"/>
          <w:highlight w:val="none"/>
        </w:rPr>
        <w:tab/>
      </w:r>
      <w:r>
        <w:rPr>
          <w:rFonts w:hint="eastAsia" w:ascii="宋体" w:hAnsi="宋体" w:eastAsia="宋体" w:cs="宋体"/>
          <w:sz w:val="22"/>
          <w:highlight w:val="none"/>
        </w:rPr>
        <w:t>本项目投标人均可在本项目采购公告附件下载采购文件，并按采购文件规定的时间、地点递交投标文件。投标人须在开标前自行查看是否有补充更正文件，并按补充更正文件要求投标，否则责任自负。</w:t>
      </w:r>
    </w:p>
    <w:p>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8.5  在采购文件规定的</w:t>
      </w:r>
      <w:r>
        <w:rPr>
          <w:rFonts w:hint="eastAsia" w:ascii="宋体" w:hAnsi="宋体" w:eastAsia="宋体" w:cs="宋体"/>
          <w:sz w:val="22"/>
          <w:highlight w:val="none"/>
          <w:lang w:eastAsia="zh-CN"/>
        </w:rPr>
        <w:t>询疑</w:t>
      </w:r>
      <w:r>
        <w:rPr>
          <w:rFonts w:hint="eastAsia" w:ascii="宋体" w:hAnsi="宋体" w:eastAsia="宋体" w:cs="宋体"/>
          <w:sz w:val="22"/>
          <w:highlight w:val="none"/>
        </w:rPr>
        <w:t>截止时间后，经采购人及采购机构同意购买采购文件的投标人不得对采购文件及其补充文件提出澄清</w:t>
      </w:r>
      <w:r>
        <w:rPr>
          <w:rFonts w:hint="eastAsia" w:ascii="宋体" w:hAnsi="宋体" w:eastAsia="宋体" w:cs="宋体"/>
          <w:sz w:val="22"/>
          <w:highlight w:val="none"/>
          <w:lang w:eastAsia="zh-CN"/>
        </w:rPr>
        <w:t>询疑</w:t>
      </w:r>
      <w:r>
        <w:rPr>
          <w:rFonts w:hint="eastAsia" w:ascii="宋体" w:hAnsi="宋体" w:eastAsia="宋体" w:cs="宋体"/>
          <w:sz w:val="22"/>
          <w:highlight w:val="none"/>
        </w:rPr>
        <w:t>要求。</w:t>
      </w:r>
    </w:p>
    <w:p>
      <w:pPr>
        <w:spacing w:before="156" w:beforeLines="50" w:after="156" w:afterLines="50"/>
        <w:jc w:val="center"/>
        <w:rPr>
          <w:rFonts w:hint="eastAsia" w:ascii="宋体" w:hAnsi="宋体" w:eastAsia="宋体" w:cs="宋体"/>
          <w:b/>
          <w:sz w:val="28"/>
          <w:szCs w:val="28"/>
          <w:highlight w:val="none"/>
        </w:rPr>
      </w:pPr>
      <w:bookmarkStart w:id="58" w:name="_Toc227057035"/>
      <w:bookmarkStart w:id="59" w:name="_Toc227489889"/>
      <w:bookmarkStart w:id="60" w:name="_Toc214365792"/>
      <w:bookmarkStart w:id="61" w:name="_Toc209332635"/>
      <w:bookmarkStart w:id="62" w:name="_Toc219538615"/>
      <w:bookmarkStart w:id="63" w:name="_Toc204491319"/>
      <w:bookmarkStart w:id="64" w:name="_Toc209251129"/>
      <w:bookmarkStart w:id="65" w:name="_Toc205877454"/>
      <w:bookmarkStart w:id="66" w:name="_Toc217460687"/>
      <w:bookmarkStart w:id="67" w:name="_Toc216667822"/>
      <w:bookmarkStart w:id="68" w:name="_Toc205877559"/>
      <w:bookmarkStart w:id="69" w:name="_Toc218041728"/>
      <w:bookmarkStart w:id="70" w:name="_Toc209250721"/>
      <w:bookmarkStart w:id="71" w:name="_Toc205005288"/>
      <w:bookmarkStart w:id="72" w:name="_Toc209261367"/>
      <w:bookmarkStart w:id="73" w:name="_Toc223933223"/>
      <w:bookmarkStart w:id="74" w:name="_Toc205703104"/>
      <w:bookmarkStart w:id="75" w:name="_Toc223717606"/>
      <w:bookmarkStart w:id="76" w:name="_Toc209261434"/>
      <w:bookmarkStart w:id="77" w:name="_Toc227056848"/>
      <w:bookmarkStart w:id="78" w:name="_Toc205004970"/>
      <w:bookmarkStart w:id="79" w:name="_Toc204578577"/>
      <w:bookmarkStart w:id="80" w:name="_Toc207609183"/>
      <w:bookmarkStart w:id="81" w:name="_Toc215415532"/>
      <w:bookmarkStart w:id="82" w:name="_Toc210879710"/>
      <w:r>
        <w:rPr>
          <w:rFonts w:hint="eastAsia" w:ascii="宋体" w:hAnsi="宋体" w:eastAsia="宋体" w:cs="宋体"/>
          <w:b/>
          <w:sz w:val="28"/>
          <w:szCs w:val="28"/>
          <w:highlight w:val="none"/>
        </w:rPr>
        <w:t>三、 投标文件的编制</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投标人应认真阅读采购文件中所有事项格式、条款和技术规范等。投标人没有按照采购文件要求提交全部资料，或者没有对采购文件各个方面做出实质性响应，导致投标被拒绝的风险由投标人自行承担。</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投标人应保证所提供文件资料的真实性，所有文件资料必须是针对本次采购的。如发现投标人提供了虚假文件资料，其投标将被拒绝，并自行承担相应的法律责任。</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投标文件的构成：</w:t>
      </w:r>
    </w:p>
    <w:p>
      <w:pPr>
        <w:rPr>
          <w:rFonts w:hint="eastAsia" w:ascii="宋体" w:hAnsi="宋体" w:eastAsia="宋体" w:cs="宋体"/>
          <w:sz w:val="22"/>
          <w:highlight w:val="none"/>
        </w:rPr>
      </w:pPr>
      <w:r>
        <w:rPr>
          <w:rFonts w:hint="eastAsia" w:ascii="宋体" w:hAnsi="宋体" w:eastAsia="宋体" w:cs="宋体"/>
          <w:sz w:val="22"/>
          <w:highlight w:val="none"/>
        </w:rPr>
        <w:t>11.1 投标文件由技术资信标、商务（报价）标二部分构成：</w:t>
      </w:r>
    </w:p>
    <w:p>
      <w:pPr>
        <w:ind w:left="187" w:leftChars="85" w:hanging="9" w:hangingChars="4"/>
        <w:rPr>
          <w:rFonts w:hint="eastAsia" w:ascii="宋体" w:hAnsi="宋体" w:eastAsia="宋体" w:cs="宋体"/>
          <w:b/>
          <w:sz w:val="22"/>
          <w:highlight w:val="none"/>
        </w:rPr>
      </w:pPr>
      <w:r>
        <w:rPr>
          <w:rFonts w:hint="eastAsia" w:ascii="宋体" w:hAnsi="宋体" w:eastAsia="宋体" w:cs="宋体"/>
          <w:b/>
          <w:sz w:val="22"/>
          <w:highlight w:val="none"/>
        </w:rPr>
        <w:t>（1）技术资信标</w:t>
      </w:r>
    </w:p>
    <w:tbl>
      <w:tblPr>
        <w:tblStyle w:val="24"/>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7122"/>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序号</w:t>
            </w:r>
          </w:p>
        </w:tc>
        <w:tc>
          <w:tcPr>
            <w:tcW w:w="7122" w:type="dxa"/>
            <w:vAlign w:val="center"/>
          </w:tcPr>
          <w:p>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内  容</w:t>
            </w:r>
          </w:p>
        </w:tc>
        <w:tc>
          <w:tcPr>
            <w:tcW w:w="1105" w:type="dxa"/>
            <w:vAlign w:val="center"/>
          </w:tcPr>
          <w:p>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b/>
                <w:sz w:val="18"/>
                <w:szCs w:val="18"/>
                <w:highlight w:val="none"/>
              </w:rPr>
            </w:pPr>
          </w:p>
        </w:tc>
        <w:tc>
          <w:tcPr>
            <w:tcW w:w="7122" w:type="dxa"/>
            <w:vAlign w:val="center"/>
          </w:tcPr>
          <w:p>
            <w:pPr>
              <w:rPr>
                <w:rFonts w:hint="eastAsia" w:ascii="宋体" w:hAnsi="宋体" w:eastAsia="宋体" w:cs="宋体"/>
                <w:b/>
                <w:sz w:val="18"/>
                <w:szCs w:val="18"/>
                <w:highlight w:val="none"/>
              </w:rPr>
            </w:pPr>
            <w:r>
              <w:rPr>
                <w:rFonts w:hint="eastAsia" w:ascii="宋体" w:hAnsi="宋体" w:eastAsia="宋体" w:cs="宋体"/>
                <w:sz w:val="18"/>
                <w:szCs w:val="18"/>
                <w:highlight w:val="none"/>
              </w:rPr>
              <w:t>针对评分细则，编制目录索引，注明评标细则项目所在投标文件页码，格式自拟</w:t>
            </w:r>
          </w:p>
        </w:tc>
        <w:tc>
          <w:tcPr>
            <w:tcW w:w="1105" w:type="dxa"/>
            <w:vAlign w:val="center"/>
          </w:tcPr>
          <w:p>
            <w:pPr>
              <w:jc w:val="center"/>
              <w:rPr>
                <w:rFonts w:hint="eastAsia" w:ascii="宋体" w:hAnsi="宋体" w:eastAsia="宋体" w:cs="宋体"/>
                <w:b/>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7122" w:type="dxa"/>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rPr>
              <w:t>投标函</w:t>
            </w:r>
          </w:p>
        </w:tc>
        <w:tc>
          <w:tcPr>
            <w:tcW w:w="1105"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w:t>
            </w:r>
          </w:p>
        </w:tc>
        <w:tc>
          <w:tcPr>
            <w:tcW w:w="7122" w:type="dxa"/>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rPr>
              <w:t>技术规格、商务条款偏离表</w:t>
            </w:r>
          </w:p>
        </w:tc>
        <w:tc>
          <w:tcPr>
            <w:tcW w:w="1105"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7122" w:type="dxa"/>
            <w:vAlign w:val="center"/>
          </w:tcPr>
          <w:p>
            <w:pPr>
              <w:rPr>
                <w:rFonts w:hint="eastAsia" w:ascii="宋体" w:hAnsi="宋体" w:eastAsia="宋体" w:cs="宋体"/>
                <w:sz w:val="18"/>
                <w:szCs w:val="18"/>
                <w:highlight w:val="none"/>
                <w:u w:val="single"/>
              </w:rPr>
            </w:pPr>
            <w:r>
              <w:rPr>
                <w:rFonts w:hint="eastAsia" w:ascii="宋体" w:hAnsi="宋体" w:eastAsia="宋体" w:cs="宋体"/>
                <w:b/>
                <w:bCs/>
                <w:sz w:val="18"/>
                <w:szCs w:val="18"/>
                <w:highlight w:val="none"/>
                <w:u w:val="single"/>
              </w:rPr>
              <w:t>▲</w:t>
            </w:r>
            <w:r>
              <w:rPr>
                <w:rFonts w:hint="eastAsia" w:ascii="宋体" w:hAnsi="宋体" w:eastAsia="宋体" w:cs="宋体"/>
                <w:b/>
                <w:sz w:val="18"/>
                <w:szCs w:val="18"/>
                <w:highlight w:val="none"/>
                <w:u w:val="single"/>
              </w:rPr>
              <w:t>资格证明文件（本部分为投标人资格审查内容，为实质性要求）：</w:t>
            </w:r>
          </w:p>
        </w:tc>
        <w:tc>
          <w:tcPr>
            <w:tcW w:w="1105"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附件三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7122" w:type="dxa"/>
            <w:vAlign w:val="center"/>
          </w:tcPr>
          <w:p>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法定代表人授权书（授权代表参加投标时提供）</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p>
        </w:tc>
        <w:tc>
          <w:tcPr>
            <w:tcW w:w="7122" w:type="dxa"/>
            <w:vAlign w:val="center"/>
          </w:tcPr>
          <w:p>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法定代表人资格证明书（如法定代表人参加投标时提供）</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w:t>
            </w:r>
          </w:p>
        </w:tc>
        <w:tc>
          <w:tcPr>
            <w:tcW w:w="7122" w:type="dxa"/>
            <w:vAlign w:val="center"/>
          </w:tcPr>
          <w:p>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企业法人有效营业执照（或法人登记证书）复印件加盖单位公章</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7122" w:type="dxa"/>
            <w:vAlign w:val="center"/>
          </w:tcPr>
          <w:p>
            <w:pPr>
              <w:tabs>
                <w:tab w:val="left" w:pos="5355"/>
              </w:tabs>
              <w:rPr>
                <w:rFonts w:hint="eastAsia" w:ascii="宋体" w:hAnsi="宋体" w:eastAsia="宋体" w:cs="宋体"/>
                <w:kern w:val="2"/>
                <w:sz w:val="18"/>
                <w:szCs w:val="18"/>
                <w:highlight w:val="none"/>
                <w:u w:val="single"/>
                <w:lang w:val="en-US" w:eastAsia="zh-CN" w:bidi="ar-SA"/>
              </w:rPr>
            </w:pPr>
            <w:r>
              <w:rPr>
                <w:rFonts w:hint="eastAsia" w:ascii="宋体" w:hAnsi="宋体" w:eastAsia="宋体" w:cs="宋体"/>
                <w:sz w:val="18"/>
                <w:szCs w:val="18"/>
                <w:highlight w:val="none"/>
              </w:rPr>
              <w:t>投标声明书</w:t>
            </w:r>
          </w:p>
        </w:tc>
        <w:tc>
          <w:tcPr>
            <w:tcW w:w="1105"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附件四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a</w:t>
            </w:r>
          </w:p>
        </w:tc>
        <w:tc>
          <w:tcPr>
            <w:tcW w:w="7122" w:type="dxa"/>
            <w:vAlign w:val="center"/>
          </w:tcPr>
          <w:p>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rPr>
              <w:t>参加国企采购活动前三年内，在经营活动中没有重大违法记录。请在投标声明书中如实填写</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b</w:t>
            </w:r>
          </w:p>
        </w:tc>
        <w:tc>
          <w:tcPr>
            <w:tcW w:w="7122" w:type="dxa"/>
            <w:vAlign w:val="center"/>
          </w:tcPr>
          <w:p>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rPr>
              <w:t>截至投标截止日前，投标人未被列入“信用中国”网(www.creditchina.gov.cn)失信被执行人、重大税收违法案件当事人名单。请在投标声明书在如实填写，并以采购人或代理机构当天查询结果为准。</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w:t>
            </w:r>
          </w:p>
        </w:tc>
        <w:tc>
          <w:tcPr>
            <w:tcW w:w="7122" w:type="dxa"/>
            <w:vAlign w:val="center"/>
          </w:tcPr>
          <w:p>
            <w:pPr>
              <w:tabs>
                <w:tab w:val="left" w:pos="5355"/>
              </w:tabs>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供应商简介</w:t>
            </w:r>
          </w:p>
        </w:tc>
        <w:tc>
          <w:tcPr>
            <w:tcW w:w="1105"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5</w:t>
            </w:r>
          </w:p>
        </w:tc>
        <w:tc>
          <w:tcPr>
            <w:tcW w:w="7122" w:type="dxa"/>
            <w:vAlign w:val="center"/>
          </w:tcPr>
          <w:p>
            <w:pPr>
              <w:rPr>
                <w:rFonts w:hint="eastAsia" w:ascii="宋体" w:hAnsi="宋体" w:eastAsia="宋体" w:cs="宋体"/>
                <w:kern w:val="2"/>
                <w:sz w:val="18"/>
                <w:szCs w:val="18"/>
                <w:highlight w:val="none"/>
                <w:lang w:val="en-US" w:eastAsia="zh-CN" w:bidi="ar-SA"/>
              </w:rPr>
            </w:pPr>
            <w:r>
              <w:rPr>
                <w:rFonts w:hint="eastAsia" w:ascii="宋体" w:hAnsi="宋体" w:eastAsia="宋体" w:cs="宋体"/>
                <w:b/>
                <w:sz w:val="18"/>
                <w:szCs w:val="18"/>
                <w:highlight w:val="none"/>
              </w:rPr>
              <w:t>资信证明文件（本项为评分量化内容，非强制性要求）</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5.1</w:t>
            </w:r>
          </w:p>
        </w:tc>
        <w:tc>
          <w:tcPr>
            <w:tcW w:w="7122" w:type="dxa"/>
            <w:vAlign w:val="center"/>
          </w:tcPr>
          <w:p>
            <w:pPr>
              <w:tabs>
                <w:tab w:val="left" w:pos="5355"/>
              </w:tabs>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投标人获得国家、省、部级荣誉证书</w:t>
            </w:r>
            <w:r>
              <w:rPr>
                <w:rFonts w:hint="eastAsia" w:ascii="宋体" w:hAnsi="宋体" w:eastAsia="宋体" w:cs="宋体"/>
                <w:sz w:val="18"/>
                <w:szCs w:val="18"/>
                <w:highlight w:val="none"/>
                <w:lang w:val="en-US" w:eastAsia="zh-CN"/>
              </w:rPr>
              <w:t>等</w:t>
            </w:r>
            <w:r>
              <w:rPr>
                <w:rFonts w:hint="eastAsia" w:ascii="宋体" w:hAnsi="宋体" w:eastAsia="宋体" w:cs="宋体"/>
                <w:sz w:val="18"/>
                <w:szCs w:val="18"/>
                <w:highlight w:val="none"/>
              </w:rPr>
              <w:t>（</w:t>
            </w:r>
            <w:r>
              <w:rPr>
                <w:rFonts w:hint="eastAsia" w:ascii="宋体" w:hAnsi="宋体" w:eastAsia="宋体" w:cs="宋体"/>
                <w:sz w:val="18"/>
                <w:szCs w:val="18"/>
                <w:highlight w:val="none"/>
                <w:lang w:val="en-US" w:eastAsia="zh-CN"/>
              </w:rPr>
              <w:t>如有，</w:t>
            </w:r>
            <w:r>
              <w:rPr>
                <w:rFonts w:hint="eastAsia" w:ascii="宋体" w:hAnsi="宋体" w:eastAsia="宋体" w:cs="宋体"/>
                <w:sz w:val="18"/>
                <w:szCs w:val="18"/>
                <w:highlight w:val="none"/>
              </w:rPr>
              <w:t>复印件加盖公章）</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5.2</w:t>
            </w:r>
          </w:p>
        </w:tc>
        <w:tc>
          <w:tcPr>
            <w:tcW w:w="7122" w:type="dxa"/>
            <w:vAlign w:val="center"/>
          </w:tcPr>
          <w:p>
            <w:pPr>
              <w:tabs>
                <w:tab w:val="left" w:pos="5355"/>
              </w:tabs>
              <w:rPr>
                <w:rFonts w:hint="eastAsia" w:ascii="宋体" w:hAnsi="宋体" w:eastAsia="宋体" w:cs="宋体"/>
                <w:sz w:val="18"/>
                <w:szCs w:val="18"/>
                <w:highlight w:val="none"/>
              </w:rPr>
            </w:pPr>
            <w:r>
              <w:rPr>
                <w:rFonts w:hint="eastAsia" w:ascii="宋体" w:hAnsi="宋体" w:eastAsia="宋体" w:cs="宋体"/>
                <w:sz w:val="18"/>
                <w:szCs w:val="18"/>
                <w:highlight w:val="none"/>
              </w:rPr>
              <w:t>投标供应商认为需要提供的其他资格证明文件（如有，复印件加盖公章）</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6</w:t>
            </w:r>
          </w:p>
        </w:tc>
        <w:tc>
          <w:tcPr>
            <w:tcW w:w="7122" w:type="dxa"/>
            <w:vAlign w:val="center"/>
          </w:tcPr>
          <w:p>
            <w:pPr>
              <w:tabs>
                <w:tab w:val="left" w:pos="5355"/>
              </w:tabs>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拟投入设备、工具、耗材一览表</w:t>
            </w:r>
          </w:p>
        </w:tc>
        <w:tc>
          <w:tcPr>
            <w:tcW w:w="1105"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7</w:t>
            </w:r>
          </w:p>
        </w:tc>
        <w:tc>
          <w:tcPr>
            <w:tcW w:w="7122" w:type="dxa"/>
            <w:vAlign w:val="center"/>
          </w:tcPr>
          <w:p>
            <w:pPr>
              <w:tabs>
                <w:tab w:val="left" w:pos="5355"/>
              </w:tabs>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拟派</w:t>
            </w:r>
            <w:r>
              <w:rPr>
                <w:rFonts w:hint="eastAsia" w:ascii="宋体" w:hAnsi="宋体" w:eastAsia="宋体" w:cs="宋体"/>
                <w:sz w:val="18"/>
                <w:szCs w:val="18"/>
                <w:highlight w:val="none"/>
              </w:rPr>
              <w:t>项目负责人情况表</w:t>
            </w:r>
          </w:p>
        </w:tc>
        <w:tc>
          <w:tcPr>
            <w:tcW w:w="1105"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8</w:t>
            </w:r>
          </w:p>
        </w:tc>
        <w:tc>
          <w:tcPr>
            <w:tcW w:w="7122" w:type="dxa"/>
            <w:vAlign w:val="center"/>
          </w:tcPr>
          <w:p>
            <w:pPr>
              <w:tabs>
                <w:tab w:val="left" w:pos="5355"/>
              </w:tabs>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项目</w:t>
            </w:r>
            <w:r>
              <w:rPr>
                <w:rFonts w:hint="eastAsia" w:ascii="宋体" w:hAnsi="宋体" w:eastAsia="宋体" w:cs="宋体"/>
                <w:sz w:val="18"/>
                <w:szCs w:val="18"/>
                <w:highlight w:val="none"/>
                <w:lang w:val="en-US" w:eastAsia="zh-CN"/>
              </w:rPr>
              <w:t>服务人员汇总</w:t>
            </w:r>
            <w:r>
              <w:rPr>
                <w:rFonts w:hint="eastAsia" w:ascii="宋体" w:hAnsi="宋体" w:eastAsia="宋体" w:cs="宋体"/>
                <w:sz w:val="18"/>
                <w:szCs w:val="18"/>
                <w:highlight w:val="none"/>
              </w:rPr>
              <w:t>表</w:t>
            </w:r>
          </w:p>
        </w:tc>
        <w:tc>
          <w:tcPr>
            <w:tcW w:w="1105"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9</w:t>
            </w:r>
          </w:p>
        </w:tc>
        <w:tc>
          <w:tcPr>
            <w:tcW w:w="7122" w:type="dxa"/>
            <w:vAlign w:val="center"/>
          </w:tcPr>
          <w:p>
            <w:pPr>
              <w:tabs>
                <w:tab w:val="left" w:pos="5355"/>
              </w:tabs>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投标人</w:t>
            </w:r>
            <w:r>
              <w:rPr>
                <w:rFonts w:hint="eastAsia" w:ascii="宋体" w:hAnsi="宋体" w:eastAsia="宋体" w:cs="宋体"/>
                <w:sz w:val="18"/>
                <w:szCs w:val="18"/>
                <w:highlight w:val="none"/>
                <w:lang w:eastAsia="zh-CN"/>
              </w:rPr>
              <w:t>2019年1月1日以来</w:t>
            </w:r>
            <w:r>
              <w:rPr>
                <w:rFonts w:hint="eastAsia" w:ascii="宋体" w:hAnsi="宋体" w:eastAsia="宋体" w:cs="宋体"/>
                <w:sz w:val="18"/>
                <w:szCs w:val="18"/>
                <w:highlight w:val="none"/>
              </w:rPr>
              <w:t>同类项目业绩一览表</w:t>
            </w:r>
          </w:p>
        </w:tc>
        <w:tc>
          <w:tcPr>
            <w:tcW w:w="1105"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10</w:t>
            </w:r>
          </w:p>
        </w:tc>
        <w:tc>
          <w:tcPr>
            <w:tcW w:w="7122" w:type="dxa"/>
            <w:vAlign w:val="center"/>
          </w:tcPr>
          <w:p>
            <w:pPr>
              <w:tabs>
                <w:tab w:val="left" w:pos="5355"/>
              </w:tabs>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项目组织实施方案</w:t>
            </w:r>
          </w:p>
        </w:tc>
        <w:tc>
          <w:tcPr>
            <w:tcW w:w="1105"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11</w:t>
            </w:r>
          </w:p>
        </w:tc>
        <w:tc>
          <w:tcPr>
            <w:tcW w:w="7122" w:type="dxa"/>
            <w:vAlign w:val="center"/>
          </w:tcPr>
          <w:p>
            <w:pPr>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服务人员人均月工资承诺函</w:t>
            </w:r>
          </w:p>
        </w:tc>
        <w:tc>
          <w:tcPr>
            <w:tcW w:w="1105"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附件十一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12</w:t>
            </w:r>
          </w:p>
        </w:tc>
        <w:tc>
          <w:tcPr>
            <w:tcW w:w="7122" w:type="dxa"/>
            <w:vAlign w:val="center"/>
          </w:tcPr>
          <w:p>
            <w:pP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投标供应商需要说明的其他文件和说明</w:t>
            </w:r>
          </w:p>
        </w:tc>
        <w:tc>
          <w:tcPr>
            <w:tcW w:w="1105" w:type="dxa"/>
            <w:vAlign w:val="center"/>
          </w:tcPr>
          <w:p>
            <w:pPr>
              <w:jc w:val="center"/>
              <w:rPr>
                <w:rFonts w:hint="eastAsia" w:ascii="宋体" w:hAnsi="宋体" w:eastAsia="宋体" w:cs="宋体"/>
                <w:sz w:val="18"/>
                <w:szCs w:val="18"/>
                <w:highlight w:val="none"/>
              </w:rPr>
            </w:pPr>
          </w:p>
        </w:tc>
      </w:tr>
    </w:tbl>
    <w:p>
      <w:pPr>
        <w:ind w:left="187" w:leftChars="85" w:hanging="9" w:hangingChars="4"/>
        <w:rPr>
          <w:rFonts w:hint="eastAsia" w:ascii="宋体" w:hAnsi="宋体" w:eastAsia="宋体" w:cs="宋体"/>
          <w:b/>
          <w:sz w:val="22"/>
          <w:highlight w:val="none"/>
        </w:rPr>
      </w:pPr>
      <w:r>
        <w:rPr>
          <w:rFonts w:hint="eastAsia" w:ascii="宋体" w:hAnsi="宋体" w:eastAsia="宋体" w:cs="宋体"/>
          <w:b/>
          <w:sz w:val="22"/>
          <w:highlight w:val="none"/>
        </w:rPr>
        <w:t>技术资信标说明：</w:t>
      </w:r>
    </w:p>
    <w:p>
      <w:pPr>
        <w:tabs>
          <w:tab w:val="left" w:pos="5355"/>
        </w:tabs>
        <w:ind w:left="360"/>
        <w:rPr>
          <w:rFonts w:hint="eastAsia" w:ascii="宋体" w:hAnsi="宋体" w:eastAsia="宋体" w:cs="宋体"/>
          <w:sz w:val="22"/>
          <w:highlight w:val="none"/>
        </w:rPr>
      </w:pPr>
      <w:r>
        <w:rPr>
          <w:rFonts w:hint="eastAsia" w:ascii="宋体" w:hAnsi="宋体" w:eastAsia="宋体" w:cs="宋体"/>
          <w:sz w:val="22"/>
          <w:highlight w:val="none"/>
        </w:rPr>
        <w:t>1）投标供应商可根据采购文件中的技术规格书以及技术资信评分表，提供投标供应商认为需要提供的文件和资料。</w:t>
      </w:r>
    </w:p>
    <w:p>
      <w:pPr>
        <w:tabs>
          <w:tab w:val="left" w:pos="5355"/>
        </w:tabs>
        <w:ind w:left="360"/>
        <w:rPr>
          <w:rFonts w:hint="eastAsia" w:ascii="宋体" w:hAnsi="宋体" w:eastAsia="宋体" w:cs="宋体"/>
          <w:sz w:val="22"/>
          <w:highlight w:val="none"/>
        </w:rPr>
      </w:pPr>
      <w:r>
        <w:rPr>
          <w:rFonts w:hint="eastAsia" w:ascii="宋体" w:hAnsi="宋体" w:eastAsia="宋体" w:cs="宋体"/>
          <w:sz w:val="22"/>
          <w:highlight w:val="none"/>
        </w:rPr>
        <w:t>2）投标文件中应承诺：投标供应商所提供的服务及货物在合同执行过程中如若发生侵权事件，其侵权责任与</w:t>
      </w:r>
      <w:r>
        <w:rPr>
          <w:rFonts w:hint="eastAsia" w:ascii="宋体" w:hAnsi="宋体" w:eastAsia="宋体" w:cs="宋体"/>
          <w:sz w:val="22"/>
          <w:highlight w:val="none"/>
          <w:lang w:eastAsia="zh-CN"/>
        </w:rPr>
        <w:t>采购</w:t>
      </w:r>
      <w:r>
        <w:rPr>
          <w:rFonts w:hint="eastAsia" w:ascii="宋体" w:hAnsi="宋体" w:eastAsia="宋体" w:cs="宋体"/>
          <w:sz w:val="22"/>
          <w:highlight w:val="none"/>
        </w:rPr>
        <w:t>人及</w:t>
      </w:r>
      <w:r>
        <w:rPr>
          <w:rFonts w:hint="eastAsia" w:ascii="宋体" w:hAnsi="宋体" w:eastAsia="宋体" w:cs="宋体"/>
          <w:sz w:val="22"/>
          <w:highlight w:val="none"/>
          <w:lang w:eastAsia="zh-CN"/>
        </w:rPr>
        <w:t>采购</w:t>
      </w:r>
      <w:r>
        <w:rPr>
          <w:rFonts w:hint="eastAsia" w:ascii="宋体" w:hAnsi="宋体" w:eastAsia="宋体" w:cs="宋体"/>
          <w:sz w:val="22"/>
          <w:highlight w:val="none"/>
        </w:rPr>
        <w:t>代理机构无关，由投标供应商承担全部责任。侵权造成的所有相关费用，均由投标供应商支付，保证不伤害</w:t>
      </w:r>
      <w:r>
        <w:rPr>
          <w:rFonts w:hint="eastAsia" w:ascii="宋体" w:hAnsi="宋体" w:eastAsia="宋体" w:cs="宋体"/>
          <w:sz w:val="22"/>
          <w:highlight w:val="none"/>
          <w:lang w:eastAsia="zh-CN"/>
        </w:rPr>
        <w:t>采购</w:t>
      </w:r>
      <w:r>
        <w:rPr>
          <w:rFonts w:hint="eastAsia" w:ascii="宋体" w:hAnsi="宋体" w:eastAsia="宋体" w:cs="宋体"/>
          <w:sz w:val="22"/>
          <w:highlight w:val="none"/>
        </w:rPr>
        <w:t>人的利益。</w:t>
      </w:r>
    </w:p>
    <w:p>
      <w:pPr>
        <w:tabs>
          <w:tab w:val="left" w:pos="5355"/>
        </w:tabs>
        <w:ind w:left="360"/>
        <w:rPr>
          <w:rFonts w:hint="eastAsia" w:ascii="宋体" w:hAnsi="宋体" w:eastAsia="宋体" w:cs="宋体"/>
          <w:sz w:val="22"/>
          <w:highlight w:val="none"/>
        </w:rPr>
      </w:pPr>
      <w:r>
        <w:rPr>
          <w:rFonts w:hint="eastAsia" w:ascii="宋体" w:hAnsi="宋体" w:eastAsia="宋体" w:cs="宋体"/>
          <w:sz w:val="22"/>
          <w:highlight w:val="none"/>
        </w:rPr>
        <w:t>3）</w:t>
      </w:r>
      <w:r>
        <w:rPr>
          <w:rFonts w:hint="eastAsia" w:ascii="宋体" w:hAnsi="宋体" w:eastAsia="宋体" w:cs="宋体"/>
          <w:b/>
          <w:bCs/>
          <w:sz w:val="22"/>
          <w:highlight w:val="none"/>
          <w:u w:val="single"/>
        </w:rPr>
        <w:t>以上所需的各种证书、证件、证明、执照若系复印件，须在复印件上加盖投标供应商有效的公章</w:t>
      </w:r>
      <w:r>
        <w:rPr>
          <w:rFonts w:hint="eastAsia" w:ascii="宋体" w:hAnsi="宋体" w:eastAsia="宋体" w:cs="宋体"/>
          <w:sz w:val="22"/>
          <w:highlight w:val="none"/>
        </w:rPr>
        <w:t>。</w:t>
      </w:r>
    </w:p>
    <w:p>
      <w:pPr>
        <w:tabs>
          <w:tab w:val="left" w:pos="5355"/>
        </w:tabs>
        <w:ind w:left="360"/>
        <w:rPr>
          <w:rFonts w:hint="eastAsia" w:ascii="宋体" w:hAnsi="宋体" w:eastAsia="宋体" w:cs="宋体"/>
          <w:sz w:val="22"/>
          <w:highlight w:val="none"/>
        </w:rPr>
      </w:pPr>
      <w:r>
        <w:rPr>
          <w:rFonts w:hint="eastAsia" w:ascii="宋体" w:hAnsi="宋体" w:eastAsia="宋体" w:cs="宋体"/>
          <w:sz w:val="22"/>
          <w:highlight w:val="none"/>
        </w:rPr>
        <w:t>4）投标供应商可在采购文件中对采购服务的技术规格和要求选用替代标准，但这些替代标准必须相当于或优于采购文件中提出的相应要求，并使采购人满意。同时在技术偏离表中作出详细说明。</w:t>
      </w:r>
    </w:p>
    <w:p>
      <w:pPr>
        <w:tabs>
          <w:tab w:val="left" w:pos="5355"/>
        </w:tabs>
        <w:rPr>
          <w:rFonts w:hint="eastAsia" w:ascii="宋体" w:hAnsi="宋体" w:eastAsia="宋体" w:cs="宋体"/>
          <w:b/>
          <w:sz w:val="22"/>
          <w:highlight w:val="none"/>
        </w:rPr>
      </w:pPr>
    </w:p>
    <w:p>
      <w:pPr>
        <w:rPr>
          <w:rFonts w:hint="eastAsia" w:ascii="宋体" w:hAnsi="宋体" w:eastAsia="宋体" w:cs="宋体"/>
          <w:b/>
          <w:sz w:val="22"/>
          <w:highlight w:val="none"/>
        </w:rPr>
      </w:pPr>
      <w:r>
        <w:rPr>
          <w:rFonts w:hint="eastAsia" w:ascii="宋体" w:hAnsi="宋体" w:eastAsia="宋体" w:cs="宋体"/>
          <w:b/>
          <w:sz w:val="22"/>
          <w:highlight w:val="none"/>
        </w:rPr>
        <w:t>（2） 商务（报价）标</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323"/>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序号</w:t>
            </w:r>
          </w:p>
        </w:tc>
        <w:tc>
          <w:tcPr>
            <w:tcW w:w="6323"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内  容</w:t>
            </w:r>
          </w:p>
        </w:tc>
        <w:tc>
          <w:tcPr>
            <w:tcW w:w="1496"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6323" w:type="dxa"/>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rPr>
              <w:t>开标一览表</w:t>
            </w:r>
          </w:p>
        </w:tc>
        <w:tc>
          <w:tcPr>
            <w:tcW w:w="1496"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附件十</w:t>
            </w:r>
            <w:r>
              <w:rPr>
                <w:rFonts w:hint="eastAsia" w:ascii="宋体" w:hAnsi="宋体" w:eastAsia="宋体" w:cs="宋体"/>
                <w:sz w:val="18"/>
                <w:szCs w:val="18"/>
                <w:highlight w:val="none"/>
                <w:lang w:val="en-US" w:eastAsia="zh-CN"/>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w:t>
            </w:r>
          </w:p>
        </w:tc>
        <w:tc>
          <w:tcPr>
            <w:tcW w:w="6323" w:type="dxa"/>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rPr>
              <w:t>投标分项报价表</w:t>
            </w:r>
          </w:p>
        </w:tc>
        <w:tc>
          <w:tcPr>
            <w:tcW w:w="1496"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附件十</w:t>
            </w:r>
            <w:r>
              <w:rPr>
                <w:rFonts w:hint="eastAsia" w:ascii="宋体" w:hAnsi="宋体" w:eastAsia="宋体" w:cs="宋体"/>
                <w:sz w:val="18"/>
                <w:szCs w:val="18"/>
                <w:highlight w:val="none"/>
                <w:lang w:val="en-US" w:eastAsia="zh-CN"/>
              </w:rPr>
              <w:t>三</w:t>
            </w:r>
          </w:p>
        </w:tc>
      </w:tr>
    </w:tbl>
    <w:p>
      <w:pPr>
        <w:rPr>
          <w:rFonts w:hint="eastAsia" w:ascii="宋体" w:hAnsi="宋体" w:eastAsia="宋体" w:cs="宋体"/>
          <w:b/>
          <w:sz w:val="22"/>
          <w:highlight w:val="none"/>
        </w:rPr>
      </w:pPr>
    </w:p>
    <w:p>
      <w:pPr>
        <w:rPr>
          <w:rFonts w:hint="eastAsia" w:ascii="宋体" w:hAnsi="宋体" w:eastAsia="宋体" w:cs="宋体"/>
          <w:b/>
          <w:sz w:val="22"/>
          <w:highlight w:val="none"/>
        </w:rPr>
      </w:pPr>
      <w:r>
        <w:rPr>
          <w:rFonts w:hint="eastAsia" w:ascii="宋体" w:hAnsi="宋体" w:eastAsia="宋体" w:cs="宋体"/>
          <w:b/>
          <w:sz w:val="22"/>
          <w:highlight w:val="none"/>
        </w:rPr>
        <w:t>11.2  投标文件格式</w:t>
      </w:r>
    </w:p>
    <w:p>
      <w:pPr>
        <w:numPr>
          <w:ilvl w:val="0"/>
          <w:numId w:val="4"/>
        </w:numPr>
        <w:tabs>
          <w:tab w:val="left" w:pos="530"/>
        </w:tabs>
        <w:autoSpaceDE w:val="0"/>
        <w:autoSpaceDN w:val="0"/>
        <w:textAlignment w:val="bottom"/>
        <w:rPr>
          <w:rFonts w:hint="eastAsia" w:ascii="宋体" w:hAnsi="宋体" w:eastAsia="宋体" w:cs="宋体"/>
          <w:sz w:val="22"/>
          <w:highlight w:val="none"/>
        </w:rPr>
      </w:pPr>
      <w:r>
        <w:rPr>
          <w:rFonts w:hint="eastAsia" w:ascii="宋体" w:hAnsi="宋体" w:eastAsia="宋体" w:cs="宋体"/>
          <w:sz w:val="22"/>
          <w:highlight w:val="none"/>
        </w:rPr>
        <w:t>投标人应根据采购文件中所提供的格式，内容按顺序填写并装订成册，不允许以活页夹形式装订投标文件，</w:t>
      </w:r>
      <w:r>
        <w:rPr>
          <w:rFonts w:hint="eastAsia" w:ascii="宋体" w:hAnsi="宋体" w:eastAsia="宋体" w:cs="宋体"/>
          <w:b/>
          <w:bCs/>
          <w:sz w:val="22"/>
          <w:highlight w:val="none"/>
          <w:u w:val="single"/>
        </w:rPr>
        <w:t>▲须将技术资信标装订成册，并密封包装于技术资信标标函袋中（标函袋数量、形式不做统一要求）；须将商务（报价）标装订成册，并密封包装于商务（报价）标标函袋中（标函袋数量、形式不做统一要求），否则其投标将被拒收</w:t>
      </w:r>
      <w:r>
        <w:rPr>
          <w:rFonts w:hint="eastAsia" w:ascii="宋体" w:hAnsi="宋体" w:eastAsia="宋体" w:cs="宋体"/>
          <w:sz w:val="22"/>
          <w:highlight w:val="none"/>
        </w:rPr>
        <w:t>。</w:t>
      </w:r>
    </w:p>
    <w:p>
      <w:pPr>
        <w:numPr>
          <w:ilvl w:val="0"/>
          <w:numId w:val="4"/>
        </w:numPr>
        <w:tabs>
          <w:tab w:val="left" w:pos="530"/>
        </w:tabs>
        <w:autoSpaceDE w:val="0"/>
        <w:autoSpaceDN w:val="0"/>
        <w:textAlignment w:val="bottom"/>
        <w:rPr>
          <w:rFonts w:hint="eastAsia" w:ascii="宋体" w:hAnsi="宋体" w:eastAsia="宋体" w:cs="宋体"/>
          <w:sz w:val="22"/>
          <w:highlight w:val="none"/>
        </w:rPr>
      </w:pPr>
      <w:r>
        <w:rPr>
          <w:rFonts w:hint="eastAsia" w:ascii="宋体" w:hAnsi="宋体" w:eastAsia="宋体" w:cs="宋体"/>
          <w:sz w:val="22"/>
          <w:highlight w:val="none"/>
        </w:rPr>
        <w:t>投标文件应有目录以及页码，以便评委检索。</w:t>
      </w:r>
    </w:p>
    <w:p>
      <w:pPr>
        <w:numPr>
          <w:ilvl w:val="0"/>
          <w:numId w:val="4"/>
        </w:numPr>
        <w:tabs>
          <w:tab w:val="left" w:pos="530"/>
        </w:tabs>
        <w:autoSpaceDE w:val="0"/>
        <w:autoSpaceDN w:val="0"/>
        <w:textAlignment w:val="bottom"/>
        <w:rPr>
          <w:rFonts w:hint="eastAsia" w:ascii="宋体" w:hAnsi="宋体" w:eastAsia="宋体" w:cs="宋体"/>
          <w:sz w:val="22"/>
          <w:highlight w:val="none"/>
        </w:rPr>
      </w:pPr>
      <w:r>
        <w:rPr>
          <w:rFonts w:hint="eastAsia" w:ascii="宋体" w:hAnsi="宋体" w:eastAsia="宋体" w:cs="宋体"/>
          <w:sz w:val="22"/>
          <w:highlight w:val="none"/>
        </w:rPr>
        <w:t>投标文件尽可能简练有针对性，双面打印/复印后装订。</w:t>
      </w:r>
    </w:p>
    <w:p>
      <w:pPr>
        <w:rPr>
          <w:rFonts w:hint="eastAsia" w:ascii="宋体" w:hAnsi="宋体" w:eastAsia="宋体" w:cs="宋体"/>
          <w:b/>
          <w:sz w:val="22"/>
          <w:highlight w:val="none"/>
        </w:rPr>
      </w:pPr>
      <w:r>
        <w:rPr>
          <w:rFonts w:hint="eastAsia" w:ascii="宋体" w:hAnsi="宋体" w:eastAsia="宋体" w:cs="宋体"/>
          <w:b/>
          <w:sz w:val="22"/>
          <w:highlight w:val="none"/>
        </w:rPr>
        <w:t>11.3   需递交的证明文件的原件明细如下：</w:t>
      </w:r>
    </w:p>
    <w:p>
      <w:pPr>
        <w:tabs>
          <w:tab w:val="left" w:pos="360"/>
          <w:tab w:val="left" w:pos="540"/>
        </w:tabs>
        <w:ind w:firstLine="442" w:firstLineChars="200"/>
        <w:rPr>
          <w:rFonts w:hint="eastAsia" w:ascii="宋体" w:hAnsi="宋体" w:eastAsia="宋体" w:cs="宋体"/>
          <w:b/>
          <w:bCs/>
          <w:kern w:val="0"/>
          <w:sz w:val="22"/>
          <w:highlight w:val="none"/>
          <w:lang w:eastAsia="zh-CN"/>
        </w:rPr>
      </w:pPr>
      <w:r>
        <w:rPr>
          <w:rFonts w:hint="eastAsia" w:ascii="宋体" w:hAnsi="宋体" w:eastAsia="宋体" w:cs="宋体"/>
          <w:b/>
          <w:bCs/>
          <w:kern w:val="0"/>
          <w:sz w:val="22"/>
          <w:highlight w:val="none"/>
          <w:lang w:val="en-US" w:eastAsia="zh-CN"/>
        </w:rPr>
        <w:t>1）</w:t>
      </w:r>
      <w:r>
        <w:rPr>
          <w:rFonts w:hint="eastAsia" w:ascii="宋体" w:hAnsi="宋体" w:eastAsia="宋体" w:cs="宋体"/>
          <w:b/>
          <w:bCs/>
          <w:kern w:val="0"/>
          <w:sz w:val="22"/>
          <w:highlight w:val="none"/>
        </w:rPr>
        <w:t>与评分有关质量管理体系认证证书</w:t>
      </w:r>
      <w:r>
        <w:rPr>
          <w:rFonts w:hint="eastAsia" w:ascii="宋体" w:hAnsi="宋体" w:eastAsia="宋体" w:cs="宋体"/>
          <w:b/>
          <w:bCs/>
          <w:kern w:val="0"/>
          <w:sz w:val="22"/>
          <w:highlight w:val="none"/>
          <w:lang w:eastAsia="zh-CN"/>
        </w:rPr>
        <w:t>、</w:t>
      </w:r>
      <w:r>
        <w:rPr>
          <w:rFonts w:hint="eastAsia" w:ascii="宋体" w:hAnsi="宋体" w:eastAsia="宋体" w:cs="宋体"/>
          <w:b/>
          <w:bCs/>
          <w:kern w:val="0"/>
          <w:sz w:val="22"/>
          <w:highlight w:val="none"/>
        </w:rPr>
        <w:t>环境体系认证证书</w:t>
      </w:r>
      <w:r>
        <w:rPr>
          <w:rFonts w:hint="eastAsia" w:ascii="宋体" w:hAnsi="宋体" w:eastAsia="宋体" w:cs="宋体"/>
          <w:b/>
          <w:bCs/>
          <w:kern w:val="0"/>
          <w:sz w:val="22"/>
          <w:highlight w:val="none"/>
          <w:lang w:eastAsia="zh-CN"/>
        </w:rPr>
        <w:t>、</w:t>
      </w:r>
      <w:r>
        <w:rPr>
          <w:rFonts w:hint="eastAsia" w:ascii="宋体" w:hAnsi="宋体" w:eastAsia="宋体" w:cs="宋体"/>
          <w:b/>
          <w:bCs/>
          <w:kern w:val="0"/>
          <w:sz w:val="22"/>
          <w:highlight w:val="none"/>
        </w:rPr>
        <w:t>职业健康安全体系认证证书</w:t>
      </w:r>
      <w:r>
        <w:rPr>
          <w:rFonts w:hint="eastAsia" w:ascii="宋体" w:hAnsi="宋体" w:eastAsia="宋体" w:cs="宋体"/>
          <w:b/>
          <w:bCs/>
          <w:kern w:val="0"/>
          <w:sz w:val="22"/>
          <w:highlight w:val="none"/>
          <w:lang w:eastAsia="zh-CN"/>
        </w:rPr>
        <w:t>、</w:t>
      </w:r>
      <w:r>
        <w:rPr>
          <w:rFonts w:hint="eastAsia" w:ascii="宋体" w:hAnsi="宋体" w:eastAsia="宋体" w:cs="宋体"/>
          <w:b/>
          <w:bCs/>
          <w:kern w:val="0"/>
          <w:sz w:val="22"/>
          <w:highlight w:val="none"/>
        </w:rPr>
        <w:t>政府主管部门服务业标准化创建证书</w:t>
      </w:r>
      <w:r>
        <w:rPr>
          <w:rFonts w:hint="eastAsia" w:ascii="宋体" w:hAnsi="宋体" w:eastAsia="宋体" w:cs="宋体"/>
          <w:b/>
          <w:bCs/>
          <w:kern w:val="0"/>
          <w:sz w:val="22"/>
          <w:highlight w:val="none"/>
          <w:lang w:val="en-US" w:eastAsia="zh-CN"/>
        </w:rPr>
        <w:t>原件</w:t>
      </w:r>
      <w:r>
        <w:rPr>
          <w:rFonts w:hint="eastAsia" w:ascii="宋体" w:hAnsi="宋体" w:eastAsia="宋体" w:cs="宋体"/>
          <w:b/>
          <w:bCs/>
          <w:kern w:val="0"/>
          <w:sz w:val="22"/>
          <w:highlight w:val="none"/>
          <w:lang w:eastAsia="zh-CN"/>
        </w:rPr>
        <w:t>；</w:t>
      </w:r>
    </w:p>
    <w:p>
      <w:pPr>
        <w:tabs>
          <w:tab w:val="left" w:pos="360"/>
          <w:tab w:val="left" w:pos="540"/>
        </w:tabs>
        <w:ind w:firstLine="442" w:firstLineChars="200"/>
        <w:rPr>
          <w:rFonts w:hint="eastAsia" w:ascii="宋体" w:hAnsi="宋体" w:eastAsia="宋体" w:cs="宋体"/>
          <w:b/>
          <w:bCs/>
          <w:kern w:val="0"/>
          <w:sz w:val="22"/>
          <w:highlight w:val="none"/>
          <w:lang w:val="en-US" w:eastAsia="zh-CN"/>
        </w:rPr>
      </w:pPr>
      <w:r>
        <w:rPr>
          <w:rFonts w:hint="eastAsia" w:ascii="宋体" w:hAnsi="宋体" w:eastAsia="宋体" w:cs="宋体"/>
          <w:b/>
          <w:bCs/>
          <w:kern w:val="0"/>
          <w:sz w:val="22"/>
          <w:highlight w:val="none"/>
          <w:lang w:val="en-US" w:eastAsia="zh-CN"/>
        </w:rPr>
        <w:t>2）与评分有关的</w:t>
      </w:r>
      <w:r>
        <w:rPr>
          <w:rFonts w:hint="eastAsia" w:ascii="宋体" w:hAnsi="宋体" w:eastAsia="宋体" w:cs="宋体"/>
          <w:b/>
          <w:bCs/>
          <w:kern w:val="0"/>
          <w:sz w:val="22"/>
          <w:highlight w:val="none"/>
        </w:rPr>
        <w:t>高速服务区物业管理业绩</w:t>
      </w:r>
      <w:r>
        <w:rPr>
          <w:rFonts w:hint="eastAsia" w:ascii="宋体" w:hAnsi="宋体" w:eastAsia="宋体" w:cs="宋体"/>
          <w:b/>
          <w:bCs/>
          <w:kern w:val="0"/>
          <w:sz w:val="22"/>
          <w:highlight w:val="none"/>
          <w:lang w:eastAsia="zh-CN"/>
        </w:rPr>
        <w:t>、</w:t>
      </w:r>
      <w:r>
        <w:rPr>
          <w:rFonts w:hint="eastAsia" w:ascii="宋体" w:hAnsi="宋体" w:eastAsia="宋体" w:cs="宋体"/>
          <w:b/>
          <w:bCs/>
          <w:kern w:val="0"/>
          <w:sz w:val="22"/>
          <w:highlight w:val="none"/>
        </w:rPr>
        <w:t>其他公共场所物业管理项目业绩</w:t>
      </w:r>
      <w:r>
        <w:rPr>
          <w:rFonts w:hint="eastAsia" w:ascii="宋体" w:hAnsi="宋体" w:eastAsia="宋体" w:cs="宋体"/>
          <w:b/>
          <w:bCs/>
          <w:kern w:val="0"/>
          <w:sz w:val="22"/>
          <w:highlight w:val="none"/>
          <w:lang w:val="en-US" w:eastAsia="zh-CN"/>
        </w:rPr>
        <w:t>合同原件</w:t>
      </w:r>
    </w:p>
    <w:p>
      <w:pPr>
        <w:tabs>
          <w:tab w:val="left" w:pos="360"/>
          <w:tab w:val="left" w:pos="540"/>
        </w:tabs>
        <w:ind w:firstLine="442" w:firstLineChars="200"/>
        <w:rPr>
          <w:rFonts w:hint="eastAsia" w:ascii="宋体" w:hAnsi="宋体" w:eastAsia="宋体" w:cs="宋体"/>
          <w:b/>
          <w:bCs/>
          <w:kern w:val="0"/>
          <w:sz w:val="22"/>
          <w:highlight w:val="none"/>
        </w:rPr>
      </w:pPr>
      <w:r>
        <w:rPr>
          <w:rFonts w:hint="eastAsia" w:ascii="宋体" w:hAnsi="宋体" w:eastAsia="宋体" w:cs="宋体"/>
          <w:b/>
          <w:bCs/>
          <w:kern w:val="0"/>
          <w:sz w:val="22"/>
          <w:highlight w:val="none"/>
        </w:rPr>
        <w:t>备注：</w:t>
      </w:r>
    </w:p>
    <w:p>
      <w:pPr>
        <w:tabs>
          <w:tab w:val="left" w:pos="360"/>
          <w:tab w:val="left" w:pos="540"/>
        </w:tabs>
        <w:ind w:firstLine="541" w:firstLineChars="245"/>
        <w:rPr>
          <w:rFonts w:hint="eastAsia" w:ascii="宋体" w:hAnsi="宋体" w:eastAsia="宋体" w:cs="宋体"/>
          <w:b/>
          <w:sz w:val="22"/>
          <w:highlight w:val="none"/>
        </w:rPr>
      </w:pPr>
      <w:r>
        <w:rPr>
          <w:rFonts w:hint="eastAsia" w:ascii="宋体" w:hAnsi="宋体" w:eastAsia="宋体" w:cs="宋体"/>
          <w:b/>
          <w:sz w:val="22"/>
          <w:highlight w:val="none"/>
        </w:rPr>
        <w:t>（1）要求提供的原件在投标文件技术资信标中需提供复印件，并加盖投标人公章。</w:t>
      </w:r>
    </w:p>
    <w:p>
      <w:pPr>
        <w:tabs>
          <w:tab w:val="left" w:pos="360"/>
          <w:tab w:val="left" w:pos="540"/>
        </w:tabs>
        <w:ind w:firstLine="541" w:firstLineChars="245"/>
        <w:rPr>
          <w:rFonts w:hint="eastAsia" w:ascii="宋体" w:hAnsi="宋体" w:eastAsia="宋体" w:cs="宋体"/>
          <w:b/>
          <w:sz w:val="22"/>
          <w:highlight w:val="none"/>
        </w:rPr>
      </w:pPr>
      <w:r>
        <w:rPr>
          <w:rFonts w:hint="eastAsia" w:ascii="宋体" w:hAnsi="宋体" w:eastAsia="宋体" w:cs="宋体"/>
          <w:b/>
          <w:sz w:val="22"/>
          <w:highlight w:val="none"/>
        </w:rPr>
        <w:t>（2）证明文件原件按规定递送后，不能再对其进行补充或删减。</w:t>
      </w:r>
    </w:p>
    <w:p>
      <w:pPr>
        <w:tabs>
          <w:tab w:val="left" w:pos="360"/>
          <w:tab w:val="left" w:pos="540"/>
        </w:tabs>
        <w:ind w:firstLine="541" w:firstLineChars="245"/>
        <w:rPr>
          <w:rFonts w:hint="eastAsia" w:ascii="宋体" w:hAnsi="宋体" w:eastAsia="宋体" w:cs="宋体"/>
          <w:b/>
          <w:sz w:val="22"/>
          <w:highlight w:val="none"/>
        </w:rPr>
      </w:pPr>
      <w:r>
        <w:rPr>
          <w:rFonts w:hint="eastAsia" w:ascii="宋体" w:hAnsi="宋体" w:eastAsia="宋体" w:cs="宋体"/>
          <w:b/>
          <w:sz w:val="22"/>
          <w:highlight w:val="none"/>
        </w:rPr>
        <w:t>（3）以上证明文件原件须装入密封袋中进行密封，外封面上按顺序编制目录列明材料清单、投标单位名称、采购项目名称等信息，并在投标截止时间前和投标文件一同密封递交，由评标委员会核实无误后再评分。</w:t>
      </w:r>
    </w:p>
    <w:p>
      <w:pPr>
        <w:tabs>
          <w:tab w:val="left" w:pos="525"/>
          <w:tab w:val="left" w:pos="900"/>
        </w:tabs>
        <w:ind w:firstLine="442" w:firstLineChars="200"/>
        <w:rPr>
          <w:rFonts w:hint="eastAsia" w:ascii="宋体" w:hAnsi="宋体" w:eastAsia="宋体" w:cs="宋体"/>
          <w:highlight w:val="none"/>
        </w:rPr>
      </w:pPr>
      <w:r>
        <w:rPr>
          <w:rFonts w:hint="eastAsia" w:ascii="宋体" w:hAnsi="宋体" w:eastAsia="宋体" w:cs="宋体"/>
          <w:b/>
          <w:snapToGrid w:val="0"/>
          <w:sz w:val="22"/>
          <w:highlight w:val="none"/>
          <w:em w:val="dot"/>
        </w:rPr>
        <w:t>与评分有关的</w:t>
      </w:r>
      <w:r>
        <w:rPr>
          <w:rFonts w:hint="eastAsia" w:ascii="宋体" w:hAnsi="宋体" w:eastAsia="宋体" w:cs="宋体"/>
          <w:b/>
          <w:snapToGrid w:val="0"/>
          <w:sz w:val="22"/>
          <w:highlight w:val="none"/>
          <w:em w:val="dot"/>
          <w:lang w:val="en-US" w:eastAsia="zh-CN"/>
        </w:rPr>
        <w:t>证明文件</w:t>
      </w:r>
      <w:r>
        <w:rPr>
          <w:rFonts w:hint="eastAsia" w:ascii="宋体" w:hAnsi="宋体" w:eastAsia="宋体" w:cs="宋体"/>
          <w:b/>
          <w:snapToGrid w:val="0"/>
          <w:sz w:val="22"/>
          <w:highlight w:val="none"/>
          <w:em w:val="dot"/>
        </w:rPr>
        <w:t>原件如不按要求提交的，评标时相关评分项不得分，11.3条中规定的原件在评标结束后退还。</w:t>
      </w:r>
    </w:p>
    <w:p>
      <w:pPr>
        <w:numPr>
          <w:ilvl w:val="0"/>
          <w:numId w:val="3"/>
        </w:numPr>
        <w:tabs>
          <w:tab w:val="left" w:pos="525"/>
          <w:tab w:val="left" w:pos="900"/>
        </w:tabs>
        <w:ind w:left="525" w:hanging="525"/>
        <w:rPr>
          <w:rFonts w:hint="eastAsia" w:ascii="宋体" w:hAnsi="宋体" w:eastAsia="宋体" w:cs="宋体"/>
          <w:b/>
          <w:sz w:val="22"/>
          <w:highlight w:val="none"/>
        </w:rPr>
      </w:pPr>
      <w:r>
        <w:rPr>
          <w:rFonts w:hint="eastAsia" w:ascii="宋体" w:hAnsi="宋体" w:eastAsia="宋体" w:cs="宋体"/>
          <w:b/>
          <w:sz w:val="22"/>
          <w:highlight w:val="none"/>
        </w:rPr>
        <w:t>投标报价</w:t>
      </w:r>
    </w:p>
    <w:p>
      <w:pPr>
        <w:ind w:left="526" w:hanging="526" w:hangingChars="238"/>
        <w:rPr>
          <w:rFonts w:hint="eastAsia" w:ascii="宋体" w:hAnsi="宋体" w:eastAsia="宋体" w:cs="宋体"/>
          <w:b/>
          <w:bCs/>
          <w:sz w:val="22"/>
          <w:szCs w:val="22"/>
          <w:highlight w:val="none"/>
        </w:rPr>
      </w:pPr>
      <w:r>
        <w:rPr>
          <w:rFonts w:hint="eastAsia" w:ascii="宋体" w:hAnsi="宋体" w:eastAsia="宋体" w:cs="宋体"/>
          <w:b/>
          <w:bCs/>
          <w:sz w:val="22"/>
          <w:highlight w:val="none"/>
        </w:rPr>
        <w:t>12.1</w:t>
      </w:r>
      <w:r>
        <w:rPr>
          <w:rFonts w:hint="eastAsia" w:ascii="宋体" w:hAnsi="宋体" w:eastAsia="宋体" w:cs="宋体"/>
          <w:b/>
          <w:bCs/>
          <w:sz w:val="22"/>
          <w:szCs w:val="22"/>
          <w:highlight w:val="none"/>
        </w:rPr>
        <w:t xml:space="preserve"> </w:t>
      </w:r>
      <w:r>
        <w:rPr>
          <w:rFonts w:hint="eastAsia" w:ascii="宋体" w:hAnsi="宋体" w:eastAsia="宋体" w:cs="宋体"/>
          <w:b/>
          <w:sz w:val="22"/>
          <w:szCs w:val="22"/>
          <w:highlight w:val="none"/>
          <w:u w:val="single"/>
        </w:rPr>
        <w:t>▲本项目投标报价为期限壹年的承包费用报价，并采用固定总价承包。投标报价是指</w:t>
      </w:r>
      <w:r>
        <w:rPr>
          <w:rFonts w:hint="eastAsia" w:ascii="宋体" w:hAnsi="宋体" w:eastAsia="宋体" w:cs="宋体"/>
          <w:b/>
          <w:sz w:val="22"/>
          <w:szCs w:val="22"/>
          <w:highlight w:val="none"/>
          <w:u w:val="single"/>
          <w:lang w:val="en-US" w:eastAsia="zh-CN"/>
        </w:rPr>
        <w:t>供应商</w:t>
      </w:r>
      <w:r>
        <w:rPr>
          <w:rFonts w:hint="eastAsia" w:ascii="宋体" w:hAnsi="宋体" w:eastAsia="宋体" w:cs="宋体"/>
          <w:b/>
          <w:sz w:val="22"/>
          <w:szCs w:val="22"/>
          <w:highlight w:val="none"/>
          <w:u w:val="single"/>
        </w:rPr>
        <w:t>在正确地完全履行合同义务后</w:t>
      </w:r>
      <w:r>
        <w:rPr>
          <w:rFonts w:hint="eastAsia" w:ascii="宋体" w:hAnsi="宋体" w:eastAsia="宋体" w:cs="宋体"/>
          <w:b/>
          <w:sz w:val="22"/>
          <w:szCs w:val="22"/>
          <w:highlight w:val="none"/>
          <w:u w:val="single"/>
          <w:lang w:val="en-US" w:eastAsia="zh-CN"/>
        </w:rPr>
        <w:t>采购人</w:t>
      </w:r>
      <w:r>
        <w:rPr>
          <w:rFonts w:hint="eastAsia" w:ascii="宋体" w:hAnsi="宋体" w:eastAsia="宋体" w:cs="宋体"/>
          <w:b/>
          <w:sz w:val="22"/>
          <w:szCs w:val="22"/>
          <w:highlight w:val="none"/>
          <w:u w:val="single"/>
        </w:rPr>
        <w:t>应支付给</w:t>
      </w:r>
      <w:r>
        <w:rPr>
          <w:rFonts w:hint="eastAsia" w:ascii="宋体" w:hAnsi="宋体" w:eastAsia="宋体" w:cs="宋体"/>
          <w:b/>
          <w:sz w:val="22"/>
          <w:szCs w:val="22"/>
          <w:highlight w:val="none"/>
          <w:u w:val="single"/>
          <w:lang w:val="en-US" w:eastAsia="zh-CN"/>
        </w:rPr>
        <w:t>供应商</w:t>
      </w:r>
      <w:r>
        <w:rPr>
          <w:rFonts w:hint="eastAsia" w:ascii="宋体" w:hAnsi="宋体" w:eastAsia="宋体" w:cs="宋体"/>
          <w:b/>
          <w:sz w:val="22"/>
          <w:szCs w:val="22"/>
          <w:highlight w:val="none"/>
          <w:u w:val="single"/>
        </w:rPr>
        <w:t>所有的价款，包括但不限于所有服务所需的人工费（包括工人工资、奖金、房补、劳保福利、社保、工伤费、教育培训费、暂住费及处理一切伤亡事故等费用）、消防远程监控维保费用、服装摊销、除四害费用及物业服务人员的装备费【包括人员各季节工作服和相关装备费用（含通讯设备及通讯费）】、交通费用、食宿费用、办公费用、保险费用、企业应缴税金和应得利润、突发应急及上级布置的专项任务、物价因素等完成合同所需的一切本身和不可或缺的所有工作开支、政策性文件规定及合同包含的所有风险、责任等各项全部费用并承担一切风险责任。投标供应商应根据上述因素自行考虑含入投标总价</w:t>
      </w:r>
      <w:r>
        <w:rPr>
          <w:rFonts w:hint="eastAsia" w:ascii="宋体" w:hAnsi="宋体" w:eastAsia="宋体" w:cs="宋体"/>
          <w:b/>
          <w:bCs/>
          <w:sz w:val="22"/>
          <w:szCs w:val="22"/>
          <w:highlight w:val="none"/>
        </w:rPr>
        <w:t>。</w:t>
      </w:r>
    </w:p>
    <w:p>
      <w:pPr>
        <w:ind w:left="526" w:hanging="526" w:hangingChars="238"/>
        <w:rPr>
          <w:rFonts w:hint="eastAsia" w:ascii="宋体" w:hAnsi="宋体" w:eastAsia="宋体" w:cs="宋体"/>
          <w:b/>
          <w:bCs/>
          <w:sz w:val="22"/>
          <w:highlight w:val="none"/>
          <w:lang w:val="zh-CN"/>
        </w:rPr>
      </w:pPr>
      <w:r>
        <w:rPr>
          <w:rFonts w:hint="eastAsia" w:ascii="宋体" w:hAnsi="宋体" w:eastAsia="宋体" w:cs="宋体"/>
          <w:b/>
          <w:bCs/>
          <w:sz w:val="22"/>
          <w:highlight w:val="none"/>
        </w:rPr>
        <w:t>12.2 供应商认为为完成本采购文件规定的承包内容所需发生的直接成本、间接成本、利润、税金、政策性文件规定的费用等一切费用均应计入投标报价；凡未列入的，将被认为均已包含在总报价中，今后不得以任何理由追加或调整。</w:t>
      </w:r>
    </w:p>
    <w:p>
      <w:pPr>
        <w:tabs>
          <w:tab w:val="left" w:pos="1080"/>
        </w:tabs>
        <w:ind w:left="526" w:hanging="526" w:hangingChars="238"/>
        <w:rPr>
          <w:rFonts w:hint="eastAsia" w:ascii="宋体" w:hAnsi="宋体" w:eastAsia="宋体" w:cs="宋体"/>
          <w:b/>
          <w:bCs/>
          <w:sz w:val="22"/>
          <w:highlight w:val="none"/>
        </w:rPr>
      </w:pPr>
      <w:r>
        <w:rPr>
          <w:rFonts w:hint="eastAsia" w:ascii="宋体" w:hAnsi="宋体" w:eastAsia="宋体" w:cs="宋体"/>
          <w:b/>
          <w:bCs/>
          <w:sz w:val="22"/>
          <w:highlight w:val="none"/>
        </w:rPr>
        <w:t>12.3 投标人必须按附件中的开标一览表、投标分项报价表（均统一格式）内容填写单价、合价和总价，并由</w:t>
      </w:r>
      <w:r>
        <w:rPr>
          <w:rFonts w:hint="eastAsia" w:ascii="宋体" w:hAnsi="宋体" w:eastAsia="宋体" w:cs="宋体"/>
          <w:b/>
          <w:bCs/>
          <w:sz w:val="22"/>
          <w:highlight w:val="none"/>
          <w:lang w:eastAsia="zh-CN"/>
        </w:rPr>
        <w:t>法定代表人</w:t>
      </w:r>
      <w:r>
        <w:rPr>
          <w:rFonts w:hint="eastAsia" w:ascii="宋体" w:hAnsi="宋体" w:eastAsia="宋体" w:cs="宋体"/>
          <w:b/>
          <w:bCs/>
          <w:sz w:val="22"/>
          <w:highlight w:val="none"/>
        </w:rPr>
        <w:t>或投标人代表签署。</w:t>
      </w:r>
    </w:p>
    <w:p>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12.4 所有报价均以人民币报价，投标人如需外汇购入某些货物，须折合成人民币计入投标报价中。</w:t>
      </w:r>
    </w:p>
    <w:p>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 xml:space="preserve">12.5 </w:t>
      </w:r>
      <w:r>
        <w:rPr>
          <w:rFonts w:hint="eastAsia" w:ascii="宋体" w:hAnsi="宋体" w:eastAsia="宋体" w:cs="宋体"/>
          <w:b/>
          <w:bCs/>
          <w:sz w:val="22"/>
          <w:highlight w:val="none"/>
        </w:rPr>
        <w:t>采购人不接受任何选择报价，对每一种货物/服务只允许一个报价。</w:t>
      </w:r>
    </w:p>
    <w:p>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12.6采购单位要求分类报价是为了方便评标，但在任何情况下不限制采购人以其认为最合适的条款、条件签订合同的权利。</w:t>
      </w:r>
    </w:p>
    <w:p>
      <w:pPr>
        <w:keepNext w:val="0"/>
        <w:keepLines w:val="0"/>
        <w:pageBreakBefore w:val="0"/>
        <w:widowControl w:val="0"/>
        <w:tabs>
          <w:tab w:val="left" w:pos="-180"/>
          <w:tab w:val="left" w:pos="180"/>
          <w:tab w:val="left" w:pos="360"/>
        </w:tabs>
        <w:kinsoku/>
        <w:wordWrap w:val="0"/>
        <w:overflowPunct/>
        <w:topLinePunct w:val="0"/>
        <w:autoSpaceDE/>
        <w:autoSpaceDN/>
        <w:bidi w:val="0"/>
        <w:adjustRightInd/>
        <w:snapToGrid/>
        <w:textAlignment w:val="auto"/>
        <w:rPr>
          <w:rFonts w:hint="eastAsia" w:ascii="宋体" w:hAnsi="宋体" w:eastAsia="宋体" w:cs="宋体"/>
          <w:sz w:val="22"/>
          <w:highlight w:val="none"/>
        </w:rPr>
      </w:pPr>
      <w:r>
        <w:rPr>
          <w:rFonts w:hint="eastAsia" w:ascii="宋体" w:hAnsi="宋体" w:eastAsia="宋体" w:cs="宋体"/>
          <w:bCs/>
          <w:sz w:val="22"/>
          <w:highlight w:val="none"/>
          <w:u w:val="single"/>
        </w:rPr>
        <w:t>12.7▲</w:t>
      </w:r>
      <w:r>
        <w:rPr>
          <w:rFonts w:hint="eastAsia" w:ascii="宋体" w:hAnsi="宋体" w:eastAsia="宋体" w:cs="宋体"/>
          <w:b/>
          <w:sz w:val="22"/>
          <w:highlight w:val="none"/>
          <w:u w:val="single"/>
        </w:rPr>
        <w:t>投标报价报出后，投标人不得以任何理由予以变更。任何包含价格调整的要求，将被认为是非实质性响应投标而予以拒绝。</w:t>
      </w:r>
    </w:p>
    <w:p>
      <w:pPr>
        <w:tabs>
          <w:tab w:val="left" w:pos="1080"/>
        </w:tabs>
        <w:ind w:left="524" w:hanging="523" w:hangingChars="238"/>
        <w:rPr>
          <w:rFonts w:hint="eastAsia" w:ascii="宋体" w:hAnsi="宋体" w:eastAsia="宋体" w:cs="宋体"/>
          <w:strike/>
          <w:sz w:val="22"/>
          <w:highlight w:val="none"/>
        </w:rPr>
      </w:pPr>
      <w:r>
        <w:rPr>
          <w:rFonts w:hint="eastAsia" w:ascii="宋体" w:hAnsi="宋体" w:eastAsia="宋体" w:cs="宋体"/>
          <w:sz w:val="22"/>
          <w:highlight w:val="none"/>
        </w:rPr>
        <w:t>12.8</w:t>
      </w:r>
      <w:r>
        <w:rPr>
          <w:rFonts w:hint="eastAsia" w:ascii="宋体" w:hAnsi="宋体" w:eastAsia="宋体" w:cs="宋体"/>
          <w:b/>
          <w:bCs/>
          <w:sz w:val="22"/>
          <w:highlight w:val="none"/>
        </w:rPr>
        <w:t>最低报价不作为中标的保证。</w:t>
      </w:r>
    </w:p>
    <w:p>
      <w:pPr>
        <w:numPr>
          <w:ilvl w:val="0"/>
          <w:numId w:val="3"/>
        </w:numPr>
        <w:tabs>
          <w:tab w:val="left" w:pos="525"/>
          <w:tab w:val="left" w:pos="900"/>
        </w:tabs>
        <w:ind w:left="525" w:hanging="525"/>
        <w:rPr>
          <w:rFonts w:hint="eastAsia" w:ascii="宋体" w:hAnsi="宋体" w:eastAsia="宋体" w:cs="宋体"/>
          <w:b/>
          <w:sz w:val="22"/>
          <w:highlight w:val="none"/>
          <w:u w:val="single"/>
        </w:rPr>
      </w:pPr>
      <w:r>
        <w:rPr>
          <w:rFonts w:hint="eastAsia" w:ascii="宋体" w:hAnsi="宋体" w:eastAsia="宋体" w:cs="宋体"/>
          <w:b/>
          <w:sz w:val="22"/>
          <w:highlight w:val="none"/>
          <w:u w:val="single"/>
        </w:rPr>
        <w:t>▲投标保证金</w:t>
      </w:r>
    </w:p>
    <w:p>
      <w:pPr>
        <w:tabs>
          <w:tab w:val="left" w:pos="851"/>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 xml:space="preserve">13.1 </w:t>
      </w:r>
      <w:r>
        <w:rPr>
          <w:rFonts w:hint="eastAsia" w:ascii="宋体" w:hAnsi="宋体" w:eastAsia="宋体" w:cs="宋体"/>
          <w:b/>
          <w:bCs/>
          <w:sz w:val="22"/>
          <w:highlight w:val="none"/>
          <w:u w:val="single"/>
        </w:rPr>
        <w:t>投标人须按投标人须知前附表规定交纳投标保证金，否则采购人将不接受其投标</w:t>
      </w:r>
      <w:r>
        <w:rPr>
          <w:rFonts w:hint="eastAsia" w:ascii="宋体" w:hAnsi="宋体" w:eastAsia="宋体" w:cs="宋体"/>
          <w:sz w:val="22"/>
          <w:highlight w:val="none"/>
        </w:rPr>
        <w:t>。</w:t>
      </w:r>
    </w:p>
    <w:p>
      <w:pPr>
        <w:tabs>
          <w:tab w:val="left" w:pos="851"/>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13.2</w:t>
      </w:r>
      <w:r>
        <w:rPr>
          <w:rFonts w:hint="eastAsia" w:ascii="宋体" w:hAnsi="宋体" w:eastAsia="宋体" w:cs="宋体"/>
          <w:b/>
          <w:bCs/>
          <w:sz w:val="22"/>
          <w:highlight w:val="none"/>
          <w:u w:val="single"/>
        </w:rPr>
        <w:t>投标保证金金额及形式详见采购公告及投标须知前附表规定。</w:t>
      </w:r>
    </w:p>
    <w:p>
      <w:pPr>
        <w:tabs>
          <w:tab w:val="left" w:pos="851"/>
          <w:tab w:val="left" w:pos="1080"/>
        </w:tabs>
        <w:ind w:left="524" w:hanging="523" w:hangingChars="238"/>
        <w:rPr>
          <w:rFonts w:hint="eastAsia" w:ascii="宋体" w:hAnsi="宋体" w:eastAsia="宋体" w:cs="宋体"/>
          <w:b/>
          <w:bCs/>
          <w:sz w:val="22"/>
          <w:highlight w:val="none"/>
        </w:rPr>
      </w:pPr>
      <w:r>
        <w:rPr>
          <w:rFonts w:hint="eastAsia" w:ascii="宋体" w:hAnsi="宋体" w:eastAsia="宋体" w:cs="宋体"/>
          <w:sz w:val="22"/>
          <w:highlight w:val="none"/>
        </w:rPr>
        <w:t>13.3 投标人的投标保证金在中标人提交履约担保并与采购人签订了合同且合同经备案后无息退还，未中标投标人的投标保证金将在确定中标人后无息退还。</w:t>
      </w:r>
      <w:r>
        <w:rPr>
          <w:rFonts w:hint="eastAsia" w:ascii="宋体" w:hAnsi="宋体" w:eastAsia="宋体" w:cs="宋体"/>
          <w:b/>
          <w:bCs/>
          <w:sz w:val="22"/>
          <w:highlight w:val="none"/>
        </w:rPr>
        <w:t>因此请投标人注意及时联系政采云询问有关投标保证金退还事宜，政采云服务热线95763 （服务时间：工作日8：00-20：00）。</w:t>
      </w:r>
    </w:p>
    <w:p>
      <w:pPr>
        <w:tabs>
          <w:tab w:val="left" w:pos="851"/>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 xml:space="preserve">13.4 </w:t>
      </w:r>
      <w:r>
        <w:rPr>
          <w:rFonts w:hint="eastAsia" w:ascii="宋体" w:hAnsi="宋体" w:eastAsia="宋体" w:cs="宋体"/>
          <w:b/>
          <w:sz w:val="22"/>
          <w:highlight w:val="none"/>
          <w:u w:val="single"/>
        </w:rPr>
        <w:t>如发生下列情况之一，投标保证金将不予退还：</w:t>
      </w:r>
    </w:p>
    <w:p>
      <w:pPr>
        <w:numPr>
          <w:ilvl w:val="0"/>
          <w:numId w:val="5"/>
        </w:numPr>
        <w:tabs>
          <w:tab w:val="left" w:pos="525"/>
        </w:tabs>
        <w:ind w:left="525"/>
        <w:rPr>
          <w:rFonts w:hint="eastAsia" w:ascii="宋体" w:hAnsi="宋体" w:eastAsia="宋体" w:cs="宋体"/>
          <w:sz w:val="22"/>
          <w:highlight w:val="none"/>
        </w:rPr>
      </w:pPr>
      <w:r>
        <w:rPr>
          <w:rFonts w:hint="eastAsia" w:ascii="宋体" w:hAnsi="宋体" w:eastAsia="宋体" w:cs="宋体"/>
          <w:sz w:val="22"/>
          <w:highlight w:val="none"/>
        </w:rPr>
        <w:t>投标人在采购文件规定的投标有效期内撤回投标；</w:t>
      </w:r>
    </w:p>
    <w:p>
      <w:pPr>
        <w:numPr>
          <w:ilvl w:val="0"/>
          <w:numId w:val="5"/>
        </w:numPr>
        <w:tabs>
          <w:tab w:val="left" w:pos="525"/>
        </w:tabs>
        <w:ind w:left="525"/>
        <w:rPr>
          <w:rFonts w:hint="eastAsia" w:ascii="宋体" w:hAnsi="宋体" w:eastAsia="宋体" w:cs="宋体"/>
          <w:sz w:val="22"/>
          <w:highlight w:val="none"/>
        </w:rPr>
      </w:pPr>
      <w:r>
        <w:rPr>
          <w:rFonts w:hint="eastAsia" w:ascii="宋体" w:hAnsi="宋体" w:eastAsia="宋体" w:cs="宋体"/>
          <w:sz w:val="22"/>
          <w:highlight w:val="none"/>
        </w:rPr>
        <w:t>中标人未按中标通知书中规定的时间与采购人签订合同；</w:t>
      </w:r>
    </w:p>
    <w:p>
      <w:pPr>
        <w:numPr>
          <w:ilvl w:val="0"/>
          <w:numId w:val="5"/>
        </w:numPr>
        <w:tabs>
          <w:tab w:val="left" w:pos="525"/>
        </w:tabs>
        <w:ind w:left="525"/>
        <w:rPr>
          <w:rFonts w:hint="eastAsia" w:ascii="宋体" w:hAnsi="宋体" w:eastAsia="宋体" w:cs="宋体"/>
          <w:sz w:val="22"/>
          <w:highlight w:val="none"/>
        </w:rPr>
      </w:pPr>
      <w:r>
        <w:rPr>
          <w:rFonts w:hint="eastAsia" w:ascii="宋体" w:hAnsi="宋体" w:eastAsia="宋体" w:cs="宋体"/>
          <w:sz w:val="22"/>
          <w:highlight w:val="none"/>
        </w:rPr>
        <w:t>中标人在规定期限内未能根据采购文件要求提供履约担保；</w:t>
      </w:r>
    </w:p>
    <w:p>
      <w:pPr>
        <w:numPr>
          <w:ilvl w:val="0"/>
          <w:numId w:val="5"/>
        </w:numPr>
        <w:tabs>
          <w:tab w:val="left" w:pos="525"/>
        </w:tabs>
        <w:ind w:left="525"/>
        <w:rPr>
          <w:rFonts w:hint="eastAsia" w:ascii="宋体" w:hAnsi="宋体" w:eastAsia="宋体" w:cs="宋体"/>
          <w:sz w:val="22"/>
          <w:highlight w:val="none"/>
        </w:rPr>
      </w:pPr>
      <w:r>
        <w:rPr>
          <w:rFonts w:hint="eastAsia" w:ascii="宋体" w:hAnsi="宋体" w:eastAsia="宋体" w:cs="宋体"/>
          <w:sz w:val="22"/>
          <w:highlight w:val="none"/>
        </w:rPr>
        <w:t>投标人在投标文件中提供虚假技术指标及参数，经评标委员会确认属实的；</w:t>
      </w:r>
    </w:p>
    <w:p>
      <w:pPr>
        <w:numPr>
          <w:ilvl w:val="0"/>
          <w:numId w:val="5"/>
        </w:numPr>
        <w:tabs>
          <w:tab w:val="left" w:pos="525"/>
        </w:tabs>
        <w:ind w:left="525"/>
        <w:rPr>
          <w:rFonts w:hint="eastAsia" w:ascii="宋体" w:hAnsi="宋体" w:eastAsia="宋体" w:cs="宋体"/>
          <w:sz w:val="22"/>
          <w:highlight w:val="none"/>
        </w:rPr>
      </w:pPr>
      <w:r>
        <w:rPr>
          <w:rFonts w:hint="eastAsia" w:ascii="宋体" w:hAnsi="宋体" w:eastAsia="宋体" w:cs="宋体"/>
          <w:sz w:val="22"/>
          <w:highlight w:val="none"/>
        </w:rPr>
        <w:t>经国企采购监督管理部门审查认定投标供应商有违反《温州市市属国有企业采购管理办法（试行）》等有关法律法规的行为。</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投标有效期</w:t>
      </w:r>
    </w:p>
    <w:p>
      <w:pPr>
        <w:tabs>
          <w:tab w:val="left" w:pos="1080"/>
          <w:tab w:val="left" w:pos="1287"/>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 xml:space="preserve">14.1 </w:t>
      </w:r>
      <w:r>
        <w:rPr>
          <w:rFonts w:hint="eastAsia" w:ascii="宋体" w:hAnsi="宋体" w:eastAsia="宋体" w:cs="宋体"/>
          <w:b/>
          <w:sz w:val="22"/>
          <w:highlight w:val="none"/>
          <w:u w:val="single"/>
        </w:rPr>
        <w:t>▲投标有效期见投标人须知前附表，投标文件有效期短于这个规定期限的将被拒绝。</w:t>
      </w:r>
    </w:p>
    <w:p>
      <w:pPr>
        <w:tabs>
          <w:tab w:val="left" w:pos="1080"/>
          <w:tab w:val="left" w:pos="1287"/>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14.2在投标人须知前附表规定的投标有效期内，投标人不得要求撤销或修改其投标文件。</w:t>
      </w:r>
    </w:p>
    <w:p>
      <w:pPr>
        <w:tabs>
          <w:tab w:val="left" w:pos="1080"/>
          <w:tab w:val="left" w:pos="1287"/>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14.3 特殊情况下，在原投标有效期截止前，采购人可与投标人协商延长投标有效期，这种要求和答复均以书面形式进行。投标人可拒绝接受延期要求，而不会导致投标保证金不予退还。同意延长投标有效期的投标人不得修改投标文件。有关退还和不予退还投标保证金的规定在投标有效期的延长期内继续有效。</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投标文件的签署和规定</w:t>
      </w:r>
    </w:p>
    <w:p>
      <w:pPr>
        <w:numPr>
          <w:ilvl w:val="1"/>
          <w:numId w:val="6"/>
        </w:numPr>
        <w:tabs>
          <w:tab w:val="left" w:pos="525"/>
        </w:tabs>
        <w:ind w:left="525" w:hanging="525"/>
        <w:rPr>
          <w:rFonts w:hint="eastAsia" w:ascii="宋体" w:hAnsi="宋体" w:eastAsia="宋体" w:cs="宋体"/>
          <w:b/>
          <w:sz w:val="22"/>
          <w:highlight w:val="none"/>
        </w:rPr>
      </w:pPr>
      <w:r>
        <w:rPr>
          <w:rFonts w:hint="eastAsia" w:ascii="宋体" w:hAnsi="宋体" w:eastAsia="宋体" w:cs="宋体"/>
          <w:b/>
          <w:sz w:val="22"/>
          <w:highlight w:val="none"/>
        </w:rPr>
        <w:t>投标人应提供技术资信标、商务（报价）标各一式</w:t>
      </w:r>
      <w:r>
        <w:rPr>
          <w:rFonts w:hint="eastAsia" w:ascii="宋体" w:hAnsi="宋体" w:eastAsia="宋体" w:cs="宋体"/>
          <w:b/>
          <w:sz w:val="22"/>
          <w:highlight w:val="none"/>
          <w:lang w:val="en-US" w:eastAsia="zh-CN"/>
        </w:rPr>
        <w:t>五</w:t>
      </w:r>
      <w:r>
        <w:rPr>
          <w:rFonts w:hint="eastAsia" w:ascii="宋体" w:hAnsi="宋体" w:eastAsia="宋体" w:cs="宋体"/>
          <w:b/>
          <w:sz w:val="22"/>
          <w:highlight w:val="none"/>
        </w:rPr>
        <w:t>份的投标文件，分别装订成册。其中正本一份、副本</w:t>
      </w:r>
      <w:r>
        <w:rPr>
          <w:rFonts w:hint="eastAsia" w:ascii="宋体" w:hAnsi="宋体" w:eastAsia="宋体" w:cs="宋体"/>
          <w:b/>
          <w:sz w:val="22"/>
          <w:highlight w:val="none"/>
          <w:lang w:val="en-US" w:eastAsia="zh-CN"/>
        </w:rPr>
        <w:t>四</w:t>
      </w:r>
      <w:r>
        <w:rPr>
          <w:rFonts w:hint="eastAsia" w:ascii="宋体" w:hAnsi="宋体" w:eastAsia="宋体" w:cs="宋体"/>
          <w:b/>
          <w:sz w:val="22"/>
          <w:highlight w:val="none"/>
        </w:rPr>
        <w:t>份，每套投标文件的封面应清楚标明“正本”或“副本”字样，若“正本”与“副本”不符，以“正本”为准。</w:t>
      </w:r>
    </w:p>
    <w:p>
      <w:pPr>
        <w:numPr>
          <w:ilvl w:val="1"/>
          <w:numId w:val="6"/>
        </w:numPr>
        <w:tabs>
          <w:tab w:val="left" w:pos="525"/>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投标文件的正本必须打印或用不褪色的墨水书写，并由</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或其授权代表签署，副本可用正本的复印件。</w:t>
      </w:r>
    </w:p>
    <w:p>
      <w:pPr>
        <w:numPr>
          <w:ilvl w:val="1"/>
          <w:numId w:val="6"/>
        </w:numPr>
        <w:tabs>
          <w:tab w:val="left" w:pos="525"/>
        </w:tabs>
        <w:ind w:left="525" w:hanging="525"/>
        <w:rPr>
          <w:rFonts w:hint="eastAsia" w:ascii="宋体" w:hAnsi="宋体" w:eastAsia="宋体" w:cs="宋体"/>
          <w:b/>
          <w:sz w:val="22"/>
          <w:highlight w:val="none"/>
        </w:rPr>
      </w:pPr>
      <w:r>
        <w:rPr>
          <w:rFonts w:hint="eastAsia" w:ascii="宋体" w:hAnsi="宋体" w:eastAsia="宋体" w:cs="宋体"/>
          <w:b/>
          <w:sz w:val="22"/>
          <w:highlight w:val="none"/>
        </w:rPr>
        <w:t>投标文件如有修改和增删必须由投标文件签字人在修改和增删处旁签署或盖章，方才有效。</w:t>
      </w:r>
    </w:p>
    <w:p>
      <w:pPr>
        <w:numPr>
          <w:ilvl w:val="1"/>
          <w:numId w:val="6"/>
        </w:numPr>
        <w:tabs>
          <w:tab w:val="left" w:pos="525"/>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投标文件字迹模糊或在关键的技术、商务条款上表述不清楚，将可能导致其投标被拒绝。</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投标文件的密封及标记</w:t>
      </w:r>
    </w:p>
    <w:p>
      <w:pPr>
        <w:numPr>
          <w:ilvl w:val="1"/>
          <w:numId w:val="7"/>
        </w:numPr>
        <w:tabs>
          <w:tab w:val="left" w:pos="525"/>
        </w:tabs>
        <w:ind w:left="525" w:hanging="525"/>
        <w:rPr>
          <w:rFonts w:hint="eastAsia" w:ascii="宋体" w:hAnsi="宋体" w:eastAsia="宋体" w:cs="宋体"/>
          <w:b/>
          <w:sz w:val="22"/>
          <w:highlight w:val="none"/>
        </w:rPr>
      </w:pPr>
      <w:r>
        <w:rPr>
          <w:rFonts w:hint="eastAsia" w:ascii="宋体" w:hAnsi="宋体" w:eastAsia="宋体" w:cs="宋体"/>
          <w:b/>
          <w:sz w:val="22"/>
          <w:highlight w:val="none"/>
        </w:rPr>
        <w:t>投标人必须将投标文件的“技术资信标”、“商务（报价）标”分别单独密封，且在各自的密封袋上标明“技术资信标”、“商务（报价）标”字样。</w:t>
      </w:r>
      <w:r>
        <w:rPr>
          <w:rFonts w:hint="eastAsia" w:ascii="宋体" w:hAnsi="宋体" w:eastAsia="宋体" w:cs="宋体"/>
          <w:sz w:val="22"/>
          <w:highlight w:val="none"/>
        </w:rPr>
        <w:t>封口处贴上封条，启封处加盖投标单位公章并由</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或其授权代表签字。</w:t>
      </w:r>
      <w:r>
        <w:rPr>
          <w:rFonts w:hint="eastAsia" w:ascii="宋体" w:hAnsi="宋体" w:eastAsia="宋体" w:cs="宋体"/>
          <w:b/>
          <w:sz w:val="22"/>
          <w:highlight w:val="none"/>
        </w:rPr>
        <w:t>封皮上写明投标项目名称、采购编号，并注明“开标时启封”字样。</w:t>
      </w:r>
    </w:p>
    <w:p>
      <w:pPr>
        <w:numPr>
          <w:ilvl w:val="1"/>
          <w:numId w:val="7"/>
        </w:numPr>
        <w:tabs>
          <w:tab w:val="left" w:pos="525"/>
        </w:tabs>
        <w:ind w:left="525" w:hanging="525"/>
        <w:rPr>
          <w:rFonts w:hint="eastAsia" w:ascii="宋体" w:hAnsi="宋体" w:eastAsia="宋体" w:cs="宋体"/>
          <w:sz w:val="22"/>
          <w:highlight w:val="none"/>
        </w:rPr>
      </w:pPr>
      <w:r>
        <w:rPr>
          <w:rFonts w:hint="eastAsia" w:ascii="宋体" w:hAnsi="宋体" w:eastAsia="宋体" w:cs="宋体"/>
          <w:sz w:val="22"/>
          <w:highlight w:val="none"/>
        </w:rPr>
        <w:t>如果投标人未按上述要求密封及加写标记，采购人对投标文件的误投和提前启封不负责任。</w:t>
      </w:r>
    </w:p>
    <w:p>
      <w:pPr>
        <w:spacing w:before="156" w:beforeLines="50" w:after="156" w:afterLines="50"/>
        <w:jc w:val="center"/>
        <w:rPr>
          <w:rFonts w:hint="eastAsia" w:ascii="宋体" w:hAnsi="宋体" w:eastAsia="宋体" w:cs="宋体"/>
          <w:b/>
          <w:sz w:val="28"/>
          <w:szCs w:val="28"/>
          <w:highlight w:val="none"/>
        </w:rPr>
      </w:pPr>
      <w:bookmarkStart w:id="83" w:name="_Toc205703105"/>
      <w:bookmarkStart w:id="84" w:name="_Toc219538616"/>
      <w:bookmarkStart w:id="85" w:name="_Toc227057036"/>
      <w:bookmarkStart w:id="86" w:name="_Toc217460688"/>
      <w:bookmarkStart w:id="87" w:name="_Toc209332636"/>
      <w:bookmarkStart w:id="88" w:name="_Toc205004971"/>
      <w:bookmarkStart w:id="89" w:name="_Toc204491320"/>
      <w:bookmarkStart w:id="90" w:name="_Toc209261435"/>
      <w:bookmarkStart w:id="91" w:name="_Toc223933224"/>
      <w:bookmarkStart w:id="92" w:name="_Toc223717607"/>
      <w:bookmarkStart w:id="93" w:name="_Toc205877455"/>
      <w:bookmarkStart w:id="94" w:name="_Toc218041729"/>
      <w:bookmarkStart w:id="95" w:name="_Toc210879711"/>
      <w:bookmarkStart w:id="96" w:name="_Toc204578578"/>
      <w:bookmarkStart w:id="97" w:name="_Toc215415533"/>
      <w:bookmarkStart w:id="98" w:name="_Toc216667823"/>
      <w:bookmarkStart w:id="99" w:name="_Toc205005289"/>
      <w:bookmarkStart w:id="100" w:name="_Toc227056849"/>
      <w:bookmarkStart w:id="101" w:name="_Toc207609184"/>
      <w:bookmarkStart w:id="102" w:name="_Toc209250722"/>
      <w:bookmarkStart w:id="103" w:name="_Toc209251130"/>
      <w:bookmarkStart w:id="104" w:name="_Toc205877560"/>
      <w:bookmarkStart w:id="105" w:name="_Toc227489890"/>
      <w:bookmarkStart w:id="106" w:name="_Toc209261368"/>
      <w:bookmarkStart w:id="107" w:name="_Toc214365793"/>
      <w:r>
        <w:rPr>
          <w:rFonts w:hint="eastAsia" w:ascii="宋体" w:hAnsi="宋体" w:eastAsia="宋体" w:cs="宋体"/>
          <w:b/>
          <w:sz w:val="28"/>
          <w:szCs w:val="28"/>
          <w:highlight w:val="none"/>
        </w:rPr>
        <w:t>四、 投标文件的递交</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pPr>
        <w:numPr>
          <w:ilvl w:val="0"/>
          <w:numId w:val="3"/>
        </w:numPr>
        <w:tabs>
          <w:tab w:val="left" w:pos="525"/>
          <w:tab w:val="left" w:pos="900"/>
        </w:tabs>
        <w:ind w:left="527" w:hanging="527"/>
        <w:rPr>
          <w:rFonts w:hint="eastAsia" w:ascii="宋体" w:hAnsi="宋体" w:eastAsia="宋体" w:cs="宋体"/>
          <w:sz w:val="22"/>
          <w:highlight w:val="none"/>
        </w:rPr>
      </w:pPr>
      <w:r>
        <w:rPr>
          <w:rFonts w:hint="eastAsia" w:ascii="宋体" w:hAnsi="宋体" w:eastAsia="宋体" w:cs="宋体"/>
          <w:sz w:val="22"/>
          <w:highlight w:val="none"/>
        </w:rPr>
        <w:t>投标文件的递交</w:t>
      </w:r>
    </w:p>
    <w:p>
      <w:pPr>
        <w:numPr>
          <w:ilvl w:val="1"/>
          <w:numId w:val="8"/>
        </w:numPr>
        <w:tabs>
          <w:tab w:val="left" w:pos="525"/>
        </w:tabs>
        <w:ind w:left="527" w:hanging="527"/>
        <w:rPr>
          <w:rFonts w:hint="eastAsia" w:ascii="宋体" w:hAnsi="宋体" w:eastAsia="宋体" w:cs="宋体"/>
          <w:b/>
          <w:sz w:val="22"/>
          <w:highlight w:val="none"/>
          <w:u w:val="single"/>
        </w:rPr>
      </w:pPr>
      <w:r>
        <w:rPr>
          <w:rFonts w:hint="eastAsia" w:ascii="宋体" w:hAnsi="宋体" w:eastAsia="宋体" w:cs="宋体"/>
          <w:b/>
          <w:bCs/>
          <w:sz w:val="22"/>
          <w:highlight w:val="none"/>
          <w:u w:val="single"/>
        </w:rPr>
        <w:t>▲</w:t>
      </w:r>
      <w:r>
        <w:rPr>
          <w:rFonts w:hint="eastAsia" w:ascii="宋体" w:hAnsi="宋体" w:eastAsia="宋体" w:cs="宋体"/>
          <w:b/>
          <w:sz w:val="22"/>
          <w:highlight w:val="none"/>
          <w:u w:val="single"/>
        </w:rPr>
        <w:t>投标文件必须在规定的投标文件递交截止时间前送达到投标文件递交地点；</w:t>
      </w:r>
    </w:p>
    <w:p>
      <w:pPr>
        <w:numPr>
          <w:ilvl w:val="1"/>
          <w:numId w:val="8"/>
        </w:numPr>
        <w:tabs>
          <w:tab w:val="left" w:pos="525"/>
        </w:tabs>
        <w:ind w:left="527" w:hanging="527"/>
        <w:rPr>
          <w:rFonts w:hint="eastAsia" w:ascii="宋体" w:hAnsi="宋体" w:eastAsia="宋体" w:cs="宋体"/>
          <w:b/>
          <w:sz w:val="22"/>
          <w:highlight w:val="none"/>
        </w:rPr>
      </w:pPr>
      <w:r>
        <w:rPr>
          <w:rFonts w:hint="eastAsia" w:ascii="宋体" w:hAnsi="宋体" w:eastAsia="宋体" w:cs="宋体"/>
          <w:b/>
          <w:sz w:val="22"/>
          <w:highlight w:val="none"/>
        </w:rPr>
        <w:t>在递交投标文件同时递交以下证明文件，由评标委员会确认投标资格：</w:t>
      </w:r>
    </w:p>
    <w:p>
      <w:pPr>
        <w:numPr>
          <w:ilvl w:val="0"/>
          <w:numId w:val="9"/>
        </w:numPr>
        <w:tabs>
          <w:tab w:val="left" w:pos="525"/>
        </w:tabs>
        <w:ind w:left="947"/>
        <w:rPr>
          <w:rFonts w:hint="eastAsia" w:ascii="宋体" w:hAnsi="宋体" w:eastAsia="宋体" w:cs="宋体"/>
          <w:b/>
          <w:sz w:val="22"/>
          <w:highlight w:val="none"/>
        </w:rPr>
      </w:pPr>
      <w:r>
        <w:rPr>
          <w:rFonts w:hint="eastAsia" w:ascii="宋体" w:hAnsi="宋体" w:eastAsia="宋体" w:cs="宋体"/>
          <w:b/>
          <w:sz w:val="22"/>
          <w:highlight w:val="none"/>
        </w:rPr>
        <w:t>投标保证金缴纳凭证；</w:t>
      </w:r>
    </w:p>
    <w:p>
      <w:pPr>
        <w:numPr>
          <w:ilvl w:val="0"/>
          <w:numId w:val="9"/>
        </w:numPr>
        <w:tabs>
          <w:tab w:val="left" w:pos="525"/>
        </w:tabs>
        <w:ind w:left="947"/>
        <w:rPr>
          <w:rFonts w:hint="eastAsia" w:ascii="宋体" w:hAnsi="宋体" w:eastAsia="宋体" w:cs="宋体"/>
          <w:b/>
          <w:sz w:val="22"/>
          <w:highlight w:val="none"/>
        </w:rPr>
      </w:pPr>
      <w:r>
        <w:rPr>
          <w:rFonts w:hint="eastAsia" w:ascii="宋体" w:hAnsi="宋体" w:eastAsia="宋体" w:cs="宋体"/>
          <w:b/>
          <w:sz w:val="22"/>
          <w:highlight w:val="none"/>
        </w:rPr>
        <w:t>投标人代表有效身份证件（原件）；</w:t>
      </w:r>
    </w:p>
    <w:p>
      <w:pPr>
        <w:numPr>
          <w:ilvl w:val="0"/>
          <w:numId w:val="9"/>
        </w:numPr>
        <w:tabs>
          <w:tab w:val="left" w:pos="525"/>
        </w:tabs>
        <w:ind w:left="947"/>
        <w:rPr>
          <w:rFonts w:hint="eastAsia" w:ascii="宋体" w:hAnsi="宋体" w:eastAsia="宋体" w:cs="宋体"/>
          <w:b/>
          <w:sz w:val="22"/>
          <w:highlight w:val="none"/>
        </w:rPr>
      </w:pPr>
      <w:r>
        <w:rPr>
          <w:rFonts w:hint="eastAsia" w:ascii="宋体" w:hAnsi="宋体" w:eastAsia="宋体" w:cs="宋体"/>
          <w:b/>
          <w:sz w:val="22"/>
          <w:highlight w:val="none"/>
        </w:rPr>
        <w:t>如企业/事业单位</w:t>
      </w:r>
      <w:r>
        <w:rPr>
          <w:rFonts w:hint="eastAsia" w:ascii="宋体" w:hAnsi="宋体" w:eastAsia="宋体" w:cs="宋体"/>
          <w:b/>
          <w:sz w:val="22"/>
          <w:highlight w:val="none"/>
          <w:lang w:eastAsia="zh-CN"/>
        </w:rPr>
        <w:t>法定代表人</w:t>
      </w:r>
      <w:r>
        <w:rPr>
          <w:rFonts w:hint="eastAsia" w:ascii="宋体" w:hAnsi="宋体" w:eastAsia="宋体" w:cs="宋体"/>
          <w:b/>
          <w:sz w:val="22"/>
          <w:highlight w:val="none"/>
        </w:rPr>
        <w:t>委派投标人代表的，需提交</w:t>
      </w:r>
      <w:r>
        <w:rPr>
          <w:rFonts w:hint="eastAsia" w:ascii="宋体" w:hAnsi="宋体" w:eastAsia="宋体" w:cs="宋体"/>
          <w:b/>
          <w:sz w:val="22"/>
          <w:highlight w:val="none"/>
          <w:lang w:eastAsia="zh-CN"/>
        </w:rPr>
        <w:t>法定代表人</w:t>
      </w:r>
      <w:r>
        <w:rPr>
          <w:rFonts w:hint="eastAsia" w:ascii="宋体" w:hAnsi="宋体" w:eastAsia="宋体" w:cs="宋体"/>
          <w:b/>
          <w:sz w:val="22"/>
          <w:highlight w:val="none"/>
        </w:rPr>
        <w:t>授权书（原件）。</w:t>
      </w:r>
    </w:p>
    <w:p>
      <w:pPr>
        <w:numPr>
          <w:ilvl w:val="0"/>
          <w:numId w:val="3"/>
        </w:numPr>
        <w:tabs>
          <w:tab w:val="left" w:pos="525"/>
          <w:tab w:val="left" w:pos="900"/>
        </w:tabs>
        <w:ind w:left="527" w:hanging="527"/>
        <w:rPr>
          <w:rFonts w:hint="eastAsia" w:ascii="宋体" w:hAnsi="宋体" w:eastAsia="宋体" w:cs="宋体"/>
          <w:sz w:val="22"/>
          <w:highlight w:val="none"/>
        </w:rPr>
      </w:pPr>
      <w:r>
        <w:rPr>
          <w:rFonts w:hint="eastAsia" w:ascii="宋体" w:hAnsi="宋体" w:eastAsia="宋体" w:cs="宋体"/>
          <w:sz w:val="22"/>
          <w:highlight w:val="none"/>
        </w:rPr>
        <w:t>投标文件的修改和撤回</w:t>
      </w:r>
    </w:p>
    <w:p>
      <w:pPr>
        <w:numPr>
          <w:ilvl w:val="1"/>
          <w:numId w:val="10"/>
        </w:numPr>
        <w:tabs>
          <w:tab w:val="left" w:pos="525"/>
        </w:tabs>
        <w:ind w:left="527" w:hanging="527"/>
        <w:rPr>
          <w:rFonts w:hint="eastAsia" w:ascii="宋体" w:hAnsi="宋体" w:eastAsia="宋体" w:cs="宋体"/>
          <w:bCs/>
          <w:sz w:val="22"/>
          <w:highlight w:val="none"/>
        </w:rPr>
      </w:pPr>
      <w:r>
        <w:rPr>
          <w:rFonts w:hint="eastAsia" w:ascii="宋体" w:hAnsi="宋体" w:eastAsia="宋体" w:cs="宋体"/>
          <w:bCs/>
          <w:sz w:val="22"/>
          <w:highlight w:val="none"/>
        </w:rPr>
        <w:t>在投标文件递交截止时间前，投标人可以用书面形式提出修改或撤回其投标并送达到采购人，但不得影响开标活动的正常进行。</w:t>
      </w:r>
    </w:p>
    <w:p>
      <w:pPr>
        <w:numPr>
          <w:ilvl w:val="1"/>
          <w:numId w:val="10"/>
        </w:numPr>
        <w:tabs>
          <w:tab w:val="left" w:pos="525"/>
        </w:tabs>
        <w:ind w:left="527" w:hanging="527"/>
        <w:rPr>
          <w:rFonts w:hint="eastAsia" w:ascii="宋体" w:hAnsi="宋体" w:eastAsia="宋体" w:cs="宋体"/>
          <w:bCs/>
          <w:sz w:val="22"/>
          <w:highlight w:val="none"/>
        </w:rPr>
      </w:pPr>
      <w:r>
        <w:rPr>
          <w:rFonts w:hint="eastAsia" w:ascii="宋体" w:hAnsi="宋体" w:eastAsia="宋体" w:cs="宋体"/>
          <w:bCs/>
          <w:sz w:val="22"/>
          <w:highlight w:val="none"/>
        </w:rPr>
        <w:t>“投标文件修改”或“投标文件撤回通知”都应密封并在密封袋上写明投标项目名称、编号、投标单位名称，并注明“投标文件修改”或“投标文件撤回通知”字样。</w:t>
      </w:r>
    </w:p>
    <w:p>
      <w:pPr>
        <w:numPr>
          <w:ilvl w:val="1"/>
          <w:numId w:val="10"/>
        </w:numPr>
        <w:tabs>
          <w:tab w:val="left" w:pos="525"/>
        </w:tabs>
        <w:ind w:left="527" w:hanging="527"/>
        <w:rPr>
          <w:rFonts w:hint="eastAsia" w:ascii="宋体" w:hAnsi="宋体" w:eastAsia="宋体" w:cs="宋体"/>
          <w:bCs/>
          <w:sz w:val="22"/>
          <w:highlight w:val="none"/>
        </w:rPr>
      </w:pPr>
      <w:r>
        <w:rPr>
          <w:rFonts w:hint="eastAsia" w:ascii="宋体" w:hAnsi="宋体" w:eastAsia="宋体" w:cs="宋体"/>
          <w:bCs/>
          <w:sz w:val="22"/>
          <w:highlight w:val="none"/>
        </w:rPr>
        <w:t>从投标文件递交截止时间起至投标有效期满这段时间内，投标人不得撤回其投标，否则投标保证金将被不予退还。</w:t>
      </w:r>
    </w:p>
    <w:p>
      <w:pPr>
        <w:numPr>
          <w:ilvl w:val="0"/>
          <w:numId w:val="3"/>
        </w:numPr>
        <w:tabs>
          <w:tab w:val="left" w:pos="525"/>
          <w:tab w:val="left" w:pos="900"/>
        </w:tabs>
        <w:ind w:left="527" w:hanging="527"/>
        <w:rPr>
          <w:rFonts w:hint="eastAsia" w:ascii="宋体" w:hAnsi="宋体" w:eastAsia="宋体" w:cs="宋体"/>
          <w:b/>
          <w:sz w:val="22"/>
          <w:highlight w:val="none"/>
          <w:u w:val="single"/>
        </w:rPr>
      </w:pPr>
      <w:r>
        <w:rPr>
          <w:rFonts w:hint="eastAsia" w:ascii="宋体" w:hAnsi="宋体" w:eastAsia="宋体" w:cs="宋体"/>
          <w:b/>
          <w:sz w:val="22"/>
          <w:highlight w:val="none"/>
          <w:u w:val="single"/>
        </w:rPr>
        <w:t>▲发生下列情况之一的投标文件将拒收：</w:t>
      </w:r>
    </w:p>
    <w:p>
      <w:pPr>
        <w:numPr>
          <w:ilvl w:val="1"/>
          <w:numId w:val="11"/>
        </w:numPr>
        <w:tabs>
          <w:tab w:val="left" w:pos="525"/>
        </w:tabs>
        <w:ind w:left="527" w:hanging="527"/>
        <w:rPr>
          <w:rFonts w:hint="eastAsia" w:ascii="宋体" w:hAnsi="宋体" w:eastAsia="宋体" w:cs="宋体"/>
          <w:bCs/>
          <w:sz w:val="22"/>
          <w:highlight w:val="none"/>
          <w:u w:val="single"/>
        </w:rPr>
      </w:pPr>
      <w:r>
        <w:rPr>
          <w:rFonts w:hint="eastAsia" w:ascii="宋体" w:hAnsi="宋体" w:eastAsia="宋体" w:cs="宋体"/>
          <w:bCs/>
          <w:sz w:val="22"/>
          <w:highlight w:val="none"/>
          <w:u w:val="single"/>
        </w:rPr>
        <w:t>在投标文件递交截止时间以后送达的投标文件；</w:t>
      </w:r>
    </w:p>
    <w:p>
      <w:pPr>
        <w:numPr>
          <w:ilvl w:val="1"/>
          <w:numId w:val="11"/>
        </w:numPr>
        <w:tabs>
          <w:tab w:val="left" w:pos="525"/>
        </w:tabs>
        <w:ind w:left="527" w:hanging="527"/>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未购买采购文件；</w:t>
      </w:r>
    </w:p>
    <w:p>
      <w:pPr>
        <w:numPr>
          <w:ilvl w:val="1"/>
          <w:numId w:val="11"/>
        </w:numPr>
        <w:tabs>
          <w:tab w:val="left" w:pos="525"/>
        </w:tabs>
        <w:ind w:left="527" w:hanging="527"/>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未密封或未装订的投标文件及由于包装不妥在送达途中严重破损或失散的投标文件；</w:t>
      </w:r>
    </w:p>
    <w:p>
      <w:pPr>
        <w:numPr>
          <w:ilvl w:val="1"/>
          <w:numId w:val="11"/>
        </w:numPr>
        <w:tabs>
          <w:tab w:val="left" w:pos="525"/>
        </w:tabs>
        <w:ind w:left="527" w:hanging="527"/>
        <w:rPr>
          <w:rFonts w:hint="eastAsia" w:ascii="宋体" w:hAnsi="宋体" w:eastAsia="宋体" w:cs="宋体"/>
          <w:bCs/>
          <w:sz w:val="22"/>
          <w:highlight w:val="none"/>
        </w:rPr>
      </w:pPr>
      <w:r>
        <w:rPr>
          <w:rFonts w:hint="eastAsia" w:ascii="宋体" w:hAnsi="宋体" w:eastAsia="宋体" w:cs="宋体"/>
          <w:bCs/>
          <w:sz w:val="22"/>
          <w:highlight w:val="none"/>
          <w:u w:val="single"/>
        </w:rPr>
        <w:t>以电讯形式递交的投标文件</w:t>
      </w:r>
      <w:r>
        <w:rPr>
          <w:rFonts w:hint="eastAsia" w:ascii="宋体" w:hAnsi="宋体" w:eastAsia="宋体" w:cs="宋体"/>
          <w:bCs/>
          <w:sz w:val="22"/>
          <w:highlight w:val="none"/>
        </w:rPr>
        <w:t>。</w:t>
      </w:r>
    </w:p>
    <w:p>
      <w:pPr>
        <w:spacing w:before="156" w:beforeLines="50" w:after="156" w:afterLines="50"/>
        <w:jc w:val="center"/>
        <w:rPr>
          <w:rFonts w:hint="eastAsia" w:ascii="宋体" w:hAnsi="宋体" w:eastAsia="宋体" w:cs="宋体"/>
          <w:b/>
          <w:sz w:val="28"/>
          <w:szCs w:val="28"/>
          <w:highlight w:val="none"/>
        </w:rPr>
      </w:pPr>
      <w:bookmarkStart w:id="108" w:name="_Toc207609185"/>
      <w:bookmarkStart w:id="109" w:name="_Toc218041730"/>
      <w:bookmarkStart w:id="110" w:name="_Toc204578579"/>
      <w:bookmarkStart w:id="111" w:name="_Toc209261436"/>
      <w:bookmarkStart w:id="112" w:name="_Toc210879712"/>
      <w:bookmarkStart w:id="113" w:name="_Toc227056850"/>
      <w:bookmarkStart w:id="114" w:name="_Toc204491321"/>
      <w:bookmarkStart w:id="115" w:name="_Toc205877456"/>
      <w:bookmarkStart w:id="116" w:name="_Toc209261369"/>
      <w:bookmarkStart w:id="117" w:name="_Toc205004972"/>
      <w:bookmarkStart w:id="118" w:name="_Toc209251131"/>
      <w:bookmarkStart w:id="119" w:name="_Toc219538617"/>
      <w:bookmarkStart w:id="120" w:name="_Toc215415534"/>
      <w:bookmarkStart w:id="121" w:name="_Toc217460689"/>
      <w:bookmarkStart w:id="122" w:name="_Toc209250723"/>
      <w:bookmarkStart w:id="123" w:name="_Toc209332637"/>
      <w:bookmarkStart w:id="124" w:name="_Toc205703106"/>
      <w:bookmarkStart w:id="125" w:name="_Toc205005290"/>
      <w:bookmarkStart w:id="126" w:name="_Toc223933225"/>
      <w:bookmarkStart w:id="127" w:name="_Toc216667824"/>
      <w:bookmarkStart w:id="128" w:name="_Toc223717608"/>
      <w:bookmarkStart w:id="129" w:name="_Toc205877561"/>
      <w:bookmarkStart w:id="130" w:name="_Toc227489891"/>
      <w:bookmarkStart w:id="131" w:name="_Toc214365794"/>
      <w:bookmarkStart w:id="132" w:name="_Toc227057037"/>
      <w:r>
        <w:rPr>
          <w:rFonts w:hint="eastAsia" w:ascii="宋体" w:hAnsi="宋体" w:eastAsia="宋体" w:cs="宋体"/>
          <w:b/>
          <w:sz w:val="28"/>
          <w:szCs w:val="28"/>
          <w:highlight w:val="none"/>
        </w:rPr>
        <w:t>五、 开标和评审</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pPr>
        <w:numPr>
          <w:ilvl w:val="0"/>
          <w:numId w:val="3"/>
        </w:numPr>
        <w:tabs>
          <w:tab w:val="left" w:pos="525"/>
          <w:tab w:val="left" w:pos="900"/>
        </w:tabs>
        <w:ind w:left="525" w:hanging="525"/>
        <w:rPr>
          <w:rFonts w:hint="eastAsia" w:ascii="宋体" w:hAnsi="宋体" w:eastAsia="宋体" w:cs="宋体"/>
          <w:sz w:val="22"/>
          <w:highlight w:val="none"/>
        </w:rPr>
      </w:pPr>
      <w:bookmarkStart w:id="133" w:name="_Toc223933226"/>
      <w:bookmarkStart w:id="134" w:name="_Toc227057038"/>
      <w:bookmarkStart w:id="135" w:name="_Toc223717609"/>
      <w:bookmarkStart w:id="136" w:name="_Toc216667825"/>
      <w:bookmarkStart w:id="137" w:name="_Toc205004973"/>
      <w:bookmarkStart w:id="138" w:name="_Toc205877562"/>
      <w:bookmarkStart w:id="139" w:name="_Toc205005291"/>
      <w:bookmarkStart w:id="140" w:name="_Toc205877457"/>
      <w:bookmarkStart w:id="141" w:name="_Toc205703107"/>
      <w:bookmarkStart w:id="142" w:name="_Toc217460690"/>
      <w:bookmarkStart w:id="143" w:name="_Toc214365795"/>
      <w:bookmarkStart w:id="144" w:name="_Toc209261370"/>
      <w:bookmarkStart w:id="145" w:name="_Toc227489892"/>
      <w:bookmarkStart w:id="146" w:name="_Toc218041731"/>
      <w:bookmarkStart w:id="147" w:name="_Toc215415535"/>
      <w:bookmarkStart w:id="148" w:name="_Toc209332638"/>
      <w:bookmarkStart w:id="149" w:name="_Toc219538618"/>
      <w:bookmarkStart w:id="150" w:name="_Toc204578580"/>
      <w:bookmarkStart w:id="151" w:name="_Toc210879713"/>
      <w:bookmarkStart w:id="152" w:name="_Toc227056851"/>
      <w:bookmarkStart w:id="153" w:name="_Toc209250724"/>
      <w:bookmarkStart w:id="154" w:name="_Toc207609186"/>
      <w:bookmarkStart w:id="155" w:name="_Toc204491322"/>
      <w:bookmarkStart w:id="156" w:name="_Toc209251132"/>
      <w:bookmarkStart w:id="157" w:name="_Toc209261437"/>
      <w:r>
        <w:rPr>
          <w:rFonts w:hint="eastAsia" w:ascii="宋体" w:hAnsi="宋体" w:eastAsia="宋体" w:cs="宋体"/>
          <w:sz w:val="22"/>
          <w:highlight w:val="none"/>
        </w:rPr>
        <w:t>评标委员会</w:t>
      </w:r>
    </w:p>
    <w:p>
      <w:pPr>
        <w:ind w:left="540" w:leftChars="257"/>
        <w:rPr>
          <w:rFonts w:hint="eastAsia" w:ascii="宋体" w:hAnsi="宋体" w:eastAsia="宋体" w:cs="宋体"/>
          <w:bCs/>
          <w:sz w:val="22"/>
          <w:highlight w:val="none"/>
        </w:rPr>
      </w:pPr>
      <w:r>
        <w:rPr>
          <w:rFonts w:hint="eastAsia" w:ascii="宋体" w:hAnsi="宋体" w:eastAsia="宋体" w:cs="宋体"/>
          <w:bCs/>
          <w:sz w:val="22"/>
          <w:highlight w:val="none"/>
        </w:rPr>
        <w:t>采购人依法组建评标委员会。评标委员会的成员在评标过程中必须严格遵守有关法律、法规的规定。</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评标过程的保密性</w:t>
      </w:r>
    </w:p>
    <w:p>
      <w:pPr>
        <w:ind w:left="540" w:leftChars="257"/>
        <w:rPr>
          <w:rFonts w:hint="eastAsia" w:ascii="宋体" w:hAnsi="宋体" w:eastAsia="宋体" w:cs="宋体"/>
          <w:bCs/>
          <w:sz w:val="22"/>
          <w:highlight w:val="none"/>
        </w:rPr>
      </w:pPr>
      <w:r>
        <w:rPr>
          <w:rFonts w:hint="eastAsia" w:ascii="宋体" w:hAnsi="宋体" w:eastAsia="宋体" w:cs="宋体"/>
          <w:bCs/>
          <w:sz w:val="22"/>
          <w:highlight w:val="none"/>
        </w:rPr>
        <w:t>开标后直至向中标人授予合同时止，凡与评审有关的资料均不得向投标人及与评标无关人员透露。如果投标人在评标过程中试图向</w:t>
      </w:r>
      <w:r>
        <w:rPr>
          <w:rFonts w:hint="eastAsia" w:ascii="宋体" w:hAnsi="宋体" w:eastAsia="宋体" w:cs="宋体"/>
          <w:sz w:val="22"/>
          <w:highlight w:val="none"/>
        </w:rPr>
        <w:t>采购单位、评标委员会</w:t>
      </w:r>
      <w:r>
        <w:rPr>
          <w:rFonts w:hint="eastAsia" w:ascii="宋体" w:hAnsi="宋体" w:eastAsia="宋体" w:cs="宋体"/>
          <w:bCs/>
          <w:sz w:val="22"/>
          <w:highlight w:val="none"/>
        </w:rPr>
        <w:t>施加影响，其投标将被拒绝。</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开标、评标</w:t>
      </w:r>
    </w:p>
    <w:p>
      <w:pPr>
        <w:numPr>
          <w:ilvl w:val="1"/>
          <w:numId w:val="12"/>
        </w:numPr>
        <w:tabs>
          <w:tab w:val="left" w:pos="540"/>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开标程序：</w:t>
      </w:r>
    </w:p>
    <w:p>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宣布开标纪律；</w:t>
      </w:r>
    </w:p>
    <w:p>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公布在投标截止时间前递交投标文件的投标供应商名称，并点名确认投标供应商是否派授权代表到场；</w:t>
      </w:r>
    </w:p>
    <w:p>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宣布唱标人、记录人、监督人员等有关人员姓名；</w:t>
      </w:r>
    </w:p>
    <w:p>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密封情况检查：由投标供应商或其推选的代表检查投标文件密封情况；</w:t>
      </w:r>
    </w:p>
    <w:p>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开标顺序：</w:t>
      </w:r>
      <w:r>
        <w:rPr>
          <w:rFonts w:hint="eastAsia" w:ascii="宋体" w:hAnsi="宋体" w:eastAsia="宋体" w:cs="宋体"/>
          <w:bCs/>
          <w:sz w:val="22"/>
          <w:highlight w:val="none"/>
          <w:lang w:val="en-US" w:eastAsia="zh-CN"/>
        </w:rPr>
        <w:t>同时</w:t>
      </w:r>
      <w:r>
        <w:rPr>
          <w:rFonts w:hint="eastAsia" w:ascii="宋体" w:hAnsi="宋体" w:eastAsia="宋体" w:cs="宋体"/>
          <w:bCs/>
          <w:sz w:val="22"/>
          <w:highlight w:val="none"/>
        </w:rPr>
        <w:t>开启技术资信部分投标文件、开启商务（报价）文件；</w:t>
      </w:r>
    </w:p>
    <w:p>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确认开标结果：投标供应商授权代表对开标书面记录进行当场校核及勘误，并签字确认；并同时由记录人、核对人当场签字确认。</w:t>
      </w:r>
    </w:p>
    <w:p>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宣布开标结束。</w:t>
      </w:r>
    </w:p>
    <w:p>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投标供应商授权代表未参加开标会议；未到场签字确认的，不影响开标，评标过程，视同认可开标结果；事后不得对采购相关人员、开标过程和开标结果提出异议。</w:t>
      </w:r>
    </w:p>
    <w:p>
      <w:pPr>
        <w:numPr>
          <w:ilvl w:val="1"/>
          <w:numId w:val="12"/>
        </w:numPr>
        <w:tabs>
          <w:tab w:val="left" w:pos="540"/>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评标程序：先对各投标文件进行初审，然后对初审合格的投标文件进行技术资信标评审，技术资信标评审结束后，再对各有效标进行商务（报价）评审。</w:t>
      </w:r>
    </w:p>
    <w:p>
      <w:pPr>
        <w:numPr>
          <w:ilvl w:val="1"/>
          <w:numId w:val="12"/>
        </w:numPr>
        <w:tabs>
          <w:tab w:val="left" w:pos="525"/>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投标文件的初审。初审分为资格性审查和符合性检查。</w:t>
      </w:r>
    </w:p>
    <w:p>
      <w:pPr>
        <w:numPr>
          <w:ilvl w:val="0"/>
          <w:numId w:val="14"/>
        </w:numPr>
        <w:tabs>
          <w:tab w:val="left" w:pos="525"/>
        </w:tabs>
        <w:ind w:left="525" w:hanging="315"/>
        <w:rPr>
          <w:rFonts w:hint="eastAsia" w:ascii="宋体" w:hAnsi="宋体" w:eastAsia="宋体" w:cs="宋体"/>
          <w:b/>
          <w:bCs/>
          <w:sz w:val="22"/>
          <w:highlight w:val="none"/>
          <w:u w:val="single"/>
        </w:rPr>
      </w:pPr>
      <w:r>
        <w:rPr>
          <w:rFonts w:hint="eastAsia" w:ascii="宋体" w:hAnsi="宋体" w:eastAsia="宋体" w:cs="宋体"/>
          <w:bCs/>
          <w:sz w:val="22"/>
          <w:highlight w:val="none"/>
        </w:rPr>
        <w:t>资格性审查。依据法律、法规和采购文件的规定，评标委员会对各投标人进行资格性审查，资格性审查内容包括但不仅限于审查随投标文件一同提交的</w:t>
      </w:r>
      <w:r>
        <w:rPr>
          <w:rFonts w:hint="eastAsia" w:ascii="宋体" w:hAnsi="宋体" w:eastAsia="宋体" w:cs="宋体"/>
          <w:bCs/>
          <w:sz w:val="22"/>
          <w:highlight w:val="none"/>
          <w:lang w:eastAsia="zh-CN"/>
        </w:rPr>
        <w:t>法定代表人</w:t>
      </w:r>
      <w:r>
        <w:rPr>
          <w:rFonts w:hint="eastAsia" w:ascii="宋体" w:hAnsi="宋体" w:eastAsia="宋体" w:cs="宋体"/>
          <w:bCs/>
          <w:sz w:val="22"/>
          <w:highlight w:val="none"/>
        </w:rPr>
        <w:t>授权书（原件）、投标代表人有效身份证件（原件）、投标保证金缴纳凭证，以及投标文件所提交证明材料是否能证明符合本项目对投标人资格的实质性要求。</w:t>
      </w:r>
      <w:r>
        <w:rPr>
          <w:rFonts w:hint="eastAsia" w:ascii="宋体" w:hAnsi="宋体" w:eastAsia="宋体" w:cs="宋体"/>
          <w:b/>
          <w:sz w:val="22"/>
          <w:highlight w:val="none"/>
          <w:u w:val="single"/>
        </w:rPr>
        <w:t>▲</w:t>
      </w:r>
      <w:r>
        <w:rPr>
          <w:rFonts w:hint="eastAsia" w:ascii="宋体" w:hAnsi="宋体" w:eastAsia="宋体" w:cs="宋体"/>
          <w:b/>
          <w:bCs/>
          <w:sz w:val="22"/>
          <w:highlight w:val="none"/>
          <w:u w:val="single"/>
        </w:rPr>
        <w:t>审查不合格的投标文件将作无效标处理。</w:t>
      </w:r>
    </w:p>
    <w:p>
      <w:pPr>
        <w:numPr>
          <w:ilvl w:val="0"/>
          <w:numId w:val="14"/>
        </w:numPr>
        <w:tabs>
          <w:tab w:val="left" w:pos="525"/>
        </w:tabs>
        <w:ind w:left="525" w:hanging="315"/>
        <w:rPr>
          <w:rFonts w:hint="eastAsia" w:ascii="宋体" w:hAnsi="宋体" w:eastAsia="宋体" w:cs="宋体"/>
          <w:bCs/>
          <w:sz w:val="22"/>
          <w:highlight w:val="none"/>
        </w:rPr>
      </w:pPr>
      <w:r>
        <w:rPr>
          <w:rFonts w:hint="eastAsia" w:ascii="宋体" w:hAnsi="宋体" w:eastAsia="宋体" w:cs="宋体"/>
          <w:bCs/>
          <w:sz w:val="22"/>
          <w:highlight w:val="none"/>
        </w:rPr>
        <w:t>符合性检查。依据采购文件的规定，对投标文件的有效性、完整性和对采购文件的响应程度进行审查，以确定是否对采购文件的实质性要求作出响应。</w:t>
      </w:r>
    </w:p>
    <w:p>
      <w:pPr>
        <w:tabs>
          <w:tab w:val="left" w:pos="525"/>
        </w:tabs>
        <w:ind w:left="548" w:leftChars="261"/>
        <w:rPr>
          <w:rFonts w:hint="eastAsia" w:ascii="宋体" w:hAnsi="宋体" w:eastAsia="宋体" w:cs="宋体"/>
          <w:b/>
          <w:bCs/>
          <w:sz w:val="22"/>
          <w:highlight w:val="none"/>
          <w:u w:val="single"/>
        </w:rPr>
      </w:pPr>
      <w:r>
        <w:rPr>
          <w:rFonts w:hint="eastAsia" w:ascii="宋体" w:hAnsi="宋体" w:eastAsia="宋体" w:cs="宋体"/>
          <w:b/>
          <w:bCs/>
          <w:sz w:val="22"/>
          <w:highlight w:val="none"/>
          <w:u w:val="single"/>
        </w:rPr>
        <w:t>▲通过资格性审查与符合性审查的技术资信标由评委进行综合评审，审查确认未通过的技术资信标不予评审。</w:t>
      </w:r>
    </w:p>
    <w:p>
      <w:pPr>
        <w:numPr>
          <w:ilvl w:val="1"/>
          <w:numId w:val="12"/>
        </w:numPr>
        <w:tabs>
          <w:tab w:val="left" w:pos="525"/>
        </w:tabs>
        <w:ind w:left="525" w:hanging="525"/>
        <w:rPr>
          <w:rFonts w:hint="eastAsia" w:ascii="宋体" w:hAnsi="宋体" w:eastAsia="宋体" w:cs="宋体"/>
          <w:b/>
          <w:bCs/>
          <w:sz w:val="22"/>
          <w:highlight w:val="none"/>
          <w:u w:val="single"/>
        </w:rPr>
      </w:pPr>
      <w:r>
        <w:rPr>
          <w:rFonts w:hint="eastAsia" w:ascii="宋体" w:hAnsi="宋体" w:eastAsia="宋体" w:cs="宋体"/>
          <w:b/>
          <w:bCs/>
          <w:sz w:val="22"/>
          <w:highlight w:val="none"/>
          <w:u w:val="single"/>
        </w:rPr>
        <w:t>▲在对各投标人的投标文件进行综合评审时，投标文件有下列情况之一的，经评标委员会认定后按无效标处理：</w:t>
      </w:r>
    </w:p>
    <w:p>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投标文件</w:t>
      </w:r>
      <w:r>
        <w:rPr>
          <w:rFonts w:hint="eastAsia" w:ascii="宋体" w:hAnsi="宋体" w:eastAsia="宋体" w:cs="宋体"/>
          <w:bCs/>
          <w:sz w:val="22"/>
          <w:highlight w:val="none"/>
          <w:u w:val="single"/>
          <w:lang w:val="en-US" w:eastAsia="zh-CN"/>
        </w:rPr>
        <w:t>主要内容</w:t>
      </w:r>
      <w:r>
        <w:rPr>
          <w:rFonts w:hint="eastAsia" w:ascii="宋体" w:hAnsi="宋体" w:eastAsia="宋体" w:cs="宋体"/>
          <w:bCs/>
          <w:sz w:val="22"/>
          <w:highlight w:val="none"/>
          <w:u w:val="single"/>
        </w:rPr>
        <w:t>未按要求加盖单位公章、无</w:t>
      </w:r>
      <w:r>
        <w:rPr>
          <w:rFonts w:hint="eastAsia" w:ascii="宋体" w:hAnsi="宋体" w:eastAsia="宋体" w:cs="宋体"/>
          <w:bCs/>
          <w:sz w:val="22"/>
          <w:highlight w:val="none"/>
          <w:u w:val="single"/>
          <w:lang w:eastAsia="zh-CN"/>
        </w:rPr>
        <w:t>法定代表人</w:t>
      </w:r>
      <w:r>
        <w:rPr>
          <w:rFonts w:hint="eastAsia" w:ascii="宋体" w:hAnsi="宋体" w:eastAsia="宋体" w:cs="宋体"/>
          <w:bCs/>
          <w:sz w:val="22"/>
          <w:highlight w:val="none"/>
          <w:u w:val="single"/>
        </w:rPr>
        <w:t>或其授权代表签字或盖章的；</w:t>
      </w:r>
    </w:p>
    <w:p>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投标文件附有采购人不能接受的条件；</w:t>
      </w:r>
    </w:p>
    <w:p>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授权代表参加投标没有</w:t>
      </w:r>
      <w:r>
        <w:rPr>
          <w:rFonts w:hint="eastAsia" w:ascii="宋体" w:hAnsi="宋体" w:eastAsia="宋体" w:cs="宋体"/>
          <w:bCs/>
          <w:sz w:val="22"/>
          <w:highlight w:val="none"/>
          <w:u w:val="single"/>
          <w:lang w:eastAsia="zh-CN"/>
        </w:rPr>
        <w:t>法定代表人</w:t>
      </w:r>
      <w:r>
        <w:rPr>
          <w:rFonts w:hint="eastAsia" w:ascii="宋体" w:hAnsi="宋体" w:eastAsia="宋体" w:cs="宋体"/>
          <w:bCs/>
          <w:sz w:val="22"/>
          <w:highlight w:val="none"/>
          <w:u w:val="single"/>
        </w:rPr>
        <w:t>合法、有效委托的；</w:t>
      </w:r>
    </w:p>
    <w:p>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投标单位递交两份以上内容不同的投标书，未声明哪一份有效的；</w:t>
      </w:r>
    </w:p>
    <w:p>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投标单位未能按要求提交投标保证金的；</w:t>
      </w:r>
    </w:p>
    <w:p>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未实质性响应采购文件中</w:t>
      </w:r>
      <w:r>
        <w:rPr>
          <w:rFonts w:hint="eastAsia" w:ascii="宋体" w:hAnsi="宋体" w:eastAsia="宋体" w:cs="宋体"/>
          <w:bCs/>
          <w:sz w:val="22"/>
          <w:highlight w:val="none"/>
          <w:u w:val="single"/>
          <w:lang w:val="en-US" w:eastAsia="zh-CN"/>
        </w:rPr>
        <w:t>加</w:t>
      </w:r>
      <w:r>
        <w:rPr>
          <w:rFonts w:hint="eastAsia" w:ascii="宋体" w:hAnsi="宋体" w:eastAsia="宋体" w:cs="宋体"/>
          <w:bCs/>
          <w:sz w:val="22"/>
          <w:highlight w:val="none"/>
          <w:u w:val="single"/>
        </w:rPr>
        <w:t>“▲”同时加下划线</w:t>
      </w:r>
      <w:r>
        <w:rPr>
          <w:rFonts w:hint="eastAsia" w:ascii="宋体" w:hAnsi="宋体" w:eastAsia="宋体" w:cs="宋体"/>
          <w:bCs/>
          <w:sz w:val="22"/>
          <w:highlight w:val="none"/>
          <w:u w:val="single"/>
          <w:lang w:val="en-US" w:eastAsia="zh-CN"/>
        </w:rPr>
        <w:t>的</w:t>
      </w:r>
      <w:r>
        <w:rPr>
          <w:rFonts w:hint="eastAsia" w:ascii="宋体" w:hAnsi="宋体" w:eastAsia="宋体" w:cs="宋体"/>
          <w:bCs/>
          <w:sz w:val="22"/>
          <w:highlight w:val="none"/>
          <w:u w:val="single"/>
        </w:rPr>
        <w:t>条款；</w:t>
      </w:r>
    </w:p>
    <w:p>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投标报价超过</w:t>
      </w:r>
      <w:r>
        <w:rPr>
          <w:rFonts w:hint="eastAsia" w:ascii="宋体" w:hAnsi="宋体" w:eastAsia="宋体" w:cs="宋体"/>
          <w:bCs/>
          <w:sz w:val="22"/>
          <w:highlight w:val="none"/>
          <w:u w:val="single"/>
          <w:lang w:eastAsia="zh-CN"/>
        </w:rPr>
        <w:t>采购预算</w:t>
      </w:r>
      <w:r>
        <w:rPr>
          <w:rFonts w:hint="eastAsia" w:ascii="宋体" w:hAnsi="宋体" w:eastAsia="宋体" w:cs="宋体"/>
          <w:bCs/>
          <w:sz w:val="22"/>
          <w:highlight w:val="none"/>
          <w:u w:val="single"/>
        </w:rPr>
        <w:t>（大于</w:t>
      </w:r>
      <w:r>
        <w:rPr>
          <w:rFonts w:hint="eastAsia" w:ascii="宋体" w:hAnsi="宋体" w:eastAsia="宋体" w:cs="宋体"/>
          <w:bCs/>
          <w:sz w:val="22"/>
          <w:highlight w:val="none"/>
          <w:u w:val="single"/>
          <w:lang w:val="en-US" w:eastAsia="zh-CN"/>
        </w:rPr>
        <w:t>362.5</w:t>
      </w:r>
      <w:r>
        <w:rPr>
          <w:rFonts w:hint="eastAsia" w:ascii="宋体" w:hAnsi="宋体" w:eastAsia="宋体" w:cs="宋体"/>
          <w:bCs/>
          <w:sz w:val="22"/>
          <w:highlight w:val="none"/>
          <w:u w:val="single"/>
        </w:rPr>
        <w:t>万元）的；</w:t>
      </w:r>
    </w:p>
    <w:p>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投标人提交的投标文件相关证书、材料经评标委员会认定有弄虚作假情况的；</w:t>
      </w:r>
    </w:p>
    <w:p>
      <w:pPr>
        <w:numPr>
          <w:ilvl w:val="0"/>
          <w:numId w:val="15"/>
        </w:numPr>
        <w:rPr>
          <w:rFonts w:hint="eastAsia" w:ascii="宋体" w:hAnsi="宋体" w:eastAsia="宋体" w:cs="宋体"/>
          <w:bCs/>
          <w:sz w:val="22"/>
          <w:highlight w:val="none"/>
        </w:rPr>
      </w:pPr>
      <w:r>
        <w:rPr>
          <w:rFonts w:hint="eastAsia" w:ascii="宋体" w:hAnsi="宋体" w:eastAsia="宋体" w:cs="宋体"/>
          <w:bCs/>
          <w:sz w:val="22"/>
          <w:highlight w:val="none"/>
          <w:u w:val="single"/>
        </w:rPr>
        <w:t>评标委员会认定不符合法律、法规和采购文件中规定的其他实质性要求的。</w:t>
      </w:r>
    </w:p>
    <w:p>
      <w:pPr>
        <w:tabs>
          <w:tab w:val="left" w:pos="525"/>
        </w:tabs>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u w:val="single"/>
        </w:rPr>
        <w:t>▲</w:t>
      </w:r>
      <w:r>
        <w:rPr>
          <w:rFonts w:hint="eastAsia" w:ascii="宋体" w:hAnsi="宋体" w:eastAsia="宋体" w:cs="宋体"/>
          <w:b/>
          <w:bCs/>
          <w:kern w:val="0"/>
          <w:sz w:val="22"/>
          <w:highlight w:val="none"/>
          <w:u w:val="single"/>
        </w:rPr>
        <w:t>评标委员会发现投标文件有下列情形之一的属于重大偏差(评标委员会按少数服从多数原则认定),按照无效投标处理</w:t>
      </w:r>
      <w:r>
        <w:rPr>
          <w:rFonts w:hint="eastAsia" w:ascii="宋体" w:hAnsi="宋体" w:eastAsia="宋体" w:cs="宋体"/>
          <w:kern w:val="0"/>
          <w:sz w:val="22"/>
          <w:highlight w:val="none"/>
        </w:rPr>
        <w:t>：</w:t>
      </w:r>
    </w:p>
    <w:p>
      <w:pPr>
        <w:ind w:firstLine="418" w:firstLineChars="19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1）未按采购文件要求编制、</w:t>
      </w:r>
      <w:r>
        <w:rPr>
          <w:rFonts w:hint="eastAsia" w:ascii="宋体" w:hAnsi="宋体" w:eastAsia="宋体" w:cs="宋体"/>
          <w:bCs/>
          <w:sz w:val="22"/>
          <w:highlight w:val="none"/>
          <w:u w:val="single"/>
        </w:rPr>
        <w:t>内容不全</w:t>
      </w:r>
      <w:r>
        <w:rPr>
          <w:rFonts w:hint="eastAsia" w:ascii="宋体" w:hAnsi="宋体" w:eastAsia="宋体" w:cs="宋体"/>
          <w:kern w:val="0"/>
          <w:sz w:val="22"/>
          <w:highlight w:val="none"/>
          <w:u w:val="single"/>
        </w:rPr>
        <w:t>或实质性内容字迹模糊、辨认不清的投标文件；</w:t>
      </w:r>
    </w:p>
    <w:p>
      <w:pPr>
        <w:ind w:firstLine="418" w:firstLineChars="19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2）除22.4条款以外，出现其它明显不符合服务内容要求、技术服务标准要求或不满足采购文件“</w:t>
      </w:r>
      <w:r>
        <w:rPr>
          <w:rFonts w:hint="eastAsia" w:ascii="宋体" w:hAnsi="宋体" w:eastAsia="宋体" w:cs="宋体"/>
          <w:kern w:val="0"/>
          <w:sz w:val="22"/>
          <w:highlight w:val="none"/>
          <w:u w:val="single"/>
          <w:lang w:eastAsia="zh-CN"/>
        </w:rPr>
        <w:t>陶山服务区物业服务</w:t>
      </w:r>
      <w:r>
        <w:rPr>
          <w:rFonts w:hint="eastAsia" w:ascii="宋体" w:hAnsi="宋体" w:eastAsia="宋体" w:cs="宋体"/>
          <w:kern w:val="0"/>
          <w:sz w:val="22"/>
          <w:highlight w:val="none"/>
          <w:u w:val="single"/>
        </w:rPr>
        <w:t>内容及要求”中的主要技术指标</w:t>
      </w:r>
      <w:r>
        <w:rPr>
          <w:rFonts w:hint="eastAsia" w:ascii="宋体" w:hAnsi="宋体" w:eastAsia="宋体" w:cs="宋体"/>
          <w:bCs/>
          <w:sz w:val="22"/>
          <w:highlight w:val="none"/>
          <w:u w:val="single"/>
        </w:rPr>
        <w:t>，对服务质量产生重大影响</w:t>
      </w:r>
      <w:r>
        <w:rPr>
          <w:rFonts w:hint="eastAsia" w:ascii="宋体" w:hAnsi="宋体" w:eastAsia="宋体" w:cs="宋体"/>
          <w:kern w:val="0"/>
          <w:sz w:val="22"/>
          <w:highlight w:val="none"/>
          <w:u w:val="single"/>
        </w:rPr>
        <w:t>的投标文件；</w:t>
      </w:r>
    </w:p>
    <w:p>
      <w:pPr>
        <w:ind w:firstLine="418" w:firstLineChars="19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3）除22.4条款以外，出现投标项目服务工作量与采购文件对比出现较大偏差；商务报价明细表计算错误，出现较大差错；</w:t>
      </w:r>
    </w:p>
    <w:p>
      <w:pPr>
        <w:ind w:firstLine="418" w:firstLineChars="19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4）除22.4条款以外，出现其它不符合采购文件中规定的实质性要求的投标文件，是否为偏离实质性要求由评标委员会认定。</w:t>
      </w:r>
    </w:p>
    <w:p>
      <w:pPr>
        <w:numPr>
          <w:ilvl w:val="1"/>
          <w:numId w:val="12"/>
        </w:numPr>
        <w:tabs>
          <w:tab w:val="left" w:pos="525"/>
        </w:tabs>
        <w:ind w:left="525" w:hanging="525"/>
        <w:rPr>
          <w:rFonts w:hint="eastAsia" w:ascii="宋体" w:hAnsi="宋体" w:eastAsia="宋体" w:cs="宋体"/>
          <w:kern w:val="0"/>
          <w:sz w:val="22"/>
          <w:highlight w:val="none"/>
        </w:rPr>
      </w:pPr>
      <w:r>
        <w:rPr>
          <w:rFonts w:hint="eastAsia" w:ascii="宋体" w:hAnsi="宋体" w:eastAsia="宋体" w:cs="宋体"/>
          <w:kern w:val="0"/>
          <w:sz w:val="22"/>
          <w:highlight w:val="none"/>
          <w:u w:val="single"/>
        </w:rPr>
        <w:t>▲</w:t>
      </w:r>
      <w:r>
        <w:rPr>
          <w:rFonts w:hint="eastAsia" w:ascii="宋体" w:hAnsi="宋体" w:eastAsia="宋体" w:cs="宋体"/>
          <w:b/>
          <w:bCs/>
          <w:kern w:val="0"/>
          <w:sz w:val="22"/>
          <w:highlight w:val="none"/>
          <w:u w:val="single"/>
        </w:rPr>
        <w:t>有下列情形之一的，视为投标供应商串通投标，其投标无效</w:t>
      </w:r>
      <w:r>
        <w:rPr>
          <w:rFonts w:hint="eastAsia" w:ascii="宋体" w:hAnsi="宋体" w:eastAsia="宋体" w:cs="宋体"/>
          <w:kern w:val="0"/>
          <w:sz w:val="22"/>
          <w:highlight w:val="none"/>
        </w:rPr>
        <w:t>：</w:t>
      </w:r>
    </w:p>
    <w:p>
      <w:pPr>
        <w:ind w:firstLine="418" w:firstLineChars="190"/>
        <w:rPr>
          <w:rFonts w:hint="eastAsia" w:ascii="宋体" w:hAnsi="宋体" w:eastAsia="宋体" w:cs="宋体"/>
          <w:kern w:val="0"/>
          <w:sz w:val="22"/>
          <w:highlight w:val="none"/>
        </w:rPr>
      </w:pPr>
      <w:r>
        <w:rPr>
          <w:rFonts w:hint="eastAsia" w:ascii="宋体" w:hAnsi="宋体" w:eastAsia="宋体" w:cs="宋体"/>
          <w:kern w:val="0"/>
          <w:sz w:val="22"/>
          <w:highlight w:val="none"/>
        </w:rPr>
        <w:t>1)不同投标供应商的投标文件由同一单位或者个人编制；</w:t>
      </w:r>
    </w:p>
    <w:p>
      <w:pPr>
        <w:ind w:firstLine="418" w:firstLineChars="190"/>
        <w:rPr>
          <w:rFonts w:hint="eastAsia" w:ascii="宋体" w:hAnsi="宋体" w:eastAsia="宋体" w:cs="宋体"/>
          <w:kern w:val="0"/>
          <w:sz w:val="22"/>
          <w:highlight w:val="none"/>
        </w:rPr>
      </w:pPr>
      <w:r>
        <w:rPr>
          <w:rFonts w:hint="eastAsia" w:ascii="宋体" w:hAnsi="宋体" w:eastAsia="宋体" w:cs="宋体"/>
          <w:kern w:val="0"/>
          <w:sz w:val="22"/>
          <w:highlight w:val="none"/>
        </w:rPr>
        <w:t>2)不同投标供应商委托同一单位或者个人办理投标事宜；</w:t>
      </w:r>
    </w:p>
    <w:p>
      <w:pPr>
        <w:ind w:firstLine="418" w:firstLineChars="190"/>
        <w:rPr>
          <w:rFonts w:hint="eastAsia" w:ascii="宋体" w:hAnsi="宋体" w:eastAsia="宋体" w:cs="宋体"/>
          <w:kern w:val="0"/>
          <w:sz w:val="22"/>
          <w:highlight w:val="none"/>
        </w:rPr>
      </w:pPr>
      <w:r>
        <w:rPr>
          <w:rFonts w:hint="eastAsia" w:ascii="宋体" w:hAnsi="宋体" w:eastAsia="宋体" w:cs="宋体"/>
          <w:kern w:val="0"/>
          <w:sz w:val="22"/>
          <w:highlight w:val="none"/>
        </w:rPr>
        <w:t>3)不同投标供应商的投标文件载明的项目管理成员或者联系人员为同一人；</w:t>
      </w:r>
    </w:p>
    <w:p>
      <w:pPr>
        <w:ind w:firstLine="418" w:firstLineChars="190"/>
        <w:rPr>
          <w:rFonts w:hint="eastAsia" w:ascii="宋体" w:hAnsi="宋体" w:eastAsia="宋体" w:cs="宋体"/>
          <w:kern w:val="0"/>
          <w:sz w:val="22"/>
          <w:highlight w:val="none"/>
        </w:rPr>
      </w:pPr>
      <w:r>
        <w:rPr>
          <w:rFonts w:hint="eastAsia" w:ascii="宋体" w:hAnsi="宋体" w:eastAsia="宋体" w:cs="宋体"/>
          <w:kern w:val="0"/>
          <w:sz w:val="22"/>
          <w:highlight w:val="none"/>
        </w:rPr>
        <w:t>4）不同投标供应商的投标文件异常一致或者投标报价呈规律性差异；</w:t>
      </w:r>
    </w:p>
    <w:p>
      <w:pPr>
        <w:ind w:firstLine="418" w:firstLineChars="190"/>
        <w:rPr>
          <w:rFonts w:hint="eastAsia" w:ascii="宋体" w:hAnsi="宋体" w:eastAsia="宋体" w:cs="宋体"/>
          <w:kern w:val="0"/>
          <w:sz w:val="22"/>
          <w:highlight w:val="none"/>
        </w:rPr>
      </w:pPr>
      <w:r>
        <w:rPr>
          <w:rFonts w:hint="eastAsia" w:ascii="宋体" w:hAnsi="宋体" w:eastAsia="宋体" w:cs="宋体"/>
          <w:kern w:val="0"/>
          <w:sz w:val="22"/>
          <w:highlight w:val="none"/>
        </w:rPr>
        <w:t>5）不同投标供应商的投标文件相互混装；</w:t>
      </w:r>
    </w:p>
    <w:p>
      <w:pPr>
        <w:ind w:firstLine="418" w:firstLineChars="190"/>
        <w:rPr>
          <w:rFonts w:hint="eastAsia" w:ascii="宋体" w:hAnsi="宋体" w:eastAsia="宋体" w:cs="宋体"/>
          <w:kern w:val="0"/>
          <w:sz w:val="22"/>
          <w:highlight w:val="none"/>
        </w:rPr>
      </w:pPr>
      <w:r>
        <w:rPr>
          <w:rFonts w:hint="eastAsia" w:ascii="宋体" w:hAnsi="宋体" w:eastAsia="宋体" w:cs="宋体"/>
          <w:kern w:val="0"/>
          <w:sz w:val="22"/>
          <w:highlight w:val="none"/>
        </w:rPr>
        <w:t>6）不同投标供应商的投标保证金从同一单位或者个人的账户转出。</w:t>
      </w:r>
    </w:p>
    <w:p>
      <w:pPr>
        <w:numPr>
          <w:ilvl w:val="1"/>
          <w:numId w:val="12"/>
        </w:numPr>
        <w:tabs>
          <w:tab w:val="left" w:pos="525"/>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 xml:space="preserve"> “技术资信标”评审结束后，由评标委员会对各投标人的商务报价进行核查，核查时发现投标报价内容不清楚可要求投标人书面澄清，计算上的错误，可按下面方法修正：</w:t>
      </w:r>
    </w:p>
    <w:p>
      <w:pPr>
        <w:numPr>
          <w:ilvl w:val="0"/>
          <w:numId w:val="16"/>
        </w:numPr>
        <w:tabs>
          <w:tab w:val="left" w:pos="735"/>
        </w:tabs>
        <w:ind w:left="735" w:hanging="315"/>
        <w:rPr>
          <w:rFonts w:hint="eastAsia" w:ascii="宋体" w:hAnsi="宋体" w:eastAsia="宋体" w:cs="宋体"/>
          <w:sz w:val="22"/>
          <w:highlight w:val="none"/>
        </w:rPr>
      </w:pPr>
      <w:r>
        <w:rPr>
          <w:rFonts w:hint="eastAsia" w:ascii="宋体" w:hAnsi="宋体" w:eastAsia="宋体" w:cs="宋体"/>
          <w:sz w:val="22"/>
          <w:highlight w:val="none"/>
        </w:rPr>
        <w:t>投标文件中开标一览表(报价表)内容与投标文件中相应内容不一致的，以开标一览表(报价表)为准；</w:t>
      </w:r>
    </w:p>
    <w:p>
      <w:pPr>
        <w:numPr>
          <w:ilvl w:val="0"/>
          <w:numId w:val="16"/>
        </w:numPr>
        <w:tabs>
          <w:tab w:val="left" w:pos="735"/>
        </w:tabs>
        <w:ind w:left="735" w:hanging="315"/>
        <w:rPr>
          <w:rFonts w:hint="eastAsia" w:ascii="宋体" w:hAnsi="宋体" w:eastAsia="宋体" w:cs="宋体"/>
          <w:sz w:val="22"/>
          <w:highlight w:val="none"/>
        </w:rPr>
      </w:pPr>
      <w:r>
        <w:rPr>
          <w:rFonts w:hint="eastAsia" w:ascii="宋体" w:hAnsi="宋体" w:eastAsia="宋体" w:cs="宋体"/>
          <w:sz w:val="22"/>
          <w:highlight w:val="none"/>
        </w:rPr>
        <w:t>大写金额和小写金额不一致的，以大写金额为准；</w:t>
      </w:r>
    </w:p>
    <w:p>
      <w:pPr>
        <w:numPr>
          <w:ilvl w:val="0"/>
          <w:numId w:val="16"/>
        </w:numPr>
        <w:tabs>
          <w:tab w:val="left" w:pos="735"/>
        </w:tabs>
        <w:ind w:left="735" w:hanging="315"/>
        <w:rPr>
          <w:rFonts w:hint="eastAsia" w:ascii="宋体" w:hAnsi="宋体" w:eastAsia="宋体" w:cs="宋体"/>
          <w:sz w:val="22"/>
          <w:highlight w:val="none"/>
        </w:rPr>
      </w:pPr>
      <w:r>
        <w:rPr>
          <w:rFonts w:hint="eastAsia" w:ascii="宋体" w:hAnsi="宋体" w:eastAsia="宋体" w:cs="宋体"/>
          <w:sz w:val="22"/>
          <w:highlight w:val="none"/>
        </w:rPr>
        <w:t>单价金额小数点或者百分比有明显错位的，以开标一览表的总价为准，并修改单价；</w:t>
      </w:r>
    </w:p>
    <w:p>
      <w:pPr>
        <w:numPr>
          <w:ilvl w:val="0"/>
          <w:numId w:val="16"/>
        </w:numPr>
        <w:tabs>
          <w:tab w:val="left" w:pos="735"/>
        </w:tabs>
        <w:ind w:left="735" w:hanging="315"/>
        <w:rPr>
          <w:rFonts w:hint="eastAsia" w:ascii="宋体" w:hAnsi="宋体" w:eastAsia="宋体" w:cs="宋体"/>
          <w:sz w:val="22"/>
          <w:highlight w:val="none"/>
        </w:rPr>
      </w:pPr>
      <w:r>
        <w:rPr>
          <w:rFonts w:hint="eastAsia" w:ascii="宋体" w:hAnsi="宋体" w:eastAsia="宋体" w:cs="宋体"/>
          <w:sz w:val="22"/>
          <w:highlight w:val="none"/>
        </w:rPr>
        <w:t>总价金额与按单价汇总金额不一致的，以单价金额计算结果为准。</w:t>
      </w:r>
    </w:p>
    <w:p>
      <w:pPr>
        <w:tabs>
          <w:tab w:val="left" w:pos="420"/>
          <w:tab w:val="left" w:pos="735"/>
        </w:tabs>
        <w:ind w:left="420"/>
        <w:rPr>
          <w:rFonts w:hint="eastAsia" w:ascii="宋体" w:hAnsi="宋体" w:eastAsia="宋体" w:cs="宋体"/>
          <w:sz w:val="22"/>
          <w:highlight w:val="none"/>
        </w:rPr>
      </w:pPr>
      <w:r>
        <w:rPr>
          <w:rFonts w:hint="eastAsia" w:ascii="宋体" w:hAnsi="宋体" w:eastAsia="宋体" w:cs="宋体"/>
          <w:sz w:val="22"/>
          <w:highlight w:val="none"/>
        </w:rPr>
        <w:t>同时出现两种以上不一致的，按照前款规定的顺序修正（前款优先顺序为1）→2）→3）→4））。</w:t>
      </w:r>
    </w:p>
    <w:p>
      <w:pPr>
        <w:tabs>
          <w:tab w:val="left" w:pos="735"/>
        </w:tabs>
        <w:ind w:left="420"/>
        <w:rPr>
          <w:rFonts w:hint="eastAsia" w:ascii="宋体" w:hAnsi="宋体" w:eastAsia="宋体" w:cs="宋体"/>
          <w:sz w:val="22"/>
          <w:highlight w:val="none"/>
          <w:u w:val="single"/>
        </w:rPr>
      </w:pPr>
      <w:r>
        <w:rPr>
          <w:rFonts w:hint="eastAsia" w:ascii="宋体" w:hAnsi="宋体" w:eastAsia="宋体" w:cs="宋体"/>
          <w:kern w:val="0"/>
          <w:sz w:val="22"/>
          <w:highlight w:val="none"/>
          <w:u w:val="single"/>
        </w:rPr>
        <w:t>▲</w:t>
      </w:r>
      <w:r>
        <w:rPr>
          <w:rFonts w:hint="eastAsia" w:ascii="宋体" w:hAnsi="宋体" w:eastAsia="宋体" w:cs="宋体"/>
          <w:b/>
          <w:bCs/>
          <w:sz w:val="22"/>
          <w:highlight w:val="none"/>
          <w:u w:val="single"/>
        </w:rPr>
        <w:t>修正后的报价按照本投标须知第23.1条的规定经投标人确认后产生约束力，投标人不确认的，其投标无效。</w:t>
      </w:r>
    </w:p>
    <w:p>
      <w:pPr>
        <w:numPr>
          <w:ilvl w:val="1"/>
          <w:numId w:val="12"/>
        </w:numPr>
        <w:tabs>
          <w:tab w:val="left" w:pos="525"/>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在详细评标之前，评标委员会要审查每份投标文件是否实质上响应了采购文件的要求。实质上响应的投标应该是与采购文件要求的全部条款、条件和规格基本相符，没有重大偏离。</w:t>
      </w:r>
      <w:r>
        <w:rPr>
          <w:rFonts w:hint="eastAsia" w:ascii="宋体" w:hAnsi="宋体" w:eastAsia="宋体" w:cs="宋体"/>
          <w:b/>
          <w:bCs/>
          <w:sz w:val="22"/>
          <w:highlight w:val="none"/>
        </w:rPr>
        <w:t>评标委员会决定投标的响应性只根据投标文件本身的内容，而不寻求外部的证据。</w:t>
      </w:r>
    </w:p>
    <w:p>
      <w:pPr>
        <w:numPr>
          <w:ilvl w:val="1"/>
          <w:numId w:val="12"/>
        </w:numPr>
        <w:tabs>
          <w:tab w:val="left" w:pos="525"/>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实质上没有响应采购文件要求的投标将被拒绝，投标人不得通过修正或撤消不合要求的偏离或保留从而使其投标成为实质上响应的投标。</w:t>
      </w:r>
    </w:p>
    <w:p>
      <w:pPr>
        <w:numPr>
          <w:ilvl w:val="1"/>
          <w:numId w:val="12"/>
        </w:numPr>
        <w:tabs>
          <w:tab w:val="left" w:pos="525"/>
        </w:tabs>
        <w:ind w:left="525" w:hanging="525"/>
        <w:rPr>
          <w:rFonts w:hint="eastAsia" w:ascii="宋体" w:hAnsi="宋体" w:eastAsia="宋体" w:cs="宋体"/>
          <w:szCs w:val="24"/>
          <w:highlight w:val="none"/>
        </w:rPr>
      </w:pPr>
      <w:r>
        <w:rPr>
          <w:rFonts w:hint="eastAsia" w:ascii="宋体" w:hAnsi="宋体" w:eastAsia="宋体" w:cs="宋体"/>
          <w:kern w:val="0"/>
          <w:sz w:val="22"/>
          <w:highlight w:val="none"/>
        </w:rPr>
        <w:t>▲</w:t>
      </w:r>
      <w:r>
        <w:rPr>
          <w:rFonts w:hint="eastAsia" w:ascii="宋体" w:hAnsi="宋体" w:eastAsia="宋体" w:cs="宋体"/>
          <w:b/>
          <w:bCs/>
          <w:kern w:val="0"/>
          <w:sz w:val="22"/>
          <w:highlight w:val="none"/>
          <w:u w:val="single"/>
        </w:rPr>
        <w:t>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eastAsia="宋体" w:cs="宋体"/>
          <w:kern w:val="0"/>
          <w:sz w:val="22"/>
          <w:highlight w:val="none"/>
        </w:rPr>
        <w:t>。</w:t>
      </w:r>
    </w:p>
    <w:p>
      <w:pPr>
        <w:numPr>
          <w:ilvl w:val="1"/>
          <w:numId w:val="12"/>
        </w:numPr>
        <w:tabs>
          <w:tab w:val="left" w:pos="525"/>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评标委员会对审查合格的投标文件按照采购文件中制订的评标方法进行综合评定打分。</w:t>
      </w:r>
    </w:p>
    <w:p>
      <w:pPr>
        <w:numPr>
          <w:ilvl w:val="1"/>
          <w:numId w:val="12"/>
        </w:numPr>
        <w:tabs>
          <w:tab w:val="left" w:pos="525"/>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评标过程中遇到特殊情况，由评标委员会遵循公开、公正原则，采取投票方式按照少数服从多数原则决定。</w:t>
      </w:r>
    </w:p>
    <w:p>
      <w:pPr>
        <w:numPr>
          <w:ilvl w:val="1"/>
          <w:numId w:val="12"/>
        </w:numPr>
        <w:tabs>
          <w:tab w:val="left" w:pos="525"/>
        </w:tabs>
        <w:ind w:left="525" w:hanging="525"/>
        <w:rPr>
          <w:rFonts w:hint="eastAsia" w:ascii="宋体" w:hAnsi="宋体" w:eastAsia="宋体" w:cs="宋体"/>
          <w:b/>
          <w:bCs/>
          <w:sz w:val="22"/>
          <w:highlight w:val="none"/>
          <w:u w:val="single"/>
          <w:shd w:val="clear" w:color="auto" w:fill="FFFF00"/>
        </w:rPr>
      </w:pPr>
      <w:r>
        <w:rPr>
          <w:rFonts w:hint="eastAsia" w:ascii="宋体" w:hAnsi="宋体" w:eastAsia="宋体" w:cs="宋体"/>
          <w:b/>
          <w:bCs/>
          <w:sz w:val="22"/>
          <w:highlight w:val="none"/>
          <w:u w:val="single"/>
        </w:rPr>
        <w:t>▲如果供应商的报价超出</w:t>
      </w:r>
      <w:r>
        <w:rPr>
          <w:rFonts w:hint="eastAsia" w:ascii="宋体" w:hAnsi="宋体" w:eastAsia="宋体" w:cs="宋体"/>
          <w:b/>
          <w:bCs/>
          <w:sz w:val="22"/>
          <w:highlight w:val="none"/>
          <w:u w:val="single"/>
          <w:lang w:eastAsia="zh-CN"/>
        </w:rPr>
        <w:t>采购预算</w:t>
      </w:r>
      <w:r>
        <w:rPr>
          <w:rFonts w:hint="eastAsia" w:ascii="宋体" w:hAnsi="宋体" w:eastAsia="宋体" w:cs="宋体"/>
          <w:b/>
          <w:bCs/>
          <w:sz w:val="22"/>
          <w:highlight w:val="none"/>
          <w:u w:val="single"/>
        </w:rPr>
        <w:t>，则该供应商的报价作无效标处理。本次采购如果所有供应商的报价均超出</w:t>
      </w:r>
      <w:r>
        <w:rPr>
          <w:rFonts w:hint="eastAsia" w:ascii="宋体" w:hAnsi="宋体" w:eastAsia="宋体" w:cs="宋体"/>
          <w:b/>
          <w:bCs/>
          <w:sz w:val="22"/>
          <w:highlight w:val="none"/>
          <w:u w:val="single"/>
          <w:lang w:eastAsia="zh-CN"/>
        </w:rPr>
        <w:t>采购预算</w:t>
      </w:r>
      <w:r>
        <w:rPr>
          <w:rFonts w:hint="eastAsia" w:ascii="宋体" w:hAnsi="宋体" w:eastAsia="宋体" w:cs="宋体"/>
          <w:b/>
          <w:bCs/>
          <w:sz w:val="22"/>
          <w:highlight w:val="none"/>
          <w:u w:val="single"/>
        </w:rPr>
        <w:t>，则本采购项目做废标处理。</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投标文件的澄清</w:t>
      </w:r>
    </w:p>
    <w:p>
      <w:pPr>
        <w:numPr>
          <w:ilvl w:val="1"/>
          <w:numId w:val="17"/>
        </w:numPr>
        <w:tabs>
          <w:tab w:val="left" w:pos="420"/>
          <w:tab w:val="left" w:pos="450"/>
        </w:tabs>
        <w:ind w:left="525" w:hanging="525"/>
        <w:rPr>
          <w:rFonts w:hint="eastAsia" w:ascii="宋体" w:hAnsi="宋体" w:eastAsia="宋体" w:cs="宋体"/>
          <w:sz w:val="22"/>
          <w:highlight w:val="none"/>
          <w:u w:val="single"/>
        </w:rPr>
      </w:pPr>
      <w:r>
        <w:rPr>
          <w:rFonts w:hint="eastAsia" w:ascii="宋体" w:hAnsi="宋体" w:eastAsia="宋体" w:cs="宋体"/>
          <w:sz w:val="22"/>
          <w:highlight w:val="none"/>
        </w:rPr>
        <w:t xml:space="preserve"> 在评标期间，评标委员会可以书面方式要求投标人对投标文件中含义不明确、对同类问题表述不一致或者有明显文字和计算错误的内容作必要的澄清、说明或补正。澄清、说明或补正应以书面形式并由</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或其授权代表签署，但澄清内容不得超出投标文件的范围或者改变投标文件的实质性内容</w:t>
      </w:r>
      <w:r>
        <w:rPr>
          <w:rFonts w:hint="eastAsia" w:ascii="宋体" w:hAnsi="宋体" w:eastAsia="宋体" w:cs="宋体"/>
          <w:sz w:val="22"/>
          <w:highlight w:val="none"/>
          <w:u w:val="none"/>
        </w:rPr>
        <w:t>。</w:t>
      </w:r>
      <w:r>
        <w:rPr>
          <w:rFonts w:hint="eastAsia" w:ascii="宋体" w:hAnsi="宋体" w:eastAsia="宋体" w:cs="宋体"/>
          <w:b/>
          <w:bCs/>
          <w:sz w:val="22"/>
          <w:highlight w:val="none"/>
          <w:u w:val="single"/>
        </w:rPr>
        <w:t>▲拒不按要求对其投标文件进行澄清，说明或补正的投标人，评标委员会将其作无效标处理</w:t>
      </w:r>
      <w:r>
        <w:rPr>
          <w:rFonts w:hint="eastAsia" w:ascii="宋体" w:hAnsi="宋体" w:eastAsia="宋体" w:cs="宋体"/>
          <w:sz w:val="22"/>
          <w:highlight w:val="none"/>
          <w:u w:val="single"/>
        </w:rPr>
        <w:t>。</w:t>
      </w:r>
    </w:p>
    <w:p>
      <w:pPr>
        <w:numPr>
          <w:ilvl w:val="1"/>
          <w:numId w:val="17"/>
        </w:numPr>
        <w:tabs>
          <w:tab w:val="left" w:pos="420"/>
          <w:tab w:val="left" w:pos="450"/>
        </w:tabs>
        <w:ind w:left="525" w:hanging="525"/>
        <w:rPr>
          <w:rFonts w:hint="eastAsia" w:ascii="宋体" w:hAnsi="宋体" w:eastAsia="宋体" w:cs="宋体"/>
          <w:sz w:val="22"/>
          <w:highlight w:val="none"/>
        </w:rPr>
      </w:pPr>
      <w:r>
        <w:rPr>
          <w:rFonts w:hint="eastAsia" w:ascii="宋体" w:hAnsi="宋体" w:eastAsia="宋体" w:cs="宋体"/>
          <w:sz w:val="22"/>
          <w:highlight w:val="none"/>
        </w:rPr>
        <w:t xml:space="preserve"> </w:t>
      </w:r>
      <w:r>
        <w:rPr>
          <w:rFonts w:hint="eastAsia" w:ascii="宋体" w:hAnsi="宋体" w:eastAsia="宋体" w:cs="宋体"/>
          <w:b/>
          <w:bCs/>
          <w:sz w:val="22"/>
          <w:highlight w:val="none"/>
          <w:u w:val="single"/>
        </w:rPr>
        <w:t>▲经澄清后，若偏差仍存在，且不可接受，</w:t>
      </w:r>
      <w:r>
        <w:rPr>
          <w:rFonts w:hint="eastAsia" w:ascii="宋体" w:hAnsi="宋体" w:eastAsia="宋体" w:cs="宋体"/>
          <w:b/>
          <w:bCs/>
          <w:sz w:val="22"/>
          <w:highlight w:val="none"/>
          <w:u w:val="single"/>
          <w:lang w:val="en-US" w:eastAsia="zh-CN"/>
        </w:rPr>
        <w:t>投标人则被认为是</w:t>
      </w:r>
      <w:r>
        <w:rPr>
          <w:rFonts w:hint="eastAsia" w:ascii="宋体" w:hAnsi="宋体" w:eastAsia="宋体" w:cs="宋体"/>
          <w:b/>
          <w:bCs/>
          <w:sz w:val="22"/>
          <w:highlight w:val="none"/>
          <w:u w:val="single"/>
        </w:rPr>
        <w:t>“没有实质性响应采购文件要求”，其投标</w:t>
      </w:r>
      <w:r>
        <w:rPr>
          <w:rFonts w:hint="eastAsia" w:ascii="宋体" w:hAnsi="宋体" w:eastAsia="宋体" w:cs="宋体"/>
          <w:b/>
          <w:bCs/>
          <w:sz w:val="22"/>
          <w:highlight w:val="none"/>
          <w:u w:val="single"/>
          <w:lang w:val="en-US" w:eastAsia="zh-CN"/>
        </w:rPr>
        <w:t>将作无效标处理</w:t>
      </w:r>
      <w:r>
        <w:rPr>
          <w:rFonts w:hint="eastAsia" w:ascii="宋体" w:hAnsi="宋体" w:eastAsia="宋体" w:cs="宋体"/>
          <w:sz w:val="22"/>
          <w:highlight w:val="none"/>
          <w:u w:val="single"/>
        </w:rPr>
        <w:t>。</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确定中标候选人</w:t>
      </w:r>
    </w:p>
    <w:p>
      <w:pPr>
        <w:numPr>
          <w:ilvl w:val="1"/>
          <w:numId w:val="18"/>
        </w:numPr>
        <w:tabs>
          <w:tab w:val="left" w:pos="540"/>
        </w:tabs>
        <w:rPr>
          <w:rFonts w:hint="eastAsia" w:ascii="宋体" w:hAnsi="宋体" w:eastAsia="宋体" w:cs="宋体"/>
          <w:sz w:val="22"/>
          <w:highlight w:val="none"/>
        </w:rPr>
      </w:pPr>
      <w:r>
        <w:rPr>
          <w:rFonts w:hint="eastAsia" w:ascii="宋体" w:hAnsi="宋体" w:eastAsia="宋体" w:cs="宋体"/>
          <w:sz w:val="22"/>
          <w:highlight w:val="none"/>
        </w:rPr>
        <w:t xml:space="preserve"> 本次采购由评标委员会推荐中标候选人，采购人根据评标委员会的推荐结果进行最终确认。</w:t>
      </w:r>
    </w:p>
    <w:p>
      <w:pPr>
        <w:numPr>
          <w:ilvl w:val="1"/>
          <w:numId w:val="18"/>
        </w:numPr>
        <w:tabs>
          <w:tab w:val="left" w:pos="540"/>
        </w:tabs>
        <w:rPr>
          <w:rFonts w:hint="eastAsia" w:ascii="宋体" w:hAnsi="宋体" w:eastAsia="宋体" w:cs="宋体"/>
          <w:sz w:val="22"/>
          <w:highlight w:val="none"/>
        </w:rPr>
      </w:pPr>
      <w:r>
        <w:rPr>
          <w:rFonts w:hint="eastAsia" w:ascii="宋体" w:hAnsi="宋体" w:eastAsia="宋体" w:cs="宋体"/>
          <w:sz w:val="22"/>
          <w:highlight w:val="none"/>
        </w:rPr>
        <w:t xml:space="preserve"> 评标委员会依据法律、法规及采购文件有关规定在有效标中按投标人的综合得分（即技术资信分与商务（报价）分之和）高低进行排序，综合得分第一名的投标人推荐为中标候选人（综合得分相同以投标报价低的排序第一；综合得分且投标报价相同的，则由评标委员会组长在所有得分均相同者中随机抽取其中一名为名次优先者）。</w:t>
      </w:r>
    </w:p>
    <w:p>
      <w:pPr>
        <w:numPr>
          <w:ilvl w:val="1"/>
          <w:numId w:val="18"/>
        </w:numPr>
        <w:tabs>
          <w:tab w:val="left" w:pos="540"/>
        </w:tabs>
        <w:rPr>
          <w:rFonts w:hint="eastAsia" w:ascii="宋体" w:hAnsi="宋体" w:eastAsia="宋体" w:cs="宋体"/>
          <w:sz w:val="22"/>
          <w:highlight w:val="none"/>
        </w:rPr>
      </w:pPr>
      <w:r>
        <w:rPr>
          <w:rFonts w:hint="eastAsia" w:ascii="宋体" w:hAnsi="宋体" w:eastAsia="宋体" w:cs="宋体"/>
          <w:sz w:val="22"/>
          <w:highlight w:val="none"/>
        </w:rPr>
        <w:t xml:space="preserve"> 排名第一的中标候选人放弃中标；因不可抗力提出不能履行合同；或者采购文件规定应当提交履约担保而在规定的期限内未能提交的；或未能在规定时间内与采购人签订合同的；或者经质疑，采购人审查后，确因排名第一的候选人在本次采购活动中存在违法违规行为或其他原因使质疑成立的，本次采购失败，重新组织采购。</w:t>
      </w:r>
    </w:p>
    <w:p>
      <w:pPr>
        <w:numPr>
          <w:ilvl w:val="1"/>
          <w:numId w:val="18"/>
        </w:numPr>
        <w:tabs>
          <w:tab w:val="left" w:pos="540"/>
        </w:tabs>
        <w:rPr>
          <w:rFonts w:hint="eastAsia" w:ascii="宋体" w:hAnsi="宋体" w:eastAsia="宋体" w:cs="宋体"/>
          <w:sz w:val="22"/>
          <w:highlight w:val="none"/>
        </w:rPr>
      </w:pPr>
      <w:r>
        <w:rPr>
          <w:rFonts w:hint="eastAsia" w:ascii="宋体" w:hAnsi="宋体" w:eastAsia="宋体" w:cs="宋体"/>
          <w:sz w:val="22"/>
          <w:highlight w:val="none"/>
        </w:rPr>
        <w:t xml:space="preserve"> 采购人将把中标通知书授予最佳投标者，最低报价不是中标的保证。</w:t>
      </w:r>
    </w:p>
    <w:p>
      <w:pPr>
        <w:numPr>
          <w:ilvl w:val="1"/>
          <w:numId w:val="18"/>
        </w:numPr>
        <w:tabs>
          <w:tab w:val="left" w:pos="540"/>
        </w:tabs>
        <w:rPr>
          <w:rFonts w:hint="eastAsia" w:ascii="宋体" w:hAnsi="宋体" w:eastAsia="宋体" w:cs="宋体"/>
          <w:sz w:val="22"/>
          <w:highlight w:val="none"/>
        </w:rPr>
      </w:pPr>
      <w:r>
        <w:rPr>
          <w:rFonts w:hint="eastAsia" w:ascii="宋体" w:hAnsi="宋体" w:eastAsia="宋体" w:cs="宋体"/>
          <w:sz w:val="22"/>
          <w:highlight w:val="none"/>
        </w:rPr>
        <w:t xml:space="preserve"> 采购单位对决标结果不做任何解释。</w:t>
      </w:r>
    </w:p>
    <w:p>
      <w:pPr>
        <w:numPr>
          <w:ilvl w:val="0"/>
          <w:numId w:val="3"/>
        </w:numPr>
        <w:tabs>
          <w:tab w:val="left" w:pos="525"/>
          <w:tab w:val="left" w:pos="900"/>
        </w:tabs>
        <w:ind w:left="525" w:hanging="525"/>
        <w:rPr>
          <w:rFonts w:hint="eastAsia" w:ascii="宋体" w:hAnsi="宋体" w:eastAsia="宋体" w:cs="宋体"/>
          <w:b/>
          <w:szCs w:val="21"/>
          <w:highlight w:val="none"/>
        </w:rPr>
      </w:pPr>
      <w:r>
        <w:rPr>
          <w:rFonts w:hint="eastAsia" w:ascii="宋体" w:hAnsi="宋体" w:eastAsia="宋体" w:cs="宋体"/>
          <w:b/>
          <w:szCs w:val="21"/>
          <w:highlight w:val="none"/>
        </w:rPr>
        <w:t>重新采购</w:t>
      </w:r>
    </w:p>
    <w:p>
      <w:pPr>
        <w:snapToGrid w:val="0"/>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如本项目第一次采购因有效投标人数量不足3家作废标处理，根据《温州市市属国有企业采购管理办法（试行）的通知》相关条款规定，采购人将重新组织采购。</w:t>
      </w:r>
    </w:p>
    <w:p>
      <w:pPr>
        <w:snapToGrid w:val="0"/>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本项目属于国有企业自主采购项目，如重新采购后，在投标截止时间止及评审期间，出现有效供应商不足三家的情形，采购人可根据实际情况决定本项目继续按原有采购方式继续进行采购活动或转变采购方式或流标。</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评标细则详见本采购文件《评标原则及方法》。</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未尽事宜遵循相关法律法规及规范性文件执行。</w:t>
      </w:r>
    </w:p>
    <w:p>
      <w:pPr>
        <w:spacing w:before="156" w:beforeLines="50" w:after="156" w:afterLines="5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六、 授予合同</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pPr>
        <w:numPr>
          <w:ilvl w:val="0"/>
          <w:numId w:val="3"/>
        </w:numPr>
        <w:tabs>
          <w:tab w:val="left" w:pos="540"/>
          <w:tab w:val="left" w:pos="900"/>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确定中标供应商</w:t>
      </w:r>
    </w:p>
    <w:p>
      <w:pPr>
        <w:numPr>
          <w:ilvl w:val="1"/>
          <w:numId w:val="19"/>
        </w:numPr>
        <w:tabs>
          <w:tab w:val="left" w:pos="540"/>
        </w:tabs>
        <w:rPr>
          <w:rFonts w:hint="eastAsia" w:ascii="宋体" w:hAnsi="宋体" w:eastAsia="宋体" w:cs="宋体"/>
          <w:bCs/>
          <w:sz w:val="22"/>
          <w:highlight w:val="none"/>
        </w:rPr>
      </w:pPr>
      <w:r>
        <w:rPr>
          <w:rFonts w:hint="eastAsia" w:ascii="宋体" w:hAnsi="宋体" w:eastAsia="宋体" w:cs="宋体"/>
          <w:sz w:val="22"/>
          <w:highlight w:val="none"/>
        </w:rPr>
        <w:t>采购</w:t>
      </w:r>
      <w:r>
        <w:rPr>
          <w:rFonts w:hint="eastAsia" w:ascii="宋体" w:hAnsi="宋体" w:eastAsia="宋体" w:cs="宋体"/>
          <w:bCs/>
          <w:sz w:val="22"/>
          <w:highlight w:val="none"/>
        </w:rPr>
        <w:t>人自收到评标报告之日起5个工作日内，在评标报告确定的中标候选人名单中按顺序确定中标供应商。</w:t>
      </w:r>
    </w:p>
    <w:p>
      <w:pPr>
        <w:numPr>
          <w:ilvl w:val="1"/>
          <w:numId w:val="19"/>
        </w:numPr>
        <w:tabs>
          <w:tab w:val="left" w:pos="540"/>
        </w:tabs>
        <w:rPr>
          <w:rFonts w:hint="eastAsia" w:ascii="宋体" w:hAnsi="宋体" w:eastAsia="宋体" w:cs="宋体"/>
          <w:bCs/>
          <w:sz w:val="22"/>
          <w:highlight w:val="none"/>
        </w:rPr>
      </w:pPr>
      <w:r>
        <w:rPr>
          <w:rFonts w:hint="eastAsia" w:ascii="宋体" w:hAnsi="宋体" w:eastAsia="宋体" w:cs="宋体"/>
          <w:sz w:val="22"/>
          <w:highlight w:val="none"/>
        </w:rPr>
        <w:t>中标</w:t>
      </w:r>
      <w:r>
        <w:rPr>
          <w:rFonts w:hint="eastAsia" w:ascii="宋体" w:hAnsi="宋体" w:eastAsia="宋体" w:cs="宋体"/>
          <w:bCs/>
          <w:sz w:val="22"/>
          <w:highlight w:val="none"/>
        </w:rPr>
        <w:t>供应商确定之日起2个工作日内，在</w:t>
      </w:r>
      <w:r>
        <w:rPr>
          <w:rFonts w:hint="eastAsia" w:ascii="宋体" w:hAnsi="宋体" w:eastAsia="宋体" w:cs="宋体"/>
          <w:sz w:val="22"/>
          <w:highlight w:val="none"/>
        </w:rPr>
        <w:t>发布项目采购公告的网站上</w:t>
      </w:r>
      <w:r>
        <w:rPr>
          <w:rFonts w:hint="eastAsia" w:ascii="宋体" w:hAnsi="宋体" w:eastAsia="宋体" w:cs="宋体"/>
          <w:bCs/>
          <w:sz w:val="22"/>
          <w:highlight w:val="none"/>
        </w:rPr>
        <w:t>公告中标结果，中标公告期限为1个工作日。</w:t>
      </w:r>
    </w:p>
    <w:p>
      <w:pPr>
        <w:numPr>
          <w:ilvl w:val="1"/>
          <w:numId w:val="19"/>
        </w:numPr>
        <w:tabs>
          <w:tab w:val="left" w:pos="540"/>
        </w:tabs>
        <w:rPr>
          <w:rFonts w:hint="eastAsia" w:ascii="宋体" w:hAnsi="宋体" w:eastAsia="宋体" w:cs="宋体"/>
          <w:b/>
          <w:bCs/>
          <w:szCs w:val="24"/>
          <w:highlight w:val="none"/>
          <w:u w:val="single"/>
        </w:rPr>
      </w:pPr>
      <w:r>
        <w:rPr>
          <w:rFonts w:hint="eastAsia" w:ascii="宋体" w:hAnsi="宋体" w:eastAsia="宋体" w:cs="宋体"/>
          <w:b/>
          <w:bCs/>
          <w:sz w:val="22"/>
          <w:highlight w:val="none"/>
          <w:u w:val="single"/>
        </w:rPr>
        <w:t>各投标供应商对评标结果如有异议，可在中标结果公告之日起7个工作日内以书面形式向采购人署名提出质疑，但需对质疑内容的真实性承担法律责任。提出质疑的投标人应当是参与所质疑项目采购活动的投标人，投标人提出质疑应当提交质疑函和必要的证明材料。质疑供应商对采购人、采购代理机构的答复不满意或者采购人、采购代理机构未在规定的时间内作出答复的，可以在答复期满后15个工作日内向温州市交通发展集团有限公司纪检监察室投诉。</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签订合同</w:t>
      </w:r>
    </w:p>
    <w:p>
      <w:pPr>
        <w:numPr>
          <w:ilvl w:val="0"/>
          <w:numId w:val="20"/>
        </w:numPr>
        <w:tabs>
          <w:tab w:val="left" w:pos="540"/>
        </w:tabs>
        <w:rPr>
          <w:rFonts w:hint="eastAsia" w:ascii="宋体" w:hAnsi="宋体" w:eastAsia="宋体" w:cs="宋体"/>
          <w:bCs/>
          <w:sz w:val="22"/>
          <w:szCs w:val="22"/>
          <w:highlight w:val="none"/>
        </w:rPr>
      </w:pPr>
      <w:r>
        <w:rPr>
          <w:rFonts w:hint="eastAsia" w:ascii="宋体" w:hAnsi="宋体" w:eastAsia="宋体" w:cs="宋体"/>
          <w:bCs/>
          <w:sz w:val="22"/>
          <w:szCs w:val="22"/>
          <w:highlight w:val="none"/>
        </w:rPr>
        <w:t>公告期结束后，中标投标供应商须在5个工作日内主动联系采购人或采购机构领取中标通知书。中标投标供应商应当在收到中标通知书之日起30日内与采购人签订合同。中标投标供应商未经采购人许可，在规定时间内未到采购人处与采购人签订合同，则视为拒签合同。</w:t>
      </w:r>
    </w:p>
    <w:p>
      <w:pPr>
        <w:numPr>
          <w:ilvl w:val="0"/>
          <w:numId w:val="20"/>
        </w:numPr>
        <w:tabs>
          <w:tab w:val="left" w:pos="540"/>
        </w:tabs>
        <w:rPr>
          <w:rFonts w:hint="eastAsia" w:ascii="宋体" w:hAnsi="宋体" w:eastAsia="宋体" w:cs="宋体"/>
          <w:bCs/>
          <w:sz w:val="22"/>
          <w:szCs w:val="22"/>
          <w:highlight w:val="none"/>
        </w:rPr>
      </w:pPr>
      <w:r>
        <w:rPr>
          <w:rFonts w:hint="eastAsia" w:ascii="宋体" w:hAnsi="宋体" w:eastAsia="宋体" w:cs="宋体"/>
          <w:bCs/>
          <w:sz w:val="22"/>
          <w:szCs w:val="22"/>
          <w:highlight w:val="none"/>
        </w:rPr>
        <w:t>采购文件、中标投标供应商的投标文件及投标修改文件、评标过程中有关澄清文件及经双方签字的询标纪要（承诺）和中标通知书均作为合同附件。</w:t>
      </w:r>
    </w:p>
    <w:p>
      <w:pPr>
        <w:numPr>
          <w:ilvl w:val="0"/>
          <w:numId w:val="20"/>
        </w:numPr>
        <w:tabs>
          <w:tab w:val="left" w:pos="540"/>
        </w:tabs>
        <w:rPr>
          <w:rFonts w:hint="eastAsia" w:ascii="宋体" w:hAnsi="宋体" w:eastAsia="宋体" w:cs="宋体"/>
          <w:bCs/>
          <w:sz w:val="22"/>
          <w:szCs w:val="22"/>
          <w:highlight w:val="none"/>
        </w:rPr>
      </w:pPr>
      <w:r>
        <w:rPr>
          <w:rFonts w:hint="eastAsia" w:ascii="宋体" w:hAnsi="宋体" w:eastAsia="宋体" w:cs="宋体"/>
          <w:bCs/>
          <w:sz w:val="22"/>
          <w:szCs w:val="22"/>
          <w:highlight w:val="none"/>
        </w:rPr>
        <w:t>拒签合同的责任</w:t>
      </w:r>
    </w:p>
    <w:p>
      <w:pPr>
        <w:numPr>
          <w:ilvl w:val="0"/>
          <w:numId w:val="20"/>
        </w:numPr>
        <w:tabs>
          <w:tab w:val="left" w:pos="540"/>
        </w:tabs>
        <w:rPr>
          <w:rFonts w:hint="eastAsia" w:ascii="宋体" w:hAnsi="宋体" w:eastAsia="宋体" w:cs="宋体"/>
          <w:b w:val="0"/>
          <w:bCs/>
          <w:sz w:val="22"/>
          <w:szCs w:val="22"/>
          <w:highlight w:val="none"/>
        </w:rPr>
      </w:pPr>
      <w:r>
        <w:rPr>
          <w:rFonts w:hint="eastAsia" w:ascii="宋体" w:hAnsi="宋体" w:eastAsia="宋体" w:cs="宋体"/>
          <w:bCs/>
          <w:sz w:val="22"/>
          <w:szCs w:val="22"/>
          <w:highlight w:val="none"/>
        </w:rPr>
        <w:t>中标投标供应商在规定时间内（30日历天）借故否认已经承诺的条件、拒签合同，以投标违约处理，其投标保证金不予退回，并赔偿采购人由此造成的直接经济损失；采购人重</w:t>
      </w:r>
      <w:r>
        <w:rPr>
          <w:rFonts w:hint="eastAsia" w:ascii="宋体" w:hAnsi="宋体" w:eastAsia="宋体" w:cs="宋体"/>
          <w:b w:val="0"/>
          <w:bCs/>
          <w:sz w:val="22"/>
          <w:szCs w:val="22"/>
          <w:highlight w:val="none"/>
        </w:rPr>
        <w:t>新组织采购的，所需费用由原中标投标供应商承担。</w:t>
      </w:r>
    </w:p>
    <w:p>
      <w:pPr>
        <w:numPr>
          <w:ilvl w:val="0"/>
          <w:numId w:val="20"/>
        </w:numPr>
        <w:tabs>
          <w:tab w:val="left" w:pos="540"/>
        </w:tabs>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中标人须在合同签订后二个工作日内提交一份合同文本向采购代理机构备案，否则会影响投标保证金的退付。</w:t>
      </w:r>
    </w:p>
    <w:p>
      <w:pPr>
        <w:numPr>
          <w:ilvl w:val="0"/>
          <w:numId w:val="3"/>
        </w:numPr>
        <w:tabs>
          <w:tab w:val="left" w:pos="540"/>
          <w:tab w:val="left" w:pos="900"/>
        </w:tabs>
        <w:ind w:left="525" w:hanging="525"/>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履约担保</w:t>
      </w:r>
    </w:p>
    <w:p>
      <w:pPr>
        <w:numPr>
          <w:ilvl w:val="0"/>
          <w:numId w:val="21"/>
        </w:numPr>
        <w:tabs>
          <w:tab w:val="left" w:pos="540"/>
        </w:tabs>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中标人在收到中标通知书后，须按投标须知前附表的规定向采购人提交履约担保。</w:t>
      </w:r>
    </w:p>
    <w:p>
      <w:pPr>
        <w:numPr>
          <w:ilvl w:val="0"/>
          <w:numId w:val="21"/>
        </w:numPr>
        <w:tabs>
          <w:tab w:val="left" w:pos="540"/>
        </w:tabs>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履约担保用于补偿采购人因中标人不能履行其合同义务而蒙受的损失。</w:t>
      </w:r>
    </w:p>
    <w:p>
      <w:pPr>
        <w:numPr>
          <w:ilvl w:val="0"/>
          <w:numId w:val="21"/>
        </w:numPr>
        <w:tabs>
          <w:tab w:val="left" w:pos="540"/>
        </w:tabs>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履约担保自合同签订之日起至项目验收合格止有效。有效期满后，采购人应及时将履约保证金无息退还给中标人。</w:t>
      </w:r>
    </w:p>
    <w:p>
      <w:pPr>
        <w:numPr>
          <w:ilvl w:val="0"/>
          <w:numId w:val="3"/>
        </w:numPr>
        <w:tabs>
          <w:tab w:val="left" w:pos="540"/>
          <w:tab w:val="left" w:pos="900"/>
        </w:tabs>
        <w:ind w:left="525" w:hanging="525"/>
        <w:rPr>
          <w:rFonts w:hint="eastAsia" w:ascii="宋体" w:hAnsi="宋体" w:eastAsia="宋体" w:cs="宋体"/>
          <w:b w:val="0"/>
          <w:bCs/>
          <w:sz w:val="22"/>
          <w:szCs w:val="22"/>
          <w:highlight w:val="none"/>
          <w:shd w:val="clear" w:color="auto" w:fill="FFFF00"/>
        </w:rPr>
      </w:pPr>
      <w:r>
        <w:rPr>
          <w:rFonts w:hint="eastAsia" w:ascii="宋体" w:hAnsi="宋体" w:eastAsia="宋体" w:cs="宋体"/>
          <w:b w:val="0"/>
          <w:bCs/>
          <w:sz w:val="22"/>
          <w:szCs w:val="22"/>
          <w:highlight w:val="none"/>
        </w:rPr>
        <w:t>采购代理服务费</w:t>
      </w:r>
    </w:p>
    <w:p>
      <w:pPr>
        <w:tabs>
          <w:tab w:val="left" w:pos="2800"/>
        </w:tabs>
        <w:autoSpaceDE w:val="0"/>
        <w:autoSpaceDN w:val="0"/>
        <w:ind w:firstLine="440" w:firstLineChars="200"/>
        <w:jc w:val="left"/>
        <w:rPr>
          <w:rFonts w:hint="eastAsia" w:ascii="宋体" w:hAnsi="宋体" w:eastAsia="宋体" w:cs="宋体"/>
          <w:b w:val="0"/>
          <w:bCs/>
          <w:sz w:val="22"/>
          <w:szCs w:val="22"/>
          <w:highlight w:val="none"/>
        </w:rPr>
      </w:pPr>
      <w:bookmarkStart w:id="158" w:name="_Toc215415536"/>
      <w:bookmarkStart w:id="159" w:name="_Toc216667826"/>
      <w:bookmarkStart w:id="160" w:name="_Toc218041732"/>
      <w:bookmarkStart w:id="161" w:name="_Toc227489893"/>
      <w:bookmarkStart w:id="162" w:name="_Toc217460691"/>
      <w:bookmarkStart w:id="163" w:name="_Toc227056852"/>
      <w:bookmarkStart w:id="164" w:name="_Toc223933227"/>
      <w:bookmarkStart w:id="165" w:name="_Toc223717610"/>
      <w:bookmarkStart w:id="166" w:name="_Toc227057039"/>
      <w:bookmarkStart w:id="167" w:name="_Toc219538619"/>
      <w:r>
        <w:rPr>
          <w:rFonts w:hint="eastAsia" w:ascii="宋体" w:hAnsi="宋体" w:eastAsia="宋体" w:cs="宋体"/>
          <w:b w:val="0"/>
          <w:bCs/>
          <w:sz w:val="22"/>
          <w:szCs w:val="22"/>
          <w:highlight w:val="none"/>
        </w:rPr>
        <w:t>本次</w:t>
      </w:r>
      <w:r>
        <w:rPr>
          <w:rFonts w:hint="eastAsia" w:ascii="宋体" w:hAnsi="宋体" w:eastAsia="宋体" w:cs="宋体"/>
          <w:b w:val="0"/>
          <w:bCs/>
          <w:sz w:val="22"/>
          <w:szCs w:val="22"/>
          <w:highlight w:val="none"/>
          <w:lang w:val="en-US" w:eastAsia="zh-CN"/>
        </w:rPr>
        <w:t>采购</w:t>
      </w:r>
      <w:r>
        <w:rPr>
          <w:rFonts w:hint="eastAsia" w:ascii="宋体" w:hAnsi="宋体" w:eastAsia="宋体" w:cs="宋体"/>
          <w:b w:val="0"/>
          <w:bCs/>
          <w:sz w:val="22"/>
          <w:szCs w:val="22"/>
          <w:highlight w:val="none"/>
        </w:rPr>
        <w:t>代理服务费按固定金额</w:t>
      </w:r>
      <w:r>
        <w:rPr>
          <w:rFonts w:hint="eastAsia" w:ascii="宋体" w:hAnsi="宋体" w:eastAsia="宋体" w:cs="宋体"/>
          <w:b w:val="0"/>
          <w:bCs/>
          <w:sz w:val="22"/>
          <w:szCs w:val="22"/>
          <w:highlight w:val="none"/>
          <w:lang w:val="en-US" w:eastAsia="zh-CN"/>
        </w:rPr>
        <w:t>贰万叁仟元整（</w:t>
      </w:r>
      <w:r>
        <w:rPr>
          <w:rFonts w:hint="default" w:ascii="Arial" w:hAnsi="Arial" w:eastAsia="宋体" w:cs="Arial"/>
          <w:b w:val="0"/>
          <w:bCs/>
          <w:sz w:val="22"/>
          <w:szCs w:val="22"/>
          <w:highlight w:val="none"/>
          <w:lang w:val="en-US" w:eastAsia="zh-CN"/>
        </w:rPr>
        <w:t>¥</w:t>
      </w:r>
      <w:r>
        <w:rPr>
          <w:rFonts w:hint="eastAsia" w:ascii="宋体" w:hAnsi="宋体" w:eastAsia="宋体" w:cs="宋体"/>
          <w:b w:val="0"/>
          <w:bCs/>
          <w:sz w:val="22"/>
          <w:szCs w:val="22"/>
          <w:highlight w:val="none"/>
        </w:rPr>
        <w:t>2</w:t>
      </w:r>
      <w:r>
        <w:rPr>
          <w:rFonts w:hint="eastAsia" w:ascii="宋体" w:hAnsi="宋体" w:eastAsia="宋体" w:cs="宋体"/>
          <w:b w:val="0"/>
          <w:bCs/>
          <w:sz w:val="22"/>
          <w:szCs w:val="22"/>
          <w:highlight w:val="none"/>
          <w:lang w:val="en-US" w:eastAsia="zh-CN"/>
        </w:rPr>
        <w:t>3</w:t>
      </w:r>
      <w:r>
        <w:rPr>
          <w:rFonts w:hint="eastAsia" w:ascii="宋体" w:hAnsi="宋体" w:eastAsia="宋体" w:cs="宋体"/>
          <w:b w:val="0"/>
          <w:bCs/>
          <w:sz w:val="22"/>
          <w:szCs w:val="22"/>
          <w:highlight w:val="none"/>
        </w:rPr>
        <w:t>000.00元</w:t>
      </w:r>
      <w:r>
        <w:rPr>
          <w:rFonts w:hint="eastAsia" w:ascii="宋体" w:hAnsi="宋体" w:eastAsia="宋体" w:cs="宋体"/>
          <w:b w:val="0"/>
          <w:bCs/>
          <w:sz w:val="22"/>
          <w:szCs w:val="22"/>
          <w:highlight w:val="none"/>
          <w:lang w:eastAsia="zh-CN"/>
        </w:rPr>
        <w:t>）</w:t>
      </w:r>
      <w:r>
        <w:rPr>
          <w:rFonts w:hint="eastAsia" w:ascii="宋体" w:hAnsi="宋体" w:eastAsia="宋体" w:cs="宋体"/>
          <w:b w:val="0"/>
          <w:bCs/>
          <w:sz w:val="22"/>
          <w:szCs w:val="22"/>
          <w:highlight w:val="none"/>
        </w:rPr>
        <w:t>优惠计取，在领取中标通知书前支付给采购代理机构，采购代理服务费包含在投标总价中（报价不需要单列）</w:t>
      </w:r>
      <w:r>
        <w:rPr>
          <w:rFonts w:hint="eastAsia" w:ascii="宋体" w:hAnsi="宋体" w:eastAsia="宋体" w:cs="宋体"/>
          <w:b w:val="0"/>
          <w:bCs/>
          <w:sz w:val="22"/>
          <w:szCs w:val="22"/>
          <w:highlight w:val="none"/>
          <w:lang w:eastAsia="zh-CN"/>
        </w:rPr>
        <w:t>。</w:t>
      </w:r>
      <w:r>
        <w:rPr>
          <w:rFonts w:hint="eastAsia" w:ascii="宋体" w:hAnsi="宋体" w:eastAsia="宋体" w:cs="宋体"/>
          <w:b w:val="0"/>
          <w:bCs/>
          <w:sz w:val="22"/>
          <w:szCs w:val="22"/>
          <w:highlight w:val="none"/>
        </w:rPr>
        <w:t>代理服务费汇入以下账号：</w:t>
      </w:r>
    </w:p>
    <w:p>
      <w:pPr>
        <w:ind w:left="538" w:leftChars="256" w:firstLine="440" w:firstLineChars="200"/>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开户银行：工商银行杭州市武林支行</w:t>
      </w:r>
    </w:p>
    <w:p>
      <w:pPr>
        <w:ind w:left="538" w:leftChars="256" w:firstLine="440" w:firstLineChars="200"/>
        <w:rPr>
          <w:rFonts w:hint="eastAsia" w:ascii="宋体" w:hAnsi="宋体" w:eastAsia="宋体" w:cs="宋体"/>
          <w:b w:val="0"/>
          <w:bCs/>
          <w:sz w:val="22"/>
          <w:szCs w:val="22"/>
          <w:highlight w:val="none"/>
          <w:lang w:eastAsia="zh-CN"/>
        </w:rPr>
      </w:pPr>
      <w:r>
        <w:rPr>
          <w:rFonts w:hint="eastAsia" w:ascii="宋体" w:hAnsi="宋体" w:eastAsia="宋体" w:cs="宋体"/>
          <w:b w:val="0"/>
          <w:bCs/>
          <w:sz w:val="22"/>
          <w:szCs w:val="22"/>
          <w:highlight w:val="none"/>
        </w:rPr>
        <w:t>开户名称：</w:t>
      </w:r>
      <w:r>
        <w:rPr>
          <w:rFonts w:hint="eastAsia" w:ascii="宋体" w:hAnsi="宋体" w:eastAsia="宋体" w:cs="宋体"/>
          <w:b w:val="0"/>
          <w:bCs/>
          <w:sz w:val="22"/>
          <w:szCs w:val="22"/>
          <w:highlight w:val="none"/>
          <w:lang w:eastAsia="zh-CN"/>
        </w:rPr>
        <w:t>浙江国际招投标有限公司</w:t>
      </w:r>
    </w:p>
    <w:p>
      <w:pPr>
        <w:ind w:left="538" w:leftChars="256" w:firstLine="440" w:firstLineChars="200"/>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开户账号：1202021209906782015</w:t>
      </w:r>
    </w:p>
    <w:p>
      <w:pPr>
        <w:ind w:left="538" w:leftChars="256"/>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采购代理服务费可以是现金、支票或汇票。</w:t>
      </w:r>
    </w:p>
    <w:p>
      <w:pPr>
        <w:numPr>
          <w:ilvl w:val="0"/>
          <w:numId w:val="3"/>
        </w:numPr>
        <w:tabs>
          <w:tab w:val="left" w:pos="540"/>
          <w:tab w:val="left" w:pos="900"/>
        </w:tabs>
        <w:ind w:left="525" w:hanging="525"/>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解释权</w:t>
      </w:r>
    </w:p>
    <w:p>
      <w:pPr>
        <w:autoSpaceDE w:val="0"/>
        <w:autoSpaceDN w:val="0"/>
        <w:adjustRightInd w:val="0"/>
        <w:spacing w:after="120"/>
        <w:ind w:firstLine="220" w:firstLineChars="1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采购文件的解释权均属于采购人和浙江国际招投标有限公司。</w:t>
      </w:r>
    </w:p>
    <w:p>
      <w:pPr>
        <w:keepNext/>
        <w:spacing w:before="312" w:beforeLines="100"/>
        <w:jc w:val="center"/>
        <w:outlineLvl w:val="0"/>
        <w:rPr>
          <w:rFonts w:hint="eastAsia" w:ascii="宋体" w:hAnsi="宋体" w:eastAsia="宋体" w:cs="宋体"/>
          <w:b/>
          <w:bCs/>
          <w:sz w:val="36"/>
          <w:szCs w:val="36"/>
          <w:highlight w:val="none"/>
        </w:rPr>
      </w:pPr>
      <w:r>
        <w:rPr>
          <w:rFonts w:hint="eastAsia" w:ascii="宋体" w:hAnsi="宋体" w:eastAsia="宋体" w:cs="宋体"/>
          <w:b/>
          <w:bCs/>
          <w:sz w:val="22"/>
          <w:szCs w:val="22"/>
          <w:highlight w:val="none"/>
        </w:rPr>
        <w:br w:type="page"/>
      </w:r>
      <w:bookmarkStart w:id="168" w:name="_Toc491780524"/>
      <w:r>
        <w:rPr>
          <w:rFonts w:hint="eastAsia" w:ascii="宋体" w:hAnsi="宋体" w:eastAsia="宋体" w:cs="宋体"/>
          <w:b/>
          <w:bCs/>
          <w:sz w:val="36"/>
          <w:szCs w:val="36"/>
          <w:highlight w:val="none"/>
        </w:rPr>
        <w:t>第二部分 合同条款</w:t>
      </w:r>
      <w:bookmarkEnd w:id="168"/>
    </w:p>
    <w:bookmarkEnd w:id="158"/>
    <w:bookmarkEnd w:id="159"/>
    <w:bookmarkEnd w:id="160"/>
    <w:bookmarkEnd w:id="161"/>
    <w:bookmarkEnd w:id="162"/>
    <w:bookmarkEnd w:id="163"/>
    <w:bookmarkEnd w:id="164"/>
    <w:bookmarkEnd w:id="165"/>
    <w:bookmarkEnd w:id="166"/>
    <w:bookmarkEnd w:id="167"/>
    <w:p>
      <w:pPr>
        <w:rPr>
          <w:rFonts w:hint="eastAsia" w:ascii="宋体" w:hAnsi="宋体" w:eastAsia="宋体" w:cs="宋体"/>
          <w:szCs w:val="21"/>
          <w:highlight w:val="none"/>
        </w:rPr>
      </w:pPr>
      <w:bookmarkStart w:id="169" w:name="_Toc223933228"/>
      <w:bookmarkStart w:id="170" w:name="_Toc216667827"/>
      <w:bookmarkStart w:id="171" w:name="_Toc215415537"/>
      <w:bookmarkStart w:id="172" w:name="_Toc227057040"/>
      <w:bookmarkStart w:id="173" w:name="_Toc219538620"/>
      <w:bookmarkStart w:id="174" w:name="_Toc217460692"/>
      <w:bookmarkStart w:id="175" w:name="_Toc227489894"/>
      <w:bookmarkStart w:id="176" w:name="_Toc223717611"/>
      <w:bookmarkStart w:id="177" w:name="_Toc218041733"/>
      <w:bookmarkStart w:id="178" w:name="_Toc227056853"/>
      <w:bookmarkStart w:id="179" w:name="_Toc218041734"/>
      <w:bookmarkStart w:id="180" w:name="_Toc219538621"/>
      <w:bookmarkStart w:id="181" w:name="_Toc217460693"/>
      <w:bookmarkStart w:id="182" w:name="_Toc223717612"/>
      <w:bookmarkStart w:id="183" w:name="_Toc227057041"/>
      <w:bookmarkStart w:id="184" w:name="_Toc227056854"/>
      <w:bookmarkStart w:id="185" w:name="_Toc227489895"/>
      <w:bookmarkStart w:id="186" w:name="_Toc216667828"/>
      <w:bookmarkStart w:id="187" w:name="_Toc223933229"/>
      <w:bookmarkStart w:id="188" w:name="_Toc215415538"/>
    </w:p>
    <w:p>
      <w:pPr>
        <w:jc w:val="center"/>
        <w:rPr>
          <w:rFonts w:hint="eastAsia" w:ascii="宋体" w:hAnsi="宋体" w:eastAsia="宋体" w:cs="宋体"/>
          <w:szCs w:val="21"/>
          <w:highlight w:val="none"/>
        </w:rPr>
      </w:pPr>
      <w:r>
        <w:rPr>
          <w:rFonts w:hint="eastAsia" w:ascii="宋体" w:hAnsi="宋体" w:eastAsia="宋体" w:cs="宋体"/>
          <w:szCs w:val="21"/>
          <w:highlight w:val="none"/>
        </w:rPr>
        <w:t>（1）合同主要条款</w:t>
      </w:r>
    </w:p>
    <w:p>
      <w:pPr>
        <w:pStyle w:val="13"/>
        <w:snapToGrid w:val="0"/>
        <w:jc w:val="both"/>
        <w:rPr>
          <w:rFonts w:hint="eastAsia" w:ascii="宋体" w:hAnsi="宋体" w:eastAsia="宋体" w:cs="宋体"/>
          <w:kern w:val="2"/>
          <w:highlight w:val="none"/>
        </w:rPr>
      </w:pPr>
    </w:p>
    <w:p>
      <w:pPr>
        <w:autoSpaceDE w:val="0"/>
        <w:autoSpaceDN w:val="0"/>
        <w:adjustRightInd w:val="0"/>
        <w:spacing w:line="24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编</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号：</w:t>
      </w:r>
    </w:p>
    <w:p>
      <w:pPr>
        <w:spacing w:line="240" w:lineRule="auto"/>
        <w:ind w:firstLine="420" w:firstLineChars="200"/>
        <w:rPr>
          <w:rFonts w:hint="eastAsia" w:ascii="宋体" w:hAnsi="宋体" w:eastAsia="宋体" w:cs="宋体"/>
          <w:color w:val="auto"/>
          <w:sz w:val="21"/>
          <w:szCs w:val="21"/>
          <w:highlight w:val="none"/>
          <w:lang w:val="zh-CN"/>
        </w:rPr>
      </w:pPr>
    </w:p>
    <w:p>
      <w:pPr>
        <w:autoSpaceDE w:val="0"/>
        <w:autoSpaceDN w:val="0"/>
        <w:adjustRightIn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委托方：</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（以下简称甲方）</w:t>
      </w:r>
    </w:p>
    <w:p>
      <w:pPr>
        <w:tabs>
          <w:tab w:val="left" w:pos="4800"/>
        </w:tabs>
        <w:autoSpaceDE w:val="0"/>
        <w:autoSpaceDN w:val="0"/>
        <w:adjustRightIn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受托方：</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（以下简称乙方）</w:t>
      </w:r>
    </w:p>
    <w:p>
      <w:pPr>
        <w:spacing w:line="240" w:lineRule="auto"/>
        <w:ind w:firstLine="420" w:firstLineChars="200"/>
        <w:rPr>
          <w:rFonts w:hint="eastAsia" w:ascii="宋体" w:hAnsi="宋体" w:eastAsia="宋体" w:cs="宋体"/>
          <w:color w:val="auto"/>
          <w:sz w:val="21"/>
          <w:szCs w:val="21"/>
          <w:highlight w:val="none"/>
        </w:rPr>
      </w:pP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w:t>
      </w:r>
      <w:r>
        <w:rPr>
          <w:rFonts w:hint="eastAsia" w:ascii="宋体" w:hAnsi="宋体" w:eastAsia="宋体" w:cs="宋体"/>
          <w:color w:val="auto"/>
          <w:sz w:val="21"/>
          <w:szCs w:val="21"/>
          <w:highlight w:val="none"/>
          <w:lang w:val="en-US" w:eastAsia="zh-CN"/>
        </w:rPr>
        <w:t>民法典</w:t>
      </w:r>
      <w:r>
        <w:rPr>
          <w:rFonts w:hint="eastAsia" w:ascii="宋体" w:hAnsi="宋体" w:eastAsia="宋体" w:cs="宋体"/>
          <w:color w:val="auto"/>
          <w:sz w:val="21"/>
          <w:szCs w:val="21"/>
          <w:highlight w:val="none"/>
        </w:rPr>
        <w:t>》等法律法规，本着平等互利的原则，经甲、乙双方友好协商，就乙方为甲方提供物业管理服务事宜达成如下协议：</w:t>
      </w:r>
    </w:p>
    <w:p>
      <w:pPr>
        <w:spacing w:line="240" w:lineRule="auto"/>
        <w:ind w:firstLine="422" w:firstLineChars="200"/>
        <w:jc w:val="center"/>
        <w:rPr>
          <w:rFonts w:hint="eastAsia" w:ascii="宋体" w:hAnsi="宋体" w:eastAsia="宋体" w:cs="宋体"/>
          <w:b/>
          <w:bCs/>
          <w:color w:val="auto"/>
          <w:sz w:val="21"/>
          <w:szCs w:val="21"/>
          <w:highlight w:val="none"/>
        </w:rPr>
      </w:pPr>
    </w:p>
    <w:p>
      <w:pPr>
        <w:spacing w:line="240" w:lineRule="auto"/>
        <w:ind w:firstLine="422" w:firstLineChars="20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第一章  总则</w:t>
      </w:r>
    </w:p>
    <w:p>
      <w:pPr>
        <w:autoSpaceDE w:val="0"/>
        <w:autoSpaceDN w:val="0"/>
        <w:adjustRightInd w:val="0"/>
        <w:spacing w:line="240" w:lineRule="auto"/>
        <w:ind w:firstLine="422" w:firstLineChars="200"/>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lang w:val="zh-CN"/>
        </w:rPr>
        <w:t>第一条</w:t>
      </w:r>
      <w:r>
        <w:rPr>
          <w:rFonts w:hint="eastAsia" w:ascii="宋体" w:hAnsi="宋体" w:eastAsia="宋体" w:cs="宋体"/>
          <w:bCs/>
          <w:color w:val="auto"/>
          <w:sz w:val="21"/>
          <w:szCs w:val="21"/>
          <w:highlight w:val="none"/>
          <w:lang w:val="zh-CN"/>
        </w:rPr>
        <w:t>项目基本情况</w:t>
      </w:r>
    </w:p>
    <w:p>
      <w:pPr>
        <w:spacing w:line="24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物业类型</w:t>
      </w:r>
      <w:r>
        <w:rPr>
          <w:rFonts w:hint="eastAsia" w:ascii="宋体" w:hAnsi="宋体" w:eastAsia="宋体" w:cs="宋体"/>
          <w:color w:val="auto"/>
          <w:sz w:val="21"/>
          <w:szCs w:val="21"/>
          <w:highlight w:val="none"/>
          <w:u w:val="single"/>
        </w:rPr>
        <w:t xml:space="preserve">：综合型（办公、商铺、餐厅、停车场、卫生间、设施设备等物业服务）           </w:t>
      </w:r>
    </w:p>
    <w:p>
      <w:pPr>
        <w:spacing w:line="24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座落位置：</w:t>
      </w:r>
      <w:r>
        <w:rPr>
          <w:rFonts w:hint="eastAsia" w:ascii="宋体" w:hAnsi="宋体" w:eastAsia="宋体" w:cs="宋体"/>
          <w:color w:val="auto"/>
          <w:sz w:val="21"/>
          <w:szCs w:val="21"/>
          <w:highlight w:val="none"/>
          <w:u w:val="single"/>
        </w:rPr>
        <w:t xml:space="preserve">                                                                         </w:t>
      </w:r>
    </w:p>
    <w:p>
      <w:pPr>
        <w:spacing w:line="24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占地面积</w:t>
      </w:r>
      <w:r>
        <w:rPr>
          <w:rFonts w:hint="eastAsia" w:ascii="宋体" w:hAnsi="宋体" w:eastAsia="宋体" w:cs="宋体"/>
          <w:color w:val="auto"/>
          <w:sz w:val="21"/>
          <w:szCs w:val="21"/>
          <w:highlight w:val="none"/>
          <w:u w:val="single"/>
        </w:rPr>
        <w:t xml:space="preserve">：                                                                         </w:t>
      </w:r>
    </w:p>
    <w:p>
      <w:pPr>
        <w:spacing w:line="24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第二条  </w:t>
      </w:r>
      <w:r>
        <w:rPr>
          <w:rFonts w:hint="eastAsia" w:ascii="宋体" w:hAnsi="宋体" w:eastAsia="宋体" w:cs="宋体"/>
          <w:color w:val="auto"/>
          <w:sz w:val="21"/>
          <w:szCs w:val="21"/>
          <w:highlight w:val="none"/>
        </w:rPr>
        <w:t>乙方提供服务的受益人为本物业的甲方和物业使用人，甲、乙双方均应对履行本协议承担相应的责任。</w:t>
      </w:r>
    </w:p>
    <w:p>
      <w:pPr>
        <w:spacing w:line="24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第三条  </w:t>
      </w:r>
      <w:r>
        <w:rPr>
          <w:rFonts w:hint="eastAsia" w:ascii="宋体" w:hAnsi="宋体" w:eastAsia="宋体" w:cs="宋体"/>
          <w:color w:val="auto"/>
          <w:sz w:val="21"/>
          <w:szCs w:val="21"/>
          <w:highlight w:val="none"/>
        </w:rPr>
        <w:t>物业管理服务期限</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合同期限为1年，从    年   月  日起至    年   月   日止。采用“1+1”模式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一年合同期满后由甲方对乙方服务质量进行考核，考核合格后，经双方同意合同承包期限可顺延1年。</w:t>
      </w:r>
    </w:p>
    <w:p>
      <w:pPr>
        <w:pStyle w:val="35"/>
        <w:rPr>
          <w:rFonts w:hint="eastAsia" w:ascii="宋体" w:hAnsi="宋体" w:eastAsia="宋体" w:cs="宋体"/>
          <w:highlight w:val="none"/>
        </w:rPr>
      </w:pP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kern w:val="2"/>
          <w:sz w:val="22"/>
          <w:szCs w:val="22"/>
          <w:highlight w:val="none"/>
          <w:lang w:val="en-US" w:eastAsia="zh-CN" w:bidi="ar-SA"/>
        </w:rPr>
        <w:t>管理服务期满后乙方不再继续管理服务或乙方因任何原因提前解除合同的，考虑到服务区的连续性和影响力，甲方有权要求乙方依据本合同约定继续管理服务一段时间（最长6个月），直至新的单位进场。</w:t>
      </w:r>
    </w:p>
    <w:p>
      <w:pPr>
        <w:pStyle w:val="65"/>
        <w:spacing w:before="120" w:after="120" w:line="24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第二章物业管理服务事项</w:t>
      </w:r>
    </w:p>
    <w:p>
      <w:pPr>
        <w:spacing w:line="24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第四条  </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内公共卫生间、停车场和大厅（包括办公室、会议室、屋面下水沟、广场下水沟、绿化带内各种垃圾等）的清洁、清扫、除尘、公共（室内外全部）消防设施、设备的日常管理、清洁等并做好相应记录，确保正常工作。</w:t>
      </w:r>
    </w:p>
    <w:p>
      <w:pPr>
        <w:spacing w:line="24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第五条  </w:t>
      </w:r>
      <w:r>
        <w:rPr>
          <w:rFonts w:hint="eastAsia" w:ascii="宋体" w:hAnsi="宋体" w:eastAsia="宋体" w:cs="宋体"/>
          <w:color w:val="auto"/>
          <w:sz w:val="21"/>
          <w:szCs w:val="21"/>
          <w:highlight w:val="none"/>
        </w:rPr>
        <w:t>维持公共秩序，停车广场的交通与车辆停放秩序，疏导车辆、维护秩序。维持公共卫生，重大节假日或特殊任务期间加派人员。</w:t>
      </w:r>
    </w:p>
    <w:p>
      <w:pPr>
        <w:spacing w:line="24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第六条  </w:t>
      </w:r>
      <w:r>
        <w:rPr>
          <w:rFonts w:hint="eastAsia" w:ascii="宋体" w:hAnsi="宋体" w:eastAsia="宋体" w:cs="宋体"/>
          <w:color w:val="auto"/>
          <w:sz w:val="21"/>
          <w:szCs w:val="21"/>
          <w:highlight w:val="none"/>
        </w:rPr>
        <w:t>全天候值守（双向</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停车场内场、外场均有现场保安管理），夜间巡逻并巡更、门岗、内部通道执勤、广场车辆引导、危化品车辆登记和统计、车流量统计、各类突发事件的应急处置，及时发现停车广场公共设施和路产的人为损坏情况并上报。</w:t>
      </w:r>
    </w:p>
    <w:p>
      <w:pPr>
        <w:spacing w:line="24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第七条  </w:t>
      </w:r>
      <w:r>
        <w:rPr>
          <w:rFonts w:hint="eastAsia" w:ascii="宋体" w:hAnsi="宋体" w:eastAsia="宋体" w:cs="宋体"/>
          <w:color w:val="auto"/>
          <w:sz w:val="21"/>
          <w:szCs w:val="21"/>
          <w:highlight w:val="none"/>
        </w:rPr>
        <w:t>对司乘人员违反物业管理制度的行为，根据情节轻重，采取批评、规劝、警告、制止、向甲方反映、向公安、巡警报警等措施。乙方保安管理人员必须在现场处理或配合相关部门进行处理，直到各类隐患消除为止。</w:t>
      </w:r>
    </w:p>
    <w:p>
      <w:pPr>
        <w:spacing w:line="240" w:lineRule="auto"/>
        <w:ind w:left="0" w:leftChars="0" w:firstLine="422" w:firstLineChars="200"/>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rPr>
        <w:t xml:space="preserve">第八条  </w:t>
      </w:r>
      <w:r>
        <w:rPr>
          <w:rFonts w:hint="eastAsia" w:ascii="宋体" w:hAnsi="宋体" w:eastAsia="宋体" w:cs="宋体"/>
          <w:b/>
          <w:color w:val="auto"/>
          <w:sz w:val="21"/>
          <w:szCs w:val="21"/>
          <w:highlight w:val="none"/>
        </w:rPr>
        <w:t>乙方派遣的物业人员符合甲方要求，具体</w:t>
      </w:r>
      <w:r>
        <w:rPr>
          <w:rFonts w:hint="eastAsia" w:ascii="宋体" w:hAnsi="宋体" w:eastAsia="宋体" w:cs="宋体"/>
          <w:b/>
          <w:color w:val="auto"/>
          <w:sz w:val="21"/>
          <w:szCs w:val="21"/>
          <w:highlight w:val="none"/>
          <w:lang w:val="en-US" w:eastAsia="zh-CN"/>
        </w:rPr>
        <w:t>岗位详见合同</w:t>
      </w:r>
      <w:r>
        <w:rPr>
          <w:rFonts w:hint="eastAsia" w:ascii="宋体" w:hAnsi="宋体" w:eastAsia="宋体" w:cs="宋体"/>
          <w:b/>
          <w:color w:val="auto"/>
          <w:sz w:val="21"/>
          <w:szCs w:val="21"/>
          <w:highlight w:val="none"/>
        </w:rPr>
        <w:t>附三管理要求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乙方派遣</w:t>
      </w:r>
      <w:r>
        <w:rPr>
          <w:rFonts w:hint="eastAsia" w:ascii="宋体" w:hAnsi="宋体" w:eastAsia="宋体" w:cs="宋体"/>
          <w:color w:val="auto"/>
          <w:sz w:val="21"/>
          <w:szCs w:val="21"/>
          <w:highlight w:val="none"/>
          <w:lang w:val="en-US" w:eastAsia="zh-CN"/>
        </w:rPr>
        <w:t>物业人员</w:t>
      </w:r>
      <w:r>
        <w:rPr>
          <w:rFonts w:hint="eastAsia" w:ascii="宋体" w:hAnsi="宋体" w:eastAsia="宋体" w:cs="宋体"/>
          <w:color w:val="auto"/>
          <w:sz w:val="21"/>
          <w:szCs w:val="21"/>
          <w:highlight w:val="none"/>
        </w:rPr>
        <w:t>人数</w:t>
      </w:r>
      <w:r>
        <w:rPr>
          <w:rFonts w:hint="eastAsia" w:ascii="宋体" w:hAnsi="宋体" w:eastAsia="宋体" w:cs="宋体"/>
          <w:color w:val="auto"/>
          <w:sz w:val="21"/>
          <w:szCs w:val="21"/>
          <w:highlight w:val="none"/>
          <w:lang w:val="en-US" w:eastAsia="zh-CN"/>
        </w:rPr>
        <w:t>共计</w:t>
      </w:r>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各</w:t>
      </w:r>
      <w:r>
        <w:rPr>
          <w:rFonts w:hint="eastAsia" w:ascii="宋体" w:hAnsi="宋体" w:eastAsia="宋体" w:cs="宋体"/>
          <w:color w:val="auto"/>
          <w:kern w:val="2"/>
          <w:sz w:val="21"/>
          <w:szCs w:val="21"/>
          <w:highlight w:val="none"/>
          <w:lang w:val="en-US" w:eastAsia="zh-CN" w:bidi="ar"/>
        </w:rPr>
        <w:t>岗位排班须满足现场要求</w:t>
      </w:r>
      <w:r>
        <w:rPr>
          <w:rFonts w:hint="eastAsia" w:ascii="宋体" w:hAnsi="宋体" w:eastAsia="宋体" w:cs="宋体"/>
          <w:color w:val="auto"/>
          <w:sz w:val="21"/>
          <w:szCs w:val="21"/>
          <w:highlight w:val="none"/>
        </w:rPr>
        <w:t>。</w:t>
      </w:r>
    </w:p>
    <w:p>
      <w:pPr>
        <w:spacing w:line="24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消控人员、水电工必须持证上岗（国家职业资格证书），严格按作业证许可范围分别从事各自岗位工作。</w:t>
      </w:r>
    </w:p>
    <w:p>
      <w:pPr>
        <w:spacing w:line="24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第</w:t>
      </w:r>
      <w:r>
        <w:rPr>
          <w:rFonts w:hint="eastAsia" w:ascii="宋体" w:hAnsi="宋体" w:eastAsia="宋体" w:cs="宋体"/>
          <w:b/>
          <w:bCs/>
          <w:color w:val="auto"/>
          <w:sz w:val="21"/>
          <w:szCs w:val="21"/>
          <w:highlight w:val="none"/>
          <w:lang w:val="en-US" w:eastAsia="zh-CN"/>
        </w:rPr>
        <w:t>九</w:t>
      </w:r>
      <w:r>
        <w:rPr>
          <w:rFonts w:hint="eastAsia" w:ascii="宋体" w:hAnsi="宋体" w:eastAsia="宋体" w:cs="宋体"/>
          <w:b/>
          <w:bCs/>
          <w:color w:val="auto"/>
          <w:sz w:val="21"/>
          <w:szCs w:val="21"/>
          <w:highlight w:val="none"/>
        </w:rPr>
        <w:t xml:space="preserve">条  </w:t>
      </w:r>
      <w:r>
        <w:rPr>
          <w:rFonts w:hint="eastAsia" w:ascii="宋体" w:hAnsi="宋体" w:eastAsia="宋体" w:cs="宋体"/>
          <w:color w:val="auto"/>
          <w:sz w:val="21"/>
          <w:szCs w:val="21"/>
          <w:highlight w:val="none"/>
        </w:rPr>
        <w:t>乙方派驻人员采用24小时不间断对</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进行各项服务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每班工作时间八小时</w:t>
      </w:r>
      <w:r>
        <w:rPr>
          <w:rFonts w:hint="eastAsia" w:ascii="宋体" w:hAnsi="宋体" w:eastAsia="宋体" w:cs="宋体"/>
          <w:color w:val="auto"/>
          <w:sz w:val="21"/>
          <w:szCs w:val="21"/>
          <w:highlight w:val="none"/>
        </w:rPr>
        <w:t>。就餐时间及就餐地点由甲方指定。</w:t>
      </w:r>
    </w:p>
    <w:p>
      <w:pPr>
        <w:spacing w:line="240" w:lineRule="auto"/>
        <w:ind w:left="210" w:leftChars="100" w:firstLine="211" w:firstLineChars="100"/>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物业管理服务</w:t>
      </w:r>
      <w:r>
        <w:rPr>
          <w:rFonts w:hint="eastAsia" w:ascii="宋体" w:hAnsi="宋体" w:eastAsia="宋体" w:cs="宋体"/>
          <w:b/>
          <w:bCs w:val="0"/>
          <w:color w:val="auto"/>
          <w:sz w:val="21"/>
          <w:szCs w:val="21"/>
          <w:highlight w:val="none"/>
          <w:lang w:val="en-US" w:eastAsia="zh-CN"/>
        </w:rPr>
        <w:t>补充条款，</w:t>
      </w:r>
    </w:p>
    <w:p>
      <w:pPr>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（一）其他增值服务内容条款：</w:t>
      </w:r>
    </w:p>
    <w:p>
      <w:pPr>
        <w:pStyle w:val="2"/>
        <w:spacing w:line="240" w:lineRule="auto"/>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注：投标中已承诺的增值服务，如在服务期内乙方未按相关承诺实施的，甲方有权将相关服务另行委托第三方实施，相关费用按实际支付情况在结算季度款项时予以扣除。</w:t>
      </w:r>
    </w:p>
    <w:p>
      <w:pPr>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（二）其他增值服务设备条款：</w:t>
      </w:r>
    </w:p>
    <w:p>
      <w:pPr>
        <w:pStyle w:val="2"/>
        <w:spacing w:line="240" w:lineRule="auto"/>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注：投标中已承诺的提供的增值设备，如在服务期内乙方未按相关承诺提供的或合同签订后1个月内不能到位的，甲方有权另行购置或租赁，相关费用由乙方承担，并在季度款项时予以扣除。</w:t>
      </w:r>
    </w:p>
    <w:p>
      <w:pPr>
        <w:pStyle w:val="65"/>
        <w:spacing w:before="120" w:after="120" w:line="24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第三章双方权利义务</w:t>
      </w:r>
    </w:p>
    <w:p>
      <w:pPr>
        <w:spacing w:line="24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 xml:space="preserve">第十条  </w:t>
      </w:r>
      <w:r>
        <w:rPr>
          <w:rFonts w:hint="eastAsia" w:ascii="宋体" w:hAnsi="宋体" w:eastAsia="宋体" w:cs="宋体"/>
          <w:color w:val="auto"/>
          <w:sz w:val="21"/>
          <w:szCs w:val="21"/>
          <w:highlight w:val="none"/>
        </w:rPr>
        <w:t>甲方权利义务</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1.代表和维护产权人、使用人的合法权益；</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2.审定乙方拟定的物业管理制度，及乙方所聘用的人员；</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3.检查监督乙方管理工作的实施及制度的执行情况；</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4.审定乙方提出的物业管理服务年度计划；</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6.协助乙方作好物业管理工作和宣传教育、文化活动；</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7.向乙方无偿、及时提供必要的办公用房、保安、保洁工作所用的设备器材、清洁用品、用具等，同时甲方负责承担物业管理办公所实施的水电费用；</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8.向乙方无偿提供必要的物料储藏室、员工作息间，其所有权归甲方所有；</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9.及时足额向乙方支付相关服务费用。</w:t>
      </w:r>
    </w:p>
    <w:p>
      <w:pPr>
        <w:spacing w:line="24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 xml:space="preserve">第十一条  </w:t>
      </w:r>
      <w:r>
        <w:rPr>
          <w:rFonts w:hint="eastAsia" w:ascii="宋体" w:hAnsi="宋体" w:eastAsia="宋体" w:cs="宋体"/>
          <w:color w:val="auto"/>
          <w:sz w:val="21"/>
          <w:szCs w:val="21"/>
          <w:highlight w:val="none"/>
        </w:rPr>
        <w:t>乙方权利义务</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1.根据有关法律法规、本协议及协议附件的约定，制订物业管理制度；</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2.对司乘人员违反法规、规章的行为进行规劝和制止，并报甲方备案；</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3.未经甲方书面同意，乙方不得将本物业的管理责任转让给第三方，未经甲方同意不允许乙方分包或转包甲方服务管理事宜；</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4.在物业日常管理过程中对超越职权无法解决的事项或物业设施需要维修、保养以及为保证正常、安全运行所需要更换的设备，要及时向甲方反映，费用由甲方承担（包括消防设施、设备）；</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5.负责编制物业管理年度管理计划；</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6.对本物业的公用设施不得擅自占用和改变使用功能；</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7.按每月向甲方提出设备器材（清单另列附件）、清洁用品、用具等需求（领用）计划；</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 甲方需委托其他管理服务事项时，乙方应积极配合；</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9.合同终止时，乙方必须向甲方移交物业管理的全部档案资料；</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10.及时足额向甲方收取相关服务费用；</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11.乙方的物业管理人员要有符合国家规定的上岗证、健康证、保安员需持有保安员证，要严格政审，没有刑事犯罪记录，并报甲方备案。对</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须配置物业项目工作对接人，项目工作对接人聘用要经甲方审定，国家法定假日须在现场值守。对物业聘用人员，必须向甲方提供身份证、暂住证复印件，并每月向甲方提供人员花名册；</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12.因乙方及工作人员因管理不当造成人员和</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财产伤害或损失的，由乙方承担责任，造成甲方损失的，由乙方负责赔偿；</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13.乙方的物业管理人员要听从甲方调动指挥；</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14．甲方对乙方员工的工作行为进行监督，如发现乙方员工有违反规定和制度行为，甲方将要求其整改，乙方员工态度恶劣拒不改正的，乙方必须予以辞退；</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乙方负责员工招聘、录用、管理工作，保持员工稳定和到位人数，乙方做好员工岗前培训且做好台帐，并按国家规定办法办好劳动保险、人身意外险手续，确保乙方员工工资和福利及时发放到位。如因乙方用工原因生产劳务纠纷，乙方自行及时妥善处理，甲方不承担任何法律责任和经济责任，不能影响</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正常运行。</w:t>
      </w:r>
    </w:p>
    <w:p>
      <w:pPr>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16.乙方提供的物业人员服务质量不得低于附件三规定的量化标准。</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17．乙方派驻</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员工就餐由甲方</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统一安排，乙方员工就餐费用按甲方员工统一标准支付甲方</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w:t>
      </w:r>
    </w:p>
    <w:p>
      <w:pPr>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lang w:val="en-US" w:eastAsia="zh-CN"/>
        </w:rPr>
        <w:t>乙方需派驻专职水电工，要求人员电气证件齐全，专业操作能力满足日常和突发工作需要，可满足24小时服务要求。</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.乙方负责甲方服务区消控室远程监控管理安装，远程消防监控符合相关消防和安全规范要求，相关费用由乙方承担。</w:t>
      </w:r>
    </w:p>
    <w:p>
      <w:pPr>
        <w:pStyle w:val="35"/>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20.乙方负责甲方服务区环境卫生消杀工作，聘请专业第三方消杀公司定期做好消杀工作，第三方消杀工作选聘由甲方认可，产生的相关费用由乙方承担。</w:t>
      </w:r>
    </w:p>
    <w:p>
      <w:pPr>
        <w:pStyle w:val="35"/>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21.负责服务区内日常产生的垃圾清运工作，并将垃圾运送至垃圾中转站内处理，产生的相关费用由乙方承担。</w:t>
      </w:r>
    </w:p>
    <w:p>
      <w:pPr>
        <w:widowControl/>
        <w:numPr>
          <w:ilvl w:val="0"/>
          <w:numId w:val="0"/>
        </w:numPr>
        <w:spacing w:line="240" w:lineRule="auto"/>
        <w:ind w:left="0" w:firstLine="420" w:firstLineChars="200"/>
        <w:jc w:val="left"/>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22.因乙方自身管理不善出现双保人员集体罢工，造成现场物业服务工作失控，服务区形象在社会上造成严重恶劣影响的，当月考核视为零分。情节严重的甲方有权单方面接解除合同。</w:t>
      </w:r>
    </w:p>
    <w:p>
      <w:pPr>
        <w:widowControl/>
        <w:numPr>
          <w:ilvl w:val="0"/>
          <w:numId w:val="0"/>
        </w:numPr>
        <w:spacing w:line="240" w:lineRule="auto"/>
        <w:ind w:left="0" w:firstLine="420" w:firstLineChars="200"/>
        <w:jc w:val="left"/>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23.乙方进场前需先提交服务区双保人员和其他工种人员的日常考核管理办法细则，每月对优秀的人员进行定量的现金奖励，对工作表现差，并多次违规的人员进行现金扣罚。并报与服务区确认备案。</w:t>
      </w:r>
    </w:p>
    <w:p>
      <w:pPr>
        <w:widowControl/>
        <w:numPr>
          <w:ilvl w:val="0"/>
          <w:numId w:val="0"/>
        </w:numPr>
        <w:spacing w:line="240" w:lineRule="auto"/>
        <w:ind w:left="0" w:firstLine="420" w:firstLineChars="200"/>
        <w:jc w:val="left"/>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24.乙方至少每季度组织各技术职能部门对服务区整个物业项目的所有人员，进行业务指导，对现场设备设施进行安全检查和检测，并做出纸质整改意见报服务区留档备案。</w:t>
      </w:r>
    </w:p>
    <w:p>
      <w:pPr>
        <w:pStyle w:val="65"/>
        <w:spacing w:before="120" w:after="120" w:line="24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第四章物业管理费用</w:t>
      </w:r>
    </w:p>
    <w:p>
      <w:pPr>
        <w:autoSpaceDE w:val="0"/>
        <w:autoSpaceDN w:val="0"/>
        <w:adjustRightInd w:val="0"/>
        <w:spacing w:line="240" w:lineRule="auto"/>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第十</w:t>
      </w:r>
      <w:r>
        <w:rPr>
          <w:rFonts w:hint="eastAsia" w:ascii="宋体" w:hAnsi="宋体" w:eastAsia="宋体" w:cs="宋体"/>
          <w:b/>
          <w:bCs/>
          <w:color w:val="auto"/>
          <w:sz w:val="21"/>
          <w:szCs w:val="21"/>
          <w:highlight w:val="none"/>
        </w:rPr>
        <w:t>二</w:t>
      </w:r>
      <w:r>
        <w:rPr>
          <w:rFonts w:hint="eastAsia" w:ascii="宋体" w:hAnsi="宋体" w:eastAsia="宋体" w:cs="宋体"/>
          <w:b/>
          <w:bCs/>
          <w:color w:val="auto"/>
          <w:sz w:val="21"/>
          <w:szCs w:val="21"/>
          <w:highlight w:val="none"/>
          <w:lang w:val="zh-CN"/>
        </w:rPr>
        <w:t>条物业管理费用及支付方式</w:t>
      </w:r>
    </w:p>
    <w:p>
      <w:pPr>
        <w:spacing w:line="240" w:lineRule="auto"/>
        <w:ind w:firstLine="420" w:firstLineChars="2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1．物业管理壹年期费用总额为</w:t>
      </w:r>
      <w:r>
        <w:rPr>
          <w:rFonts w:hint="eastAsia" w:ascii="宋体" w:hAnsi="宋体" w:eastAsia="宋体" w:cs="宋体"/>
          <w:b/>
          <w:color w:val="auto"/>
          <w:sz w:val="21"/>
          <w:szCs w:val="21"/>
          <w:highlight w:val="none"/>
        </w:rPr>
        <w:t>人民币</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万元整</w:t>
      </w:r>
      <w:r>
        <w:rPr>
          <w:rFonts w:hint="eastAsia" w:ascii="宋体" w:hAnsi="宋体" w:eastAsia="宋体" w:cs="宋体"/>
          <w:color w:val="auto"/>
          <w:kern w:val="0"/>
          <w:sz w:val="21"/>
          <w:szCs w:val="21"/>
          <w:highlight w:val="none"/>
        </w:rPr>
        <w:t>，含税。</w:t>
      </w:r>
      <w:r>
        <w:rPr>
          <w:rFonts w:hint="eastAsia" w:ascii="宋体" w:hAnsi="宋体" w:eastAsia="宋体" w:cs="宋体"/>
          <w:color w:val="auto"/>
          <w:sz w:val="21"/>
          <w:szCs w:val="21"/>
          <w:highlight w:val="none"/>
          <w:u w:val="single"/>
        </w:rPr>
        <w:t>（临时增加人员费用</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维修单价金额在50元以下维修费用</w:t>
      </w:r>
      <w:r>
        <w:rPr>
          <w:rFonts w:hint="eastAsia" w:ascii="宋体" w:hAnsi="宋体" w:eastAsia="宋体" w:cs="宋体"/>
          <w:color w:val="auto"/>
          <w:sz w:val="21"/>
          <w:szCs w:val="21"/>
          <w:highlight w:val="none"/>
          <w:u w:val="single"/>
        </w:rPr>
        <w:t>每季按实结</w:t>
      </w:r>
      <w:r>
        <w:rPr>
          <w:rFonts w:hint="eastAsia" w:ascii="宋体" w:hAnsi="宋体" w:eastAsia="宋体" w:cs="宋体"/>
          <w:color w:val="auto"/>
          <w:sz w:val="21"/>
          <w:szCs w:val="21"/>
          <w:highlight w:val="none"/>
          <w:u w:val="single"/>
          <w:lang w:val="en-US" w:eastAsia="zh-CN"/>
        </w:rPr>
        <w:t>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员工奖励金由甲方人根据考核情况并结合员工表现每季按实结算，相关费用需由乙方先行垫付，足额发放至对应员工，不得扣减</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none"/>
        </w:rPr>
        <w:t>）。</w:t>
      </w:r>
    </w:p>
    <w:p>
      <w:pPr>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该价格已包括在</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域内提供</w:t>
      </w:r>
      <w:r>
        <w:rPr>
          <w:rFonts w:hint="eastAsia" w:ascii="宋体" w:hAnsi="宋体" w:eastAsia="宋体" w:cs="宋体"/>
          <w:color w:val="auto"/>
          <w:sz w:val="21"/>
          <w:szCs w:val="21"/>
          <w:highlight w:val="none"/>
          <w:lang w:val="en-US" w:eastAsia="zh-CN"/>
        </w:rPr>
        <w:t>秩序维护</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安保管理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卫生管理，</w:t>
      </w:r>
      <w:r>
        <w:rPr>
          <w:rFonts w:hint="eastAsia" w:ascii="宋体" w:hAnsi="宋体" w:eastAsia="宋体" w:cs="宋体"/>
          <w:color w:val="auto"/>
          <w:sz w:val="21"/>
          <w:szCs w:val="21"/>
          <w:highlight w:val="none"/>
        </w:rPr>
        <w:t>设备</w:t>
      </w:r>
      <w:r>
        <w:rPr>
          <w:rFonts w:hint="eastAsia" w:ascii="宋体" w:hAnsi="宋体" w:eastAsia="宋体" w:cs="宋体"/>
          <w:color w:val="auto"/>
          <w:sz w:val="21"/>
          <w:szCs w:val="21"/>
          <w:highlight w:val="none"/>
          <w:lang w:val="en-US" w:eastAsia="zh-CN"/>
        </w:rPr>
        <w:t>维护</w:t>
      </w:r>
      <w:r>
        <w:rPr>
          <w:rFonts w:hint="eastAsia" w:ascii="宋体" w:hAnsi="宋体" w:eastAsia="宋体" w:cs="宋体"/>
          <w:color w:val="auto"/>
          <w:sz w:val="21"/>
          <w:szCs w:val="21"/>
          <w:highlight w:val="none"/>
        </w:rPr>
        <w:t>及其他所有服务所需的人员工资（基本工资、辅助工资、工资性补贴、</w:t>
      </w:r>
      <w:r>
        <w:rPr>
          <w:rFonts w:hint="eastAsia" w:ascii="宋体" w:hAnsi="宋体" w:eastAsia="宋体" w:cs="宋体"/>
          <w:color w:val="auto"/>
          <w:sz w:val="21"/>
          <w:szCs w:val="21"/>
          <w:highlight w:val="none"/>
          <w:lang w:eastAsia="zh-CN"/>
        </w:rPr>
        <w:t>单休加班费、</w:t>
      </w:r>
      <w:r>
        <w:rPr>
          <w:rFonts w:hint="eastAsia" w:ascii="宋体" w:hAnsi="宋体" w:eastAsia="宋体" w:cs="宋体"/>
          <w:color w:val="auto"/>
          <w:sz w:val="21"/>
          <w:szCs w:val="21"/>
          <w:highlight w:val="none"/>
        </w:rPr>
        <w:t>奖金、节日加班费等），社会保障费（养老保险、基本医疗保险、工伤保险、失业保险、生育保险、住房公积金等），企业管理费（管理人员工资、办公费、差旅交通费、固定资产使用费、劳动保</w:t>
      </w:r>
      <w:r>
        <w:rPr>
          <w:rFonts w:hint="eastAsia" w:ascii="宋体" w:hAnsi="宋体" w:eastAsia="宋体" w:cs="宋体"/>
          <w:color w:val="auto"/>
          <w:sz w:val="21"/>
          <w:szCs w:val="21"/>
          <w:highlight w:val="none"/>
          <w:lang w:eastAsia="zh-CN"/>
        </w:rPr>
        <w:t>护</w:t>
      </w:r>
      <w:r>
        <w:rPr>
          <w:rFonts w:hint="eastAsia" w:ascii="宋体" w:hAnsi="宋体" w:eastAsia="宋体" w:cs="宋体"/>
          <w:color w:val="auto"/>
          <w:sz w:val="21"/>
          <w:szCs w:val="21"/>
          <w:highlight w:val="none"/>
        </w:rPr>
        <w:t>费、工会经费、职工教育经费、财产保险费等），工作相关的服装费，企业应缴纳的各种税费等全部费用。</w:t>
      </w:r>
    </w:p>
    <w:p>
      <w:pPr>
        <w:spacing w:line="240" w:lineRule="auto"/>
        <w:ind w:firstLine="420" w:firstLineChars="200"/>
        <w:rPr>
          <w:rFonts w:hint="eastAsia"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u w:val="single"/>
          <w:lang w:eastAsia="zh-CN"/>
        </w:rPr>
        <w:t>乙方</w:t>
      </w:r>
      <w:r>
        <w:rPr>
          <w:rFonts w:hint="eastAsia" w:ascii="宋体" w:hAnsi="宋体" w:eastAsia="宋体" w:cs="宋体"/>
          <w:color w:val="auto"/>
          <w:kern w:val="0"/>
          <w:sz w:val="21"/>
          <w:szCs w:val="21"/>
          <w:highlight w:val="none"/>
          <w:u w:val="single"/>
        </w:rPr>
        <w:t>在接到中标通知书后签订合同前，向</w:t>
      </w:r>
      <w:r>
        <w:rPr>
          <w:rFonts w:hint="eastAsia" w:ascii="宋体" w:hAnsi="宋体" w:eastAsia="宋体" w:cs="宋体"/>
          <w:color w:val="auto"/>
          <w:kern w:val="0"/>
          <w:sz w:val="21"/>
          <w:szCs w:val="21"/>
          <w:highlight w:val="none"/>
          <w:u w:val="single"/>
          <w:lang w:eastAsia="zh-CN"/>
        </w:rPr>
        <w:t>甲方</w:t>
      </w:r>
      <w:r>
        <w:rPr>
          <w:rFonts w:hint="eastAsia" w:ascii="宋体" w:hAnsi="宋体" w:eastAsia="宋体" w:cs="宋体"/>
          <w:color w:val="auto"/>
          <w:kern w:val="0"/>
          <w:sz w:val="21"/>
          <w:szCs w:val="21"/>
          <w:highlight w:val="none"/>
          <w:u w:val="single"/>
        </w:rPr>
        <w:t>缴纳合同价5%的履约保证金</w:t>
      </w:r>
      <w:r>
        <w:rPr>
          <w:rFonts w:hint="eastAsia" w:ascii="宋体" w:hAnsi="宋体" w:eastAsia="宋体" w:cs="宋体"/>
          <w:b/>
          <w:color w:val="auto"/>
          <w:kern w:val="0"/>
          <w:sz w:val="21"/>
          <w:szCs w:val="21"/>
          <w:highlight w:val="none"/>
          <w:u w:val="single"/>
        </w:rPr>
        <w:t>（须汇入</w:t>
      </w:r>
      <w:r>
        <w:rPr>
          <w:rFonts w:hint="eastAsia" w:ascii="宋体" w:hAnsi="宋体" w:eastAsia="宋体" w:cs="宋体"/>
          <w:b/>
          <w:color w:val="auto"/>
          <w:kern w:val="0"/>
          <w:sz w:val="21"/>
          <w:szCs w:val="21"/>
          <w:highlight w:val="none"/>
          <w:u w:val="single"/>
          <w:lang w:eastAsia="zh-CN"/>
        </w:rPr>
        <w:t>甲方</w:t>
      </w:r>
      <w:r>
        <w:rPr>
          <w:rFonts w:hint="eastAsia" w:ascii="宋体" w:hAnsi="宋体" w:eastAsia="宋体" w:cs="宋体"/>
          <w:b/>
          <w:color w:val="auto"/>
          <w:kern w:val="0"/>
          <w:sz w:val="21"/>
          <w:szCs w:val="21"/>
          <w:highlight w:val="none"/>
          <w:u w:val="single"/>
        </w:rPr>
        <w:t>指定银行账户）。</w:t>
      </w:r>
    </w:p>
    <w:p>
      <w:pPr>
        <w:spacing w:line="24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kern w:val="0"/>
          <w:sz w:val="21"/>
          <w:szCs w:val="21"/>
          <w:highlight w:val="none"/>
          <w:u w:val="single"/>
        </w:rPr>
        <w:t>▲</w:t>
      </w:r>
      <w:r>
        <w:rPr>
          <w:rFonts w:hint="eastAsia" w:ascii="宋体" w:hAnsi="宋体" w:eastAsia="宋体" w:cs="宋体"/>
          <w:bCs/>
          <w:color w:val="auto"/>
          <w:sz w:val="21"/>
          <w:szCs w:val="21"/>
          <w:highlight w:val="none"/>
          <w:u w:val="single"/>
        </w:rPr>
        <w:t>如遇突发事件或甲方管理需要物业人员临时加班，加班费标准</w:t>
      </w:r>
      <w:r>
        <w:rPr>
          <w:rFonts w:hint="eastAsia" w:ascii="宋体" w:hAnsi="宋体" w:eastAsia="宋体" w:cs="宋体"/>
          <w:bCs/>
          <w:color w:val="auto"/>
          <w:sz w:val="21"/>
          <w:szCs w:val="21"/>
          <w:highlight w:val="none"/>
          <w:u w:val="single"/>
          <w:lang w:val="en-US" w:eastAsia="zh-CN"/>
        </w:rPr>
        <w:t>没人按</w:t>
      </w:r>
      <w:r>
        <w:rPr>
          <w:rFonts w:hint="eastAsia" w:ascii="宋体" w:hAnsi="宋体" w:eastAsia="宋体" w:cs="宋体"/>
          <w:bCs/>
          <w:color w:val="auto"/>
          <w:sz w:val="21"/>
          <w:szCs w:val="21"/>
          <w:highlight w:val="none"/>
          <w:u w:val="single"/>
        </w:rPr>
        <w:t>1</w:t>
      </w:r>
      <w:r>
        <w:rPr>
          <w:rFonts w:hint="eastAsia" w:ascii="宋体" w:hAnsi="宋体" w:eastAsia="宋体" w:cs="宋体"/>
          <w:bCs/>
          <w:color w:val="auto"/>
          <w:sz w:val="21"/>
          <w:szCs w:val="21"/>
          <w:highlight w:val="none"/>
          <w:u w:val="single"/>
          <w:lang w:val="en-US" w:eastAsia="zh-CN"/>
        </w:rPr>
        <w:t>2</w:t>
      </w:r>
      <w:r>
        <w:rPr>
          <w:rFonts w:hint="eastAsia" w:ascii="宋体" w:hAnsi="宋体" w:eastAsia="宋体" w:cs="宋体"/>
          <w:bCs/>
          <w:color w:val="auto"/>
          <w:sz w:val="21"/>
          <w:szCs w:val="21"/>
          <w:highlight w:val="none"/>
          <w:u w:val="single"/>
        </w:rPr>
        <w:t>0元/班</w:t>
      </w:r>
      <w:r>
        <w:rPr>
          <w:rFonts w:hint="eastAsia" w:ascii="宋体" w:hAnsi="宋体" w:eastAsia="宋体" w:cs="宋体"/>
          <w:bCs/>
          <w:color w:val="auto"/>
          <w:sz w:val="21"/>
          <w:szCs w:val="21"/>
          <w:highlight w:val="none"/>
          <w:u w:val="single"/>
          <w:lang w:val="en-US" w:eastAsia="zh-CN"/>
        </w:rPr>
        <w:t>计付</w:t>
      </w:r>
      <w:r>
        <w:rPr>
          <w:rFonts w:hint="eastAsia" w:ascii="宋体" w:hAnsi="宋体" w:eastAsia="宋体" w:cs="宋体"/>
          <w:bCs/>
          <w:color w:val="auto"/>
          <w:sz w:val="21"/>
          <w:szCs w:val="21"/>
          <w:highlight w:val="none"/>
          <w:u w:val="single"/>
        </w:rPr>
        <w:t>，临时加班费总额</w:t>
      </w:r>
      <w:r>
        <w:rPr>
          <w:rFonts w:hint="eastAsia" w:ascii="宋体" w:hAnsi="宋体" w:eastAsia="宋体" w:cs="宋体"/>
          <w:bCs/>
          <w:color w:val="auto"/>
          <w:sz w:val="21"/>
          <w:szCs w:val="21"/>
          <w:highlight w:val="none"/>
          <w:u w:val="single"/>
          <w:lang w:val="en-US" w:eastAsia="zh-CN"/>
        </w:rPr>
        <w:t>控制在8</w:t>
      </w:r>
      <w:r>
        <w:rPr>
          <w:rFonts w:hint="eastAsia" w:ascii="宋体" w:hAnsi="宋体" w:eastAsia="宋体" w:cs="宋体"/>
          <w:bCs/>
          <w:color w:val="auto"/>
          <w:sz w:val="21"/>
          <w:szCs w:val="21"/>
          <w:highlight w:val="none"/>
          <w:u w:val="single"/>
        </w:rPr>
        <w:t>万元/年</w:t>
      </w:r>
      <w:r>
        <w:rPr>
          <w:rFonts w:hint="eastAsia" w:ascii="宋体" w:hAnsi="宋体" w:eastAsia="宋体" w:cs="宋体"/>
          <w:bCs/>
          <w:color w:val="auto"/>
          <w:sz w:val="21"/>
          <w:szCs w:val="21"/>
          <w:highlight w:val="none"/>
          <w:u w:val="single"/>
          <w:lang w:val="en-US" w:eastAsia="zh-CN"/>
        </w:rPr>
        <w:t>内</w:t>
      </w:r>
      <w:r>
        <w:rPr>
          <w:rFonts w:hint="eastAsia" w:ascii="宋体" w:hAnsi="宋体" w:eastAsia="宋体" w:cs="宋体"/>
          <w:bCs/>
          <w:color w:val="auto"/>
          <w:sz w:val="21"/>
          <w:szCs w:val="21"/>
          <w:highlight w:val="none"/>
          <w:u w:val="single"/>
        </w:rPr>
        <w:t>，在承包总价中列支。</w:t>
      </w:r>
      <w:r>
        <w:rPr>
          <w:rFonts w:hint="eastAsia" w:ascii="宋体" w:hAnsi="宋体" w:eastAsia="宋体" w:cs="宋体"/>
          <w:bCs/>
          <w:color w:val="auto"/>
          <w:sz w:val="21"/>
          <w:szCs w:val="21"/>
          <w:highlight w:val="none"/>
          <w:u w:val="single"/>
          <w:lang w:val="en-US" w:eastAsia="zh-CN"/>
        </w:rPr>
        <w:t>加班申请单需在事发当月由乙方提出申请，甲方负责人确认，超出时间期限的申请，一律不予确认计量。</w:t>
      </w:r>
    </w:p>
    <w:p>
      <w:pPr>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4．</w:t>
      </w:r>
      <w:r>
        <w:rPr>
          <w:rFonts w:hint="eastAsia" w:ascii="宋体" w:hAnsi="宋体" w:eastAsia="宋体" w:cs="宋体"/>
          <w:bCs w:val="0"/>
          <w:color w:val="auto"/>
          <w:sz w:val="21"/>
          <w:szCs w:val="21"/>
          <w:highlight w:val="none"/>
          <w:lang w:val="en-US" w:eastAsia="zh-CN"/>
        </w:rPr>
        <w:t>员工奖励金6万元整，</w:t>
      </w:r>
      <w:r>
        <w:rPr>
          <w:rFonts w:hint="eastAsia" w:ascii="宋体" w:hAnsi="宋体" w:eastAsia="宋体" w:cs="宋体"/>
          <w:color w:val="auto"/>
          <w:sz w:val="21"/>
          <w:szCs w:val="21"/>
          <w:highlight w:val="none"/>
          <w:lang w:val="en-US" w:eastAsia="zh-CN"/>
        </w:rPr>
        <w:t>用于服务区内员工的奖励，奖励金额及奖励方式由甲方根据相关员工的日常表现确定，但乙方不得因本奖励金的发放而扣减原本乙方自身应发放给员工的相关奖励。</w:t>
      </w:r>
    </w:p>
    <w:p>
      <w:pPr>
        <w:spacing w:line="240" w:lineRule="auto"/>
        <w:ind w:firstLine="420" w:firstLineChars="200"/>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lang w:val="en-US" w:eastAsia="zh-CN"/>
        </w:rPr>
        <w:t>5.维修单价金额在50元以下维修费用按4万元/年总额包干，</w:t>
      </w:r>
      <w:r>
        <w:rPr>
          <w:rFonts w:hint="eastAsia" w:ascii="宋体" w:hAnsi="宋体" w:eastAsia="宋体" w:cs="宋体"/>
          <w:bCs/>
          <w:color w:val="auto"/>
          <w:sz w:val="21"/>
          <w:szCs w:val="21"/>
          <w:highlight w:val="none"/>
          <w:u w:val="none"/>
        </w:rPr>
        <w:t>在承包总价中列支。</w:t>
      </w:r>
      <w:r>
        <w:rPr>
          <w:rFonts w:hint="eastAsia" w:ascii="宋体" w:hAnsi="宋体" w:eastAsia="宋体" w:cs="宋体"/>
          <w:bCs/>
          <w:color w:val="auto"/>
          <w:sz w:val="21"/>
          <w:szCs w:val="21"/>
          <w:highlight w:val="none"/>
          <w:u w:val="none"/>
          <w:lang w:val="en-US" w:eastAsia="zh-CN"/>
        </w:rPr>
        <w:t>维修申请单需在事发时或当月由乙方提出申请，甲方负责人确认，超出时间期限的申请，一律不予确认计量。</w:t>
      </w:r>
    </w:p>
    <w:p>
      <w:pPr>
        <w:spacing w:line="240" w:lineRule="auto"/>
        <w:ind w:firstLine="420" w:firstLineChars="20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u w:val="single"/>
          <w:lang w:val="en-US" w:eastAsia="zh-CN"/>
        </w:rPr>
        <w:t>除</w:t>
      </w:r>
      <w:r>
        <w:rPr>
          <w:rFonts w:hint="eastAsia" w:ascii="宋体" w:hAnsi="宋体" w:eastAsia="宋体" w:cs="宋体"/>
          <w:color w:val="auto"/>
          <w:sz w:val="21"/>
          <w:szCs w:val="21"/>
          <w:highlight w:val="none"/>
          <w:u w:val="single"/>
          <w:lang w:val="en-US" w:eastAsia="zh-CN"/>
        </w:rPr>
        <w:t>临时加班费、维修单价金额在50元以下维修费用、员工奖励金外，其他</w:t>
      </w:r>
      <w:r>
        <w:rPr>
          <w:rFonts w:hint="eastAsia" w:ascii="宋体" w:hAnsi="宋体" w:eastAsia="宋体" w:cs="宋体"/>
          <w:color w:val="auto"/>
          <w:kern w:val="0"/>
          <w:sz w:val="21"/>
          <w:szCs w:val="21"/>
          <w:highlight w:val="none"/>
          <w:u w:val="single"/>
        </w:rPr>
        <w:t>服务费</w:t>
      </w:r>
      <w:r>
        <w:rPr>
          <w:rFonts w:hint="eastAsia" w:ascii="宋体" w:hAnsi="宋体" w:eastAsia="宋体" w:cs="宋体"/>
          <w:color w:val="auto"/>
          <w:kern w:val="0"/>
          <w:sz w:val="21"/>
          <w:szCs w:val="21"/>
          <w:highlight w:val="none"/>
          <w:u w:val="single"/>
          <w:lang w:val="en-US" w:eastAsia="zh-CN"/>
        </w:rPr>
        <w:t>实行承包制</w:t>
      </w:r>
      <w:r>
        <w:rPr>
          <w:rFonts w:hint="eastAsia" w:ascii="宋体" w:hAnsi="宋体" w:eastAsia="宋体" w:cs="宋体"/>
          <w:color w:val="auto"/>
          <w:kern w:val="0"/>
          <w:sz w:val="21"/>
          <w:szCs w:val="21"/>
          <w:highlight w:val="none"/>
          <w:u w:val="single"/>
        </w:rPr>
        <w:t>按季结算支付。每次直接支付</w:t>
      </w:r>
      <w:r>
        <w:rPr>
          <w:rFonts w:hint="eastAsia" w:ascii="宋体" w:hAnsi="宋体" w:eastAsia="宋体" w:cs="宋体"/>
          <w:color w:val="auto"/>
          <w:kern w:val="0"/>
          <w:sz w:val="21"/>
          <w:szCs w:val="21"/>
          <w:highlight w:val="none"/>
          <w:u w:val="single"/>
          <w:lang w:val="en-US" w:eastAsia="zh-CN"/>
        </w:rPr>
        <w:t>9</w:t>
      </w:r>
      <w:r>
        <w:rPr>
          <w:rFonts w:hint="eastAsia" w:ascii="宋体" w:hAnsi="宋体" w:eastAsia="宋体" w:cs="宋体"/>
          <w:color w:val="auto"/>
          <w:kern w:val="0"/>
          <w:sz w:val="21"/>
          <w:szCs w:val="21"/>
          <w:highlight w:val="none"/>
          <w:u w:val="single"/>
        </w:rPr>
        <w:t>0%，</w:t>
      </w:r>
      <w:r>
        <w:rPr>
          <w:rFonts w:hint="eastAsia" w:ascii="宋体" w:hAnsi="宋体" w:eastAsia="宋体" w:cs="宋体"/>
          <w:color w:val="auto"/>
          <w:kern w:val="0"/>
          <w:sz w:val="21"/>
          <w:szCs w:val="21"/>
          <w:highlight w:val="none"/>
          <w:u w:val="single"/>
          <w:lang w:val="en-US" w:eastAsia="zh-CN"/>
        </w:rPr>
        <w:t>1</w:t>
      </w:r>
      <w:r>
        <w:rPr>
          <w:rFonts w:hint="eastAsia" w:ascii="宋体" w:hAnsi="宋体" w:eastAsia="宋体" w:cs="宋体"/>
          <w:color w:val="auto"/>
          <w:kern w:val="0"/>
          <w:sz w:val="21"/>
          <w:szCs w:val="21"/>
          <w:highlight w:val="none"/>
          <w:u w:val="single"/>
        </w:rPr>
        <w:t>0%根据考核情况予以支付。承包人需提供增值税专用发票，先服务后结算。</w:t>
      </w:r>
    </w:p>
    <w:p>
      <w:pPr>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single"/>
          <w:lang w:val="en-US" w:eastAsia="zh-CN"/>
        </w:rPr>
        <w:t>临时加班费、维修单价金额在50元以下维修费用每季按实结算；员工奖励金由甲方根据考核情况并结合员工表现每季按实结算，相关费用需由乙方先行垫付，足额发放至对应员工，不得扣减</w:t>
      </w:r>
      <w:r>
        <w:rPr>
          <w:rFonts w:hint="eastAsia" w:ascii="宋体" w:hAnsi="宋体" w:eastAsia="宋体" w:cs="宋体"/>
          <w:color w:val="auto"/>
          <w:sz w:val="21"/>
          <w:szCs w:val="21"/>
          <w:highlight w:val="none"/>
          <w:lang w:val="en-US" w:eastAsia="zh-CN"/>
        </w:rPr>
        <w:t>。</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▲服务期结束，且所有合同义务都已履行完毕后7天内，无息退还履约保证金。</w:t>
      </w:r>
    </w:p>
    <w:p>
      <w:pPr>
        <w:pStyle w:val="65"/>
        <w:spacing w:before="120" w:after="120" w:line="24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第五章履约保证金</w:t>
      </w:r>
    </w:p>
    <w:p>
      <w:pPr>
        <w:autoSpaceDE w:val="0"/>
        <w:autoSpaceDN w:val="0"/>
        <w:adjustRightInd w:val="0"/>
        <w:spacing w:line="24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zh-CN"/>
        </w:rPr>
        <w:t>第十</w:t>
      </w:r>
      <w:r>
        <w:rPr>
          <w:rFonts w:hint="eastAsia" w:ascii="宋体" w:hAnsi="宋体" w:eastAsia="宋体" w:cs="宋体"/>
          <w:b/>
          <w:bCs/>
          <w:color w:val="auto"/>
          <w:sz w:val="21"/>
          <w:szCs w:val="21"/>
          <w:highlight w:val="none"/>
        </w:rPr>
        <w:t>三</w:t>
      </w:r>
      <w:r>
        <w:rPr>
          <w:rFonts w:hint="eastAsia" w:ascii="宋体" w:hAnsi="宋体" w:eastAsia="宋体" w:cs="宋体"/>
          <w:b/>
          <w:bCs/>
          <w:color w:val="auto"/>
          <w:sz w:val="21"/>
          <w:szCs w:val="21"/>
          <w:highlight w:val="none"/>
          <w:lang w:val="zh-CN"/>
        </w:rPr>
        <w:t>条</w:t>
      </w:r>
      <w:r>
        <w:rPr>
          <w:rFonts w:hint="eastAsia" w:ascii="宋体" w:hAnsi="宋体" w:eastAsia="宋体" w:cs="宋体"/>
          <w:color w:val="auto"/>
          <w:sz w:val="21"/>
          <w:szCs w:val="21"/>
          <w:highlight w:val="none"/>
        </w:rPr>
        <w:t>乙方在合同签订后向甲方支付合同价5%的履约保证金</w:t>
      </w:r>
      <w:r>
        <w:rPr>
          <w:rFonts w:hint="eastAsia" w:ascii="宋体" w:hAnsi="宋体" w:eastAsia="宋体" w:cs="宋体"/>
          <w:b/>
          <w:color w:val="auto"/>
          <w:kern w:val="0"/>
          <w:sz w:val="21"/>
          <w:szCs w:val="21"/>
          <w:highlight w:val="none"/>
          <w:u w:val="single"/>
        </w:rPr>
        <w:t>（须汇入</w:t>
      </w:r>
      <w:r>
        <w:rPr>
          <w:rFonts w:hint="eastAsia" w:ascii="宋体" w:hAnsi="宋体" w:eastAsia="宋体" w:cs="宋体"/>
          <w:b/>
          <w:color w:val="auto"/>
          <w:kern w:val="0"/>
          <w:sz w:val="21"/>
          <w:szCs w:val="21"/>
          <w:highlight w:val="none"/>
          <w:u w:val="single"/>
          <w:lang w:eastAsia="zh-CN"/>
        </w:rPr>
        <w:t>甲方</w:t>
      </w:r>
      <w:r>
        <w:rPr>
          <w:rFonts w:hint="eastAsia" w:ascii="宋体" w:hAnsi="宋体" w:eastAsia="宋体" w:cs="宋体"/>
          <w:b/>
          <w:color w:val="auto"/>
          <w:kern w:val="0"/>
          <w:sz w:val="21"/>
          <w:szCs w:val="21"/>
          <w:highlight w:val="none"/>
          <w:u w:val="single"/>
        </w:rPr>
        <w:t>指定银行账户）</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对本合同履行过程中的事项，包括但不限于：服务质量、设施损坏、人身损害、违约赔偿金等进行担保。</w:t>
      </w:r>
    </w:p>
    <w:p>
      <w:pPr>
        <w:autoSpaceDE w:val="0"/>
        <w:autoSpaceDN w:val="0"/>
        <w:adjustRightInd w:val="0"/>
        <w:spacing w:line="24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第十四条  </w:t>
      </w:r>
      <w:r>
        <w:rPr>
          <w:rFonts w:hint="eastAsia" w:ascii="宋体" w:hAnsi="宋体" w:eastAsia="宋体" w:cs="宋体"/>
          <w:color w:val="auto"/>
          <w:sz w:val="21"/>
          <w:szCs w:val="21"/>
          <w:highlight w:val="none"/>
        </w:rPr>
        <w:t>乙方的违约金额或其他应由乙方承担的金额，甲方有权直接在履约保证金中扣除。乙方应在甲方发出书面扣除通知之日起15日内，补足扣除额，以维持管理服务期间履约保证金的完整性。</w:t>
      </w:r>
    </w:p>
    <w:p>
      <w:pPr>
        <w:autoSpaceDE w:val="0"/>
        <w:autoSpaceDN w:val="0"/>
        <w:adjustRightInd w:val="0"/>
        <w:spacing w:line="24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第十五条  </w:t>
      </w:r>
      <w:r>
        <w:rPr>
          <w:rFonts w:hint="eastAsia" w:ascii="宋体" w:hAnsi="宋体" w:eastAsia="宋体" w:cs="宋体"/>
          <w:color w:val="auto"/>
          <w:sz w:val="21"/>
          <w:szCs w:val="21"/>
          <w:highlight w:val="none"/>
        </w:rPr>
        <w:t>因乙方原因导致合同提前解除的，乙方履约保证金不予退还，乙方还应承担由此造成的甲方经济损失，双方另有约定的除外。</w:t>
      </w:r>
    </w:p>
    <w:p>
      <w:pPr>
        <w:autoSpaceDE w:val="0"/>
        <w:autoSpaceDN w:val="0"/>
        <w:adjustRightInd w:val="0"/>
        <w:spacing w:line="24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第十六条  </w:t>
      </w:r>
      <w:r>
        <w:rPr>
          <w:rFonts w:hint="eastAsia" w:ascii="宋体" w:hAnsi="宋体" w:eastAsia="宋体" w:cs="宋体"/>
          <w:color w:val="auto"/>
          <w:sz w:val="21"/>
          <w:szCs w:val="21"/>
          <w:highlight w:val="none"/>
        </w:rPr>
        <w:t>保证金不计利息。服务期限届满或终止之日起六个月后，甲方将剩余履约保证金无息返还给乙方。</w:t>
      </w:r>
    </w:p>
    <w:p>
      <w:pPr>
        <w:pStyle w:val="65"/>
        <w:spacing w:before="120" w:after="120" w:line="24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第六章合同解除</w:t>
      </w:r>
    </w:p>
    <w:p>
      <w:pPr>
        <w:autoSpaceDE w:val="0"/>
        <w:autoSpaceDN w:val="0"/>
        <w:adjustRightInd w:val="0"/>
        <w:spacing w:line="240" w:lineRule="auto"/>
        <w:ind w:firstLine="422" w:firstLineChars="200"/>
        <w:rPr>
          <w:rFonts w:hint="eastAsia" w:ascii="宋体" w:hAnsi="宋体" w:eastAsia="宋体" w:cs="宋体"/>
          <w:color w:val="auto"/>
          <w:sz w:val="21"/>
          <w:szCs w:val="21"/>
          <w:highlight w:val="none"/>
          <w:lang w:val="zh-CN"/>
        </w:rPr>
      </w:pPr>
      <w:r>
        <w:rPr>
          <w:rFonts w:hint="eastAsia" w:ascii="宋体" w:hAnsi="宋体" w:eastAsia="宋体" w:cs="宋体"/>
          <w:b/>
          <w:bCs/>
          <w:color w:val="auto"/>
          <w:sz w:val="21"/>
          <w:szCs w:val="21"/>
          <w:highlight w:val="none"/>
          <w:lang w:val="zh-CN"/>
        </w:rPr>
        <w:t>第十</w:t>
      </w:r>
      <w:r>
        <w:rPr>
          <w:rFonts w:hint="eastAsia" w:ascii="宋体" w:hAnsi="宋体" w:eastAsia="宋体" w:cs="宋体"/>
          <w:b/>
          <w:bCs/>
          <w:color w:val="auto"/>
          <w:sz w:val="21"/>
          <w:szCs w:val="21"/>
          <w:highlight w:val="none"/>
        </w:rPr>
        <w:t>七</w:t>
      </w:r>
      <w:r>
        <w:rPr>
          <w:rFonts w:hint="eastAsia" w:ascii="宋体" w:hAnsi="宋体" w:eastAsia="宋体" w:cs="宋体"/>
          <w:b/>
          <w:bCs/>
          <w:color w:val="auto"/>
          <w:sz w:val="21"/>
          <w:szCs w:val="21"/>
          <w:highlight w:val="none"/>
          <w:lang w:val="zh-CN"/>
        </w:rPr>
        <w:t>条</w:t>
      </w:r>
      <w:r>
        <w:rPr>
          <w:rFonts w:hint="eastAsia" w:ascii="宋体" w:hAnsi="宋体" w:eastAsia="宋体" w:cs="宋体"/>
          <w:color w:val="auto"/>
          <w:sz w:val="21"/>
          <w:szCs w:val="21"/>
          <w:highlight w:val="none"/>
          <w:lang w:val="zh-CN"/>
        </w:rPr>
        <w:t>出现下列情况之一的，甲方有权单方解除合同，并没收履约保证金，乙方应在甲方解除合同之日起三日内腾退场地，并办理移交手续，物业管理费用照实结算，甲方应于结算后3日内支付；因此给甲方造成损失的，乙方还应赔偿甲方损失：</w:t>
      </w:r>
    </w:p>
    <w:p>
      <w:pPr>
        <w:autoSpaceDE w:val="0"/>
        <w:autoSpaceDN w:val="0"/>
        <w:adjustRightInd w:val="0"/>
        <w:spacing w:line="24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1.乙方未按甲方通知的时间及金额补足履约保证金，拖欠时间超过30天的。</w:t>
      </w:r>
    </w:p>
    <w:p>
      <w:pPr>
        <w:autoSpaceDE w:val="0"/>
        <w:autoSpaceDN w:val="0"/>
        <w:adjustRightInd w:val="0"/>
        <w:spacing w:line="24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2.乙方违反本协议约定，经甲方书面通知后仍未改正的。</w:t>
      </w:r>
    </w:p>
    <w:p>
      <w:pPr>
        <w:autoSpaceDE w:val="0"/>
        <w:autoSpaceDN w:val="0"/>
        <w:adjustRightInd w:val="0"/>
        <w:spacing w:line="240" w:lineRule="auto"/>
        <w:ind w:left="420" w:left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3.乙方存在以下情形的：</w:t>
      </w:r>
      <w:r>
        <w:rPr>
          <w:rFonts w:hint="eastAsia" w:ascii="宋体" w:hAnsi="宋体" w:eastAsia="宋体" w:cs="宋体"/>
          <w:color w:val="auto"/>
          <w:sz w:val="21"/>
          <w:szCs w:val="21"/>
          <w:highlight w:val="none"/>
          <w:lang w:val="zh-CN"/>
        </w:rPr>
        <w:br w:type="textWrapping"/>
      </w:r>
      <w:r>
        <w:rPr>
          <w:rFonts w:hint="eastAsia" w:ascii="宋体" w:hAnsi="宋体" w:eastAsia="宋体" w:cs="宋体"/>
          <w:color w:val="auto"/>
          <w:sz w:val="21"/>
          <w:szCs w:val="21"/>
          <w:highlight w:val="none"/>
          <w:lang w:val="zh-CN"/>
        </w:rPr>
        <w:t>（1）因乙方原因被行业主管部门、集团公司、新闻媒体等通报批评或曝光，对甲方</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荣誉</w:t>
      </w:r>
      <w:r>
        <w:rPr>
          <w:rFonts w:hint="eastAsia" w:ascii="宋体" w:hAnsi="宋体" w:eastAsia="宋体" w:cs="宋体"/>
          <w:color w:val="auto"/>
          <w:sz w:val="21"/>
          <w:szCs w:val="21"/>
          <w:highlight w:val="none"/>
          <w:lang w:val="zh-CN"/>
        </w:rPr>
        <w:t>带来严重影响的；</w:t>
      </w:r>
    </w:p>
    <w:p>
      <w:pPr>
        <w:autoSpaceDE w:val="0"/>
        <w:autoSpaceDN w:val="0"/>
        <w:adjustRightInd w:val="0"/>
        <w:spacing w:line="24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（2）不符合现行行业标准；</w:t>
      </w:r>
    </w:p>
    <w:p>
      <w:pPr>
        <w:autoSpaceDE w:val="0"/>
        <w:autoSpaceDN w:val="0"/>
        <w:adjustRightInd w:val="0"/>
        <w:spacing w:line="24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（3）文明服务、管理服务规范配合明显不到位的；</w:t>
      </w:r>
    </w:p>
    <w:p>
      <w:pPr>
        <w:autoSpaceDE w:val="0"/>
        <w:autoSpaceDN w:val="0"/>
        <w:adjustRightInd w:val="0"/>
        <w:spacing w:line="24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（4）乙方累计三次遭到行政机关行政处罚的。</w:t>
      </w:r>
    </w:p>
    <w:p>
      <w:pPr>
        <w:autoSpaceDE w:val="0"/>
        <w:autoSpaceDN w:val="0"/>
        <w:adjustRightInd w:val="0"/>
        <w:spacing w:line="240" w:lineRule="auto"/>
        <w:ind w:firstLine="422" w:firstLineChars="200"/>
        <w:rPr>
          <w:rFonts w:hint="eastAsia" w:ascii="宋体" w:hAnsi="宋体" w:eastAsia="宋体" w:cs="宋体"/>
          <w:b/>
          <w:color w:val="auto"/>
          <w:sz w:val="21"/>
          <w:szCs w:val="21"/>
          <w:highlight w:val="none"/>
          <w:lang w:val="zh-CN"/>
        </w:rPr>
      </w:pPr>
      <w:r>
        <w:rPr>
          <w:rFonts w:hint="eastAsia" w:ascii="宋体" w:hAnsi="宋体" w:eastAsia="宋体" w:cs="宋体"/>
          <w:b/>
          <w:bCs/>
          <w:color w:val="auto"/>
          <w:sz w:val="21"/>
          <w:szCs w:val="21"/>
          <w:highlight w:val="none"/>
          <w:lang w:val="zh-CN"/>
        </w:rPr>
        <w:t>第十</w:t>
      </w:r>
      <w:r>
        <w:rPr>
          <w:rFonts w:hint="eastAsia" w:ascii="宋体" w:hAnsi="宋体" w:eastAsia="宋体" w:cs="宋体"/>
          <w:b/>
          <w:bCs/>
          <w:color w:val="auto"/>
          <w:sz w:val="21"/>
          <w:szCs w:val="21"/>
          <w:highlight w:val="none"/>
        </w:rPr>
        <w:t>八</w:t>
      </w:r>
      <w:r>
        <w:rPr>
          <w:rFonts w:hint="eastAsia" w:ascii="宋体" w:hAnsi="宋体" w:eastAsia="宋体" w:cs="宋体"/>
          <w:b/>
          <w:bCs/>
          <w:color w:val="auto"/>
          <w:sz w:val="21"/>
          <w:szCs w:val="21"/>
          <w:highlight w:val="none"/>
          <w:lang w:val="zh-CN"/>
        </w:rPr>
        <w:t>条</w:t>
      </w:r>
      <w:r>
        <w:rPr>
          <w:rFonts w:hint="eastAsia" w:ascii="宋体" w:hAnsi="宋体" w:eastAsia="宋体" w:cs="宋体"/>
          <w:color w:val="auto"/>
          <w:sz w:val="21"/>
          <w:szCs w:val="21"/>
          <w:highlight w:val="none"/>
          <w:lang w:val="zh-CN"/>
        </w:rPr>
        <w:t>因甲方或上级单位发展战略调整等原因需提前与乙方解除合同的，甲方应提前三个月书面告知乙方，乙方应给予支持。</w:t>
      </w:r>
    </w:p>
    <w:p>
      <w:pPr>
        <w:pStyle w:val="65"/>
        <w:spacing w:before="120" w:after="120" w:line="24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第七章违约责任</w:t>
      </w:r>
    </w:p>
    <w:p>
      <w:pPr>
        <w:autoSpaceDE w:val="0"/>
        <w:autoSpaceDN w:val="0"/>
        <w:adjustRightInd w:val="0"/>
        <w:spacing w:line="24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zh-CN"/>
        </w:rPr>
        <w:t>第十</w:t>
      </w:r>
      <w:r>
        <w:rPr>
          <w:rFonts w:hint="eastAsia" w:ascii="宋体" w:hAnsi="宋体" w:eastAsia="宋体" w:cs="宋体"/>
          <w:b/>
          <w:bCs/>
          <w:color w:val="auto"/>
          <w:sz w:val="21"/>
          <w:szCs w:val="21"/>
          <w:highlight w:val="none"/>
        </w:rPr>
        <w:t>九</w:t>
      </w:r>
      <w:r>
        <w:rPr>
          <w:rFonts w:hint="eastAsia" w:ascii="宋体" w:hAnsi="宋体" w:eastAsia="宋体" w:cs="宋体"/>
          <w:b/>
          <w:bCs/>
          <w:color w:val="auto"/>
          <w:sz w:val="21"/>
          <w:szCs w:val="21"/>
          <w:highlight w:val="none"/>
          <w:lang w:val="zh-CN"/>
        </w:rPr>
        <w:t>条</w:t>
      </w:r>
      <w:r>
        <w:rPr>
          <w:rFonts w:hint="eastAsia" w:ascii="宋体" w:hAnsi="宋体" w:eastAsia="宋体" w:cs="宋体"/>
          <w:color w:val="auto"/>
          <w:sz w:val="21"/>
          <w:szCs w:val="21"/>
          <w:highlight w:val="none"/>
          <w:lang w:val="zh-CN"/>
        </w:rPr>
        <w:t>甲方违反合同约定，乙方有权要求甲方在一定期限内解决，逾期未解决并造成乙方经济损失的，甲方应给予乙方经济赔偿，并承担相应的法律责任。</w:t>
      </w:r>
    </w:p>
    <w:p>
      <w:pPr>
        <w:autoSpaceDE w:val="0"/>
        <w:autoSpaceDN w:val="0"/>
        <w:adjustRightInd w:val="0"/>
        <w:spacing w:line="240" w:lineRule="auto"/>
        <w:ind w:firstLine="422" w:firstLineChars="200"/>
        <w:rPr>
          <w:rFonts w:hint="eastAsia" w:ascii="宋体" w:hAnsi="宋体" w:eastAsia="宋体" w:cs="宋体"/>
          <w:color w:val="auto"/>
          <w:sz w:val="21"/>
          <w:szCs w:val="21"/>
          <w:highlight w:val="none"/>
          <w:lang w:val="zh-CN"/>
        </w:rPr>
      </w:pPr>
      <w:r>
        <w:rPr>
          <w:rFonts w:hint="eastAsia" w:ascii="宋体" w:hAnsi="宋体" w:eastAsia="宋体" w:cs="宋体"/>
          <w:b/>
          <w:bCs/>
          <w:color w:val="auto"/>
          <w:sz w:val="21"/>
          <w:szCs w:val="21"/>
          <w:highlight w:val="none"/>
          <w:lang w:val="zh-CN"/>
        </w:rPr>
        <w:t>第</w:t>
      </w:r>
      <w:r>
        <w:rPr>
          <w:rFonts w:hint="eastAsia" w:ascii="宋体" w:hAnsi="宋体" w:eastAsia="宋体" w:cs="宋体"/>
          <w:b/>
          <w:bCs/>
          <w:color w:val="auto"/>
          <w:sz w:val="21"/>
          <w:szCs w:val="21"/>
          <w:highlight w:val="none"/>
        </w:rPr>
        <w:t>二十</w:t>
      </w:r>
      <w:r>
        <w:rPr>
          <w:rFonts w:hint="eastAsia" w:ascii="宋体" w:hAnsi="宋体" w:eastAsia="宋体" w:cs="宋体"/>
          <w:b/>
          <w:bCs/>
          <w:color w:val="auto"/>
          <w:sz w:val="21"/>
          <w:szCs w:val="21"/>
          <w:highlight w:val="none"/>
          <w:lang w:val="zh-CN"/>
        </w:rPr>
        <w:t>条</w:t>
      </w:r>
      <w:r>
        <w:rPr>
          <w:rFonts w:hint="eastAsia" w:ascii="宋体" w:hAnsi="宋体" w:eastAsia="宋体" w:cs="宋体"/>
          <w:color w:val="auto"/>
          <w:sz w:val="21"/>
          <w:szCs w:val="21"/>
          <w:highlight w:val="none"/>
          <w:lang w:val="zh-CN"/>
        </w:rPr>
        <w:t>乙方违反合同的约定，未达到约定的管理目标，甲方有权要求乙方限期整改，逾期未整改的，甲方有权终止合同；造成甲方经济损失的，乙方应给予甲方经济赔偿，并承担相应的法律责任。</w:t>
      </w:r>
    </w:p>
    <w:p>
      <w:pPr>
        <w:autoSpaceDE w:val="0"/>
        <w:autoSpaceDN w:val="0"/>
        <w:adjustRightInd w:val="0"/>
        <w:spacing w:line="240" w:lineRule="auto"/>
        <w:ind w:firstLine="422" w:firstLineChars="200"/>
        <w:rPr>
          <w:rFonts w:hint="eastAsia" w:ascii="宋体" w:hAnsi="宋体" w:eastAsia="宋体" w:cs="宋体"/>
          <w:color w:val="auto"/>
          <w:sz w:val="21"/>
          <w:szCs w:val="21"/>
          <w:highlight w:val="none"/>
          <w:lang w:val="zh-CN"/>
        </w:rPr>
      </w:pPr>
      <w:r>
        <w:rPr>
          <w:rFonts w:hint="eastAsia" w:ascii="宋体" w:hAnsi="宋体" w:eastAsia="宋体" w:cs="宋体"/>
          <w:b/>
          <w:bCs/>
          <w:color w:val="auto"/>
          <w:sz w:val="21"/>
          <w:szCs w:val="21"/>
          <w:highlight w:val="none"/>
          <w:lang w:val="zh-CN"/>
        </w:rPr>
        <w:t>第</w:t>
      </w:r>
      <w:r>
        <w:rPr>
          <w:rFonts w:hint="eastAsia" w:ascii="宋体" w:hAnsi="宋体" w:eastAsia="宋体" w:cs="宋体"/>
          <w:b/>
          <w:bCs/>
          <w:color w:val="auto"/>
          <w:sz w:val="21"/>
          <w:szCs w:val="21"/>
          <w:highlight w:val="none"/>
        </w:rPr>
        <w:t>二十一</w:t>
      </w:r>
      <w:r>
        <w:rPr>
          <w:rFonts w:hint="eastAsia" w:ascii="宋体" w:hAnsi="宋体" w:eastAsia="宋体" w:cs="宋体"/>
          <w:b/>
          <w:bCs/>
          <w:color w:val="auto"/>
          <w:sz w:val="21"/>
          <w:szCs w:val="21"/>
          <w:highlight w:val="none"/>
          <w:lang w:val="zh-CN"/>
        </w:rPr>
        <w:t>条</w:t>
      </w:r>
      <w:r>
        <w:rPr>
          <w:rFonts w:hint="eastAsia" w:ascii="宋体" w:hAnsi="宋体" w:eastAsia="宋体" w:cs="宋体"/>
          <w:color w:val="auto"/>
          <w:sz w:val="21"/>
          <w:szCs w:val="21"/>
          <w:highlight w:val="none"/>
          <w:lang w:val="zh-CN"/>
        </w:rPr>
        <w:t>乙方无正当理由提前终止合同的，应向甲方支付违约金数额为合同物业管理费总额的10%，同时甲方有权没收乙方的履约保证金；违约金不足以弥补甲方损失的，乙方还应给予足额赔偿。</w:t>
      </w:r>
    </w:p>
    <w:p>
      <w:pPr>
        <w:spacing w:line="24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zh-CN"/>
        </w:rPr>
        <w:t>第二十</w:t>
      </w:r>
      <w:r>
        <w:rPr>
          <w:rFonts w:hint="eastAsia" w:ascii="宋体" w:hAnsi="宋体" w:eastAsia="宋体" w:cs="宋体"/>
          <w:b/>
          <w:bCs/>
          <w:color w:val="auto"/>
          <w:sz w:val="21"/>
          <w:szCs w:val="21"/>
          <w:highlight w:val="none"/>
        </w:rPr>
        <w:t>二</w:t>
      </w:r>
      <w:r>
        <w:rPr>
          <w:rFonts w:hint="eastAsia" w:ascii="宋体" w:hAnsi="宋体" w:eastAsia="宋体" w:cs="宋体"/>
          <w:b/>
          <w:bCs/>
          <w:color w:val="auto"/>
          <w:sz w:val="21"/>
          <w:szCs w:val="21"/>
          <w:highlight w:val="none"/>
          <w:lang w:val="zh-CN"/>
        </w:rPr>
        <w:t>条</w:t>
      </w:r>
      <w:r>
        <w:rPr>
          <w:rFonts w:hint="eastAsia" w:ascii="宋体" w:hAnsi="宋体" w:eastAsia="宋体" w:cs="宋体"/>
          <w:color w:val="auto"/>
          <w:sz w:val="21"/>
          <w:szCs w:val="21"/>
          <w:highlight w:val="none"/>
          <w:lang w:val="zh-CN"/>
        </w:rPr>
        <w:t>本合同有效期内，乙方遭受行政机关行政处罚的，应每次向甲方支付违约金人民币1万元。</w:t>
      </w:r>
    </w:p>
    <w:p>
      <w:pPr>
        <w:pStyle w:val="65"/>
        <w:spacing w:before="120" w:after="120" w:line="24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第八章合同终止</w:t>
      </w:r>
    </w:p>
    <w:p>
      <w:pPr>
        <w:autoSpaceDE w:val="0"/>
        <w:autoSpaceDN w:val="0"/>
        <w:adjustRightInd w:val="0"/>
        <w:spacing w:line="240" w:lineRule="auto"/>
        <w:ind w:firstLine="422" w:firstLineChars="200"/>
        <w:rPr>
          <w:rFonts w:hint="eastAsia" w:ascii="宋体" w:hAnsi="宋体" w:eastAsia="宋体" w:cs="宋体"/>
          <w:color w:val="auto"/>
          <w:sz w:val="21"/>
          <w:szCs w:val="21"/>
          <w:highlight w:val="none"/>
          <w:lang w:val="zh-CN"/>
        </w:rPr>
      </w:pPr>
      <w:r>
        <w:rPr>
          <w:rFonts w:hint="eastAsia" w:ascii="宋体" w:hAnsi="宋体" w:eastAsia="宋体" w:cs="宋体"/>
          <w:b/>
          <w:bCs/>
          <w:color w:val="auto"/>
          <w:sz w:val="21"/>
          <w:szCs w:val="21"/>
          <w:highlight w:val="none"/>
          <w:lang w:val="zh-CN"/>
        </w:rPr>
        <w:t>第二十</w:t>
      </w:r>
      <w:r>
        <w:rPr>
          <w:rFonts w:hint="eastAsia" w:ascii="宋体" w:hAnsi="宋体" w:eastAsia="宋体" w:cs="宋体"/>
          <w:b/>
          <w:bCs/>
          <w:color w:val="auto"/>
          <w:sz w:val="21"/>
          <w:szCs w:val="21"/>
          <w:highlight w:val="none"/>
        </w:rPr>
        <w:t>三</w:t>
      </w:r>
      <w:r>
        <w:rPr>
          <w:rFonts w:hint="eastAsia" w:ascii="宋体" w:hAnsi="宋体" w:eastAsia="宋体" w:cs="宋体"/>
          <w:b/>
          <w:bCs/>
          <w:color w:val="auto"/>
          <w:sz w:val="21"/>
          <w:szCs w:val="21"/>
          <w:highlight w:val="none"/>
          <w:lang w:val="zh-CN"/>
        </w:rPr>
        <w:t>条</w:t>
      </w:r>
      <w:r>
        <w:rPr>
          <w:rFonts w:hint="eastAsia" w:ascii="宋体" w:hAnsi="宋体" w:eastAsia="宋体" w:cs="宋体"/>
          <w:color w:val="auto"/>
          <w:sz w:val="21"/>
          <w:szCs w:val="21"/>
          <w:highlight w:val="none"/>
          <w:lang w:val="zh-CN"/>
        </w:rPr>
        <w:t>管理服务期满后乙方不再继续管理服务或乙方因任何原因提前解除合同的，考虑到</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lang w:val="zh-CN"/>
        </w:rPr>
        <w:t>服务的连续性和影响力，甲方有权要求乙方依据本合同约定继续管理服务一段时间，直至新的单位进场。</w:t>
      </w:r>
    </w:p>
    <w:p>
      <w:pPr>
        <w:autoSpaceDE w:val="0"/>
        <w:autoSpaceDN w:val="0"/>
        <w:adjustRightInd w:val="0"/>
        <w:spacing w:line="240" w:lineRule="auto"/>
        <w:ind w:firstLine="422" w:firstLineChars="200"/>
        <w:rPr>
          <w:rFonts w:hint="eastAsia" w:ascii="宋体" w:hAnsi="宋体" w:eastAsia="宋体" w:cs="宋体"/>
          <w:color w:val="auto"/>
          <w:sz w:val="21"/>
          <w:szCs w:val="21"/>
          <w:highlight w:val="none"/>
          <w:lang w:val="zh-CN"/>
        </w:rPr>
      </w:pPr>
      <w:r>
        <w:rPr>
          <w:rFonts w:hint="eastAsia" w:ascii="宋体" w:hAnsi="宋体" w:eastAsia="宋体" w:cs="宋体"/>
          <w:b/>
          <w:bCs/>
          <w:color w:val="auto"/>
          <w:sz w:val="21"/>
          <w:szCs w:val="21"/>
          <w:highlight w:val="none"/>
          <w:lang w:val="zh-CN"/>
        </w:rPr>
        <w:t>第二十</w:t>
      </w:r>
      <w:r>
        <w:rPr>
          <w:rFonts w:hint="eastAsia" w:ascii="宋体" w:hAnsi="宋体" w:eastAsia="宋体" w:cs="宋体"/>
          <w:b/>
          <w:bCs/>
          <w:color w:val="auto"/>
          <w:sz w:val="21"/>
          <w:szCs w:val="21"/>
          <w:highlight w:val="none"/>
        </w:rPr>
        <w:t>四</w:t>
      </w:r>
      <w:r>
        <w:rPr>
          <w:rFonts w:hint="eastAsia" w:ascii="宋体" w:hAnsi="宋体" w:eastAsia="宋体" w:cs="宋体"/>
          <w:b/>
          <w:bCs/>
          <w:color w:val="auto"/>
          <w:sz w:val="21"/>
          <w:szCs w:val="21"/>
          <w:highlight w:val="none"/>
          <w:lang w:val="zh-CN"/>
        </w:rPr>
        <w:t>条</w:t>
      </w:r>
      <w:r>
        <w:rPr>
          <w:rFonts w:hint="eastAsia" w:ascii="宋体" w:hAnsi="宋体" w:eastAsia="宋体" w:cs="宋体"/>
          <w:color w:val="auto"/>
          <w:sz w:val="21"/>
          <w:szCs w:val="21"/>
          <w:highlight w:val="none"/>
          <w:lang w:val="zh-CN"/>
        </w:rPr>
        <w:t>管理服务期满后乙方不再继续或合同提前解除的，在合同解除或终止之日起三日内，乙方应将场地建筑物、构筑物及设施（备）按合同规定要求移交甲方，乙方不能以任何理由拒绝办理移交。</w:t>
      </w:r>
    </w:p>
    <w:p>
      <w:pPr>
        <w:autoSpaceDE w:val="0"/>
        <w:autoSpaceDN w:val="0"/>
        <w:adjustRightInd w:val="0"/>
        <w:spacing w:line="240" w:lineRule="auto"/>
        <w:ind w:firstLine="422" w:firstLineChars="200"/>
        <w:rPr>
          <w:rFonts w:hint="eastAsia" w:ascii="宋体" w:hAnsi="宋体" w:eastAsia="宋体" w:cs="宋体"/>
          <w:color w:val="auto"/>
          <w:sz w:val="21"/>
          <w:szCs w:val="21"/>
          <w:highlight w:val="none"/>
          <w:lang w:val="zh-CN"/>
        </w:rPr>
      </w:pPr>
      <w:r>
        <w:rPr>
          <w:rFonts w:hint="eastAsia" w:ascii="宋体" w:hAnsi="宋体" w:eastAsia="宋体" w:cs="宋体"/>
          <w:b/>
          <w:bCs/>
          <w:color w:val="auto"/>
          <w:sz w:val="21"/>
          <w:szCs w:val="21"/>
          <w:highlight w:val="none"/>
          <w:lang w:val="zh-CN"/>
        </w:rPr>
        <w:t>第二十</w:t>
      </w:r>
      <w:r>
        <w:rPr>
          <w:rFonts w:hint="eastAsia" w:ascii="宋体" w:hAnsi="宋体" w:eastAsia="宋体" w:cs="宋体"/>
          <w:b/>
          <w:bCs/>
          <w:color w:val="auto"/>
          <w:sz w:val="21"/>
          <w:szCs w:val="21"/>
          <w:highlight w:val="none"/>
        </w:rPr>
        <w:t>五</w:t>
      </w:r>
      <w:r>
        <w:rPr>
          <w:rFonts w:hint="eastAsia" w:ascii="宋体" w:hAnsi="宋体" w:eastAsia="宋体" w:cs="宋体"/>
          <w:b/>
          <w:bCs/>
          <w:color w:val="auto"/>
          <w:sz w:val="21"/>
          <w:szCs w:val="21"/>
          <w:highlight w:val="none"/>
          <w:lang w:val="zh-CN"/>
        </w:rPr>
        <w:t>条</w:t>
      </w:r>
      <w:r>
        <w:rPr>
          <w:rFonts w:hint="eastAsia" w:ascii="宋体" w:hAnsi="宋体" w:eastAsia="宋体" w:cs="宋体"/>
          <w:color w:val="auto"/>
          <w:sz w:val="21"/>
          <w:szCs w:val="21"/>
          <w:highlight w:val="none"/>
          <w:lang w:val="zh-CN"/>
        </w:rPr>
        <w:t>乙方移交时应达到如下标准：</w:t>
      </w:r>
    </w:p>
    <w:p>
      <w:pPr>
        <w:autoSpaceDE w:val="0"/>
        <w:autoSpaceDN w:val="0"/>
        <w:adjustRightInd w:val="0"/>
        <w:spacing w:line="24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1.房屋及装修清洁无损坏，如有损坏，按损坏程度赔偿。</w:t>
      </w:r>
    </w:p>
    <w:p>
      <w:pPr>
        <w:autoSpaceDE w:val="0"/>
        <w:autoSpaceDN w:val="0"/>
        <w:adjustRightInd w:val="0"/>
        <w:spacing w:line="24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2.设施（备）运行正常完好，如有损坏，按原价正常折旧后赔偿。</w:t>
      </w:r>
    </w:p>
    <w:p>
      <w:pPr>
        <w:autoSpaceDE w:val="0"/>
        <w:autoSpaceDN w:val="0"/>
        <w:adjustRightInd w:val="0"/>
        <w:spacing w:line="24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3.设施（备）功能和外表完好。</w:t>
      </w:r>
    </w:p>
    <w:p>
      <w:pPr>
        <w:autoSpaceDE w:val="0"/>
        <w:autoSpaceDN w:val="0"/>
        <w:adjustRightInd w:val="0"/>
        <w:spacing w:line="24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4.为新的单位提供工作便利和配合做好进场工作。</w:t>
      </w:r>
    </w:p>
    <w:p>
      <w:pPr>
        <w:autoSpaceDE w:val="0"/>
        <w:autoSpaceDN w:val="0"/>
        <w:adjustRightInd w:val="0"/>
        <w:spacing w:line="24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乙方移交未达到以上标准的，甲方可自行或委托第三方办理，费用由乙方承担或从乙方交纳的履约保证金中扣除。</w:t>
      </w:r>
    </w:p>
    <w:p>
      <w:pPr>
        <w:autoSpaceDE w:val="0"/>
        <w:autoSpaceDN w:val="0"/>
        <w:adjustRightInd w:val="0"/>
        <w:spacing w:line="24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乙方移交时，属于乙方的物品由乙方负责搬走，乙方逾期十日未搬走的，甲方有权自行处理，费用由乙方承担。</w:t>
      </w:r>
    </w:p>
    <w:p>
      <w:pPr>
        <w:pStyle w:val="65"/>
        <w:spacing w:before="120" w:after="120" w:line="24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第九章通知条款</w:t>
      </w:r>
    </w:p>
    <w:p>
      <w:pPr>
        <w:autoSpaceDE w:val="0"/>
        <w:autoSpaceDN w:val="0"/>
        <w:adjustRightInd w:val="0"/>
        <w:spacing w:line="24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第二十六条  </w:t>
      </w:r>
      <w:r>
        <w:rPr>
          <w:rFonts w:hint="eastAsia" w:ascii="宋体" w:hAnsi="宋体" w:eastAsia="宋体" w:cs="宋体"/>
          <w:color w:val="auto"/>
          <w:sz w:val="21"/>
          <w:szCs w:val="21"/>
          <w:highlight w:val="none"/>
        </w:rPr>
        <w:t>涉及本合同权利义务变化的或其他必要通知，应以书面形式传递，收到方应签收。如无法向他方直接送达或收到方不予签收，可邮寄送达，邮件寄至本合同记载之地址时，即视为送达。</w:t>
      </w:r>
    </w:p>
    <w:p>
      <w:pPr>
        <w:autoSpaceDE w:val="0"/>
        <w:autoSpaceDN w:val="0"/>
        <w:adjustRightInd w:val="0"/>
        <w:spacing w:line="24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第二十七条  </w:t>
      </w:r>
      <w:r>
        <w:rPr>
          <w:rFonts w:hint="eastAsia" w:ascii="宋体" w:hAnsi="宋体" w:eastAsia="宋体" w:cs="宋体"/>
          <w:color w:val="auto"/>
          <w:sz w:val="21"/>
          <w:szCs w:val="21"/>
          <w:highlight w:val="none"/>
        </w:rPr>
        <w:t>本合同下述的地址、电话、传真为双方通知送达的地址、电话、传真，如果任何一方变更，应在变更后3日内书面通知相对方，否则任何一方通知送达前述地址，即视为被送达方收到，由此引发的法律后果由被送达人承担。</w:t>
      </w:r>
    </w:p>
    <w:p>
      <w:pPr>
        <w:autoSpaceDE w:val="0"/>
        <w:autoSpaceDN w:val="0"/>
        <w:adjustRightIn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甲方地址：                                   乙方地址:                                     </w:t>
      </w:r>
    </w:p>
    <w:p>
      <w:pPr>
        <w:autoSpaceDE w:val="0"/>
        <w:autoSpaceDN w:val="0"/>
        <w:adjustRightIn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指定联系人:                                  指定联系人：</w:t>
      </w:r>
    </w:p>
    <w:p>
      <w:pPr>
        <w:autoSpaceDE w:val="0"/>
        <w:autoSpaceDN w:val="0"/>
        <w:adjustRightIn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电话:             传真:                     电话:             传真:</w:t>
      </w:r>
    </w:p>
    <w:p>
      <w:pPr>
        <w:autoSpaceDE w:val="0"/>
        <w:autoSpaceDN w:val="0"/>
        <w:adjustRightIn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                                   电子邮箱：</w:t>
      </w:r>
    </w:p>
    <w:p>
      <w:pPr>
        <w:autoSpaceDE w:val="0"/>
        <w:autoSpaceDN w:val="0"/>
        <w:adjustRightInd w:val="0"/>
        <w:spacing w:line="240" w:lineRule="auto"/>
        <w:jc w:val="center"/>
        <w:rPr>
          <w:rFonts w:hint="eastAsia" w:ascii="宋体" w:hAnsi="宋体" w:eastAsia="宋体" w:cs="宋体"/>
          <w:b/>
          <w:bCs/>
          <w:color w:val="auto"/>
          <w:sz w:val="21"/>
          <w:szCs w:val="21"/>
          <w:highlight w:val="none"/>
        </w:rPr>
      </w:pPr>
    </w:p>
    <w:p>
      <w:pPr>
        <w:autoSpaceDE w:val="0"/>
        <w:autoSpaceDN w:val="0"/>
        <w:adjustRightInd w:val="0"/>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第十章适用法律和争议的解决</w:t>
      </w:r>
    </w:p>
    <w:p>
      <w:pPr>
        <w:autoSpaceDE w:val="0"/>
        <w:autoSpaceDN w:val="0"/>
        <w:adjustRightInd w:val="0"/>
        <w:spacing w:line="240" w:lineRule="auto"/>
        <w:ind w:firstLine="422" w:firstLineChars="200"/>
        <w:rPr>
          <w:rFonts w:hint="eastAsia" w:ascii="宋体" w:hAnsi="宋体" w:eastAsia="宋体" w:cs="宋体"/>
          <w:color w:val="auto"/>
          <w:sz w:val="21"/>
          <w:szCs w:val="21"/>
          <w:highlight w:val="none"/>
          <w:lang w:val="zh-CN"/>
        </w:rPr>
      </w:pPr>
      <w:r>
        <w:rPr>
          <w:rFonts w:hint="eastAsia" w:ascii="宋体" w:hAnsi="宋体" w:eastAsia="宋体" w:cs="宋体"/>
          <w:b/>
          <w:color w:val="auto"/>
          <w:sz w:val="21"/>
          <w:szCs w:val="21"/>
          <w:highlight w:val="none"/>
        </w:rPr>
        <w:t xml:space="preserve">第二十八条  </w:t>
      </w:r>
      <w:r>
        <w:rPr>
          <w:rFonts w:hint="eastAsia" w:ascii="宋体" w:hAnsi="宋体" w:eastAsia="宋体" w:cs="宋体"/>
          <w:color w:val="auto"/>
          <w:sz w:val="21"/>
          <w:szCs w:val="21"/>
          <w:highlight w:val="none"/>
          <w:lang w:val="zh-CN"/>
        </w:rPr>
        <w:t>本合同适用中华人民共和国法律。</w:t>
      </w:r>
    </w:p>
    <w:p>
      <w:pPr>
        <w:autoSpaceDE w:val="0"/>
        <w:autoSpaceDN w:val="0"/>
        <w:adjustRightInd w:val="0"/>
        <w:spacing w:line="240" w:lineRule="auto"/>
        <w:ind w:firstLine="422" w:firstLineChars="200"/>
        <w:rPr>
          <w:rFonts w:hint="eastAsia" w:ascii="宋体" w:hAnsi="宋体" w:eastAsia="宋体" w:cs="宋体"/>
          <w:color w:val="auto"/>
          <w:sz w:val="21"/>
          <w:szCs w:val="21"/>
          <w:highlight w:val="none"/>
          <w:lang w:val="zh-CN"/>
        </w:rPr>
      </w:pPr>
      <w:r>
        <w:rPr>
          <w:rFonts w:hint="eastAsia" w:ascii="宋体" w:hAnsi="宋体" w:eastAsia="宋体" w:cs="宋体"/>
          <w:b/>
          <w:color w:val="auto"/>
          <w:sz w:val="21"/>
          <w:szCs w:val="21"/>
          <w:highlight w:val="none"/>
        </w:rPr>
        <w:t xml:space="preserve">第二十九条  </w:t>
      </w:r>
      <w:r>
        <w:rPr>
          <w:rFonts w:hint="eastAsia" w:ascii="宋体" w:hAnsi="宋体" w:eastAsia="宋体" w:cs="宋体"/>
          <w:color w:val="auto"/>
          <w:sz w:val="21"/>
          <w:szCs w:val="21"/>
          <w:highlight w:val="none"/>
          <w:lang w:val="zh-CN"/>
        </w:rPr>
        <w:t>因本合同履行引起的任何争议，在不停止</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lang w:val="zh-CN"/>
        </w:rPr>
        <w:t>物业管理服务的前提下，双方应友好协商解决；协商不成，由甲方所在地人民法院裁决。</w:t>
      </w:r>
    </w:p>
    <w:p>
      <w:pPr>
        <w:pStyle w:val="65"/>
        <w:spacing w:before="120" w:after="120" w:line="24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第十一章附则</w:t>
      </w:r>
    </w:p>
    <w:p>
      <w:pPr>
        <w:autoSpaceDE w:val="0"/>
        <w:autoSpaceDN w:val="0"/>
        <w:adjustRightInd w:val="0"/>
        <w:spacing w:line="240" w:lineRule="auto"/>
        <w:ind w:firstLine="422" w:firstLineChars="200"/>
        <w:rPr>
          <w:rFonts w:hint="eastAsia" w:ascii="宋体" w:hAnsi="宋体" w:eastAsia="宋体" w:cs="宋体"/>
          <w:color w:val="auto"/>
          <w:sz w:val="21"/>
          <w:szCs w:val="21"/>
          <w:highlight w:val="none"/>
          <w:lang w:val="zh-CN"/>
        </w:rPr>
      </w:pPr>
      <w:r>
        <w:rPr>
          <w:rFonts w:hint="eastAsia" w:ascii="宋体" w:hAnsi="宋体" w:eastAsia="宋体" w:cs="宋体"/>
          <w:b/>
          <w:bCs/>
          <w:color w:val="auto"/>
          <w:sz w:val="21"/>
          <w:szCs w:val="21"/>
          <w:highlight w:val="none"/>
          <w:lang w:val="zh-CN"/>
        </w:rPr>
        <w:t>第</w:t>
      </w:r>
      <w:r>
        <w:rPr>
          <w:rFonts w:hint="eastAsia" w:ascii="宋体" w:hAnsi="宋体" w:eastAsia="宋体" w:cs="宋体"/>
          <w:b/>
          <w:bCs/>
          <w:color w:val="auto"/>
          <w:sz w:val="21"/>
          <w:szCs w:val="21"/>
          <w:highlight w:val="none"/>
        </w:rPr>
        <w:t>三十</w:t>
      </w:r>
      <w:r>
        <w:rPr>
          <w:rFonts w:hint="eastAsia" w:ascii="宋体" w:hAnsi="宋体" w:eastAsia="宋体" w:cs="宋体"/>
          <w:b/>
          <w:bCs/>
          <w:color w:val="auto"/>
          <w:sz w:val="21"/>
          <w:szCs w:val="21"/>
          <w:highlight w:val="none"/>
          <w:lang w:val="zh-CN"/>
        </w:rPr>
        <w:t>条</w:t>
      </w:r>
      <w:r>
        <w:rPr>
          <w:rFonts w:hint="eastAsia" w:ascii="宋体" w:hAnsi="宋体" w:eastAsia="宋体" w:cs="宋体"/>
          <w:color w:val="auto"/>
          <w:sz w:val="21"/>
          <w:szCs w:val="21"/>
          <w:highlight w:val="none"/>
          <w:lang w:val="zh-CN"/>
        </w:rPr>
        <w:t>合同自双方签字盖章之日起生效。</w:t>
      </w:r>
    </w:p>
    <w:p>
      <w:pPr>
        <w:autoSpaceDE w:val="0"/>
        <w:autoSpaceDN w:val="0"/>
        <w:adjustRightInd w:val="0"/>
        <w:spacing w:line="24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本合同一式</w:t>
      </w:r>
      <w:r>
        <w:rPr>
          <w:rFonts w:hint="eastAsia" w:ascii="宋体" w:hAnsi="宋体" w:eastAsia="宋体" w:cs="宋体"/>
          <w:color w:val="auto"/>
          <w:sz w:val="21"/>
          <w:szCs w:val="21"/>
          <w:highlight w:val="none"/>
        </w:rPr>
        <w:t>伍</w:t>
      </w:r>
      <w:r>
        <w:rPr>
          <w:rFonts w:hint="eastAsia" w:ascii="宋体" w:hAnsi="宋体" w:eastAsia="宋体" w:cs="宋体"/>
          <w:color w:val="auto"/>
          <w:sz w:val="21"/>
          <w:szCs w:val="21"/>
          <w:highlight w:val="none"/>
          <w:lang w:val="zh-CN"/>
        </w:rPr>
        <w:t>份，甲、乙双方各执</w:t>
      </w:r>
      <w:r>
        <w:rPr>
          <w:rFonts w:hint="eastAsia" w:ascii="宋体" w:hAnsi="宋体" w:eastAsia="宋体" w:cs="宋体"/>
          <w:color w:val="auto"/>
          <w:sz w:val="21"/>
          <w:szCs w:val="21"/>
          <w:highlight w:val="none"/>
        </w:rPr>
        <w:t>贰</w:t>
      </w:r>
      <w:r>
        <w:rPr>
          <w:rFonts w:hint="eastAsia" w:ascii="宋体" w:hAnsi="宋体" w:eastAsia="宋体" w:cs="宋体"/>
          <w:color w:val="auto"/>
          <w:sz w:val="21"/>
          <w:szCs w:val="21"/>
          <w:highlight w:val="none"/>
          <w:lang w:val="zh-CN"/>
        </w:rPr>
        <w:t>份，</w:t>
      </w:r>
      <w:r>
        <w:rPr>
          <w:rFonts w:hint="eastAsia" w:ascii="宋体" w:hAnsi="宋体" w:eastAsia="宋体" w:cs="宋体"/>
          <w:color w:val="auto"/>
          <w:sz w:val="21"/>
          <w:szCs w:val="21"/>
          <w:highlight w:val="none"/>
        </w:rPr>
        <w:t>另一份交采购代理机构备案，</w:t>
      </w:r>
      <w:r>
        <w:rPr>
          <w:rFonts w:hint="eastAsia" w:ascii="宋体" w:hAnsi="宋体" w:eastAsia="宋体" w:cs="宋体"/>
          <w:color w:val="auto"/>
          <w:sz w:val="21"/>
          <w:szCs w:val="21"/>
          <w:highlight w:val="none"/>
          <w:lang w:val="zh-CN"/>
        </w:rPr>
        <w:t>每份具有同等法律效力。</w:t>
      </w:r>
    </w:p>
    <w:p>
      <w:pPr>
        <w:autoSpaceDE w:val="0"/>
        <w:autoSpaceDN w:val="0"/>
        <w:adjustRightInd w:val="0"/>
        <w:spacing w:line="24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本合同未尽事宜，双方协商后另行签订补充合同。补充合同与本合同具有同等法律效力。</w:t>
      </w:r>
    </w:p>
    <w:p>
      <w:pPr>
        <w:autoSpaceDE w:val="0"/>
        <w:autoSpaceDN w:val="0"/>
        <w:adjustRightInd w:val="0"/>
        <w:spacing w:line="240" w:lineRule="auto"/>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第</w:t>
      </w:r>
      <w:r>
        <w:rPr>
          <w:rFonts w:hint="eastAsia" w:ascii="宋体" w:hAnsi="宋体" w:eastAsia="宋体" w:cs="宋体"/>
          <w:b/>
          <w:bCs/>
          <w:color w:val="auto"/>
          <w:sz w:val="21"/>
          <w:szCs w:val="21"/>
          <w:highlight w:val="none"/>
        </w:rPr>
        <w:t>三十一</w:t>
      </w:r>
      <w:r>
        <w:rPr>
          <w:rFonts w:hint="eastAsia" w:ascii="宋体" w:hAnsi="宋体" w:eastAsia="宋体" w:cs="宋体"/>
          <w:b/>
          <w:bCs/>
          <w:color w:val="auto"/>
          <w:sz w:val="21"/>
          <w:szCs w:val="21"/>
          <w:highlight w:val="none"/>
          <w:lang w:val="zh-CN"/>
        </w:rPr>
        <w:t>条</w:t>
      </w:r>
      <w:r>
        <w:rPr>
          <w:rFonts w:hint="eastAsia" w:ascii="宋体" w:hAnsi="宋体" w:eastAsia="宋体" w:cs="宋体"/>
          <w:color w:val="auto"/>
          <w:sz w:val="21"/>
          <w:szCs w:val="21"/>
          <w:highlight w:val="none"/>
          <w:lang w:val="zh-CN"/>
        </w:rPr>
        <w:t>本合同之附件为合同的有效组成部分，与本合同具有同等法律效力。该附件必须经甲、乙双方签字认可，附件之间如有冲突，双方协商解决。</w:t>
      </w:r>
    </w:p>
    <w:p>
      <w:pPr>
        <w:autoSpaceDE w:val="0"/>
        <w:autoSpaceDN w:val="0"/>
        <w:adjustRightInd w:val="0"/>
        <w:spacing w:line="24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（以下无正文）</w:t>
      </w:r>
    </w:p>
    <w:p>
      <w:pPr>
        <w:autoSpaceDE w:val="0"/>
        <w:autoSpaceDN w:val="0"/>
        <w:adjustRightInd w:val="0"/>
        <w:spacing w:line="240" w:lineRule="auto"/>
        <w:rPr>
          <w:rFonts w:hint="eastAsia" w:ascii="宋体" w:hAnsi="宋体" w:eastAsia="宋体" w:cs="宋体"/>
          <w:b/>
          <w:color w:val="auto"/>
          <w:sz w:val="21"/>
          <w:szCs w:val="21"/>
          <w:highlight w:val="none"/>
          <w:lang w:val="zh-CN"/>
        </w:rPr>
      </w:pPr>
    </w:p>
    <w:p>
      <w:pPr>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br w:type="page"/>
      </w:r>
    </w:p>
    <w:p>
      <w:p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zh-CN"/>
        </w:rPr>
        <w:t>合同附件：</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附件一、《高速公路</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业务廉政合同》</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附件二、《高速公路</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业务安全生产暨社会治安综合治理合同》</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附件三、</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物业工作质量量化标准</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附件四、</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物业管理考核办法（以甲方下发的最新版本为准）</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附件五、</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物业项目月度考核评分表</w:t>
      </w:r>
    </w:p>
    <w:p>
      <w:pPr>
        <w:bidi w:val="0"/>
        <w:rPr>
          <w:rFonts w:hint="eastAsia" w:ascii="宋体" w:hAnsi="宋体" w:eastAsia="宋体" w:cs="宋体"/>
          <w:highlight w:val="none"/>
        </w:rPr>
      </w:pPr>
    </w:p>
    <w:p>
      <w:pPr>
        <w:pStyle w:val="2"/>
        <w:rPr>
          <w:rFonts w:hint="eastAsia" w:ascii="宋体" w:hAnsi="宋体" w:eastAsia="宋体" w:cs="宋体"/>
          <w:highlight w:val="none"/>
        </w:rPr>
      </w:pPr>
    </w:p>
    <w:p>
      <w:pPr>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甲方单位：</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公章</w:t>
      </w:r>
      <w:r>
        <w:rPr>
          <w:rFonts w:hint="eastAsia" w:ascii="宋体" w:hAnsi="宋体" w:eastAsia="宋体" w:cs="宋体"/>
          <w:b w:val="0"/>
          <w:bCs w:val="0"/>
          <w:color w:val="auto"/>
          <w:sz w:val="21"/>
          <w:szCs w:val="21"/>
          <w:highlight w:val="none"/>
        </w:rPr>
        <w:t xml:space="preserve">）                           </w:t>
      </w:r>
    </w:p>
    <w:p>
      <w:pPr>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法定代表人</w:t>
      </w:r>
    </w:p>
    <w:p>
      <w:pPr>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或其授权代理人</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val="en-US" w:eastAsia="zh-CN"/>
        </w:rPr>
        <w:t xml:space="preserve">  （签字或盖章）</w:t>
      </w:r>
    </w:p>
    <w:p>
      <w:pPr>
        <w:bidi w:val="0"/>
        <w:rPr>
          <w:rFonts w:hint="eastAsia" w:ascii="宋体" w:hAnsi="宋体" w:eastAsia="宋体" w:cs="宋体"/>
          <w:highlight w:val="none"/>
        </w:rPr>
      </w:pPr>
    </w:p>
    <w:p>
      <w:pPr>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乙方单位：</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 xml:space="preserve">（盖章）      </w:t>
      </w:r>
    </w:p>
    <w:p>
      <w:pPr>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法定代表人</w:t>
      </w:r>
    </w:p>
    <w:p>
      <w:pPr>
        <w:widowControl/>
        <w:spacing w:line="24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或其授权代理人</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val="en-US" w:eastAsia="zh-CN"/>
        </w:rPr>
        <w:t xml:space="preserve"> （签字或盖章）</w:t>
      </w:r>
    </w:p>
    <w:p>
      <w:pPr>
        <w:widowControl/>
        <w:spacing w:line="240" w:lineRule="auto"/>
        <w:jc w:val="left"/>
        <w:rPr>
          <w:rFonts w:hint="eastAsia" w:ascii="宋体" w:hAnsi="宋体" w:eastAsia="宋体" w:cs="宋体"/>
          <w:b w:val="0"/>
          <w:bCs w:val="0"/>
          <w:color w:val="auto"/>
          <w:sz w:val="21"/>
          <w:szCs w:val="21"/>
          <w:highlight w:val="none"/>
        </w:rPr>
      </w:pPr>
    </w:p>
    <w:p>
      <w:pPr>
        <w:widowControl/>
        <w:spacing w:line="24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签订日期：      年    月   日</w:t>
      </w:r>
    </w:p>
    <w:p>
      <w:pPr>
        <w:autoSpaceDE w:val="0"/>
        <w:autoSpaceDN w:val="0"/>
        <w:adjustRightIn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附件一</w:t>
      </w:r>
    </w:p>
    <w:p>
      <w:pPr>
        <w:autoSpaceDE w:val="0"/>
        <w:autoSpaceDN w:val="0"/>
        <w:adjustRightInd w:val="0"/>
        <w:spacing w:line="240" w:lineRule="auto"/>
        <w:jc w:val="center"/>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sz w:val="24"/>
          <w:szCs w:val="24"/>
          <w:highlight w:val="none"/>
          <w:lang w:val="zh-CN"/>
        </w:rPr>
        <w:t>温州市高速公路资产经营有限公司</w:t>
      </w:r>
    </w:p>
    <w:p>
      <w:pPr>
        <w:autoSpaceDE w:val="0"/>
        <w:autoSpaceDN w:val="0"/>
        <w:adjustRightInd w:val="0"/>
        <w:spacing w:line="240" w:lineRule="auto"/>
        <w:jc w:val="center"/>
        <w:rPr>
          <w:rFonts w:hint="eastAsia" w:ascii="宋体" w:hAnsi="宋体" w:eastAsia="宋体" w:cs="宋体"/>
          <w:b/>
          <w:bCs w:val="0"/>
          <w:color w:val="auto"/>
          <w:sz w:val="24"/>
          <w:szCs w:val="24"/>
          <w:highlight w:val="none"/>
          <w:lang w:val="zh-CN"/>
        </w:rPr>
      </w:pPr>
      <w:bookmarkStart w:id="189" w:name="_Toc444688528"/>
      <w:r>
        <w:rPr>
          <w:rFonts w:hint="eastAsia" w:ascii="宋体" w:hAnsi="宋体" w:eastAsia="宋体" w:cs="宋体"/>
          <w:b/>
          <w:bCs w:val="0"/>
          <w:color w:val="auto"/>
          <w:sz w:val="24"/>
          <w:szCs w:val="24"/>
          <w:highlight w:val="none"/>
          <w:lang w:val="zh-CN"/>
        </w:rPr>
        <w:t>服务区业务廉政合同</w:t>
      </w:r>
      <w:bookmarkEnd w:id="189"/>
    </w:p>
    <w:p>
      <w:pPr>
        <w:spacing w:line="240" w:lineRule="auto"/>
        <w:jc w:val="center"/>
        <w:rPr>
          <w:rFonts w:hint="eastAsia" w:ascii="宋体" w:hAnsi="宋体" w:eastAsia="宋体" w:cs="宋体"/>
          <w:b/>
          <w:color w:val="auto"/>
          <w:sz w:val="21"/>
          <w:szCs w:val="21"/>
          <w:highlight w:val="none"/>
        </w:rPr>
      </w:pP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根据有关廉政建设的规定，为做好管理服务活动中的党风廉政建设，保证</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严格管理、规范服务，自觉维护</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文明窗口形象以及投资效益，温州市高速公路资产经营有限公司(以下称甲方)与(以下称乙方)，特订立以下合同。</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1.甲乙双方的权利和义务</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严格遵守党和国家有关法律法规及交通行业主管部门的有关廉政规定。</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严格执行物业管理服务项目合同，自觉按合同办事。</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双方的业务活动坚持公开、公正、诚信、透明的原则，不得损害国家和集体的利益，不得违反相关的规章制度。</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建立健全廉政制度，开展廉政教育，建立廉政告示牌，公布举报电话，监督并认真查处违法违纪行为。</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发现对方在业务活动中有违反廉政规定的行为，有及时提醒对方纠正的权利和义务。</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发现对方严重违反本合同义务条款的行为，有向其上级有关部门举报、建议给予处理并要求告知处理结果的权利。</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2.甲方的义务</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甲方及其工作人员不得索要或接受乙方的礼金、有价证券和贵重物品，不得在乙方报销任何应由甲方或个人支付的费用。</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甲方工作人员不得参加乙方安排的超标准宴请和娱乐活动，不得接受乙方提供的通讯、交通工具和高档办公用品。</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甲方及其工作人员不得要求或者接受乙方为其住房装修、婚丧嫁娶活动、配偶子女的工作安排以及出国出境、旅游等提供方便。</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甲方工作人员及其配偶、子女不得从事与甲方</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物业管理项目有关的工程分包、劳务等经济活动。</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(5) 甲方工作人员要秉公办事，不准营私舞弊，不准利用职权从事各种个人有偿中介活动和安排个人施工队伍。</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3.乙方义务</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(1)乙方不得以任何名义向甲方及其工作人员馈赠礼金、有价证券、贵重礼品。</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(2)乙方不得以任何名义为甲方及其工作人员报销由甲方单位或个人支付的费用。</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(3)乙方不得以任何理由安排甲方工作人员参加超标准宴请及娱乐活动。</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(4)乙方不得为甲方单位和个人购置或提供通讯工具、交通工具和高档办公用品。</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4.违约责任</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(1)甲方及其工作人员违反本合同第1、2条，按管理权限，依据有关规定给予党纪、政纪或组织处理；涉嫌犯罪的，移交司法机关追究刑事责任；给乙方单位造成经济损失的，应予以赔偿。</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(2)乙方及其工作人员违反本合同第1、3条，按管理权限，依据有关规定，建议给予党纪、政纪或组织处理；给甲方单位造成经济损失的应予以赔偿；情节严重的，甲方建议行业主管部门给予乙方三年内不得进入</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任何项目的处罚。</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双方约定：本合同由双方或双方上级单位的纪检监察机关负责监督。由甲方或甲方上级单位的纪检监察机关约请乙方或乙方上级单位纪检监察机关对本合同履行情况进行检查，提出在本合同规定范围内的裁定意见。</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6.本合同有效期为甲乙双方签署之日起至合同履约完毕之日止。</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7、本合同作为物业管理服务项目合同的附件，与该合同具有同等的法律效力，经合同双方签署立即生效。</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8．本合同正本一式肆份，双方各执两份，每份具有同等法律效力。</w:t>
      </w:r>
    </w:p>
    <w:p>
      <w:pPr>
        <w:pStyle w:val="2"/>
        <w:spacing w:line="240" w:lineRule="auto"/>
        <w:rPr>
          <w:rFonts w:hint="eastAsia" w:ascii="宋体" w:hAnsi="宋体" w:eastAsia="宋体" w:cs="宋体"/>
          <w:b w:val="0"/>
          <w:bCs w:val="0"/>
          <w:color w:val="auto"/>
          <w:sz w:val="21"/>
          <w:szCs w:val="21"/>
          <w:highlight w:val="none"/>
        </w:rPr>
      </w:pPr>
    </w:p>
    <w:p>
      <w:pPr>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甲方单位：</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公章</w:t>
      </w:r>
      <w:r>
        <w:rPr>
          <w:rFonts w:hint="eastAsia" w:ascii="宋体" w:hAnsi="宋体" w:eastAsia="宋体" w:cs="宋体"/>
          <w:b w:val="0"/>
          <w:bCs w:val="0"/>
          <w:color w:val="auto"/>
          <w:sz w:val="21"/>
          <w:szCs w:val="21"/>
          <w:highlight w:val="none"/>
        </w:rPr>
        <w:t xml:space="preserve">）                           </w:t>
      </w:r>
    </w:p>
    <w:p>
      <w:pPr>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法定代表人</w:t>
      </w:r>
    </w:p>
    <w:p>
      <w:pPr>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或其授权代理人</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val="en-US" w:eastAsia="zh-CN"/>
        </w:rPr>
        <w:t xml:space="preserve">  （签字或盖章）</w:t>
      </w:r>
    </w:p>
    <w:p>
      <w:pPr>
        <w:pStyle w:val="2"/>
        <w:spacing w:line="240" w:lineRule="auto"/>
        <w:rPr>
          <w:rFonts w:hint="eastAsia" w:ascii="宋体" w:hAnsi="宋体" w:eastAsia="宋体" w:cs="宋体"/>
          <w:b w:val="0"/>
          <w:bCs w:val="0"/>
          <w:color w:val="auto"/>
          <w:sz w:val="21"/>
          <w:szCs w:val="21"/>
          <w:highlight w:val="none"/>
        </w:rPr>
      </w:pPr>
    </w:p>
    <w:p>
      <w:pPr>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乙方单位：</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 xml:space="preserve">（盖章）      </w:t>
      </w:r>
    </w:p>
    <w:p>
      <w:pPr>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法定代表人</w:t>
      </w:r>
    </w:p>
    <w:p>
      <w:pPr>
        <w:widowControl/>
        <w:spacing w:line="24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或其授权代理人</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val="en-US" w:eastAsia="zh-CN"/>
        </w:rPr>
        <w:t xml:space="preserve"> （签字或盖章）</w:t>
      </w:r>
    </w:p>
    <w:p>
      <w:pPr>
        <w:pStyle w:val="2"/>
        <w:spacing w:line="240" w:lineRule="auto"/>
        <w:rPr>
          <w:rFonts w:hint="eastAsia" w:ascii="宋体" w:hAnsi="宋体" w:eastAsia="宋体" w:cs="宋体"/>
          <w:b/>
          <w:bCs/>
          <w:color w:val="auto"/>
          <w:sz w:val="21"/>
          <w:szCs w:val="21"/>
          <w:highlight w:val="none"/>
        </w:rPr>
      </w:pPr>
    </w:p>
    <w:p>
      <w:pPr>
        <w:widowControl/>
        <w:spacing w:line="24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签订日期：      年    月   日</w:t>
      </w:r>
    </w:p>
    <w:p>
      <w:pPr>
        <w:widowControl/>
        <w:spacing w:line="240" w:lineRule="auto"/>
        <w:ind w:firstLine="5145" w:firstLineChars="2450"/>
        <w:jc w:val="left"/>
        <w:rPr>
          <w:rFonts w:hint="eastAsia" w:ascii="宋体" w:hAnsi="宋体" w:eastAsia="宋体" w:cs="宋体"/>
          <w:color w:val="auto"/>
          <w:kern w:val="0"/>
          <w:sz w:val="21"/>
          <w:szCs w:val="21"/>
          <w:highlight w:val="none"/>
        </w:rPr>
      </w:pPr>
    </w:p>
    <w:p>
      <w:pPr>
        <w:pStyle w:val="2"/>
        <w:spacing w:line="240" w:lineRule="auto"/>
        <w:rPr>
          <w:rFonts w:hint="eastAsia" w:ascii="宋体" w:hAnsi="宋体" w:eastAsia="宋体" w:cs="宋体"/>
          <w:color w:val="auto"/>
          <w:kern w:val="0"/>
          <w:sz w:val="21"/>
          <w:szCs w:val="21"/>
          <w:highlight w:val="none"/>
        </w:rPr>
      </w:pPr>
    </w:p>
    <w:p>
      <w:pPr>
        <w:pStyle w:val="2"/>
        <w:spacing w:line="240" w:lineRule="auto"/>
        <w:rPr>
          <w:rFonts w:hint="eastAsia" w:ascii="宋体" w:hAnsi="宋体" w:eastAsia="宋体" w:cs="宋体"/>
          <w:color w:val="auto"/>
          <w:kern w:val="0"/>
          <w:sz w:val="21"/>
          <w:szCs w:val="21"/>
          <w:highlight w:val="none"/>
        </w:rPr>
      </w:pPr>
    </w:p>
    <w:p>
      <w:pPr>
        <w:pStyle w:val="2"/>
        <w:spacing w:line="240" w:lineRule="auto"/>
        <w:rPr>
          <w:rFonts w:hint="eastAsia" w:ascii="宋体" w:hAnsi="宋体" w:eastAsia="宋体" w:cs="宋体"/>
          <w:color w:val="auto"/>
          <w:kern w:val="0"/>
          <w:sz w:val="21"/>
          <w:szCs w:val="21"/>
          <w:highlight w:val="none"/>
        </w:rPr>
      </w:pPr>
    </w:p>
    <w:p>
      <w:pPr>
        <w:widowControl/>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附件二</w:t>
      </w:r>
    </w:p>
    <w:p>
      <w:pPr>
        <w:autoSpaceDE w:val="0"/>
        <w:autoSpaceDN w:val="0"/>
        <w:adjustRightInd w:val="0"/>
        <w:spacing w:line="240" w:lineRule="auto"/>
        <w:jc w:val="center"/>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sz w:val="24"/>
          <w:szCs w:val="24"/>
          <w:highlight w:val="none"/>
          <w:lang w:val="zh-CN"/>
        </w:rPr>
        <w:t>温州市高速公路资产经营有限公司服务区业务</w:t>
      </w:r>
    </w:p>
    <w:p>
      <w:pPr>
        <w:autoSpaceDE w:val="0"/>
        <w:autoSpaceDN w:val="0"/>
        <w:adjustRightInd w:val="0"/>
        <w:spacing w:line="240" w:lineRule="auto"/>
        <w:jc w:val="center"/>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sz w:val="24"/>
          <w:szCs w:val="24"/>
          <w:highlight w:val="none"/>
          <w:lang w:val="zh-CN"/>
        </w:rPr>
        <w:t>安全生产暨社会治安综合治理合同</w:t>
      </w:r>
    </w:p>
    <w:p>
      <w:pPr>
        <w:spacing w:line="240" w:lineRule="auto"/>
        <w:jc w:val="center"/>
        <w:rPr>
          <w:rFonts w:hint="eastAsia" w:ascii="宋体" w:hAnsi="宋体" w:eastAsia="宋体" w:cs="宋体"/>
          <w:color w:val="auto"/>
          <w:sz w:val="21"/>
          <w:szCs w:val="21"/>
          <w:highlight w:val="none"/>
        </w:rPr>
      </w:pPr>
    </w:p>
    <w:p>
      <w:pPr>
        <w:autoSpaceDE w:val="0"/>
        <w:autoSpaceDN w:val="0"/>
        <w:adjustRightInd w:val="0"/>
        <w:spacing w:line="24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甲方：温州市高速公路资产经营有限公司</w:t>
      </w:r>
    </w:p>
    <w:p>
      <w:pPr>
        <w:autoSpaceDE w:val="0"/>
        <w:autoSpaceDN w:val="0"/>
        <w:adjustRightInd w:val="0"/>
        <w:spacing w:line="24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住所地：</w:t>
      </w:r>
      <w:r>
        <w:rPr>
          <w:rFonts w:hint="eastAsia" w:ascii="宋体" w:hAnsi="宋体" w:eastAsia="宋体" w:cs="宋体"/>
          <w:color w:val="auto"/>
          <w:sz w:val="21"/>
          <w:szCs w:val="21"/>
          <w:highlight w:val="none"/>
          <w:shd w:val="clear" w:color="auto" w:fill="FFFFFF"/>
        </w:rPr>
        <w:t>温州市汤家桥国大广场东首5-6楼</w:t>
      </w:r>
    </w:p>
    <w:p>
      <w:pPr>
        <w:spacing w:line="24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乙方： </w:t>
      </w:r>
    </w:p>
    <w:p>
      <w:pPr>
        <w:spacing w:line="24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住所地： </w:t>
      </w:r>
    </w:p>
    <w:p>
      <w:pPr>
        <w:autoSpaceDE w:val="0"/>
        <w:autoSpaceDN w:val="0"/>
        <w:adjustRightInd w:val="0"/>
        <w:spacing w:line="24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为贯彻“安全第一、预防为主、综合治理”的安全生产方针， 进一步加强</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的安全生产管理，根据《中华人民共和国安全生产法》、《中华人民共和国消防法》和《浙江省安全生产条例》等法律法规，结合</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内物业管理服务单位的具体情况，甲、乙双方经协商后签订本安全生产管理协议，约定各自的安全生产管理职责并严格执行：</w:t>
      </w:r>
    </w:p>
    <w:p>
      <w:pPr>
        <w:numPr>
          <w:ilvl w:val="0"/>
          <w:numId w:val="22"/>
        </w:num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甲方将物业管理服务项目由乙方负责管理服务。</w:t>
      </w:r>
    </w:p>
    <w:p>
      <w:pPr>
        <w:spacing w:line="240" w:lineRule="auto"/>
        <w:ind w:lef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二、甲方的安全管理职责</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（一）职责</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1.严格遵守国家有关安全生产和社会综合治理法律法规、认真执行国家和行业标准，严格遵守合同中有关安全生产和社会综合治理的要求，履行合同约定的安全职责。</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2.按照合同约定的安全工作内容监督检查乙方安全生产的实施，对乙方的日常安全生产、现场管理、消防安全等进行监督检查，发现安全隐患时，及时督促乙方整改。</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3.统一协调、管理</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内协助单位的安全生产和社会综合治理工作，履行统一管理的职责。</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对各级安监、消防、质检、卫生等政府职能部门或上级主管单位检查发现的事故隐患和不安全因素，按照安全管理职责落实整改或督促乙方进行整改。如果乙方拒绝履行整改业务的，按合同及安全协议的有关约定处理。</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5.甲方提供的建筑物、设备设施符合国家有关法律法规的规定，满足管理合同中规定管理范围的消防安全及安全生产条件。</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6.督促乙方依法设立安全生产和社会综治管理机构，配备相应安全管理人员。</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（二）权利</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1.发现乙方不具备安全生产资质，甲方有权解除合同，由此造成的一切损失由乙方承担。</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2.有权及时纠正制止乙方在生产作业中违章指挥、违规操作及违反劳动保护的行为。</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二、乙方的安全管理职责</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（一）职责</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1.乙方是管理场所辖范围内安全生产和社会综合治理的责任主体，必须依法加强安全生产和社会综治管理，建立、健全安全生产和社会综治责任制，完善安全生产条件，确保安全生产。</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2.严格遵守国家有关安全生产、社会综治、消防、职业卫生、环境保护等法律法规和国家、行业标准，具备相应的安全生产资质和条件，认真执行合同中有关安全生产的要求，按合同约定履行安全职责。</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3.服从甲方对安全生产和社会综治工作的统一协调、检查和监督。</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zh-CN"/>
        </w:rPr>
        <w:t>负责本单位从业人员的安全教育和培训，教育员工严格遵守安全管理制度和安全操作规程，做到国家规定应持证的工种持证上岗，并按规定进行年检和复审。新员工未经安全教育和培训，不得上岗。职工身体状况均必须满足国家、行业健康标准要求，严禁有职业禁忌症者及传染病者上岗。</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6.积极参加甲方召开的安全生产会议和安全活动，接受甲方的安全生产监督检查，按照甲方的要求做好安全生产工作。</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有关规定设置消防设施、配备消防设备，建立消防器材台账，定期检查、适时更新，保持完好率100%。做好所属区域内的火源控制措施，所有工作人员都应熟悉消防设备的性能和使用方法，熟练掌握相关预案的应急处置。</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8.做好安全用电、用气、防汛防台、防中毒、防盗窃等工作，严禁在</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区域出现“三合一”场所，严禁私自改造建筑物结构和用电气线路，保持用电设施的完好，若发生旅客人身损害、财产损失事故的，均由乙方承担全部法律责任。</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9.按要求配备安全管理人员，全面负责管辖区域内的安全生产和社会综治管理，承担物业管理服务过程中的安全责任；加强日常管理，定期组织安全检查和开展隐患排查，及时发现、整改事故隐患或不安全因素。</w:t>
      </w:r>
      <w:r>
        <w:rPr>
          <w:rFonts w:hint="eastAsia" w:ascii="宋体" w:hAnsi="宋体" w:eastAsia="宋体" w:cs="宋体"/>
          <w:color w:val="auto"/>
          <w:sz w:val="21"/>
          <w:szCs w:val="21"/>
          <w:highlight w:val="none"/>
          <w:lang w:val="zh-CN"/>
        </w:rPr>
        <w:t>根据实际情况制订各类应急救援预案并组织演练。建立完善安全管理台账。</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10.保证安全生产所需的必要投入，按规定配备劳动保护用品。依法为从业人员办理工伤保险。</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11.对场所的装修和设备安装，须符合有关技术标准、消防安全规定和实际安全施工要求，不得改变建筑结构。使用场所的装修方案应事先征得甲方的同意，凡涉及国家规定需审查验收的，按规定办理。</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12.建立和完善内部安全管理制度，</w:t>
      </w:r>
      <w:r>
        <w:rPr>
          <w:rFonts w:hint="eastAsia" w:ascii="宋体" w:hAnsi="宋体" w:eastAsia="宋体" w:cs="宋体"/>
          <w:color w:val="auto"/>
          <w:sz w:val="21"/>
          <w:szCs w:val="21"/>
          <w:highlight w:val="none"/>
          <w:lang w:val="zh-CN"/>
        </w:rPr>
        <w:t>建立各岗位安全操作规程，</w:t>
      </w:r>
      <w:r>
        <w:rPr>
          <w:rFonts w:hint="eastAsia" w:ascii="宋体" w:hAnsi="宋体" w:eastAsia="宋体" w:cs="宋体"/>
          <w:color w:val="auto"/>
          <w:sz w:val="21"/>
          <w:szCs w:val="21"/>
          <w:highlight w:val="none"/>
        </w:rPr>
        <w:t>落实各岗位安全生产责任制。负责内部防火、用电、用气等安全检查。</w:t>
      </w:r>
    </w:p>
    <w:p>
      <w:pPr>
        <w:autoSpaceDE w:val="0"/>
        <w:autoSpaceDN w:val="0"/>
        <w:adjustRightInd w:val="0"/>
        <w:spacing w:line="24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13.发生安全事故或突发事件的，应立即向甲方及政府相关部门报告，并保护好现场，及时组织抢救，防止事态扩大。并积极配合相关部门做好事故的调查和处理。</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14.未经甲方书面同意，不得擅自转借场所。</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（二）权利</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1.对甲方违章指挥、强令冒险作业的指令，有权拒绝执行。</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2.有权向甲方提出安全生产和社会综治合理化建议和改进意见</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3.在生产活动中发生危及乙方人员生命安全的紧急情况时，作业人员有权立即停止作业或者在采取必要的应急措施后撤离危险区域。</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三、其他条款</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（一）履约保证金条款</w:t>
      </w:r>
    </w:p>
    <w:p>
      <w:pPr>
        <w:spacing w:line="240" w:lineRule="auto"/>
        <w:ind w:firstLine="525" w:firstLineChars="25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1.履约保证金还用于合同期内的安全管理。对乙方安全管理不到位、不服从甲方安全管理的，甲方有权从履约保证金内扣除，用做本场所的安全生产管理工作。</w:t>
      </w:r>
    </w:p>
    <w:p>
      <w:pPr>
        <w:autoSpaceDE w:val="0"/>
        <w:autoSpaceDN w:val="0"/>
        <w:adjustRightInd w:val="0"/>
        <w:spacing w:line="240" w:lineRule="auto"/>
        <w:ind w:firstLine="63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2.乙方出现违反安全协议约定情形的，甲方有权按每次人民币1000—10000 元，从履约保证金中扣除。</w:t>
      </w:r>
    </w:p>
    <w:p>
      <w:pPr>
        <w:autoSpaceDE w:val="0"/>
        <w:autoSpaceDN w:val="0"/>
        <w:adjustRightInd w:val="0"/>
        <w:spacing w:line="240" w:lineRule="auto"/>
        <w:ind w:firstLine="63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3.乙方在合同期内发生责任死亡事故的，甲方有权对乙方处以人民币5～10万元/人的处罚。</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（二）安全生产责任风险的承担</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1.因乙方原因造成生产安全事故、消防事故、治安案件或因违法管理等造成不良影响的，一切法律责任、经济责任和管理责任均由乙方负责。</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2.在合同期间，在乙方场所发生的安全事故或造成人身财产损害的，由乙方承担经济与法律责任，与甲方无涉，给甲方造成不良社会影响的，甲方有权要求乙方进行赔偿。</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3.在合同期间，乙方及其工作人员发生伤亡事故，乙方承担经济及相关法律责任，与甲方无涉。</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四、本合同的签订作为甲、乙双方于年月日签订的</w:t>
      </w:r>
      <w:r>
        <w:rPr>
          <w:rFonts w:hint="eastAsia" w:ascii="宋体" w:hAnsi="宋体" w:eastAsia="宋体" w:cs="宋体"/>
          <w:color w:val="auto"/>
          <w:sz w:val="21"/>
          <w:szCs w:val="21"/>
          <w:highlight w:val="none"/>
          <w:u w:val="single"/>
        </w:rPr>
        <w:t>《物业管理服务合同》</w:t>
      </w:r>
      <w:r>
        <w:rPr>
          <w:rFonts w:hint="eastAsia" w:ascii="宋体" w:hAnsi="宋体" w:eastAsia="宋体" w:cs="宋体"/>
          <w:color w:val="auto"/>
          <w:sz w:val="21"/>
          <w:szCs w:val="21"/>
          <w:highlight w:val="none"/>
        </w:rPr>
        <w:t>的附件，与主合同具有同等法律效力。</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五、本合同经甲、乙双方签字盖章后生效。</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六、本合同一式肆份，合同双方各执两份，每份具有同等法律效力。</w:t>
      </w:r>
    </w:p>
    <w:p>
      <w:pPr>
        <w:snapToGrid w:val="0"/>
        <w:spacing w:line="240" w:lineRule="auto"/>
        <w:ind w:firstLine="315" w:firstLineChars="150"/>
        <w:rPr>
          <w:rFonts w:hint="eastAsia" w:ascii="宋体" w:hAnsi="宋体" w:eastAsia="宋体" w:cs="宋体"/>
          <w:color w:val="auto"/>
          <w:sz w:val="21"/>
          <w:szCs w:val="21"/>
          <w:highlight w:val="none"/>
          <w:lang w:val="en-GB"/>
        </w:rPr>
      </w:pPr>
      <w:r>
        <w:rPr>
          <w:rFonts w:hint="eastAsia" w:ascii="宋体" w:hAnsi="宋体" w:eastAsia="宋体" w:cs="宋体"/>
          <w:color w:val="auto"/>
          <w:sz w:val="21"/>
          <w:szCs w:val="21"/>
          <w:highlight w:val="none"/>
          <w:lang w:val="en-GB"/>
        </w:rPr>
        <w:t>（以下无正文）</w:t>
      </w:r>
    </w:p>
    <w:p>
      <w:pPr>
        <w:snapToGrid w:val="0"/>
        <w:spacing w:line="240" w:lineRule="auto"/>
        <w:rPr>
          <w:rFonts w:hint="eastAsia" w:ascii="宋体" w:hAnsi="宋体" w:eastAsia="宋体" w:cs="宋体"/>
          <w:color w:val="auto"/>
          <w:sz w:val="21"/>
          <w:szCs w:val="21"/>
          <w:highlight w:val="none"/>
          <w:lang w:val="en-GB"/>
        </w:rPr>
      </w:pPr>
    </w:p>
    <w:p>
      <w:pPr>
        <w:snapToGrid w:val="0"/>
        <w:spacing w:line="240" w:lineRule="auto"/>
        <w:rPr>
          <w:rFonts w:hint="eastAsia" w:ascii="宋体" w:hAnsi="宋体" w:eastAsia="宋体" w:cs="宋体"/>
          <w:color w:val="auto"/>
          <w:sz w:val="21"/>
          <w:szCs w:val="21"/>
          <w:highlight w:val="none"/>
          <w:lang w:val="en-GB"/>
        </w:rPr>
      </w:pPr>
    </w:p>
    <w:p>
      <w:pPr>
        <w:snapToGrid w:val="0"/>
        <w:spacing w:line="240" w:lineRule="auto"/>
        <w:rPr>
          <w:rFonts w:hint="eastAsia" w:ascii="宋体" w:hAnsi="宋体" w:eastAsia="宋体" w:cs="宋体"/>
          <w:color w:val="auto"/>
          <w:sz w:val="21"/>
          <w:szCs w:val="21"/>
          <w:highlight w:val="none"/>
          <w:lang w:val="en-GB"/>
        </w:rPr>
      </w:pPr>
      <w:r>
        <w:rPr>
          <w:rFonts w:hint="eastAsia" w:ascii="宋体" w:hAnsi="宋体" w:eastAsia="宋体" w:cs="宋体"/>
          <w:color w:val="auto"/>
          <w:sz w:val="21"/>
          <w:szCs w:val="21"/>
          <w:highlight w:val="none"/>
          <w:lang w:val="en-GB"/>
        </w:rPr>
        <w:t>甲方（盖章）：</w:t>
      </w:r>
      <w:r>
        <w:rPr>
          <w:rFonts w:hint="eastAsia" w:ascii="宋体" w:hAnsi="宋体" w:eastAsia="宋体" w:cs="宋体"/>
          <w:color w:val="auto"/>
          <w:sz w:val="21"/>
          <w:szCs w:val="21"/>
          <w:highlight w:val="none"/>
        </w:rPr>
        <w:t>温州市高速公路资产经营</w:t>
      </w:r>
      <w:r>
        <w:rPr>
          <w:rFonts w:hint="eastAsia" w:ascii="宋体" w:hAnsi="宋体" w:eastAsia="宋体" w:cs="宋体"/>
          <w:color w:val="auto"/>
          <w:sz w:val="21"/>
          <w:szCs w:val="21"/>
          <w:highlight w:val="none"/>
          <w:lang w:val="en-GB"/>
        </w:rPr>
        <w:t xml:space="preserve">有限公司       乙方（盖章）： </w:t>
      </w:r>
    </w:p>
    <w:p>
      <w:pPr>
        <w:snapToGrid w:val="0"/>
        <w:spacing w:line="240" w:lineRule="auto"/>
        <w:rPr>
          <w:rFonts w:hint="eastAsia" w:ascii="宋体" w:hAnsi="宋体" w:eastAsia="宋体" w:cs="宋体"/>
          <w:color w:val="auto"/>
          <w:sz w:val="21"/>
          <w:szCs w:val="21"/>
          <w:highlight w:val="none"/>
          <w:lang w:val="en-GB"/>
        </w:rPr>
      </w:pPr>
    </w:p>
    <w:p>
      <w:pPr>
        <w:snapToGrid w:val="0"/>
        <w:spacing w:line="240" w:lineRule="auto"/>
        <w:rPr>
          <w:rFonts w:hint="eastAsia" w:ascii="宋体" w:hAnsi="宋体" w:eastAsia="宋体" w:cs="宋体"/>
          <w:color w:val="auto"/>
          <w:sz w:val="21"/>
          <w:szCs w:val="21"/>
          <w:highlight w:val="none"/>
          <w:lang w:val="en-GB"/>
        </w:rPr>
      </w:pPr>
      <w:r>
        <w:rPr>
          <w:rFonts w:hint="eastAsia" w:ascii="宋体" w:hAnsi="宋体" w:eastAsia="宋体" w:cs="宋体"/>
          <w:color w:val="auto"/>
          <w:sz w:val="21"/>
          <w:szCs w:val="21"/>
          <w:highlight w:val="none"/>
          <w:lang w:val="en-GB"/>
        </w:rPr>
        <w:t>负责人（或授权代表）：                             负责人（或授权代表）：</w:t>
      </w:r>
    </w:p>
    <w:p>
      <w:pPr>
        <w:spacing w:line="240" w:lineRule="auto"/>
        <w:rPr>
          <w:rFonts w:hint="eastAsia" w:ascii="宋体" w:hAnsi="宋体" w:eastAsia="宋体" w:cs="宋体"/>
          <w:color w:val="auto"/>
          <w:sz w:val="21"/>
          <w:szCs w:val="21"/>
          <w:highlight w:val="none"/>
        </w:rPr>
      </w:pPr>
    </w:p>
    <w:p>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月    日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签订日期：     年    月</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日</w:t>
      </w:r>
    </w:p>
    <w:p>
      <w:pPr>
        <w:autoSpaceDE w:val="0"/>
        <w:autoSpaceDN w:val="0"/>
        <w:adjustRightInd w:val="0"/>
        <w:spacing w:line="240" w:lineRule="auto"/>
        <w:jc w:val="left"/>
        <w:rPr>
          <w:rFonts w:hint="eastAsia" w:ascii="宋体" w:hAnsi="宋体" w:eastAsia="宋体" w:cs="宋体"/>
          <w:bCs/>
          <w:color w:val="auto"/>
          <w:sz w:val="21"/>
          <w:szCs w:val="21"/>
          <w:highlight w:val="none"/>
          <w:lang w:val="zh-CN"/>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 xml:space="preserve">附件三 </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物业管理质量标准</w:t>
      </w:r>
    </w:p>
    <w:p>
      <w:pPr>
        <w:autoSpaceDE w:val="0"/>
        <w:autoSpaceDN w:val="0"/>
        <w:adjustRightInd w:val="0"/>
        <w:spacing w:line="240" w:lineRule="auto"/>
        <w:jc w:val="center"/>
        <w:rPr>
          <w:rFonts w:hint="eastAsia" w:ascii="宋体" w:hAnsi="宋体" w:eastAsia="宋体" w:cs="宋体"/>
          <w:b/>
          <w:bCs w:val="0"/>
          <w:color w:val="auto"/>
          <w:sz w:val="24"/>
          <w:szCs w:val="24"/>
          <w:highlight w:val="none"/>
          <w:lang w:val="zh-CN"/>
        </w:rPr>
      </w:pPr>
    </w:p>
    <w:p>
      <w:pPr>
        <w:autoSpaceDE w:val="0"/>
        <w:autoSpaceDN w:val="0"/>
        <w:adjustRightInd w:val="0"/>
        <w:spacing w:line="240" w:lineRule="auto"/>
        <w:jc w:val="center"/>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sz w:val="24"/>
          <w:szCs w:val="24"/>
          <w:highlight w:val="none"/>
          <w:lang w:val="zh-CN"/>
        </w:rPr>
        <w:t>服务区物业人员派驻要求</w:t>
      </w: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right="-11" w:firstLine="0" w:firstLineChars="0"/>
        <w:textAlignment w:val="auto"/>
        <w:rPr>
          <w:rFonts w:hint="eastAsia" w:ascii="宋体" w:hAnsi="宋体" w:eastAsia="宋体" w:cs="宋体"/>
          <w:highlight w:val="none"/>
          <w:lang w:val="zh-CN"/>
        </w:rPr>
      </w:pPr>
    </w:p>
    <w:p>
      <w:pPr>
        <w:spacing w:line="240" w:lineRule="auto"/>
        <w:ind w:firstLine="527" w:firstLineChars="25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一、派驻</w:t>
      </w:r>
      <w:r>
        <w:rPr>
          <w:rFonts w:hint="eastAsia" w:ascii="宋体" w:hAnsi="宋体" w:eastAsia="宋体" w:cs="宋体"/>
          <w:b/>
          <w:bCs/>
          <w:color w:val="auto"/>
          <w:sz w:val="21"/>
          <w:szCs w:val="21"/>
          <w:highlight w:val="none"/>
          <w:lang w:eastAsia="zh-CN"/>
        </w:rPr>
        <w:t>服务区</w:t>
      </w:r>
      <w:r>
        <w:rPr>
          <w:rFonts w:hint="eastAsia" w:ascii="宋体" w:hAnsi="宋体" w:eastAsia="宋体" w:cs="宋体"/>
          <w:b/>
          <w:bCs/>
          <w:color w:val="auto"/>
          <w:sz w:val="21"/>
          <w:szCs w:val="21"/>
          <w:highlight w:val="none"/>
        </w:rPr>
        <w:t>相关物业人员应具备以下条件</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（一）具备良好的道德品德，无违法违纪行为的不良记录；</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（二）热爱高速公路</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行业，具有吃苦耐劳精神；</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（三）身体健康，无传染性疾病，能适应工作岗位要求；</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（四）具备岗位要求的相关业务技能，取得相应技能证书。</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（五）与乙方依法签订了劳动合同。</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（六）具体岗位要求</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物业经理</w:t>
      </w:r>
      <w:r>
        <w:rPr>
          <w:rFonts w:hint="eastAsia" w:ascii="宋体" w:hAnsi="宋体" w:eastAsia="宋体" w:cs="宋体"/>
          <w:color w:val="auto"/>
          <w:sz w:val="21"/>
          <w:szCs w:val="21"/>
          <w:highlight w:val="none"/>
        </w:rPr>
        <w:t>岗位：高中以上文化程度，年龄在30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55</w:t>
      </w:r>
      <w:r>
        <w:rPr>
          <w:rFonts w:hint="eastAsia" w:ascii="宋体" w:hAnsi="宋体" w:eastAsia="宋体" w:cs="宋体"/>
          <w:color w:val="auto"/>
          <w:sz w:val="21"/>
          <w:szCs w:val="21"/>
          <w:highlight w:val="none"/>
        </w:rPr>
        <w:t>岁，具有3年以上物业管理经验，1年以上类似项目物业管理工作经验；工作细致、敬业、动手能力强，拥有较强的沟通力和执行力，良好的领导力和团队管理能力；责任心强，乐于奉献；全部负责管理处的日常管理工作，负责与业主及外部的沟通与协调。</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、水电工岗位：</w:t>
      </w:r>
      <w:r>
        <w:rPr>
          <w:rFonts w:hint="eastAsia" w:ascii="宋体" w:hAnsi="宋体" w:eastAsia="宋体" w:cs="宋体"/>
          <w:color w:val="auto"/>
          <w:sz w:val="21"/>
          <w:szCs w:val="21"/>
          <w:highlight w:val="none"/>
          <w:lang w:val="en-US" w:eastAsia="zh-CN"/>
        </w:rPr>
        <w:t>高</w:t>
      </w:r>
      <w:r>
        <w:rPr>
          <w:rFonts w:hint="eastAsia" w:ascii="宋体" w:hAnsi="宋体" w:eastAsia="宋体" w:cs="宋体"/>
          <w:color w:val="auto"/>
          <w:sz w:val="21"/>
          <w:szCs w:val="21"/>
          <w:highlight w:val="none"/>
        </w:rPr>
        <w:t>中以上文化程度，男性，22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55岁，持有相关专业上岗证件（国家职业资格证书），</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年以上相关工作经验，具备业务实施能力和良好的服务意识、注重服务细节。</w:t>
      </w:r>
    </w:p>
    <w:p>
      <w:pPr>
        <w:pStyle w:val="10"/>
        <w:keepNext w:val="0"/>
        <w:keepLines w:val="0"/>
        <w:pageBreakBefore w:val="0"/>
        <w:widowControl w:val="0"/>
        <w:kinsoku/>
        <w:wordWrap/>
        <w:overflowPunct/>
        <w:topLinePunct w:val="0"/>
        <w:bidi w:val="0"/>
        <w:snapToGrid/>
        <w:spacing w:after="0" w:line="240" w:lineRule="auto"/>
        <w:ind w:firstLine="420" w:firstLineChars="200"/>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val="en-US" w:eastAsia="zh-CN"/>
        </w:rPr>
        <w:t>3、咨询台人员岗位：高中以上文化程度，22-40岁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特别优秀的经甲方同意可适当放宽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，形象良好，具备良好的沟通能力、基础电脑操作能力和良好的服务意识、注重服务细节。</w:t>
      </w:r>
    </w:p>
    <w:p>
      <w:pPr>
        <w:pStyle w:val="10"/>
        <w:keepNext w:val="0"/>
        <w:keepLines w:val="0"/>
        <w:pageBreakBefore w:val="0"/>
        <w:widowControl w:val="0"/>
        <w:kinsoku/>
        <w:wordWrap/>
        <w:overflowPunct/>
        <w:topLinePunct w:val="0"/>
        <w:bidi w:val="0"/>
        <w:snapToGrid/>
        <w:spacing w:after="0" w:line="240" w:lineRule="auto"/>
        <w:ind w:firstLine="420" w:firstLineChars="200"/>
        <w:textAlignment w:val="auto"/>
        <w:rPr>
          <w:rFonts w:hint="eastAsia" w:ascii="宋体" w:hAnsi="宋体" w:eastAsia="宋体" w:cs="宋体"/>
          <w:color w:val="auto"/>
          <w:highlight w:val="none"/>
          <w:lang w:val="en-US"/>
        </w:rPr>
      </w:pPr>
      <w:r>
        <w:rPr>
          <w:rFonts w:hint="eastAsia" w:ascii="宋体" w:hAnsi="宋体" w:eastAsia="宋体" w:cs="宋体"/>
          <w:color w:val="auto"/>
          <w:kern w:val="2"/>
          <w:sz w:val="21"/>
          <w:szCs w:val="21"/>
          <w:highlight w:val="none"/>
          <w:lang w:val="en-US" w:eastAsia="zh-CN" w:bidi="ar"/>
        </w:rPr>
        <w:t>4、物业内勤岗位：</w:t>
      </w:r>
      <w:r>
        <w:rPr>
          <w:rFonts w:hint="eastAsia" w:ascii="宋体" w:hAnsi="宋体" w:eastAsia="宋体" w:cs="宋体"/>
          <w:color w:val="auto"/>
          <w:sz w:val="21"/>
          <w:szCs w:val="21"/>
          <w:highlight w:val="none"/>
          <w:lang w:val="en-US" w:eastAsia="zh-CN"/>
        </w:rPr>
        <w:t>高中以上文化程度，22-40岁，形象良好，具备良好的沟通能力、基础电脑操作能力和良好的服务意识、注重服务细节。</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bidi="ar"/>
        </w:rPr>
        <w:t>保安</w:t>
      </w:r>
      <w:r>
        <w:rPr>
          <w:rFonts w:hint="eastAsia" w:ascii="宋体" w:hAnsi="宋体" w:eastAsia="宋体" w:cs="宋体"/>
          <w:color w:val="auto"/>
          <w:sz w:val="21"/>
          <w:szCs w:val="21"/>
          <w:highlight w:val="none"/>
          <w:lang w:val="en-US" w:eastAsia="zh-CN" w:bidi="ar"/>
        </w:rPr>
        <w:t>员</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含</w:t>
      </w:r>
      <w:r>
        <w:rPr>
          <w:rFonts w:hint="eastAsia" w:ascii="宋体" w:hAnsi="宋体" w:eastAsia="宋体" w:cs="宋体"/>
          <w:color w:val="auto"/>
          <w:kern w:val="2"/>
          <w:sz w:val="21"/>
          <w:szCs w:val="21"/>
          <w:highlight w:val="none"/>
          <w:lang w:val="en-US" w:eastAsia="zh-CN" w:bidi="ar"/>
        </w:rPr>
        <w:t>保安队长</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rPr>
        <w:t>初中以上文化程度，男性，20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55</w:t>
      </w:r>
      <w:r>
        <w:rPr>
          <w:rFonts w:hint="eastAsia" w:ascii="宋体" w:hAnsi="宋体" w:eastAsia="宋体" w:cs="宋体"/>
          <w:color w:val="auto"/>
          <w:sz w:val="21"/>
          <w:szCs w:val="21"/>
          <w:highlight w:val="none"/>
        </w:rPr>
        <w:t>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特别优秀的经甲方同意可适当放宽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，身高1.6</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米以上，无近视，具有较强的安保和消防知识，</w:t>
      </w:r>
      <w:r>
        <w:rPr>
          <w:rFonts w:hint="eastAsia" w:ascii="宋体" w:hAnsi="宋体" w:eastAsia="宋体" w:cs="宋体"/>
          <w:color w:val="auto"/>
          <w:sz w:val="21"/>
          <w:szCs w:val="21"/>
          <w:highlight w:val="none"/>
          <w:lang w:val="en-US" w:eastAsia="zh-CN"/>
        </w:rPr>
        <w:t>退伍军人优先考虑，具有保安员资格证，</w:t>
      </w:r>
      <w:r>
        <w:rPr>
          <w:rFonts w:hint="eastAsia" w:ascii="宋体" w:hAnsi="宋体" w:eastAsia="宋体" w:cs="宋体"/>
          <w:color w:val="auto"/>
          <w:sz w:val="21"/>
          <w:szCs w:val="21"/>
          <w:highlight w:val="none"/>
        </w:rPr>
        <w:t>一年以上安保工作经验，应变能力强、能吃苦耐劳。</w:t>
      </w:r>
    </w:p>
    <w:p>
      <w:pPr>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6、监控（消控）员岗位：高中以上文化程度，20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55岁以下，无近视，具有较强的消防和安保知识，责任心强，应变能力强，能吃苦耐劳，消控员须持证上岗。</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bidi="ar"/>
        </w:rPr>
        <w:t>保洁员</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含</w:t>
      </w:r>
      <w:r>
        <w:rPr>
          <w:rFonts w:hint="eastAsia" w:ascii="宋体" w:hAnsi="宋体" w:eastAsia="宋体" w:cs="宋体"/>
          <w:color w:val="auto"/>
          <w:kern w:val="2"/>
          <w:sz w:val="21"/>
          <w:szCs w:val="21"/>
          <w:highlight w:val="none"/>
          <w:lang w:val="en-US" w:eastAsia="zh-CN" w:bidi="ar"/>
        </w:rPr>
        <w:t>保洁主管</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男性20～</w:t>
      </w:r>
      <w:r>
        <w:rPr>
          <w:rFonts w:hint="eastAsia" w:ascii="宋体" w:hAnsi="宋体" w:eastAsia="宋体" w:cs="宋体"/>
          <w:color w:val="auto"/>
          <w:sz w:val="21"/>
          <w:szCs w:val="21"/>
          <w:highlight w:val="none"/>
        </w:rPr>
        <w:t>55岁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女性20</w:t>
      </w:r>
      <w:r>
        <w:rPr>
          <w:rFonts w:hint="eastAsia" w:ascii="宋体" w:hAnsi="宋体" w:eastAsia="宋体" w:cs="宋体"/>
          <w:color w:val="auto"/>
          <w:sz w:val="21"/>
          <w:szCs w:val="21"/>
          <w:highlight w:val="none"/>
          <w:lang w:val="en-US" w:eastAsia="zh-CN" w:bidi="ar"/>
        </w:rPr>
        <w:t>～</w:t>
      </w:r>
      <w:r>
        <w:rPr>
          <w:rFonts w:hint="eastAsia" w:ascii="宋体" w:hAnsi="宋体" w:eastAsia="宋体" w:cs="宋体"/>
          <w:color w:val="auto"/>
          <w:sz w:val="21"/>
          <w:szCs w:val="21"/>
          <w:highlight w:val="none"/>
          <w:lang w:val="en-US" w:eastAsia="zh-CN"/>
        </w:rPr>
        <w:t>50岁，特别优秀的经甲方同意可适当放宽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具备一定文化程度，会讲普通话，具有1年以上相关工作经验，五官端正，工作勤奋，具有服务意识、注重服务细节，具备吃苦耐劳的精神。</w:t>
      </w:r>
    </w:p>
    <w:p>
      <w:pPr>
        <w:spacing w:line="24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其中公厕保洁员必须施行“一人一厕”，按性别配置，服务区共公共卫生间数量：2个男厕所、2个女厕所。</w:t>
      </w:r>
    </w:p>
    <w:p>
      <w:pPr>
        <w:jc w:val="center"/>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sz w:val="24"/>
          <w:szCs w:val="24"/>
          <w:highlight w:val="none"/>
          <w:lang w:val="zh-CN"/>
        </w:rPr>
        <w:t>服务区保安工作量化标准</w:t>
      </w:r>
    </w:p>
    <w:tbl>
      <w:tblPr>
        <w:tblStyle w:val="24"/>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014"/>
        <w:gridCol w:w="681"/>
        <w:gridCol w:w="681"/>
        <w:gridCol w:w="681"/>
        <w:gridCol w:w="681"/>
        <w:gridCol w:w="684"/>
        <w:gridCol w:w="4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457" w:type="dxa"/>
            <w:gridSpan w:val="2"/>
            <w:vMerge w:val="restart"/>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项目</w:t>
            </w:r>
          </w:p>
        </w:tc>
        <w:tc>
          <w:tcPr>
            <w:tcW w:w="3408" w:type="dxa"/>
            <w:gridSpan w:val="5"/>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频次</w:t>
            </w:r>
          </w:p>
        </w:tc>
        <w:tc>
          <w:tcPr>
            <w:tcW w:w="4306" w:type="dxa"/>
            <w:vMerge w:val="restart"/>
            <w:noWrap w:val="0"/>
            <w:vAlign w:val="center"/>
          </w:tcPr>
          <w:p>
            <w:pPr>
              <w:pStyle w:val="14"/>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457" w:type="dxa"/>
            <w:gridSpan w:val="2"/>
            <w:vMerge w:val="continue"/>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次/</w:t>
            </w:r>
            <w:r>
              <w:rPr>
                <w:rFonts w:hint="eastAsia" w:ascii="宋体" w:hAnsi="宋体" w:eastAsia="宋体" w:cs="宋体"/>
                <w:color w:val="auto"/>
                <w:sz w:val="18"/>
                <w:szCs w:val="18"/>
                <w:highlight w:val="none"/>
              </w:rPr>
              <w:t>日</w:t>
            </w: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次/</w:t>
            </w:r>
            <w:r>
              <w:rPr>
                <w:rFonts w:hint="eastAsia" w:ascii="宋体" w:hAnsi="宋体" w:eastAsia="宋体" w:cs="宋体"/>
                <w:color w:val="auto"/>
                <w:sz w:val="18"/>
                <w:szCs w:val="18"/>
                <w:highlight w:val="none"/>
              </w:rPr>
              <w:t>周</w:t>
            </w: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次/</w:t>
            </w:r>
            <w:r>
              <w:rPr>
                <w:rFonts w:hint="eastAsia" w:ascii="宋体" w:hAnsi="宋体" w:eastAsia="宋体" w:cs="宋体"/>
                <w:color w:val="auto"/>
                <w:sz w:val="18"/>
                <w:szCs w:val="18"/>
                <w:highlight w:val="none"/>
              </w:rPr>
              <w:t>月</w:t>
            </w: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次/</w:t>
            </w:r>
            <w:r>
              <w:rPr>
                <w:rFonts w:hint="eastAsia" w:ascii="宋体" w:hAnsi="宋体" w:eastAsia="宋体" w:cs="宋体"/>
                <w:color w:val="auto"/>
                <w:sz w:val="18"/>
                <w:szCs w:val="18"/>
                <w:highlight w:val="none"/>
              </w:rPr>
              <w:t>季</w:t>
            </w:r>
          </w:p>
        </w:tc>
        <w:tc>
          <w:tcPr>
            <w:tcW w:w="684"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次/</w:t>
            </w:r>
            <w:r>
              <w:rPr>
                <w:rFonts w:hint="eastAsia" w:ascii="宋体" w:hAnsi="宋体" w:eastAsia="宋体" w:cs="宋体"/>
                <w:color w:val="auto"/>
                <w:sz w:val="18"/>
                <w:szCs w:val="18"/>
                <w:highlight w:val="none"/>
              </w:rPr>
              <w:t>年</w:t>
            </w:r>
          </w:p>
        </w:tc>
        <w:tc>
          <w:tcPr>
            <w:tcW w:w="4306" w:type="dxa"/>
            <w:vMerge w:val="continue"/>
            <w:noWrap w:val="0"/>
            <w:vAlign w:val="center"/>
          </w:tcPr>
          <w:p>
            <w:pPr>
              <w:pStyle w:val="14"/>
              <w:keepNext w:val="0"/>
              <w:keepLines w:val="0"/>
              <w:pageBreakBefore w:val="0"/>
              <w:kinsoku/>
              <w:wordWrap/>
              <w:topLinePunct w:val="0"/>
              <w:bidi w:val="0"/>
              <w:snapToGrid/>
              <w:spacing w:line="240" w:lineRule="exact"/>
              <w:ind w:firstLine="420"/>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43" w:type="dxa"/>
            <w:vMerge w:val="restart"/>
            <w:noWrap w:val="0"/>
            <w:vAlign w:val="center"/>
          </w:tcPr>
          <w:p>
            <w:pPr>
              <w:pStyle w:val="14"/>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公共秩序</w:t>
            </w:r>
          </w:p>
        </w:tc>
        <w:tc>
          <w:tcPr>
            <w:tcW w:w="1014" w:type="dxa"/>
            <w:noWrap w:val="0"/>
            <w:vAlign w:val="center"/>
          </w:tcPr>
          <w:p>
            <w:pPr>
              <w:keepNext w:val="0"/>
              <w:keepLines w:val="0"/>
              <w:pageBreakBefore w:val="0"/>
              <w:kinsoku/>
              <w:wordWrap/>
              <w:topLinePunct w:val="0"/>
              <w:bidi w:val="0"/>
              <w:snapToGrid/>
              <w:spacing w:line="240" w:lineRule="exact"/>
              <w:ind w:left="-2"/>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人员出入管理</w:t>
            </w:r>
          </w:p>
        </w:tc>
        <w:tc>
          <w:tcPr>
            <w:tcW w:w="681" w:type="dxa"/>
            <w:noWrap w:val="0"/>
            <w:vAlign w:val="center"/>
          </w:tcPr>
          <w:p>
            <w:pPr>
              <w:keepNext w:val="0"/>
              <w:keepLines w:val="0"/>
              <w:pageBreakBefore w:val="0"/>
              <w:kinsoku/>
              <w:wordWrap/>
              <w:topLinePunct w:val="0"/>
              <w:bidi w:val="0"/>
              <w:snapToGrid/>
              <w:spacing w:line="240" w:lineRule="exact"/>
              <w:ind w:left="-2"/>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随时</w:t>
            </w: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4" w:type="dxa"/>
            <w:noWrap w:val="0"/>
            <w:vAlign w:val="center"/>
          </w:tcPr>
          <w:p>
            <w:pPr>
              <w:keepNext w:val="0"/>
              <w:keepLines w:val="0"/>
              <w:pageBreakBefore w:val="0"/>
              <w:kinsoku/>
              <w:wordWrap/>
              <w:topLinePunct w:val="0"/>
              <w:bidi w:val="0"/>
              <w:snapToGrid/>
              <w:spacing w:line="240" w:lineRule="exact"/>
              <w:ind w:firstLine="171" w:firstLineChars="95"/>
              <w:jc w:val="center"/>
              <w:rPr>
                <w:rFonts w:hint="eastAsia" w:ascii="宋体" w:hAnsi="宋体" w:eastAsia="宋体" w:cs="宋体"/>
                <w:color w:val="auto"/>
                <w:sz w:val="18"/>
                <w:szCs w:val="18"/>
                <w:highlight w:val="none"/>
              </w:rPr>
            </w:pPr>
          </w:p>
        </w:tc>
        <w:tc>
          <w:tcPr>
            <w:tcW w:w="4306" w:type="dxa"/>
            <w:noWrap w:val="0"/>
            <w:vAlign w:val="center"/>
          </w:tcPr>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1.登记有效证件不超过60秒/人·次；</w:t>
            </w:r>
          </w:p>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2.掌握本岗位职责和工作规程；外来人员进入</w:t>
            </w:r>
            <w:r>
              <w:rPr>
                <w:rFonts w:hint="eastAsia" w:ascii="宋体" w:hAnsi="宋体" w:eastAsia="宋体" w:cs="宋体"/>
                <w:color w:val="auto"/>
                <w:sz w:val="18"/>
                <w:szCs w:val="18"/>
                <w:highlight w:val="none"/>
                <w:lang w:eastAsia="zh-CN"/>
              </w:rPr>
              <w:t>服务区</w:t>
            </w:r>
            <w:r>
              <w:rPr>
                <w:rFonts w:hint="eastAsia" w:ascii="宋体" w:hAnsi="宋体" w:eastAsia="宋体" w:cs="宋体"/>
                <w:color w:val="auto"/>
                <w:sz w:val="18"/>
                <w:szCs w:val="18"/>
                <w:highlight w:val="none"/>
              </w:rPr>
              <w:t>需确认后并登记放行，可疑或重要人员特别监控，完毕后出入凭证由有接待部门的签字后方可离开；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43" w:type="dxa"/>
            <w:vMerge w:val="continue"/>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1014" w:type="dxa"/>
            <w:noWrap w:val="0"/>
            <w:vAlign w:val="center"/>
          </w:tcPr>
          <w:p>
            <w:pPr>
              <w:keepNext w:val="0"/>
              <w:keepLines w:val="0"/>
              <w:pageBreakBefore w:val="0"/>
              <w:kinsoku/>
              <w:wordWrap/>
              <w:topLinePunct w:val="0"/>
              <w:bidi w:val="0"/>
              <w:snapToGrid/>
              <w:spacing w:line="240" w:lineRule="exact"/>
              <w:ind w:left="-2"/>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安全巡逻</w:t>
            </w: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随时</w:t>
            </w: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4" w:type="dxa"/>
            <w:noWrap w:val="0"/>
            <w:vAlign w:val="center"/>
          </w:tcPr>
          <w:p>
            <w:pPr>
              <w:keepNext w:val="0"/>
              <w:keepLines w:val="0"/>
              <w:pageBreakBefore w:val="0"/>
              <w:kinsoku/>
              <w:wordWrap/>
              <w:topLinePunct w:val="0"/>
              <w:bidi w:val="0"/>
              <w:snapToGrid/>
              <w:spacing w:line="240" w:lineRule="exact"/>
              <w:ind w:firstLine="171" w:firstLineChars="95"/>
              <w:jc w:val="center"/>
              <w:rPr>
                <w:rFonts w:hint="eastAsia" w:ascii="宋体" w:hAnsi="宋体" w:eastAsia="宋体" w:cs="宋体"/>
                <w:color w:val="auto"/>
                <w:sz w:val="18"/>
                <w:szCs w:val="18"/>
                <w:highlight w:val="none"/>
              </w:rPr>
            </w:pPr>
          </w:p>
        </w:tc>
        <w:tc>
          <w:tcPr>
            <w:tcW w:w="4306" w:type="dxa"/>
            <w:noWrap w:val="0"/>
            <w:vAlign w:val="center"/>
          </w:tcPr>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1.每月重新制定一次巡逻路线。</w:t>
            </w:r>
          </w:p>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2.巡逻人员（不包括车场巡逻人员）按规定路线每1小时巡逻1次并签到。</w:t>
            </w:r>
          </w:p>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3.对可疑人员进行监控。</w:t>
            </w:r>
          </w:p>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4.对重大事件的及时处理。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43" w:type="dxa"/>
            <w:vMerge w:val="continue"/>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1014"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其它突发事件或异常情况处理</w:t>
            </w:r>
          </w:p>
        </w:tc>
        <w:tc>
          <w:tcPr>
            <w:tcW w:w="681" w:type="dxa"/>
            <w:noWrap w:val="0"/>
            <w:vAlign w:val="center"/>
          </w:tcPr>
          <w:p>
            <w:pPr>
              <w:pStyle w:val="14"/>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随时</w:t>
            </w: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4" w:type="dxa"/>
            <w:noWrap w:val="0"/>
            <w:vAlign w:val="center"/>
          </w:tcPr>
          <w:p>
            <w:pPr>
              <w:keepNext w:val="0"/>
              <w:keepLines w:val="0"/>
              <w:pageBreakBefore w:val="0"/>
              <w:kinsoku/>
              <w:wordWrap/>
              <w:topLinePunct w:val="0"/>
              <w:bidi w:val="0"/>
              <w:snapToGrid/>
              <w:spacing w:line="240" w:lineRule="exact"/>
              <w:ind w:firstLine="171" w:firstLineChars="95"/>
              <w:jc w:val="center"/>
              <w:rPr>
                <w:rFonts w:hint="eastAsia" w:ascii="宋体" w:hAnsi="宋体" w:eastAsia="宋体" w:cs="宋体"/>
                <w:color w:val="auto"/>
                <w:sz w:val="18"/>
                <w:szCs w:val="18"/>
                <w:highlight w:val="none"/>
              </w:rPr>
            </w:pPr>
          </w:p>
        </w:tc>
        <w:tc>
          <w:tcPr>
            <w:tcW w:w="4306" w:type="dxa"/>
            <w:noWrap w:val="0"/>
            <w:vAlign w:val="center"/>
          </w:tcPr>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1.发现盗窃、斗殴、匪警情况的处理；</w:t>
            </w:r>
          </w:p>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2.对精神病人、醉汉的处理；触电事故的应急处理；突发性水浸事故处理；</w:t>
            </w:r>
          </w:p>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3.台风袭击前、吹强烈大风的预防措施；台风来临后的措施；</w:t>
            </w:r>
          </w:p>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4.爆炸的处理；失物处理；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43" w:type="dxa"/>
            <w:vMerge w:val="restart"/>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安全防范</w:t>
            </w:r>
          </w:p>
        </w:tc>
        <w:tc>
          <w:tcPr>
            <w:tcW w:w="1014"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系统报警处理</w:t>
            </w: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随时</w:t>
            </w: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4" w:type="dxa"/>
            <w:noWrap w:val="0"/>
            <w:vAlign w:val="center"/>
          </w:tcPr>
          <w:p>
            <w:pPr>
              <w:keepNext w:val="0"/>
              <w:keepLines w:val="0"/>
              <w:pageBreakBefore w:val="0"/>
              <w:kinsoku/>
              <w:wordWrap/>
              <w:topLinePunct w:val="0"/>
              <w:bidi w:val="0"/>
              <w:snapToGrid/>
              <w:spacing w:line="240" w:lineRule="exact"/>
              <w:ind w:firstLine="171" w:firstLineChars="95"/>
              <w:jc w:val="center"/>
              <w:rPr>
                <w:rFonts w:hint="eastAsia" w:ascii="宋体" w:hAnsi="宋体" w:eastAsia="宋体" w:cs="宋体"/>
                <w:color w:val="auto"/>
                <w:sz w:val="18"/>
                <w:szCs w:val="18"/>
                <w:highlight w:val="none"/>
              </w:rPr>
            </w:pPr>
          </w:p>
        </w:tc>
        <w:tc>
          <w:tcPr>
            <w:tcW w:w="4306" w:type="dxa"/>
            <w:noWrap w:val="0"/>
            <w:vAlign w:val="center"/>
          </w:tcPr>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接到报警信号后巡逻岗保安在1至3分钟内赶到现场。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43" w:type="dxa"/>
            <w:vMerge w:val="continue"/>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1014" w:type="dxa"/>
            <w:noWrap w:val="0"/>
            <w:vAlign w:val="center"/>
          </w:tcPr>
          <w:p>
            <w:pPr>
              <w:pStyle w:val="21"/>
              <w:keepNext w:val="0"/>
              <w:keepLines w:val="0"/>
              <w:pageBreakBefore w:val="0"/>
              <w:kinsoku/>
              <w:wordWrap/>
              <w:topLinePunct w:val="0"/>
              <w:bidi w:val="0"/>
              <w:snapToGrid/>
              <w:spacing w:beforeAutospacing="0" w:afterAutospacing="0"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室内报警处理</w:t>
            </w: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随时</w:t>
            </w: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4"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4306" w:type="dxa"/>
            <w:noWrap w:val="0"/>
            <w:vAlign w:val="center"/>
          </w:tcPr>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商户或办公室内报警，巡逻岗保安在3</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5分钟内到达现场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43" w:type="dxa"/>
            <w:vMerge w:val="continue"/>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1014" w:type="dxa"/>
            <w:noWrap w:val="0"/>
            <w:vAlign w:val="center"/>
          </w:tcPr>
          <w:p>
            <w:pPr>
              <w:pStyle w:val="21"/>
              <w:keepNext w:val="0"/>
              <w:keepLines w:val="0"/>
              <w:pageBreakBefore w:val="0"/>
              <w:kinsoku/>
              <w:wordWrap/>
              <w:topLinePunct w:val="0"/>
              <w:bidi w:val="0"/>
              <w:snapToGrid/>
              <w:spacing w:beforeAutospacing="0" w:afterAutospacing="0"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标识系统</w:t>
            </w: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随时</w:t>
            </w: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4"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4306" w:type="dxa"/>
            <w:noWrap w:val="0"/>
            <w:vAlign w:val="center"/>
          </w:tcPr>
          <w:p>
            <w:pPr>
              <w:keepNext w:val="0"/>
              <w:keepLines w:val="0"/>
              <w:pageBreakBefore w:val="0"/>
              <w:kinsoku/>
              <w:wordWrap/>
              <w:topLinePunct w:val="0"/>
              <w:bidi w:val="0"/>
              <w:snapToGrid/>
              <w:spacing w:line="240" w:lineRule="exact"/>
              <w:ind w:left="210" w:hanging="180" w:hangingChars="1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设置必备的安全标识。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43" w:type="dxa"/>
            <w:vMerge w:val="restart"/>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消防安全</w:t>
            </w:r>
          </w:p>
        </w:tc>
        <w:tc>
          <w:tcPr>
            <w:tcW w:w="1014"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公共部位</w:t>
            </w: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随时</w:t>
            </w: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4"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4306" w:type="dxa"/>
            <w:noWrap w:val="0"/>
            <w:vAlign w:val="center"/>
          </w:tcPr>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无占用消防通道，无堆放杂物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43" w:type="dxa"/>
            <w:vMerge w:val="continue"/>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1014"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消防栓</w:t>
            </w: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4"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4306" w:type="dxa"/>
            <w:noWrap w:val="0"/>
            <w:vAlign w:val="center"/>
          </w:tcPr>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1.熟练掌握使用方法。</w:t>
            </w:r>
          </w:p>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2.无破损、无霉潮，带柜完好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43" w:type="dxa"/>
            <w:vMerge w:val="continue"/>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1014"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消防门</w:t>
            </w: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4"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4306" w:type="dxa"/>
            <w:noWrap w:val="0"/>
            <w:vAlign w:val="center"/>
          </w:tcPr>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消防门保持关闭。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43" w:type="dxa"/>
            <w:vMerge w:val="continue"/>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1014"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灭火器具</w:t>
            </w: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4"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4306" w:type="dxa"/>
            <w:noWrap w:val="0"/>
            <w:vAlign w:val="center"/>
          </w:tcPr>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做好检查记录，无缺失、无过期，表面保洁，100%完好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43" w:type="dxa"/>
            <w:vMerge w:val="continue"/>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1014"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温感、烟感、喷淋</w:t>
            </w: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4"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4306" w:type="dxa"/>
            <w:noWrap w:val="0"/>
            <w:vAlign w:val="center"/>
          </w:tcPr>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无缺失，外观完好。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43" w:type="dxa"/>
            <w:vMerge w:val="continue"/>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1014"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消防演习</w:t>
            </w: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4"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不少于1次</w:t>
            </w:r>
          </w:p>
        </w:tc>
        <w:tc>
          <w:tcPr>
            <w:tcW w:w="4306" w:type="dxa"/>
            <w:noWrap w:val="0"/>
            <w:vAlign w:val="center"/>
          </w:tcPr>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1.制定演习方案.</w:t>
            </w:r>
          </w:p>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2.按演习方案组织实施.</w:t>
            </w:r>
          </w:p>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3.对演习进行效果评估.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457" w:type="dxa"/>
            <w:gridSpan w:val="2"/>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车辆管理</w:t>
            </w: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随时</w:t>
            </w: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4"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4306" w:type="dxa"/>
            <w:noWrap w:val="0"/>
            <w:vAlign w:val="center"/>
          </w:tcPr>
          <w:p>
            <w:pPr>
              <w:pStyle w:val="13"/>
              <w:keepNext w:val="0"/>
              <w:keepLines w:val="0"/>
              <w:pageBreakBefore w:val="0"/>
              <w:widowControl/>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1.对车辆实施分流，维护停放秩序。</w:t>
            </w:r>
          </w:p>
          <w:p>
            <w:pPr>
              <w:pStyle w:val="13"/>
              <w:keepNext w:val="0"/>
              <w:keepLines w:val="0"/>
              <w:pageBreakBefore w:val="0"/>
              <w:widowControl/>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2.对危险品车辆落实专人进行全程管理，并做好记录，发现问题及时汇报。</w:t>
            </w:r>
          </w:p>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3.巡逻人员按规定路线定时巡逻和签到。</w:t>
            </w:r>
          </w:p>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4.发现异常情况，保安在30秒至于1分钟内赶到现场。</w:t>
            </w:r>
          </w:p>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5.对可疑车辆进行重点监控。</w:t>
            </w:r>
          </w:p>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6.对长时间逗留的车辆劝其离开。</w:t>
            </w:r>
          </w:p>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7.通道内严禁停车，对违停车辆在5分钟内予以处理，对停车场的修理车进行制止。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457" w:type="dxa"/>
            <w:gridSpan w:val="2"/>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工作环境</w:t>
            </w: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随时</w:t>
            </w: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4"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4306" w:type="dxa"/>
            <w:noWrap w:val="0"/>
            <w:vAlign w:val="center"/>
          </w:tcPr>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1.岗位责任人姓名、照片、许可证等有关证件，悬挂在出入口明显位置。</w:t>
            </w:r>
          </w:p>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2.门卫岗亭，内外地面拖洗干净，玻璃窗台及其他台面，室内外墙面每月清洁。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457" w:type="dxa"/>
            <w:gridSpan w:val="2"/>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资料管理</w:t>
            </w:r>
          </w:p>
        </w:tc>
        <w:tc>
          <w:tcPr>
            <w:tcW w:w="681" w:type="dxa"/>
            <w:noWrap w:val="0"/>
            <w:vAlign w:val="center"/>
          </w:tcPr>
          <w:p>
            <w:pPr>
              <w:keepNext w:val="0"/>
              <w:keepLines w:val="0"/>
              <w:pageBreakBefore w:val="0"/>
              <w:kinsoku/>
              <w:wordWrap/>
              <w:topLinePunct w:val="0"/>
              <w:bidi w:val="0"/>
              <w:snapToGrid/>
              <w:spacing w:line="240" w:lineRule="exact"/>
              <w:ind w:firstLine="171" w:firstLineChars="95"/>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4"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4306" w:type="dxa"/>
            <w:noWrap w:val="0"/>
            <w:vAlign w:val="center"/>
          </w:tcPr>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1.日常记录</w:t>
            </w:r>
          </w:p>
          <w:p>
            <w:pPr>
              <w:keepNext w:val="0"/>
              <w:keepLines w:val="0"/>
              <w:pageBreakBefore w:val="0"/>
              <w:kinsoku/>
              <w:wordWrap/>
              <w:topLinePunct w:val="0"/>
              <w:bidi w:val="0"/>
              <w:snapToGrid/>
              <w:spacing w:line="240" w:lineRule="exact"/>
              <w:ind w:firstLine="42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《保安值班记录表》、《巡逻签到表》（或电子巡逻记录）、《来人来访登记表》、《车辆出入登记表》、《培训记录表》、《危险品车辆记录》</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通道车辆登记表</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巡查登记表</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等</w:t>
            </w:r>
          </w:p>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2.月度记录</w:t>
            </w:r>
          </w:p>
          <w:p>
            <w:pPr>
              <w:keepNext w:val="0"/>
              <w:keepLines w:val="0"/>
              <w:pageBreakBefore w:val="0"/>
              <w:kinsoku/>
              <w:wordWrap/>
              <w:topLinePunct w:val="0"/>
              <w:bidi w:val="0"/>
              <w:snapToGrid/>
              <w:spacing w:line="240" w:lineRule="exact"/>
              <w:ind w:firstLine="42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《培训计划表》、《消防器材检查记录》</w:t>
            </w:r>
          </w:p>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3.年度记录</w:t>
            </w:r>
          </w:p>
          <w:p>
            <w:pPr>
              <w:keepNext w:val="0"/>
              <w:keepLines w:val="0"/>
              <w:pageBreakBefore w:val="0"/>
              <w:kinsoku/>
              <w:wordWrap/>
              <w:topLinePunct w:val="0"/>
              <w:bidi w:val="0"/>
              <w:snapToGrid/>
              <w:spacing w:line="240" w:lineRule="exact"/>
              <w:ind w:firstLine="42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《消防演习方案》、《紧急集合检查记录表》、灭火的相关记录（会议记录、应急行动记录）</w:t>
            </w:r>
          </w:p>
        </w:tc>
      </w:tr>
    </w:tbl>
    <w:p>
      <w:pPr>
        <w:spacing w:line="240" w:lineRule="auto"/>
        <w:jc w:val="center"/>
        <w:rPr>
          <w:rFonts w:hint="eastAsia" w:ascii="宋体" w:hAnsi="宋体" w:eastAsia="宋体" w:cs="宋体"/>
          <w:color w:val="auto"/>
          <w:sz w:val="21"/>
          <w:szCs w:val="21"/>
          <w:highlight w:val="none"/>
        </w:rPr>
      </w:pPr>
    </w:p>
    <w:p>
      <w:pPr>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sz w:val="24"/>
          <w:szCs w:val="24"/>
          <w:highlight w:val="none"/>
          <w:lang w:val="zh-CN"/>
        </w:rPr>
        <w:br w:type="page"/>
      </w:r>
    </w:p>
    <w:p>
      <w:pPr>
        <w:autoSpaceDE w:val="0"/>
        <w:autoSpaceDN w:val="0"/>
        <w:adjustRightInd w:val="0"/>
        <w:spacing w:line="240" w:lineRule="auto"/>
        <w:jc w:val="center"/>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sz w:val="24"/>
          <w:szCs w:val="24"/>
          <w:highlight w:val="none"/>
          <w:lang w:val="zh-CN"/>
        </w:rPr>
        <w:t>服务区保洁工作量化标准</w:t>
      </w:r>
    </w:p>
    <w:p>
      <w:pPr>
        <w:spacing w:line="240" w:lineRule="auto"/>
        <w:ind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一、公共卫生间</w:t>
      </w:r>
    </w:p>
    <w:p>
      <w:pPr>
        <w:spacing w:line="24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1、工作内容：</w:t>
      </w:r>
    </w:p>
    <w:p>
      <w:pPr>
        <w:spacing w:line="24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天早晚对公共卫生间大清洗两次。通风换气，清洗烟灰缸，清扫地面垃圾，倾倒垃圾桶内垃圾，换新的垃圾袋，垃圾桶大清洁；卫生间瓷砖地面去污、干拖地面，去除污渍，清洗大小便器，清洗洗手盆，用毛巾抹墙面台面开关、门牌，隔断，擦干净玻璃镜面，拖净地面，放置香球或除臭块。发现墙面、隔断有字及时清洁。卫生间内绿化清洁，卫生间内宣传告示牌的清洁，防滑地毯的清洗。补充洗手液等卫生用品。做好台账记录。</w:t>
      </w:r>
    </w:p>
    <w:p>
      <w:pPr>
        <w:spacing w:line="24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2、工作频率：</w:t>
      </w:r>
    </w:p>
    <w:tbl>
      <w:tblPr>
        <w:tblStyle w:val="24"/>
        <w:tblW w:w="9039" w:type="dxa"/>
        <w:jc w:val="center"/>
        <w:tblLayout w:type="fixed"/>
        <w:tblCellMar>
          <w:top w:w="0" w:type="dxa"/>
          <w:left w:w="108" w:type="dxa"/>
          <w:bottom w:w="0" w:type="dxa"/>
          <w:right w:w="108" w:type="dxa"/>
        </w:tblCellMar>
      </w:tblPr>
      <w:tblGrid>
        <w:gridCol w:w="2759"/>
        <w:gridCol w:w="738"/>
        <w:gridCol w:w="738"/>
        <w:gridCol w:w="738"/>
        <w:gridCol w:w="738"/>
        <w:gridCol w:w="738"/>
        <w:gridCol w:w="740"/>
        <w:gridCol w:w="1850"/>
      </w:tblGrid>
      <w:tr>
        <w:tblPrEx>
          <w:tblCellMar>
            <w:top w:w="0" w:type="dxa"/>
            <w:left w:w="108" w:type="dxa"/>
            <w:bottom w:w="0" w:type="dxa"/>
            <w:right w:w="108" w:type="dxa"/>
          </w:tblCellMar>
        </w:tblPrEx>
        <w:trPr>
          <w:trHeight w:val="23" w:hRule="atLeast"/>
          <w:jc w:val="center"/>
        </w:trPr>
        <w:tc>
          <w:tcPr>
            <w:tcW w:w="2759"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卫生间保洁</w:t>
            </w:r>
          </w:p>
        </w:tc>
        <w:tc>
          <w:tcPr>
            <w:tcW w:w="4430" w:type="dxa"/>
            <w:gridSpan w:val="6"/>
            <w:tcBorders>
              <w:top w:val="single" w:color="auto" w:sz="4" w:space="0"/>
              <w:left w:val="nil"/>
              <w:bottom w:val="single" w:color="auto" w:sz="4" w:space="0"/>
              <w:right w:val="single" w:color="000000"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频次</w:t>
            </w:r>
          </w:p>
        </w:tc>
        <w:tc>
          <w:tcPr>
            <w:tcW w:w="185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180" w:firstLineChars="10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备注</w:t>
            </w:r>
          </w:p>
        </w:tc>
      </w:tr>
      <w:tr>
        <w:tblPrEx>
          <w:tblCellMar>
            <w:top w:w="0" w:type="dxa"/>
            <w:left w:w="108" w:type="dxa"/>
            <w:bottom w:w="0" w:type="dxa"/>
            <w:right w:w="108" w:type="dxa"/>
          </w:tblCellMar>
        </w:tblPrEx>
        <w:trPr>
          <w:trHeight w:val="23" w:hRule="atLeast"/>
          <w:jc w:val="center"/>
        </w:trPr>
        <w:tc>
          <w:tcPr>
            <w:tcW w:w="2759"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spacing w:line="240" w:lineRule="auto"/>
              <w:ind w:firstLine="480"/>
              <w:jc w:val="left"/>
              <w:rPr>
                <w:rFonts w:hint="eastAsia" w:ascii="宋体" w:hAnsi="宋体" w:eastAsia="宋体" w:cs="宋体"/>
                <w:color w:val="auto"/>
                <w:kern w:val="0"/>
                <w:sz w:val="18"/>
                <w:szCs w:val="18"/>
                <w:highlight w:val="none"/>
              </w:rPr>
            </w:pPr>
          </w:p>
        </w:tc>
        <w:tc>
          <w:tcPr>
            <w:tcW w:w="738" w:type="dxa"/>
            <w:tcBorders>
              <w:top w:val="nil"/>
              <w:left w:val="nil"/>
              <w:bottom w:val="nil"/>
              <w:right w:val="nil"/>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随时</w:t>
            </w:r>
          </w:p>
        </w:tc>
        <w:tc>
          <w:tcPr>
            <w:tcW w:w="738" w:type="dxa"/>
            <w:tcBorders>
              <w:top w:val="nil"/>
              <w:left w:val="single" w:color="auto" w:sz="4" w:space="0"/>
              <w:bottom w:val="single" w:color="auto" w:sz="4" w:space="0"/>
              <w:right w:val="single" w:color="auto" w:sz="4" w:space="0"/>
            </w:tcBorders>
            <w:noWrap w:val="0"/>
            <w:vAlign w:val="top"/>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日</w:t>
            </w:r>
          </w:p>
        </w:tc>
        <w:tc>
          <w:tcPr>
            <w:tcW w:w="738" w:type="dxa"/>
            <w:tcBorders>
              <w:top w:val="nil"/>
              <w:left w:val="nil"/>
              <w:bottom w:val="single" w:color="auto" w:sz="4" w:space="0"/>
              <w:right w:val="single" w:color="auto" w:sz="4" w:space="0"/>
            </w:tcBorders>
            <w:noWrap w:val="0"/>
            <w:vAlign w:val="top"/>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周</w:t>
            </w:r>
          </w:p>
        </w:tc>
        <w:tc>
          <w:tcPr>
            <w:tcW w:w="738" w:type="dxa"/>
            <w:tcBorders>
              <w:top w:val="nil"/>
              <w:left w:val="nil"/>
              <w:bottom w:val="single" w:color="auto" w:sz="4" w:space="0"/>
              <w:right w:val="single" w:color="auto" w:sz="4" w:space="0"/>
            </w:tcBorders>
            <w:noWrap w:val="0"/>
            <w:vAlign w:val="top"/>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月</w:t>
            </w:r>
          </w:p>
        </w:tc>
        <w:tc>
          <w:tcPr>
            <w:tcW w:w="738" w:type="dxa"/>
            <w:tcBorders>
              <w:top w:val="nil"/>
              <w:left w:val="nil"/>
              <w:bottom w:val="single" w:color="auto" w:sz="4" w:space="0"/>
              <w:right w:val="single" w:color="auto" w:sz="4" w:space="0"/>
            </w:tcBorders>
            <w:noWrap w:val="0"/>
            <w:vAlign w:val="top"/>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季</w:t>
            </w:r>
          </w:p>
        </w:tc>
        <w:tc>
          <w:tcPr>
            <w:tcW w:w="740" w:type="dxa"/>
            <w:tcBorders>
              <w:top w:val="nil"/>
              <w:left w:val="nil"/>
              <w:bottom w:val="single" w:color="auto" w:sz="4" w:space="0"/>
              <w:right w:val="single" w:color="auto" w:sz="4" w:space="0"/>
            </w:tcBorders>
            <w:noWrap w:val="0"/>
            <w:vAlign w:val="top"/>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年</w:t>
            </w:r>
          </w:p>
        </w:tc>
        <w:tc>
          <w:tcPr>
            <w:tcW w:w="1850" w:type="dxa"/>
            <w:tcBorders>
              <w:top w:val="nil"/>
              <w:left w:val="nil"/>
              <w:bottom w:val="single" w:color="auto" w:sz="4" w:space="0"/>
              <w:right w:val="single" w:color="auto" w:sz="4" w:space="0"/>
            </w:tcBorders>
            <w:noWrap w:val="0"/>
            <w:vAlign w:val="center"/>
          </w:tcPr>
          <w:p>
            <w:pPr>
              <w:widowControl/>
              <w:spacing w:line="240" w:lineRule="auto"/>
              <w:ind w:firstLine="480"/>
              <w:jc w:val="left"/>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2759"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便器、洗水盆、不锈钢面</w:t>
            </w:r>
          </w:p>
        </w:tc>
        <w:tc>
          <w:tcPr>
            <w:tcW w:w="738"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40"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1850" w:type="dxa"/>
            <w:tcBorders>
              <w:top w:val="nil"/>
              <w:left w:val="nil"/>
              <w:bottom w:val="single" w:color="auto" w:sz="4" w:space="0"/>
              <w:right w:val="single" w:color="auto" w:sz="4" w:space="0"/>
            </w:tcBorders>
            <w:noWrap w:val="0"/>
            <w:vAlign w:val="center"/>
          </w:tcPr>
          <w:p>
            <w:pPr>
              <w:widowControl/>
              <w:spacing w:line="240" w:lineRule="auto"/>
              <w:ind w:firstLine="480"/>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2759"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玻璃、镜面</w:t>
            </w:r>
          </w:p>
        </w:tc>
        <w:tc>
          <w:tcPr>
            <w:tcW w:w="73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40"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1850" w:type="dxa"/>
            <w:tcBorders>
              <w:top w:val="nil"/>
              <w:left w:val="nil"/>
              <w:bottom w:val="single" w:color="auto" w:sz="4" w:space="0"/>
              <w:right w:val="single" w:color="auto" w:sz="4" w:space="0"/>
            </w:tcBorders>
            <w:noWrap w:val="0"/>
            <w:vAlign w:val="center"/>
          </w:tcPr>
          <w:p>
            <w:pPr>
              <w:widowControl/>
              <w:spacing w:line="240" w:lineRule="auto"/>
              <w:ind w:firstLine="480"/>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2759"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瓷砖地面</w:t>
            </w:r>
          </w:p>
        </w:tc>
        <w:tc>
          <w:tcPr>
            <w:tcW w:w="73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40"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1850" w:type="dxa"/>
            <w:tcBorders>
              <w:top w:val="nil"/>
              <w:left w:val="nil"/>
              <w:bottom w:val="single" w:color="auto" w:sz="4" w:space="0"/>
              <w:right w:val="single" w:color="auto" w:sz="4" w:space="0"/>
            </w:tcBorders>
            <w:noWrap w:val="0"/>
            <w:vAlign w:val="center"/>
          </w:tcPr>
          <w:p>
            <w:pPr>
              <w:widowControl/>
              <w:spacing w:line="240" w:lineRule="auto"/>
              <w:ind w:firstLine="480"/>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2759"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墙面2米以下、隔断板、地面墙角、门背后</w:t>
            </w: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40"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1850" w:type="dxa"/>
            <w:tcBorders>
              <w:top w:val="nil"/>
              <w:left w:val="nil"/>
              <w:bottom w:val="single" w:color="auto" w:sz="4" w:space="0"/>
              <w:right w:val="single" w:color="auto" w:sz="4" w:space="0"/>
            </w:tcBorders>
            <w:noWrap w:val="0"/>
            <w:vAlign w:val="center"/>
          </w:tcPr>
          <w:p>
            <w:pPr>
              <w:widowControl/>
              <w:spacing w:line="240" w:lineRule="auto"/>
              <w:ind w:firstLine="480"/>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2759"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顶棚、灯具、换气扇</w:t>
            </w: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149" w:firstLineChars="83"/>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40"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1850" w:type="dxa"/>
            <w:tcBorders>
              <w:top w:val="nil"/>
              <w:left w:val="nil"/>
              <w:bottom w:val="single" w:color="auto" w:sz="4" w:space="0"/>
              <w:right w:val="single" w:color="auto" w:sz="4" w:space="0"/>
            </w:tcBorders>
            <w:noWrap w:val="0"/>
            <w:vAlign w:val="center"/>
          </w:tcPr>
          <w:p>
            <w:pPr>
              <w:widowControl/>
              <w:spacing w:line="240" w:lineRule="auto"/>
              <w:ind w:firstLine="480"/>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2759" w:type="dxa"/>
            <w:tcBorders>
              <w:top w:val="nil"/>
              <w:left w:val="single" w:color="auto" w:sz="4" w:space="0"/>
              <w:bottom w:val="nil"/>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卫生间台盆、面盆下</w:t>
            </w: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149" w:firstLineChars="83"/>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73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40"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1850" w:type="dxa"/>
            <w:tcBorders>
              <w:top w:val="nil"/>
              <w:left w:val="nil"/>
              <w:bottom w:val="single" w:color="auto" w:sz="4" w:space="0"/>
              <w:right w:val="single" w:color="auto" w:sz="4" w:space="0"/>
            </w:tcBorders>
            <w:noWrap w:val="0"/>
            <w:vAlign w:val="center"/>
          </w:tcPr>
          <w:p>
            <w:pPr>
              <w:widowControl/>
              <w:spacing w:line="240" w:lineRule="auto"/>
              <w:ind w:firstLine="480"/>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275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防滑垫、提示牌</w:t>
            </w: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149" w:firstLineChars="83"/>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40"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1850" w:type="dxa"/>
            <w:tcBorders>
              <w:top w:val="nil"/>
              <w:left w:val="nil"/>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每半月清洗1次</w:t>
            </w:r>
          </w:p>
        </w:tc>
      </w:tr>
      <w:tr>
        <w:tblPrEx>
          <w:tblCellMar>
            <w:top w:w="0" w:type="dxa"/>
            <w:left w:w="108" w:type="dxa"/>
            <w:bottom w:w="0" w:type="dxa"/>
            <w:right w:w="108" w:type="dxa"/>
          </w:tblCellMar>
        </w:tblPrEx>
        <w:trPr>
          <w:trHeight w:val="23" w:hRule="atLeast"/>
          <w:jc w:val="center"/>
        </w:trPr>
        <w:tc>
          <w:tcPr>
            <w:tcW w:w="2759"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添加卫生纸，烟灰缸、纸篓按保洁标准更换垃圾袋</w:t>
            </w: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149" w:firstLineChars="83"/>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40"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1850" w:type="dxa"/>
            <w:tcBorders>
              <w:top w:val="nil"/>
              <w:left w:val="nil"/>
              <w:bottom w:val="single" w:color="auto" w:sz="4" w:space="0"/>
              <w:right w:val="single" w:color="auto" w:sz="4" w:space="0"/>
            </w:tcBorders>
            <w:noWrap w:val="0"/>
            <w:vAlign w:val="center"/>
          </w:tcPr>
          <w:p>
            <w:pPr>
              <w:widowControl/>
              <w:spacing w:line="240" w:lineRule="auto"/>
              <w:ind w:firstLine="480"/>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2759"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洗手液、擦手纸</w:t>
            </w: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149" w:firstLineChars="83"/>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nil"/>
              <w:right w:val="nil"/>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single" w:color="auto" w:sz="4" w:space="0"/>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40"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1850" w:type="dxa"/>
            <w:tcBorders>
              <w:top w:val="nil"/>
              <w:left w:val="nil"/>
              <w:bottom w:val="single" w:color="auto" w:sz="4" w:space="0"/>
              <w:right w:val="single" w:color="auto" w:sz="4" w:space="0"/>
            </w:tcBorders>
            <w:noWrap w:val="0"/>
            <w:vAlign w:val="center"/>
          </w:tcPr>
          <w:p>
            <w:pPr>
              <w:widowControl/>
              <w:spacing w:line="240" w:lineRule="auto"/>
              <w:ind w:firstLine="480"/>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2759"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室内花木</w:t>
            </w: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149" w:firstLineChars="83"/>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73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40"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1850" w:type="dxa"/>
            <w:tcBorders>
              <w:top w:val="nil"/>
              <w:left w:val="nil"/>
              <w:bottom w:val="single" w:color="auto" w:sz="4" w:space="0"/>
              <w:right w:val="single" w:color="auto" w:sz="4" w:space="0"/>
            </w:tcBorders>
            <w:noWrap w:val="0"/>
            <w:vAlign w:val="center"/>
          </w:tcPr>
          <w:p>
            <w:pPr>
              <w:widowControl/>
              <w:spacing w:line="240" w:lineRule="auto"/>
              <w:ind w:firstLine="149" w:firstLineChars="83"/>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blPrEx>
          <w:tblCellMar>
            <w:top w:w="0" w:type="dxa"/>
            <w:left w:w="108" w:type="dxa"/>
            <w:bottom w:w="0" w:type="dxa"/>
            <w:right w:w="108" w:type="dxa"/>
          </w:tblCellMar>
        </w:tblPrEx>
        <w:trPr>
          <w:trHeight w:val="23" w:hRule="atLeast"/>
          <w:jc w:val="center"/>
        </w:trPr>
        <w:tc>
          <w:tcPr>
            <w:tcW w:w="2759"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清扫地面垃圾</w:t>
            </w: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149" w:firstLineChars="83"/>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40"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1850" w:type="dxa"/>
            <w:tcBorders>
              <w:top w:val="nil"/>
              <w:left w:val="nil"/>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每天拖洗、去污1次</w:t>
            </w:r>
          </w:p>
        </w:tc>
      </w:tr>
    </w:tbl>
    <w:p>
      <w:pPr>
        <w:spacing w:line="240" w:lineRule="auto"/>
        <w:ind w:firstLine="411" w:firstLineChars="195"/>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二、停车场保洁</w:t>
      </w:r>
    </w:p>
    <w:p>
      <w:pPr>
        <w:spacing w:line="24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1、工作内容</w:t>
      </w:r>
    </w:p>
    <w:p>
      <w:pPr>
        <w:spacing w:line="240" w:lineRule="auto"/>
        <w:ind w:firstLine="56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每天随时清扫停车场的细小垃圾，每天随时清扫绿化带，每天随时拣绿化带内的烟头杂物等，秋冬季或落叶较多季节增加清洁次数。窨井、边沟内垃圾清理。擦拭广场告示牌、宣传广告栏。收集垃圾，换垃圾袋，清洁垃圾桶，冲洗垃圾房。</w:t>
      </w:r>
      <w:r>
        <w:rPr>
          <w:rFonts w:hint="eastAsia" w:ascii="宋体" w:hAnsi="宋体" w:eastAsia="宋体" w:cs="宋体"/>
          <w:color w:val="auto"/>
          <w:sz w:val="21"/>
          <w:szCs w:val="21"/>
          <w:highlight w:val="none"/>
          <w:lang w:val="en-US" w:eastAsia="zh-CN"/>
        </w:rPr>
        <w:t>消杀工作，做好台账记录。</w:t>
      </w:r>
    </w:p>
    <w:p>
      <w:pPr>
        <w:spacing w:line="24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2、具体频率：</w:t>
      </w:r>
    </w:p>
    <w:tbl>
      <w:tblPr>
        <w:tblStyle w:val="24"/>
        <w:tblW w:w="8742" w:type="dxa"/>
        <w:jc w:val="center"/>
        <w:tblLayout w:type="fixed"/>
        <w:tblCellMar>
          <w:top w:w="0" w:type="dxa"/>
          <w:left w:w="108" w:type="dxa"/>
          <w:bottom w:w="0" w:type="dxa"/>
          <w:right w:w="108" w:type="dxa"/>
        </w:tblCellMar>
      </w:tblPr>
      <w:tblGrid>
        <w:gridCol w:w="2776"/>
        <w:gridCol w:w="742"/>
        <w:gridCol w:w="742"/>
        <w:gridCol w:w="742"/>
        <w:gridCol w:w="742"/>
        <w:gridCol w:w="742"/>
        <w:gridCol w:w="743"/>
        <w:gridCol w:w="1513"/>
      </w:tblGrid>
      <w:tr>
        <w:tblPrEx>
          <w:tblCellMar>
            <w:top w:w="0" w:type="dxa"/>
            <w:left w:w="108" w:type="dxa"/>
            <w:bottom w:w="0" w:type="dxa"/>
            <w:right w:w="108" w:type="dxa"/>
          </w:tblCellMar>
        </w:tblPrEx>
        <w:trPr>
          <w:trHeight w:val="23" w:hRule="atLeast"/>
          <w:jc w:val="center"/>
        </w:trPr>
        <w:tc>
          <w:tcPr>
            <w:tcW w:w="2776"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广场保洁</w:t>
            </w:r>
          </w:p>
        </w:tc>
        <w:tc>
          <w:tcPr>
            <w:tcW w:w="4453" w:type="dxa"/>
            <w:gridSpan w:val="6"/>
            <w:tcBorders>
              <w:top w:val="single" w:color="auto" w:sz="4" w:space="0"/>
              <w:left w:val="nil"/>
              <w:bottom w:val="single" w:color="auto" w:sz="4" w:space="0"/>
              <w:right w:val="single" w:color="000000"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频次</w:t>
            </w:r>
          </w:p>
        </w:tc>
        <w:tc>
          <w:tcPr>
            <w:tcW w:w="1513"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备注</w:t>
            </w:r>
          </w:p>
        </w:tc>
      </w:tr>
      <w:tr>
        <w:tblPrEx>
          <w:tblCellMar>
            <w:top w:w="0" w:type="dxa"/>
            <w:left w:w="108" w:type="dxa"/>
            <w:bottom w:w="0" w:type="dxa"/>
            <w:right w:w="108" w:type="dxa"/>
          </w:tblCellMar>
        </w:tblPrEx>
        <w:trPr>
          <w:trHeight w:val="23" w:hRule="atLeast"/>
          <w:jc w:val="center"/>
        </w:trPr>
        <w:tc>
          <w:tcPr>
            <w:tcW w:w="2776"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spacing w:line="240" w:lineRule="auto"/>
              <w:ind w:firstLine="480"/>
              <w:jc w:val="left"/>
              <w:rPr>
                <w:rFonts w:hint="eastAsia" w:ascii="宋体" w:hAnsi="宋体" w:eastAsia="宋体" w:cs="宋体"/>
                <w:color w:val="auto"/>
                <w:kern w:val="0"/>
                <w:sz w:val="18"/>
                <w:szCs w:val="18"/>
                <w:highlight w:val="none"/>
              </w:rPr>
            </w:pPr>
          </w:p>
        </w:tc>
        <w:tc>
          <w:tcPr>
            <w:tcW w:w="742" w:type="dxa"/>
            <w:tcBorders>
              <w:top w:val="nil"/>
              <w:left w:val="nil"/>
              <w:bottom w:val="nil"/>
              <w:right w:val="nil"/>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随时</w:t>
            </w:r>
          </w:p>
        </w:tc>
        <w:tc>
          <w:tcPr>
            <w:tcW w:w="742" w:type="dxa"/>
            <w:tcBorders>
              <w:top w:val="nil"/>
              <w:left w:val="single" w:color="auto" w:sz="4" w:space="0"/>
              <w:bottom w:val="single" w:color="auto" w:sz="4" w:space="0"/>
              <w:right w:val="single" w:color="auto" w:sz="4" w:space="0"/>
            </w:tcBorders>
            <w:noWrap w:val="0"/>
            <w:vAlign w:val="center"/>
          </w:tcPr>
          <w:p>
            <w:pPr>
              <w:widowControl/>
              <w:spacing w:line="240" w:lineRule="auto"/>
              <w:ind w:firstLine="149" w:firstLineChars="83"/>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日</w:t>
            </w:r>
          </w:p>
        </w:tc>
        <w:tc>
          <w:tcPr>
            <w:tcW w:w="742"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周</w:t>
            </w: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月</w:t>
            </w: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季</w:t>
            </w:r>
          </w:p>
        </w:tc>
        <w:tc>
          <w:tcPr>
            <w:tcW w:w="743"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年</w:t>
            </w:r>
          </w:p>
        </w:tc>
        <w:tc>
          <w:tcPr>
            <w:tcW w:w="1513"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center"/>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2776" w:type="dxa"/>
            <w:tcBorders>
              <w:top w:val="nil"/>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边沟</w:t>
            </w:r>
          </w:p>
        </w:tc>
        <w:tc>
          <w:tcPr>
            <w:tcW w:w="742" w:type="dxa"/>
            <w:tcBorders>
              <w:top w:val="single" w:color="auto" w:sz="4" w:space="0"/>
              <w:left w:val="nil"/>
              <w:bottom w:val="single" w:color="auto" w:sz="4" w:space="0"/>
              <w:right w:val="single" w:color="auto" w:sz="4" w:space="0"/>
            </w:tcBorders>
            <w:noWrap w:val="0"/>
            <w:vAlign w:val="center"/>
          </w:tcPr>
          <w:p>
            <w:pPr>
              <w:widowControl/>
              <w:spacing w:line="240" w:lineRule="auto"/>
              <w:ind w:firstLine="149" w:firstLineChars="83"/>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742"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3"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1513"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left"/>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2776" w:type="dxa"/>
            <w:tcBorders>
              <w:top w:val="nil"/>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绿化带</w:t>
            </w: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742"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3"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1513"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left"/>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2776" w:type="dxa"/>
            <w:tcBorders>
              <w:top w:val="nil"/>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进出口匝道</w:t>
            </w: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742"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3"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1513"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left"/>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2776" w:type="dxa"/>
            <w:tcBorders>
              <w:top w:val="nil"/>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清理廊檐边杂草</w:t>
            </w:r>
          </w:p>
        </w:tc>
        <w:tc>
          <w:tcPr>
            <w:tcW w:w="742"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3"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1513"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left"/>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2776" w:type="dxa"/>
            <w:tcBorders>
              <w:top w:val="nil"/>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垃圾的收集</w:t>
            </w:r>
          </w:p>
        </w:tc>
        <w:tc>
          <w:tcPr>
            <w:tcW w:w="742"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742"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center"/>
              <w:rPr>
                <w:rFonts w:hint="eastAsia" w:ascii="宋体" w:hAnsi="宋体" w:eastAsia="宋体" w:cs="宋体"/>
                <w:color w:val="auto"/>
                <w:kern w:val="0"/>
                <w:sz w:val="18"/>
                <w:szCs w:val="18"/>
                <w:highlight w:val="none"/>
              </w:rPr>
            </w:pPr>
          </w:p>
        </w:tc>
        <w:tc>
          <w:tcPr>
            <w:tcW w:w="742"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3"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1513" w:type="dxa"/>
            <w:tcBorders>
              <w:top w:val="nil"/>
              <w:left w:val="nil"/>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blPrEx>
          <w:tblCellMar>
            <w:top w:w="0" w:type="dxa"/>
            <w:left w:w="108" w:type="dxa"/>
            <w:bottom w:w="0" w:type="dxa"/>
            <w:right w:w="108" w:type="dxa"/>
          </w:tblCellMar>
        </w:tblPrEx>
        <w:trPr>
          <w:trHeight w:val="23" w:hRule="atLeast"/>
          <w:jc w:val="center"/>
        </w:trPr>
        <w:tc>
          <w:tcPr>
            <w:tcW w:w="2776" w:type="dxa"/>
            <w:tcBorders>
              <w:top w:val="nil"/>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垃圾桶的清洗</w:t>
            </w: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3"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1513"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left"/>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2776" w:type="dxa"/>
            <w:tcBorders>
              <w:top w:val="nil"/>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垃圾房（中转站）的冲洗</w:t>
            </w: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3"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1513" w:type="dxa"/>
            <w:tcBorders>
              <w:top w:val="nil"/>
              <w:left w:val="nil"/>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2776" w:type="dxa"/>
            <w:tcBorders>
              <w:top w:val="nil"/>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外场地面（含台阶、花台等）</w:t>
            </w:r>
          </w:p>
        </w:tc>
        <w:tc>
          <w:tcPr>
            <w:tcW w:w="742"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3"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1513"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left"/>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2776" w:type="dxa"/>
            <w:tcBorders>
              <w:top w:val="nil"/>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路沿石</w:t>
            </w:r>
          </w:p>
        </w:tc>
        <w:tc>
          <w:tcPr>
            <w:tcW w:w="742"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3"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1513"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left"/>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2776" w:type="dxa"/>
            <w:tcBorders>
              <w:top w:val="nil"/>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告示牌</w:t>
            </w:r>
          </w:p>
        </w:tc>
        <w:tc>
          <w:tcPr>
            <w:tcW w:w="742"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3"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1513"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left"/>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2776" w:type="dxa"/>
            <w:tcBorders>
              <w:top w:val="nil"/>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水马警示桩</w:t>
            </w:r>
          </w:p>
        </w:tc>
        <w:tc>
          <w:tcPr>
            <w:tcW w:w="742" w:type="dxa"/>
            <w:tcBorders>
              <w:top w:val="nil"/>
              <w:left w:val="nil"/>
              <w:bottom w:val="single" w:color="auto" w:sz="4" w:space="0"/>
              <w:right w:val="single" w:color="auto" w:sz="4" w:space="0"/>
            </w:tcBorders>
            <w:noWrap w:val="0"/>
            <w:vAlign w:val="center"/>
          </w:tcPr>
          <w:p>
            <w:pPr>
              <w:widowControl/>
              <w:spacing w:line="240" w:lineRule="auto"/>
              <w:ind w:firstLine="149" w:firstLineChars="83"/>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742" w:type="dxa"/>
            <w:tcBorders>
              <w:top w:val="nil"/>
              <w:left w:val="nil"/>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p>
        </w:tc>
        <w:tc>
          <w:tcPr>
            <w:tcW w:w="743" w:type="dxa"/>
            <w:tcBorders>
              <w:top w:val="nil"/>
              <w:left w:val="nil"/>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p>
        </w:tc>
        <w:tc>
          <w:tcPr>
            <w:tcW w:w="1513"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left"/>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2776" w:type="dxa"/>
            <w:tcBorders>
              <w:top w:val="nil"/>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消防设施</w:t>
            </w:r>
          </w:p>
        </w:tc>
        <w:tc>
          <w:tcPr>
            <w:tcW w:w="742" w:type="dxa"/>
            <w:tcBorders>
              <w:top w:val="nil"/>
              <w:left w:val="nil"/>
              <w:bottom w:val="single" w:color="auto" w:sz="4" w:space="0"/>
              <w:right w:val="single" w:color="auto" w:sz="4" w:space="0"/>
            </w:tcBorders>
            <w:noWrap w:val="0"/>
            <w:vAlign w:val="center"/>
          </w:tcPr>
          <w:p>
            <w:pPr>
              <w:widowControl/>
              <w:spacing w:line="240" w:lineRule="auto"/>
              <w:ind w:firstLine="149" w:firstLineChars="83"/>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742" w:type="dxa"/>
            <w:tcBorders>
              <w:top w:val="nil"/>
              <w:left w:val="nil"/>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p>
        </w:tc>
        <w:tc>
          <w:tcPr>
            <w:tcW w:w="743" w:type="dxa"/>
            <w:tcBorders>
              <w:top w:val="nil"/>
              <w:left w:val="nil"/>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p>
        </w:tc>
        <w:tc>
          <w:tcPr>
            <w:tcW w:w="1513"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left"/>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27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地面小垃圾的排扫</w:t>
            </w:r>
          </w:p>
        </w:tc>
        <w:tc>
          <w:tcPr>
            <w:tcW w:w="742" w:type="dxa"/>
            <w:tcBorders>
              <w:top w:val="single" w:color="auto" w:sz="4" w:space="0"/>
              <w:left w:val="nil"/>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p>
        </w:tc>
        <w:tc>
          <w:tcPr>
            <w:tcW w:w="742"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742" w:type="dxa"/>
            <w:tcBorders>
              <w:top w:val="single" w:color="auto" w:sz="4" w:space="0"/>
              <w:left w:val="nil"/>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742"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single" w:color="auto" w:sz="4" w:space="0"/>
              <w:left w:val="nil"/>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743" w:type="dxa"/>
            <w:tcBorders>
              <w:top w:val="single" w:color="auto" w:sz="4" w:space="0"/>
              <w:left w:val="nil"/>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p>
        </w:tc>
        <w:tc>
          <w:tcPr>
            <w:tcW w:w="1513" w:type="dxa"/>
            <w:tcBorders>
              <w:top w:val="single" w:color="auto" w:sz="4" w:space="0"/>
              <w:left w:val="nil"/>
              <w:bottom w:val="single" w:color="auto" w:sz="4" w:space="0"/>
              <w:right w:val="single" w:color="auto" w:sz="4" w:space="0"/>
            </w:tcBorders>
            <w:noWrap w:val="0"/>
            <w:vAlign w:val="center"/>
          </w:tcPr>
          <w:p>
            <w:pPr>
              <w:widowControl/>
              <w:spacing w:line="240" w:lineRule="auto"/>
              <w:ind w:firstLine="149" w:firstLineChars="83"/>
              <w:jc w:val="left"/>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2776" w:type="dxa"/>
            <w:tcBorders>
              <w:top w:val="nil"/>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台账记录</w:t>
            </w:r>
          </w:p>
        </w:tc>
        <w:tc>
          <w:tcPr>
            <w:tcW w:w="742" w:type="dxa"/>
            <w:tcBorders>
              <w:top w:val="nil"/>
              <w:left w:val="nil"/>
              <w:bottom w:val="single" w:color="auto" w:sz="4" w:space="0"/>
              <w:right w:val="single" w:color="auto" w:sz="4" w:space="0"/>
            </w:tcBorders>
            <w:noWrap w:val="0"/>
            <w:vAlign w:val="center"/>
          </w:tcPr>
          <w:p>
            <w:pPr>
              <w:widowControl/>
              <w:spacing w:line="240" w:lineRule="auto"/>
              <w:ind w:firstLine="149" w:firstLineChars="83"/>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742" w:type="dxa"/>
            <w:tcBorders>
              <w:top w:val="nil"/>
              <w:left w:val="nil"/>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743" w:type="dxa"/>
            <w:tcBorders>
              <w:top w:val="nil"/>
              <w:left w:val="nil"/>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p>
        </w:tc>
        <w:tc>
          <w:tcPr>
            <w:tcW w:w="1513"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left"/>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27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标示宣传牌、雕塑</w:t>
            </w:r>
          </w:p>
        </w:tc>
        <w:tc>
          <w:tcPr>
            <w:tcW w:w="7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149" w:firstLineChars="83"/>
              <w:rPr>
                <w:rFonts w:hint="eastAsia" w:ascii="宋体" w:hAnsi="宋体" w:eastAsia="宋体" w:cs="宋体"/>
                <w:color w:val="auto"/>
                <w:kern w:val="0"/>
                <w:sz w:val="18"/>
                <w:szCs w:val="18"/>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48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7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7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7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74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149" w:firstLineChars="83"/>
              <w:jc w:val="left"/>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27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步行广场</w:t>
            </w:r>
          </w:p>
        </w:tc>
        <w:tc>
          <w:tcPr>
            <w:tcW w:w="7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149" w:firstLineChars="83"/>
              <w:rPr>
                <w:rFonts w:hint="eastAsia" w:ascii="宋体" w:hAnsi="宋体" w:eastAsia="宋体" w:cs="宋体"/>
                <w:color w:val="auto"/>
                <w:kern w:val="0"/>
                <w:sz w:val="18"/>
                <w:szCs w:val="18"/>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480"/>
              <w:rPr>
                <w:rFonts w:hint="eastAsia" w:ascii="宋体" w:hAnsi="宋体" w:eastAsia="宋体" w:cs="宋体"/>
                <w:color w:val="auto"/>
                <w:kern w:val="0"/>
                <w:sz w:val="18"/>
                <w:szCs w:val="18"/>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7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p>
        </w:tc>
        <w:tc>
          <w:tcPr>
            <w:tcW w:w="74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使用洗地机清洗</w:t>
            </w:r>
          </w:p>
        </w:tc>
      </w:tr>
    </w:tbl>
    <w:p>
      <w:pPr>
        <w:spacing w:line="240" w:lineRule="auto"/>
        <w:ind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三、大厅保洁：包括办公室、会议室等</w:t>
      </w:r>
    </w:p>
    <w:p>
      <w:pPr>
        <w:spacing w:line="24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1、工作内容：</w:t>
      </w:r>
    </w:p>
    <w:p>
      <w:pPr>
        <w:spacing w:line="24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厅（商场）地面清扫、除尘、去污渍、湿拖，收集垃圾去指定地点并更换垃圾袋，清洁垃圾桶内外；大理石立柱（2米以下）、墙面、玻璃门清洁、去尘，玻璃幕墙内外（2米以下），门厅设施，沙发、桌椅、防滑地毯清洁吸尘，清洁除尘消防箱及灭火器，去除蜘蛛网，做好台账记录。办公区域：清扫拖地，收集垃圾，更换垃圾袋，湿擦房门及清洁玻璃，家具及固定设备除尘，湿擦，去除蜘蛛网。会议室：门、窗台、窗框，扶手。墙面、地脚线、护墙板。桌椅擦拭。室内绿化、告示牌、指示牌保洁。</w:t>
      </w:r>
    </w:p>
    <w:p>
      <w:pPr>
        <w:spacing w:line="24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2、工作频率：</w:t>
      </w:r>
    </w:p>
    <w:tbl>
      <w:tblPr>
        <w:tblStyle w:val="24"/>
        <w:tblW w:w="8981" w:type="dxa"/>
        <w:jc w:val="center"/>
        <w:tblLayout w:type="fixed"/>
        <w:tblCellMar>
          <w:top w:w="0" w:type="dxa"/>
          <w:left w:w="108" w:type="dxa"/>
          <w:bottom w:w="0" w:type="dxa"/>
          <w:right w:w="108" w:type="dxa"/>
        </w:tblCellMar>
      </w:tblPr>
      <w:tblGrid>
        <w:gridCol w:w="2180"/>
        <w:gridCol w:w="818"/>
        <w:gridCol w:w="818"/>
        <w:gridCol w:w="818"/>
        <w:gridCol w:w="818"/>
        <w:gridCol w:w="818"/>
        <w:gridCol w:w="822"/>
        <w:gridCol w:w="1889"/>
      </w:tblGrid>
      <w:tr>
        <w:tblPrEx>
          <w:tblCellMar>
            <w:top w:w="0" w:type="dxa"/>
            <w:left w:w="108" w:type="dxa"/>
            <w:bottom w:w="0" w:type="dxa"/>
            <w:right w:w="108" w:type="dxa"/>
          </w:tblCellMar>
        </w:tblPrEx>
        <w:trPr>
          <w:trHeight w:val="23" w:hRule="atLeast"/>
          <w:jc w:val="center"/>
        </w:trPr>
        <w:tc>
          <w:tcPr>
            <w:tcW w:w="2180"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p>
        </w:tc>
        <w:tc>
          <w:tcPr>
            <w:tcW w:w="4912" w:type="dxa"/>
            <w:gridSpan w:val="6"/>
            <w:tcBorders>
              <w:top w:val="single" w:color="auto" w:sz="4" w:space="0"/>
              <w:left w:val="nil"/>
              <w:bottom w:val="single" w:color="auto" w:sz="4" w:space="0"/>
              <w:right w:val="single" w:color="000000"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频次</w:t>
            </w:r>
          </w:p>
        </w:tc>
        <w:tc>
          <w:tcPr>
            <w:tcW w:w="1889"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备注</w:t>
            </w:r>
          </w:p>
        </w:tc>
      </w:tr>
      <w:tr>
        <w:tblPrEx>
          <w:tblCellMar>
            <w:top w:w="0" w:type="dxa"/>
            <w:left w:w="108" w:type="dxa"/>
            <w:bottom w:w="0" w:type="dxa"/>
            <w:right w:w="108" w:type="dxa"/>
          </w:tblCellMar>
        </w:tblPrEx>
        <w:trPr>
          <w:trHeight w:val="23" w:hRule="atLeast"/>
          <w:jc w:val="center"/>
        </w:trPr>
        <w:tc>
          <w:tcPr>
            <w:tcW w:w="2180"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spacing w:line="240" w:lineRule="auto"/>
              <w:ind w:firstLine="480"/>
              <w:jc w:val="left"/>
              <w:rPr>
                <w:rFonts w:hint="eastAsia" w:ascii="宋体" w:hAnsi="宋体" w:eastAsia="宋体" w:cs="宋体"/>
                <w:color w:val="auto"/>
                <w:kern w:val="0"/>
                <w:sz w:val="18"/>
                <w:szCs w:val="18"/>
                <w:highlight w:val="none"/>
              </w:rPr>
            </w:pPr>
          </w:p>
        </w:tc>
        <w:tc>
          <w:tcPr>
            <w:tcW w:w="818" w:type="dxa"/>
            <w:tcBorders>
              <w:top w:val="nil"/>
              <w:left w:val="nil"/>
              <w:bottom w:val="nil"/>
              <w:right w:val="nil"/>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循环</w:t>
            </w:r>
          </w:p>
        </w:tc>
        <w:tc>
          <w:tcPr>
            <w:tcW w:w="818" w:type="dxa"/>
            <w:tcBorders>
              <w:top w:val="nil"/>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日</w:t>
            </w:r>
          </w:p>
        </w:tc>
        <w:tc>
          <w:tcPr>
            <w:tcW w:w="81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周</w:t>
            </w:r>
          </w:p>
        </w:tc>
        <w:tc>
          <w:tcPr>
            <w:tcW w:w="81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月</w:t>
            </w:r>
          </w:p>
        </w:tc>
        <w:tc>
          <w:tcPr>
            <w:tcW w:w="81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季</w:t>
            </w:r>
          </w:p>
        </w:tc>
        <w:tc>
          <w:tcPr>
            <w:tcW w:w="82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年</w:t>
            </w:r>
          </w:p>
        </w:tc>
        <w:tc>
          <w:tcPr>
            <w:tcW w:w="1889" w:type="dxa"/>
            <w:tcBorders>
              <w:top w:val="nil"/>
              <w:left w:val="nil"/>
              <w:bottom w:val="single" w:color="auto" w:sz="4" w:space="0"/>
              <w:right w:val="single" w:color="auto" w:sz="4" w:space="0"/>
            </w:tcBorders>
            <w:noWrap w:val="0"/>
            <w:vAlign w:val="center"/>
          </w:tcPr>
          <w:p>
            <w:pPr>
              <w:widowControl/>
              <w:spacing w:line="240" w:lineRule="auto"/>
              <w:ind w:firstLine="48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blPrEx>
          <w:tblCellMar>
            <w:top w:w="0" w:type="dxa"/>
            <w:left w:w="108" w:type="dxa"/>
            <w:bottom w:w="0" w:type="dxa"/>
            <w:right w:w="108" w:type="dxa"/>
          </w:tblCellMar>
        </w:tblPrEx>
        <w:trPr>
          <w:trHeight w:val="23" w:hRule="atLeast"/>
          <w:jc w:val="center"/>
        </w:trPr>
        <w:tc>
          <w:tcPr>
            <w:tcW w:w="2180"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大厅（商场）、办公室、会议室</w:t>
            </w:r>
          </w:p>
        </w:tc>
        <w:tc>
          <w:tcPr>
            <w:tcW w:w="81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149" w:firstLineChars="83"/>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22"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1889"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blPrEx>
          <w:tblCellMar>
            <w:top w:w="0" w:type="dxa"/>
            <w:left w:w="108" w:type="dxa"/>
            <w:bottom w:w="0" w:type="dxa"/>
            <w:right w:w="108" w:type="dxa"/>
          </w:tblCellMar>
        </w:tblPrEx>
        <w:trPr>
          <w:trHeight w:val="23" w:hRule="atLeast"/>
          <w:jc w:val="center"/>
        </w:trPr>
        <w:tc>
          <w:tcPr>
            <w:tcW w:w="2180"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电话机</w:t>
            </w:r>
          </w:p>
        </w:tc>
        <w:tc>
          <w:tcPr>
            <w:tcW w:w="818"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22"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1889"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2180"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开水房</w:t>
            </w:r>
          </w:p>
        </w:tc>
        <w:tc>
          <w:tcPr>
            <w:tcW w:w="81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22"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1889" w:type="dxa"/>
            <w:tcBorders>
              <w:top w:val="nil"/>
              <w:left w:val="nil"/>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周保养1次</w:t>
            </w:r>
          </w:p>
        </w:tc>
      </w:tr>
      <w:tr>
        <w:tblPrEx>
          <w:tblCellMar>
            <w:top w:w="0" w:type="dxa"/>
            <w:left w:w="108" w:type="dxa"/>
            <w:bottom w:w="0" w:type="dxa"/>
            <w:right w:w="108" w:type="dxa"/>
          </w:tblCellMar>
        </w:tblPrEx>
        <w:trPr>
          <w:trHeight w:val="23" w:hRule="atLeast"/>
          <w:jc w:val="center"/>
        </w:trPr>
        <w:tc>
          <w:tcPr>
            <w:tcW w:w="2180"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空调外机</w:t>
            </w:r>
          </w:p>
        </w:tc>
        <w:tc>
          <w:tcPr>
            <w:tcW w:w="81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22"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1889"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blPrEx>
          <w:tblCellMar>
            <w:top w:w="0" w:type="dxa"/>
            <w:left w:w="108" w:type="dxa"/>
            <w:bottom w:w="0" w:type="dxa"/>
            <w:right w:w="108" w:type="dxa"/>
          </w:tblCellMar>
        </w:tblPrEx>
        <w:trPr>
          <w:trHeight w:val="23" w:hRule="atLeast"/>
          <w:jc w:val="center"/>
        </w:trPr>
        <w:tc>
          <w:tcPr>
            <w:tcW w:w="2180"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大理石花岗石墙面柱面（2米以下）</w:t>
            </w:r>
          </w:p>
        </w:tc>
        <w:tc>
          <w:tcPr>
            <w:tcW w:w="81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22"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1889"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blPrEx>
          <w:tblCellMar>
            <w:top w:w="0" w:type="dxa"/>
            <w:left w:w="108" w:type="dxa"/>
            <w:bottom w:w="0" w:type="dxa"/>
            <w:right w:w="108" w:type="dxa"/>
          </w:tblCellMar>
        </w:tblPrEx>
        <w:trPr>
          <w:trHeight w:val="23" w:hRule="atLeast"/>
          <w:jc w:val="center"/>
        </w:trPr>
        <w:tc>
          <w:tcPr>
            <w:tcW w:w="2180"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玻璃墙面金属框架</w:t>
            </w: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nil"/>
              <w:right w:val="nil"/>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single" w:color="auto" w:sz="4" w:space="0"/>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22"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1889"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blPrEx>
          <w:tblCellMar>
            <w:top w:w="0" w:type="dxa"/>
            <w:left w:w="108" w:type="dxa"/>
            <w:bottom w:w="0" w:type="dxa"/>
            <w:right w:w="108" w:type="dxa"/>
          </w:tblCellMar>
        </w:tblPrEx>
        <w:trPr>
          <w:trHeight w:val="23" w:hRule="atLeast"/>
          <w:jc w:val="center"/>
        </w:trPr>
        <w:tc>
          <w:tcPr>
            <w:tcW w:w="2180"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不锈钢面</w:t>
            </w:r>
          </w:p>
        </w:tc>
        <w:tc>
          <w:tcPr>
            <w:tcW w:w="81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22"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1889" w:type="dxa"/>
            <w:tcBorders>
              <w:top w:val="nil"/>
              <w:left w:val="nil"/>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周保养1次</w:t>
            </w:r>
          </w:p>
        </w:tc>
      </w:tr>
      <w:tr>
        <w:tblPrEx>
          <w:tblCellMar>
            <w:top w:w="0" w:type="dxa"/>
            <w:left w:w="108" w:type="dxa"/>
            <w:bottom w:w="0" w:type="dxa"/>
            <w:right w:w="108" w:type="dxa"/>
          </w:tblCellMar>
        </w:tblPrEx>
        <w:trPr>
          <w:trHeight w:val="23" w:hRule="atLeast"/>
          <w:jc w:val="center"/>
        </w:trPr>
        <w:tc>
          <w:tcPr>
            <w:tcW w:w="2180"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地面清洗抛光</w:t>
            </w: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22"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1889"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blPrEx>
          <w:tblCellMar>
            <w:top w:w="0" w:type="dxa"/>
            <w:left w:w="108" w:type="dxa"/>
            <w:bottom w:w="0" w:type="dxa"/>
            <w:right w:w="108" w:type="dxa"/>
          </w:tblCellMar>
        </w:tblPrEx>
        <w:trPr>
          <w:trHeight w:val="23" w:hRule="atLeast"/>
          <w:jc w:val="center"/>
        </w:trPr>
        <w:tc>
          <w:tcPr>
            <w:tcW w:w="2180"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地毯</w:t>
            </w:r>
          </w:p>
        </w:tc>
        <w:tc>
          <w:tcPr>
            <w:tcW w:w="81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22"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1889"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blPrEx>
          <w:tblCellMar>
            <w:top w:w="0" w:type="dxa"/>
            <w:left w:w="108" w:type="dxa"/>
            <w:bottom w:w="0" w:type="dxa"/>
            <w:right w:w="108" w:type="dxa"/>
          </w:tblCellMar>
        </w:tblPrEx>
        <w:trPr>
          <w:trHeight w:val="23" w:hRule="atLeast"/>
          <w:jc w:val="center"/>
        </w:trPr>
        <w:tc>
          <w:tcPr>
            <w:tcW w:w="2180"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通风口灯具饰物</w:t>
            </w: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22"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1889"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blPrEx>
          <w:tblCellMar>
            <w:top w:w="0" w:type="dxa"/>
            <w:left w:w="108" w:type="dxa"/>
            <w:bottom w:w="0" w:type="dxa"/>
            <w:right w:w="108" w:type="dxa"/>
          </w:tblCellMar>
        </w:tblPrEx>
        <w:trPr>
          <w:trHeight w:val="23" w:hRule="atLeast"/>
          <w:jc w:val="center"/>
        </w:trPr>
        <w:tc>
          <w:tcPr>
            <w:tcW w:w="2180"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绿化、指示牌等</w:t>
            </w: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22"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1889"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blPrEx>
          <w:tblCellMar>
            <w:top w:w="0" w:type="dxa"/>
            <w:left w:w="108" w:type="dxa"/>
            <w:bottom w:w="0" w:type="dxa"/>
            <w:right w:w="108" w:type="dxa"/>
          </w:tblCellMar>
        </w:tblPrEx>
        <w:trPr>
          <w:trHeight w:val="23" w:hRule="atLeast"/>
          <w:jc w:val="center"/>
        </w:trPr>
        <w:tc>
          <w:tcPr>
            <w:tcW w:w="2180"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垃圾收集、清扫地面</w:t>
            </w:r>
          </w:p>
        </w:tc>
        <w:tc>
          <w:tcPr>
            <w:tcW w:w="81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22"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1889"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2180"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立柱、墙面、踢脚线、护墙板</w:t>
            </w: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22"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1889"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bl>
    <w:p>
      <w:pPr>
        <w:bidi w:val="0"/>
        <w:jc w:val="center"/>
        <w:rPr>
          <w:rFonts w:hint="eastAsia" w:ascii="宋体" w:hAnsi="宋体" w:eastAsia="宋体" w:cs="宋体"/>
          <w:b/>
          <w:bCs/>
          <w:highlight w:val="none"/>
          <w:lang w:val="zh-CN"/>
        </w:rPr>
      </w:pPr>
      <w:r>
        <w:rPr>
          <w:rFonts w:hint="eastAsia" w:ascii="宋体" w:hAnsi="宋体" w:eastAsia="宋体" w:cs="宋体"/>
          <w:b/>
          <w:bCs/>
          <w:highlight w:val="none"/>
          <w:lang w:val="zh-CN"/>
        </w:rPr>
        <w:t>服务区设施设备维护量化标准</w:t>
      </w:r>
    </w:p>
    <w:p>
      <w:pPr>
        <w:bidi w:val="0"/>
        <w:jc w:val="center"/>
        <w:rPr>
          <w:rFonts w:hint="eastAsia" w:ascii="宋体" w:hAnsi="宋体" w:eastAsia="宋体" w:cs="宋体"/>
          <w:b/>
          <w:bCs/>
          <w:color w:val="auto"/>
          <w:szCs w:val="21"/>
          <w:highlight w:val="none"/>
        </w:rPr>
      </w:pPr>
      <w:r>
        <w:rPr>
          <w:rFonts w:hint="eastAsia" w:ascii="宋体" w:hAnsi="宋体" w:eastAsia="宋体" w:cs="宋体"/>
          <w:b/>
          <w:bCs/>
          <w:highlight w:val="none"/>
        </w:rPr>
        <w:t>照明设施定期维护要</w:t>
      </w:r>
      <w:r>
        <w:rPr>
          <w:rFonts w:hint="eastAsia" w:ascii="宋体" w:hAnsi="宋体" w:eastAsia="宋体" w:cs="宋体"/>
          <w:b/>
          <w:bCs/>
          <w:color w:val="auto"/>
          <w:szCs w:val="21"/>
          <w:highlight w:val="none"/>
        </w:rPr>
        <w:t>求</w:t>
      </w:r>
    </w:p>
    <w:tbl>
      <w:tblPr>
        <w:tblStyle w:val="24"/>
        <w:tblW w:w="85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939"/>
        <w:gridCol w:w="1939"/>
        <w:gridCol w:w="1152"/>
        <w:gridCol w:w="29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tcBorders>
              <w:top w:val="single" w:color="auto" w:sz="8" w:space="0"/>
              <w:bottom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序号</w:t>
            </w:r>
          </w:p>
        </w:tc>
        <w:tc>
          <w:tcPr>
            <w:tcW w:w="3878" w:type="dxa"/>
            <w:gridSpan w:val="2"/>
            <w:tcBorders>
              <w:top w:val="single" w:color="auto" w:sz="8" w:space="0"/>
              <w:bottom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项目</w:t>
            </w:r>
          </w:p>
        </w:tc>
        <w:tc>
          <w:tcPr>
            <w:tcW w:w="1152" w:type="dxa"/>
            <w:tcBorders>
              <w:top w:val="single" w:color="auto" w:sz="8" w:space="0"/>
              <w:bottom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周期</w:t>
            </w:r>
          </w:p>
        </w:tc>
        <w:tc>
          <w:tcPr>
            <w:tcW w:w="2900" w:type="dxa"/>
            <w:tcBorders>
              <w:top w:val="single" w:color="auto" w:sz="8" w:space="0"/>
              <w:bottom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具体操作内容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Merge w:val="restart"/>
            <w:tcBorders>
              <w:top w:val="single" w:color="auto" w:sz="8" w:space="0"/>
            </w:tcBorders>
            <w:noWrap w:val="0"/>
            <w:vAlign w:val="center"/>
          </w:tcPr>
          <w:p>
            <w:pPr>
              <w:pStyle w:val="67"/>
              <w:spacing w:line="240" w:lineRule="auto"/>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1939" w:type="dxa"/>
            <w:vMerge w:val="restart"/>
            <w:tcBorders>
              <w:top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灯具与光源</w:t>
            </w:r>
          </w:p>
          <w:p>
            <w:pPr>
              <w:pStyle w:val="67"/>
              <w:spacing w:line="240" w:lineRule="auto"/>
              <w:ind w:firstLine="0" w:firstLineChars="0"/>
              <w:jc w:val="center"/>
              <w:rPr>
                <w:rFonts w:hint="eastAsia" w:ascii="宋体" w:hAnsi="宋体" w:eastAsia="宋体" w:cs="宋体"/>
                <w:color w:val="auto"/>
                <w:kern w:val="2"/>
                <w:sz w:val="18"/>
                <w:szCs w:val="18"/>
                <w:highlight w:val="none"/>
              </w:rPr>
            </w:pPr>
            <w:r>
              <w:rPr>
                <w:rFonts w:hint="eastAsia" w:ascii="宋体" w:hAnsi="宋体" w:eastAsia="宋体" w:cs="宋体"/>
                <w:color w:val="auto"/>
                <w:kern w:val="2"/>
                <w:sz w:val="18"/>
                <w:szCs w:val="18"/>
                <w:highlight w:val="none"/>
              </w:rPr>
              <w:t>应急照明设施</w:t>
            </w:r>
          </w:p>
        </w:tc>
        <w:tc>
          <w:tcPr>
            <w:tcW w:w="1939" w:type="dxa"/>
            <w:tcBorders>
              <w:top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巡视检查</w:t>
            </w:r>
          </w:p>
        </w:tc>
        <w:tc>
          <w:tcPr>
            <w:tcW w:w="1152" w:type="dxa"/>
            <w:tcBorders>
              <w:top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2900" w:type="dxa"/>
            <w:tcBorders>
              <w:top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观察、发现损坏立即更换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3" w:hRule="atLeast"/>
          <w:jc w:val="center"/>
        </w:trPr>
        <w:tc>
          <w:tcPr>
            <w:tcW w:w="598" w:type="dxa"/>
            <w:vMerge w:val="continue"/>
            <w:noWrap w:val="0"/>
            <w:vAlign w:val="center"/>
          </w:tcPr>
          <w:p>
            <w:pPr>
              <w:pStyle w:val="67"/>
              <w:spacing w:line="240" w:lineRule="auto"/>
              <w:ind w:firstLine="0" w:firstLineChars="0"/>
              <w:jc w:val="center"/>
              <w:rPr>
                <w:rFonts w:hint="eastAsia" w:ascii="宋体" w:hAnsi="宋体" w:eastAsia="宋体" w:cs="宋体"/>
                <w:color w:val="auto"/>
                <w:sz w:val="18"/>
                <w:szCs w:val="18"/>
                <w:highlight w:val="none"/>
              </w:rPr>
            </w:pPr>
          </w:p>
        </w:tc>
        <w:tc>
          <w:tcPr>
            <w:tcW w:w="1939" w:type="dxa"/>
            <w:vMerge w:val="continue"/>
            <w:noWrap w:val="0"/>
            <w:vAlign w:val="center"/>
          </w:tcPr>
          <w:p>
            <w:pPr>
              <w:spacing w:line="240" w:lineRule="auto"/>
              <w:jc w:val="center"/>
              <w:rPr>
                <w:rFonts w:hint="eastAsia" w:ascii="宋体" w:hAnsi="宋体" w:eastAsia="宋体" w:cs="宋体"/>
                <w:color w:val="auto"/>
                <w:sz w:val="18"/>
                <w:szCs w:val="18"/>
                <w:highlight w:val="none"/>
              </w:rPr>
            </w:pPr>
          </w:p>
        </w:tc>
        <w:tc>
          <w:tcPr>
            <w:tcW w:w="1939"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清扫与检修</w:t>
            </w:r>
          </w:p>
        </w:tc>
        <w:tc>
          <w:tcPr>
            <w:tcW w:w="1152"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半年</w:t>
            </w:r>
          </w:p>
        </w:tc>
        <w:tc>
          <w:tcPr>
            <w:tcW w:w="2900"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保洁与维修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Merge w:val="restart"/>
            <w:noWrap w:val="0"/>
            <w:vAlign w:val="center"/>
          </w:tcPr>
          <w:p>
            <w:pPr>
              <w:pStyle w:val="67"/>
              <w:spacing w:line="240" w:lineRule="auto"/>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1939" w:type="dxa"/>
            <w:vMerge w:val="restart"/>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高杆灯</w:t>
            </w:r>
          </w:p>
        </w:tc>
        <w:tc>
          <w:tcPr>
            <w:tcW w:w="1939"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巡视检查</w:t>
            </w:r>
          </w:p>
        </w:tc>
        <w:tc>
          <w:tcPr>
            <w:tcW w:w="1152"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2900"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观察更换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Merge w:val="continue"/>
            <w:noWrap w:val="0"/>
            <w:vAlign w:val="center"/>
          </w:tcPr>
          <w:p>
            <w:pPr>
              <w:pStyle w:val="67"/>
              <w:spacing w:line="240" w:lineRule="auto"/>
              <w:ind w:firstLine="0" w:firstLineChars="0"/>
              <w:jc w:val="center"/>
              <w:rPr>
                <w:rFonts w:hint="eastAsia" w:ascii="宋体" w:hAnsi="宋体" w:eastAsia="宋体" w:cs="宋体"/>
                <w:color w:val="auto"/>
                <w:sz w:val="18"/>
                <w:szCs w:val="18"/>
                <w:highlight w:val="none"/>
              </w:rPr>
            </w:pPr>
          </w:p>
        </w:tc>
        <w:tc>
          <w:tcPr>
            <w:tcW w:w="1939" w:type="dxa"/>
            <w:vMerge w:val="continue"/>
            <w:noWrap w:val="0"/>
            <w:vAlign w:val="center"/>
          </w:tcPr>
          <w:p>
            <w:pPr>
              <w:spacing w:line="240" w:lineRule="auto"/>
              <w:jc w:val="center"/>
              <w:rPr>
                <w:rFonts w:hint="eastAsia" w:ascii="宋体" w:hAnsi="宋体" w:eastAsia="宋体" w:cs="宋体"/>
                <w:color w:val="auto"/>
                <w:sz w:val="18"/>
                <w:szCs w:val="18"/>
                <w:highlight w:val="none"/>
              </w:rPr>
            </w:pPr>
          </w:p>
        </w:tc>
        <w:tc>
          <w:tcPr>
            <w:tcW w:w="1939"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灯架防腐</w:t>
            </w:r>
          </w:p>
        </w:tc>
        <w:tc>
          <w:tcPr>
            <w:tcW w:w="1152"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3月</w:t>
            </w:r>
          </w:p>
        </w:tc>
        <w:tc>
          <w:tcPr>
            <w:tcW w:w="2900"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损坏时更换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Merge w:val="continue"/>
            <w:noWrap w:val="0"/>
            <w:vAlign w:val="center"/>
          </w:tcPr>
          <w:p>
            <w:pPr>
              <w:pStyle w:val="67"/>
              <w:spacing w:line="240" w:lineRule="auto"/>
              <w:ind w:firstLine="0" w:firstLineChars="0"/>
              <w:jc w:val="center"/>
              <w:rPr>
                <w:rFonts w:hint="eastAsia" w:ascii="宋体" w:hAnsi="宋体" w:eastAsia="宋体" w:cs="宋体"/>
                <w:color w:val="auto"/>
                <w:sz w:val="18"/>
                <w:szCs w:val="18"/>
                <w:highlight w:val="none"/>
              </w:rPr>
            </w:pPr>
          </w:p>
        </w:tc>
        <w:tc>
          <w:tcPr>
            <w:tcW w:w="1939" w:type="dxa"/>
            <w:vMerge w:val="continue"/>
            <w:noWrap w:val="0"/>
            <w:vAlign w:val="center"/>
          </w:tcPr>
          <w:p>
            <w:pPr>
              <w:spacing w:line="240" w:lineRule="auto"/>
              <w:jc w:val="center"/>
              <w:rPr>
                <w:rFonts w:hint="eastAsia" w:ascii="宋体" w:hAnsi="宋体" w:eastAsia="宋体" w:cs="宋体"/>
                <w:color w:val="auto"/>
                <w:sz w:val="18"/>
                <w:szCs w:val="18"/>
                <w:highlight w:val="none"/>
              </w:rPr>
            </w:pPr>
          </w:p>
        </w:tc>
        <w:tc>
          <w:tcPr>
            <w:tcW w:w="1939"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清扫与检修</w:t>
            </w:r>
          </w:p>
        </w:tc>
        <w:tc>
          <w:tcPr>
            <w:tcW w:w="1152"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1年</w:t>
            </w:r>
          </w:p>
        </w:tc>
        <w:tc>
          <w:tcPr>
            <w:tcW w:w="2900"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保洁与维修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Merge w:val="continue"/>
            <w:noWrap w:val="0"/>
            <w:vAlign w:val="center"/>
          </w:tcPr>
          <w:p>
            <w:pPr>
              <w:pStyle w:val="67"/>
              <w:spacing w:line="240" w:lineRule="auto"/>
              <w:ind w:firstLine="0" w:firstLineChars="0"/>
              <w:jc w:val="center"/>
              <w:rPr>
                <w:rFonts w:hint="eastAsia" w:ascii="宋体" w:hAnsi="宋体" w:eastAsia="宋体" w:cs="宋体"/>
                <w:color w:val="auto"/>
                <w:sz w:val="18"/>
                <w:szCs w:val="18"/>
                <w:highlight w:val="none"/>
              </w:rPr>
            </w:pPr>
          </w:p>
        </w:tc>
        <w:tc>
          <w:tcPr>
            <w:tcW w:w="1939" w:type="dxa"/>
            <w:vMerge w:val="continue"/>
            <w:noWrap w:val="0"/>
            <w:vAlign w:val="center"/>
          </w:tcPr>
          <w:p>
            <w:pPr>
              <w:spacing w:line="240" w:lineRule="auto"/>
              <w:jc w:val="center"/>
              <w:rPr>
                <w:rFonts w:hint="eastAsia" w:ascii="宋体" w:hAnsi="宋体" w:eastAsia="宋体" w:cs="宋体"/>
                <w:color w:val="auto"/>
                <w:sz w:val="18"/>
                <w:szCs w:val="18"/>
                <w:highlight w:val="none"/>
              </w:rPr>
            </w:pPr>
          </w:p>
        </w:tc>
        <w:tc>
          <w:tcPr>
            <w:tcW w:w="1939"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升降器检修</w:t>
            </w:r>
          </w:p>
        </w:tc>
        <w:tc>
          <w:tcPr>
            <w:tcW w:w="1152"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半年</w:t>
            </w:r>
          </w:p>
        </w:tc>
        <w:tc>
          <w:tcPr>
            <w:tcW w:w="2900"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检查与维修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3" w:hRule="atLeast"/>
          <w:jc w:val="center"/>
        </w:trPr>
        <w:tc>
          <w:tcPr>
            <w:tcW w:w="598" w:type="dxa"/>
            <w:vMerge w:val="restart"/>
            <w:noWrap w:val="0"/>
            <w:vAlign w:val="center"/>
          </w:tcPr>
          <w:p>
            <w:pPr>
              <w:pStyle w:val="67"/>
              <w:spacing w:line="240" w:lineRule="auto"/>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1939" w:type="dxa"/>
            <w:vMerge w:val="restart"/>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照明配电箱</w:t>
            </w:r>
          </w:p>
        </w:tc>
        <w:tc>
          <w:tcPr>
            <w:tcW w:w="1939"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巡视检查</w:t>
            </w:r>
          </w:p>
        </w:tc>
        <w:tc>
          <w:tcPr>
            <w:tcW w:w="1152"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每月</w:t>
            </w:r>
          </w:p>
        </w:tc>
        <w:tc>
          <w:tcPr>
            <w:tcW w:w="2900"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观察、更换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Merge w:val="continue"/>
            <w:noWrap w:val="0"/>
            <w:vAlign w:val="center"/>
          </w:tcPr>
          <w:p>
            <w:pPr>
              <w:pStyle w:val="67"/>
              <w:spacing w:line="240" w:lineRule="auto"/>
              <w:ind w:firstLine="0" w:firstLineChars="0"/>
              <w:jc w:val="center"/>
              <w:rPr>
                <w:rFonts w:hint="eastAsia" w:ascii="宋体" w:hAnsi="宋体" w:eastAsia="宋体" w:cs="宋体"/>
                <w:color w:val="auto"/>
                <w:sz w:val="18"/>
                <w:szCs w:val="18"/>
                <w:highlight w:val="none"/>
              </w:rPr>
            </w:pPr>
          </w:p>
        </w:tc>
        <w:tc>
          <w:tcPr>
            <w:tcW w:w="1939" w:type="dxa"/>
            <w:vMerge w:val="continue"/>
            <w:noWrap w:val="0"/>
            <w:vAlign w:val="center"/>
          </w:tcPr>
          <w:p>
            <w:pPr>
              <w:pStyle w:val="67"/>
              <w:spacing w:line="240" w:lineRule="auto"/>
              <w:ind w:firstLine="0" w:firstLineChars="0"/>
              <w:jc w:val="center"/>
              <w:rPr>
                <w:rFonts w:hint="eastAsia" w:ascii="宋体" w:hAnsi="宋体" w:eastAsia="宋体" w:cs="宋体"/>
                <w:color w:val="auto"/>
                <w:sz w:val="18"/>
                <w:szCs w:val="18"/>
                <w:highlight w:val="none"/>
              </w:rPr>
            </w:pPr>
          </w:p>
        </w:tc>
        <w:tc>
          <w:tcPr>
            <w:tcW w:w="1939" w:type="dxa"/>
            <w:tcBorders>
              <w:bottom w:val="single" w:color="auto" w:sz="4"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清扫与检修</w:t>
            </w:r>
          </w:p>
        </w:tc>
        <w:tc>
          <w:tcPr>
            <w:tcW w:w="1152" w:type="dxa"/>
            <w:tcBorders>
              <w:bottom w:val="single" w:color="auto" w:sz="4"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半年</w:t>
            </w:r>
          </w:p>
        </w:tc>
        <w:tc>
          <w:tcPr>
            <w:tcW w:w="2900" w:type="dxa"/>
            <w:tcBorders>
              <w:bottom w:val="single" w:color="auto" w:sz="4"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更换、紧固、涂漆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Merge w:val="continue"/>
            <w:tcBorders>
              <w:bottom w:val="single" w:color="auto" w:sz="8" w:space="0"/>
            </w:tcBorders>
            <w:noWrap w:val="0"/>
            <w:vAlign w:val="center"/>
          </w:tcPr>
          <w:p>
            <w:pPr>
              <w:pStyle w:val="67"/>
              <w:spacing w:line="240" w:lineRule="auto"/>
              <w:ind w:firstLine="0" w:firstLineChars="0"/>
              <w:jc w:val="center"/>
              <w:rPr>
                <w:rFonts w:hint="eastAsia" w:ascii="宋体" w:hAnsi="宋体" w:eastAsia="宋体" w:cs="宋体"/>
                <w:color w:val="auto"/>
                <w:sz w:val="18"/>
                <w:szCs w:val="18"/>
                <w:highlight w:val="none"/>
              </w:rPr>
            </w:pPr>
          </w:p>
        </w:tc>
        <w:tc>
          <w:tcPr>
            <w:tcW w:w="1939" w:type="dxa"/>
            <w:vMerge w:val="continue"/>
            <w:tcBorders>
              <w:bottom w:val="single" w:color="auto" w:sz="8" w:space="0"/>
            </w:tcBorders>
            <w:noWrap w:val="0"/>
            <w:vAlign w:val="center"/>
          </w:tcPr>
          <w:p>
            <w:pPr>
              <w:pStyle w:val="67"/>
              <w:spacing w:line="240" w:lineRule="auto"/>
              <w:ind w:firstLine="0" w:firstLineChars="0"/>
              <w:jc w:val="center"/>
              <w:rPr>
                <w:rFonts w:hint="eastAsia" w:ascii="宋体" w:hAnsi="宋体" w:eastAsia="宋体" w:cs="宋体"/>
                <w:color w:val="auto"/>
                <w:sz w:val="18"/>
                <w:szCs w:val="18"/>
                <w:highlight w:val="none"/>
              </w:rPr>
            </w:pPr>
          </w:p>
        </w:tc>
        <w:tc>
          <w:tcPr>
            <w:tcW w:w="1939" w:type="dxa"/>
            <w:tcBorders>
              <w:top w:val="single" w:color="auto" w:sz="4" w:space="0"/>
              <w:bottom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检测光控和时控</w:t>
            </w:r>
          </w:p>
        </w:tc>
        <w:tc>
          <w:tcPr>
            <w:tcW w:w="1152" w:type="dxa"/>
            <w:tcBorders>
              <w:top w:val="single" w:color="auto" w:sz="4" w:space="0"/>
              <w:bottom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半年</w:t>
            </w:r>
          </w:p>
        </w:tc>
        <w:tc>
          <w:tcPr>
            <w:tcW w:w="2900" w:type="dxa"/>
            <w:tcBorders>
              <w:top w:val="single" w:color="auto" w:sz="4" w:space="0"/>
              <w:bottom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损坏后及时更换</w:t>
            </w:r>
          </w:p>
        </w:tc>
      </w:tr>
    </w:tbl>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pStyle w:val="66"/>
        <w:tabs>
          <w:tab w:val="clear" w:pos="360"/>
        </w:tabs>
        <w:spacing w:before="120" w:after="120" w:line="240" w:lineRule="auto"/>
        <w:ind w:left="0" w:firstLine="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高、低压配电柜定期维护要求</w:t>
      </w:r>
    </w:p>
    <w:tbl>
      <w:tblPr>
        <w:tblStyle w:val="24"/>
        <w:tblW w:w="863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84"/>
        <w:gridCol w:w="2186"/>
        <w:gridCol w:w="958"/>
        <w:gridCol w:w="47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4" w:type="dxa"/>
            <w:tcBorders>
              <w:top w:val="single" w:color="auto" w:sz="8" w:space="0"/>
              <w:bottom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序号</w:t>
            </w:r>
          </w:p>
        </w:tc>
        <w:tc>
          <w:tcPr>
            <w:tcW w:w="2186" w:type="dxa"/>
            <w:tcBorders>
              <w:top w:val="single" w:color="auto" w:sz="8" w:space="0"/>
              <w:bottom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检查保养项目</w:t>
            </w:r>
          </w:p>
        </w:tc>
        <w:tc>
          <w:tcPr>
            <w:tcW w:w="958" w:type="dxa"/>
            <w:tcBorders>
              <w:top w:val="single" w:color="auto" w:sz="8" w:space="0"/>
              <w:bottom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周期</w:t>
            </w:r>
          </w:p>
        </w:tc>
        <w:tc>
          <w:tcPr>
            <w:tcW w:w="4710" w:type="dxa"/>
            <w:tcBorders>
              <w:top w:val="single" w:color="auto" w:sz="8" w:space="0"/>
              <w:bottom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具体保养内容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4" w:type="dxa"/>
            <w:tcBorders>
              <w:top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2186" w:type="dxa"/>
            <w:tcBorders>
              <w:top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配电屏</w:t>
            </w:r>
          </w:p>
        </w:tc>
        <w:tc>
          <w:tcPr>
            <w:tcW w:w="958" w:type="dxa"/>
            <w:tcBorders>
              <w:top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4710" w:type="dxa"/>
            <w:tcBorders>
              <w:top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清洁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2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电器仪表</w:t>
            </w:r>
          </w:p>
        </w:tc>
        <w:tc>
          <w:tcPr>
            <w:tcW w:w="9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4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外表清洁，显示正常、固定可靠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2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继电器、交流接触器、断路器、闸刀开关</w:t>
            </w:r>
          </w:p>
        </w:tc>
        <w:tc>
          <w:tcPr>
            <w:tcW w:w="9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4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外表清洁，触点完好，无过热现象，无噪音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w:t>
            </w:r>
          </w:p>
        </w:tc>
        <w:tc>
          <w:tcPr>
            <w:tcW w:w="2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控制回路</w:t>
            </w:r>
          </w:p>
        </w:tc>
        <w:tc>
          <w:tcPr>
            <w:tcW w:w="9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4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压接良好、标号清晰，绝缘无变色老化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w:t>
            </w:r>
          </w:p>
        </w:tc>
        <w:tc>
          <w:tcPr>
            <w:tcW w:w="2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指示灯、按钮转换开关</w:t>
            </w:r>
          </w:p>
        </w:tc>
        <w:tc>
          <w:tcPr>
            <w:tcW w:w="9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4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外表清洁，标志清晰，牢固可靠，转动灵活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w:t>
            </w:r>
          </w:p>
        </w:tc>
        <w:tc>
          <w:tcPr>
            <w:tcW w:w="2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电容无功补偿</w:t>
            </w:r>
          </w:p>
        </w:tc>
        <w:tc>
          <w:tcPr>
            <w:tcW w:w="9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4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电容接触器良好，电容补偿三相平衡，电容器无发热膨胀，也不冰冷，接头不发热变色</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4"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7</w:t>
            </w:r>
          </w:p>
        </w:tc>
        <w:tc>
          <w:tcPr>
            <w:tcW w:w="2186"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母线排</w:t>
            </w:r>
          </w:p>
        </w:tc>
        <w:tc>
          <w:tcPr>
            <w:tcW w:w="95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年</w:t>
            </w:r>
          </w:p>
        </w:tc>
        <w:tc>
          <w:tcPr>
            <w:tcW w:w="471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压接良好，色标清晰，绝缘良好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4" w:type="dxa"/>
            <w:tcBorders>
              <w:top w:val="single" w:color="auto" w:sz="4" w:space="0"/>
              <w:bottom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8</w:t>
            </w:r>
          </w:p>
        </w:tc>
        <w:tc>
          <w:tcPr>
            <w:tcW w:w="2186" w:type="dxa"/>
            <w:tcBorders>
              <w:top w:val="single" w:color="auto" w:sz="4" w:space="0"/>
              <w:bottom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配电屏对地测试</w:t>
            </w:r>
          </w:p>
        </w:tc>
        <w:tc>
          <w:tcPr>
            <w:tcW w:w="958" w:type="dxa"/>
            <w:tcBorders>
              <w:top w:val="single" w:color="auto" w:sz="4" w:space="0"/>
              <w:bottom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年</w:t>
            </w:r>
          </w:p>
        </w:tc>
        <w:tc>
          <w:tcPr>
            <w:tcW w:w="4710" w:type="dxa"/>
            <w:tcBorders>
              <w:top w:val="single" w:color="auto" w:sz="4" w:space="0"/>
              <w:bottom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接地良好</w:t>
            </w:r>
          </w:p>
        </w:tc>
      </w:tr>
    </w:tbl>
    <w:p>
      <w:pPr>
        <w:pStyle w:val="66"/>
        <w:tabs>
          <w:tab w:val="clear" w:pos="360"/>
        </w:tabs>
        <w:spacing w:before="120" w:after="120" w:line="240" w:lineRule="auto"/>
        <w:ind w:left="0" w:firstLine="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发电机组定期维护要求</w:t>
      </w:r>
    </w:p>
    <w:tbl>
      <w:tblPr>
        <w:tblStyle w:val="24"/>
        <w:tblW w:w="873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089"/>
        <w:gridCol w:w="1140"/>
        <w:gridCol w:w="460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0" w:type="dxa"/>
            <w:tcBorders>
              <w:top w:val="single" w:color="auto" w:sz="8" w:space="0"/>
              <w:bottom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序号</w:t>
            </w:r>
          </w:p>
        </w:tc>
        <w:tc>
          <w:tcPr>
            <w:tcW w:w="2089" w:type="dxa"/>
            <w:tcBorders>
              <w:top w:val="single" w:color="auto" w:sz="8" w:space="0"/>
              <w:bottom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检查保养项目</w:t>
            </w:r>
          </w:p>
        </w:tc>
        <w:tc>
          <w:tcPr>
            <w:tcW w:w="1140" w:type="dxa"/>
            <w:tcBorders>
              <w:top w:val="single" w:color="auto" w:sz="8" w:space="0"/>
              <w:bottom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周期</w:t>
            </w:r>
          </w:p>
        </w:tc>
        <w:tc>
          <w:tcPr>
            <w:tcW w:w="4604" w:type="dxa"/>
            <w:tcBorders>
              <w:top w:val="single" w:color="auto" w:sz="8" w:space="0"/>
              <w:bottom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0" w:type="dxa"/>
            <w:tcBorders>
              <w:top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2089" w:type="dxa"/>
            <w:tcBorders>
              <w:top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常规保养</w:t>
            </w:r>
          </w:p>
        </w:tc>
        <w:tc>
          <w:tcPr>
            <w:tcW w:w="1140" w:type="dxa"/>
            <w:tcBorders>
              <w:top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周</w:t>
            </w:r>
          </w:p>
        </w:tc>
        <w:tc>
          <w:tcPr>
            <w:tcW w:w="4604" w:type="dxa"/>
            <w:tcBorders>
              <w:top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日常检查，每月开机二次，每次1小时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0"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2089"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日常维护</w:t>
            </w:r>
          </w:p>
        </w:tc>
        <w:tc>
          <w:tcPr>
            <w:tcW w:w="1140"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日</w:t>
            </w:r>
          </w:p>
        </w:tc>
        <w:tc>
          <w:tcPr>
            <w:tcW w:w="4604"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按设备需要进行发动实验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0"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2089"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一级技术保养</w:t>
            </w:r>
          </w:p>
        </w:tc>
        <w:tc>
          <w:tcPr>
            <w:tcW w:w="1140"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4604"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一个月检测一次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0"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w:t>
            </w:r>
          </w:p>
        </w:tc>
        <w:tc>
          <w:tcPr>
            <w:tcW w:w="2089"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二级技术保养</w:t>
            </w:r>
          </w:p>
        </w:tc>
        <w:tc>
          <w:tcPr>
            <w:tcW w:w="1140"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半年</w:t>
            </w:r>
          </w:p>
        </w:tc>
        <w:tc>
          <w:tcPr>
            <w:tcW w:w="4604"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半年检测一次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0"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w:t>
            </w:r>
          </w:p>
        </w:tc>
        <w:tc>
          <w:tcPr>
            <w:tcW w:w="2089"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三级技术保养</w:t>
            </w:r>
          </w:p>
        </w:tc>
        <w:tc>
          <w:tcPr>
            <w:tcW w:w="1140"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年</w:t>
            </w:r>
          </w:p>
        </w:tc>
        <w:tc>
          <w:tcPr>
            <w:tcW w:w="4604"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一年检测一次</w:t>
            </w:r>
          </w:p>
        </w:tc>
      </w:tr>
    </w:tbl>
    <w:p>
      <w:pPr>
        <w:pStyle w:val="66"/>
        <w:tabs>
          <w:tab w:val="clear" w:pos="360"/>
        </w:tabs>
        <w:spacing w:before="120" w:after="120" w:line="240" w:lineRule="auto"/>
        <w:ind w:left="0" w:firstLine="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消防设施定期维护要求</w:t>
      </w:r>
    </w:p>
    <w:tbl>
      <w:tblPr>
        <w:tblStyle w:val="24"/>
        <w:tblW w:w="86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78"/>
        <w:gridCol w:w="2081"/>
        <w:gridCol w:w="1137"/>
        <w:gridCol w:w="452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8" w:type="dxa"/>
            <w:tcBorders>
              <w:top w:val="single" w:color="auto" w:sz="8" w:space="0"/>
              <w:bottom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序号</w:t>
            </w:r>
          </w:p>
        </w:tc>
        <w:tc>
          <w:tcPr>
            <w:tcW w:w="2081" w:type="dxa"/>
            <w:tcBorders>
              <w:top w:val="single" w:color="auto" w:sz="8" w:space="0"/>
              <w:bottom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检查保养项目</w:t>
            </w:r>
          </w:p>
        </w:tc>
        <w:tc>
          <w:tcPr>
            <w:tcW w:w="1137" w:type="dxa"/>
            <w:tcBorders>
              <w:top w:val="single" w:color="auto" w:sz="8" w:space="0"/>
              <w:bottom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周期</w:t>
            </w:r>
          </w:p>
        </w:tc>
        <w:tc>
          <w:tcPr>
            <w:tcW w:w="4527" w:type="dxa"/>
            <w:tcBorders>
              <w:top w:val="single" w:color="auto" w:sz="8" w:space="0"/>
              <w:bottom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具体保养内容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8" w:type="dxa"/>
            <w:tcBorders>
              <w:top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2081" w:type="dxa"/>
            <w:tcBorders>
              <w:top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水泵</w:t>
            </w:r>
          </w:p>
        </w:tc>
        <w:tc>
          <w:tcPr>
            <w:tcW w:w="1137" w:type="dxa"/>
            <w:tcBorders>
              <w:top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4527" w:type="dxa"/>
            <w:tcBorders>
              <w:top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动力正常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8"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2081"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压力</w:t>
            </w:r>
            <w:r>
              <w:rPr>
                <w:rFonts w:hint="eastAsia" w:ascii="宋体" w:hAnsi="宋体" w:eastAsia="宋体" w:cs="宋体"/>
                <w:color w:val="auto"/>
                <w:sz w:val="18"/>
                <w:szCs w:val="18"/>
                <w:highlight w:val="none"/>
              </w:rPr>
              <w:t>仪表</w:t>
            </w:r>
          </w:p>
        </w:tc>
        <w:tc>
          <w:tcPr>
            <w:tcW w:w="1137"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4527" w:type="dxa"/>
            <w:noWrap w:val="0"/>
            <w:vAlign w:val="center"/>
          </w:tcPr>
          <w:p>
            <w:p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eastAsia="zh-CN"/>
              </w:rPr>
              <w:t>显示正常，压力在正常范围内。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8"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w:t>
            </w:r>
          </w:p>
        </w:tc>
        <w:tc>
          <w:tcPr>
            <w:tcW w:w="2081"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控制回路</w:t>
            </w:r>
          </w:p>
        </w:tc>
        <w:tc>
          <w:tcPr>
            <w:tcW w:w="1137"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4527"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压接良好、标号清晰，绝缘无变色老化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8"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w:t>
            </w:r>
          </w:p>
        </w:tc>
        <w:tc>
          <w:tcPr>
            <w:tcW w:w="2081"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指示灯</w:t>
            </w:r>
          </w:p>
        </w:tc>
        <w:tc>
          <w:tcPr>
            <w:tcW w:w="1137"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4527" w:type="dxa"/>
            <w:noWrap w:val="0"/>
            <w:vAlign w:val="center"/>
          </w:tcPr>
          <w:p>
            <w:pPr>
              <w:spacing w:line="240" w:lineRule="auto"/>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无红色故障灯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8" w:type="dxa"/>
            <w:noWrap w:val="0"/>
            <w:vAlign w:val="center"/>
          </w:tcPr>
          <w:p>
            <w:p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w:t>
            </w:r>
          </w:p>
        </w:tc>
        <w:tc>
          <w:tcPr>
            <w:tcW w:w="2081" w:type="dxa"/>
            <w:noWrap w:val="0"/>
            <w:vAlign w:val="center"/>
          </w:tcPr>
          <w:p>
            <w:pPr>
              <w:spacing w:line="240" w:lineRule="auto"/>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水箱</w:t>
            </w:r>
          </w:p>
        </w:tc>
        <w:tc>
          <w:tcPr>
            <w:tcW w:w="1137" w:type="dxa"/>
            <w:noWrap w:val="0"/>
            <w:vAlign w:val="center"/>
          </w:tcPr>
          <w:p>
            <w:pPr>
              <w:spacing w:line="240" w:lineRule="auto"/>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月</w:t>
            </w:r>
          </w:p>
        </w:tc>
        <w:tc>
          <w:tcPr>
            <w:tcW w:w="4527" w:type="dxa"/>
            <w:noWrap w:val="0"/>
            <w:vAlign w:val="center"/>
          </w:tcPr>
          <w:p>
            <w:pPr>
              <w:spacing w:line="240" w:lineRule="auto"/>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水位正常</w:t>
            </w:r>
          </w:p>
        </w:tc>
      </w:tr>
      <w:bookmarkEnd w:id="169"/>
      <w:bookmarkEnd w:id="170"/>
      <w:bookmarkEnd w:id="171"/>
      <w:bookmarkEnd w:id="172"/>
      <w:bookmarkEnd w:id="173"/>
      <w:bookmarkEnd w:id="174"/>
      <w:bookmarkEnd w:id="175"/>
      <w:bookmarkEnd w:id="176"/>
      <w:bookmarkEnd w:id="177"/>
      <w:bookmarkEnd w:id="178"/>
    </w:tbl>
    <w:p>
      <w:pPr>
        <w:pStyle w:val="10"/>
        <w:ind w:firstLine="440"/>
        <w:jc w:val="center"/>
        <w:rPr>
          <w:rFonts w:hint="eastAsia" w:ascii="宋体" w:hAnsi="宋体" w:eastAsia="宋体" w:cs="宋体"/>
          <w:sz w:val="44"/>
          <w:szCs w:val="44"/>
          <w:highlight w:val="none"/>
        </w:rPr>
      </w:pPr>
      <w:bookmarkStart w:id="190" w:name="_Toc491780525"/>
    </w:p>
    <w:p>
      <w:pPr>
        <w:rPr>
          <w:rFonts w:hint="eastAsia" w:ascii="宋体" w:hAnsi="宋体" w:eastAsia="宋体" w:cs="宋体"/>
          <w:sz w:val="44"/>
          <w:szCs w:val="44"/>
          <w:highlight w:val="none"/>
        </w:rPr>
      </w:pPr>
      <w:r>
        <w:rPr>
          <w:rFonts w:hint="eastAsia" w:ascii="宋体" w:hAnsi="宋体" w:eastAsia="宋体" w:cs="宋体"/>
          <w:sz w:val="44"/>
          <w:szCs w:val="44"/>
          <w:highlight w:val="none"/>
        </w:rPr>
        <w:br w:type="page"/>
      </w:r>
    </w:p>
    <w:p>
      <w:pPr>
        <w:autoSpaceDE w:val="0"/>
        <w:autoSpaceDN w:val="0"/>
        <w:adjustRightInd w:val="0"/>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附件四</w:t>
      </w:r>
    </w:p>
    <w:p>
      <w:pPr>
        <w:autoSpaceDE w:val="0"/>
        <w:autoSpaceDN w:val="0"/>
        <w:adjustRightInd w:val="0"/>
        <w:spacing w:line="240" w:lineRule="auto"/>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考核管理办法</w:t>
      </w:r>
    </w:p>
    <w:p>
      <w:pPr>
        <w:rPr>
          <w:rFonts w:hint="eastAsia" w:ascii="宋体" w:hAnsi="宋体" w:eastAsia="宋体" w:cs="宋体"/>
          <w:highlight w:val="none"/>
          <w:lang w:val="en-US" w:eastAsia="zh-CN"/>
        </w:rPr>
      </w:pPr>
    </w:p>
    <w:p>
      <w:pPr>
        <w:autoSpaceDE w:val="0"/>
        <w:autoSpaceDN w:val="0"/>
        <w:adjustRightInd w:val="0"/>
        <w:snapToGrid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一、以《高速公路</w:t>
      </w:r>
      <w:r>
        <w:rPr>
          <w:rFonts w:hint="eastAsia" w:ascii="宋体" w:hAnsi="宋体" w:eastAsia="宋体" w:cs="宋体"/>
          <w:color w:val="auto"/>
          <w:kern w:val="0"/>
          <w:sz w:val="21"/>
          <w:szCs w:val="21"/>
          <w:highlight w:val="none"/>
          <w:lang w:eastAsia="zh-CN"/>
        </w:rPr>
        <w:t>停车区</w:t>
      </w:r>
      <w:r>
        <w:rPr>
          <w:rFonts w:hint="eastAsia" w:ascii="宋体" w:hAnsi="宋体" w:eastAsia="宋体" w:cs="宋体"/>
          <w:color w:val="auto"/>
          <w:kern w:val="0"/>
          <w:sz w:val="21"/>
          <w:szCs w:val="21"/>
          <w:highlight w:val="none"/>
        </w:rPr>
        <w:t>物业考核细则保安考核细则》和《浙江省高速公路</w:t>
      </w:r>
      <w:r>
        <w:rPr>
          <w:rFonts w:hint="eastAsia" w:ascii="宋体" w:hAnsi="宋体" w:eastAsia="宋体" w:cs="宋体"/>
          <w:color w:val="auto"/>
          <w:kern w:val="0"/>
          <w:sz w:val="21"/>
          <w:szCs w:val="21"/>
          <w:highlight w:val="none"/>
          <w:lang w:eastAsia="zh-CN"/>
        </w:rPr>
        <w:t>停车区</w:t>
      </w:r>
      <w:r>
        <w:rPr>
          <w:rFonts w:hint="eastAsia" w:ascii="宋体" w:hAnsi="宋体" w:eastAsia="宋体" w:cs="宋体"/>
          <w:color w:val="auto"/>
          <w:kern w:val="0"/>
          <w:sz w:val="21"/>
          <w:szCs w:val="21"/>
          <w:highlight w:val="none"/>
        </w:rPr>
        <w:t>质量评定考核细则》进行考核，评分采取150分满分制，由甲方</w:t>
      </w:r>
      <w:r>
        <w:rPr>
          <w:rFonts w:hint="eastAsia" w:ascii="宋体" w:hAnsi="宋体" w:eastAsia="宋体" w:cs="宋体"/>
          <w:color w:val="auto"/>
          <w:kern w:val="0"/>
          <w:sz w:val="21"/>
          <w:szCs w:val="21"/>
          <w:highlight w:val="none"/>
          <w:lang w:eastAsia="zh-CN"/>
        </w:rPr>
        <w:t>服务区</w:t>
      </w:r>
      <w:r>
        <w:rPr>
          <w:rFonts w:hint="eastAsia" w:ascii="宋体" w:hAnsi="宋体" w:eastAsia="宋体" w:cs="宋体"/>
          <w:color w:val="auto"/>
          <w:kern w:val="0"/>
          <w:sz w:val="21"/>
          <w:szCs w:val="21"/>
          <w:highlight w:val="none"/>
        </w:rPr>
        <w:t>组织对物业项进行月度考核。</w:t>
      </w:r>
    </w:p>
    <w:p>
      <w:pPr>
        <w:autoSpaceDE w:val="0"/>
        <w:autoSpaceDN w:val="0"/>
        <w:adjustRightInd w:val="0"/>
        <w:snapToGrid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二、考核方式：通过</w:t>
      </w:r>
      <w:r>
        <w:rPr>
          <w:rFonts w:hint="eastAsia" w:ascii="宋体" w:hAnsi="宋体" w:eastAsia="宋体" w:cs="宋体"/>
          <w:color w:val="auto"/>
          <w:kern w:val="0"/>
          <w:sz w:val="21"/>
          <w:szCs w:val="21"/>
          <w:highlight w:val="none"/>
          <w:lang w:eastAsia="zh-CN"/>
        </w:rPr>
        <w:t>服务区</w:t>
      </w:r>
      <w:r>
        <w:rPr>
          <w:rFonts w:hint="eastAsia" w:ascii="宋体" w:hAnsi="宋体" w:eastAsia="宋体" w:cs="宋体"/>
          <w:color w:val="auto"/>
          <w:kern w:val="0"/>
          <w:sz w:val="21"/>
          <w:szCs w:val="21"/>
          <w:highlight w:val="none"/>
        </w:rPr>
        <w:t>日常考核和</w:t>
      </w:r>
      <w:r>
        <w:rPr>
          <w:rFonts w:hint="eastAsia" w:ascii="宋体" w:hAnsi="宋体" w:eastAsia="宋体" w:cs="宋体"/>
          <w:color w:val="auto"/>
          <w:kern w:val="0"/>
          <w:sz w:val="21"/>
          <w:szCs w:val="21"/>
          <w:highlight w:val="none"/>
          <w:lang w:val="en-US" w:eastAsia="zh-CN"/>
        </w:rPr>
        <w:t>季</w:t>
      </w:r>
      <w:r>
        <w:rPr>
          <w:rFonts w:hint="eastAsia" w:ascii="宋体" w:hAnsi="宋体" w:eastAsia="宋体" w:cs="宋体"/>
          <w:color w:val="auto"/>
          <w:kern w:val="0"/>
          <w:sz w:val="21"/>
          <w:szCs w:val="21"/>
          <w:highlight w:val="none"/>
        </w:rPr>
        <w:t>度考核相结合，通过日常检查，对物业管理存在问题以《稽查处罚单》告知物业项目部，</w:t>
      </w:r>
      <w:r>
        <w:rPr>
          <w:rFonts w:hint="eastAsia" w:ascii="宋体" w:hAnsi="宋体" w:eastAsia="宋体" w:cs="宋体"/>
          <w:color w:val="auto"/>
          <w:kern w:val="0"/>
          <w:sz w:val="21"/>
          <w:szCs w:val="21"/>
          <w:highlight w:val="none"/>
          <w:lang w:val="en-US" w:eastAsia="zh-CN"/>
        </w:rPr>
        <w:t>每季度</w:t>
      </w:r>
      <w:r>
        <w:rPr>
          <w:rFonts w:hint="eastAsia" w:ascii="宋体" w:hAnsi="宋体" w:eastAsia="宋体" w:cs="宋体"/>
          <w:color w:val="auto"/>
          <w:kern w:val="0"/>
          <w:sz w:val="21"/>
          <w:szCs w:val="21"/>
          <w:highlight w:val="none"/>
        </w:rPr>
        <w:t>底累积扣分数总计（单项考核可以累积扣分，扣完为止），得出该月度考核分数。</w:t>
      </w:r>
    </w:p>
    <w:p>
      <w:pPr>
        <w:autoSpaceDE w:val="0"/>
        <w:autoSpaceDN w:val="0"/>
        <w:adjustRightInd w:val="0"/>
        <w:snapToGrid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三、考核周期：以本</w:t>
      </w:r>
      <w:r>
        <w:rPr>
          <w:rFonts w:hint="eastAsia" w:ascii="宋体" w:hAnsi="宋体" w:eastAsia="宋体" w:cs="宋体"/>
          <w:color w:val="auto"/>
          <w:kern w:val="0"/>
          <w:sz w:val="21"/>
          <w:szCs w:val="21"/>
          <w:highlight w:val="none"/>
          <w:lang w:val="en-US" w:eastAsia="zh-CN"/>
        </w:rPr>
        <w:t>季度</w:t>
      </w:r>
      <w:r>
        <w:rPr>
          <w:rFonts w:hint="eastAsia" w:ascii="宋体" w:hAnsi="宋体" w:eastAsia="宋体" w:cs="宋体"/>
          <w:color w:val="auto"/>
          <w:kern w:val="0"/>
          <w:sz w:val="21"/>
          <w:szCs w:val="21"/>
          <w:highlight w:val="none"/>
        </w:rPr>
        <w:t>自然天数为周期限。</w:t>
      </w:r>
    </w:p>
    <w:p>
      <w:pPr>
        <w:autoSpaceDE w:val="0"/>
        <w:autoSpaceDN w:val="0"/>
        <w:adjustRightInd w:val="0"/>
        <w:snapToGrid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四、考核小组：组长：</w:t>
      </w:r>
      <w:r>
        <w:rPr>
          <w:rFonts w:hint="eastAsia" w:ascii="宋体" w:hAnsi="宋体" w:eastAsia="宋体" w:cs="宋体"/>
          <w:color w:val="auto"/>
          <w:kern w:val="0"/>
          <w:sz w:val="21"/>
          <w:szCs w:val="21"/>
          <w:highlight w:val="none"/>
          <w:lang w:eastAsia="zh-CN"/>
        </w:rPr>
        <w:t>服务区</w:t>
      </w:r>
      <w:r>
        <w:rPr>
          <w:rFonts w:hint="eastAsia" w:ascii="宋体" w:hAnsi="宋体" w:eastAsia="宋体" w:cs="宋体"/>
          <w:color w:val="auto"/>
          <w:kern w:val="0"/>
          <w:sz w:val="21"/>
          <w:szCs w:val="21"/>
          <w:highlight w:val="none"/>
        </w:rPr>
        <w:t>主任；副组长：分管物业</w:t>
      </w:r>
      <w:r>
        <w:rPr>
          <w:rFonts w:hint="eastAsia" w:ascii="宋体" w:hAnsi="宋体" w:eastAsia="宋体" w:cs="宋体"/>
          <w:color w:val="auto"/>
          <w:kern w:val="0"/>
          <w:sz w:val="21"/>
          <w:szCs w:val="21"/>
          <w:highlight w:val="none"/>
          <w:lang w:val="en-US" w:eastAsia="zh-CN"/>
        </w:rPr>
        <w:t>管理人员</w:t>
      </w:r>
      <w:r>
        <w:rPr>
          <w:rFonts w:hint="eastAsia" w:ascii="宋体" w:hAnsi="宋体" w:eastAsia="宋体" w:cs="宋体"/>
          <w:color w:val="auto"/>
          <w:kern w:val="0"/>
          <w:sz w:val="21"/>
          <w:szCs w:val="21"/>
          <w:highlight w:val="none"/>
        </w:rPr>
        <w:t>；成员：</w:t>
      </w:r>
      <w:r>
        <w:rPr>
          <w:rFonts w:hint="eastAsia" w:ascii="宋体" w:hAnsi="宋体" w:eastAsia="宋体" w:cs="宋体"/>
          <w:color w:val="auto"/>
          <w:kern w:val="0"/>
          <w:sz w:val="21"/>
          <w:szCs w:val="21"/>
          <w:highlight w:val="none"/>
          <w:lang w:eastAsia="zh-CN"/>
        </w:rPr>
        <w:t>服务区</w:t>
      </w:r>
      <w:r>
        <w:rPr>
          <w:rFonts w:hint="eastAsia" w:ascii="宋体" w:hAnsi="宋体" w:eastAsia="宋体" w:cs="宋体"/>
          <w:color w:val="auto"/>
          <w:kern w:val="0"/>
          <w:sz w:val="21"/>
          <w:szCs w:val="21"/>
          <w:highlight w:val="none"/>
        </w:rPr>
        <w:t>管理人员；</w:t>
      </w:r>
    </w:p>
    <w:p>
      <w:pPr>
        <w:autoSpaceDE w:val="0"/>
        <w:autoSpaceDN w:val="0"/>
        <w:adjustRightInd w:val="0"/>
        <w:snapToGrid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五、物业服务公司对评分有异议的，可向</w:t>
      </w:r>
      <w:r>
        <w:rPr>
          <w:rFonts w:hint="eastAsia" w:ascii="宋体" w:hAnsi="宋体" w:eastAsia="宋体" w:cs="宋体"/>
          <w:color w:val="auto"/>
          <w:kern w:val="0"/>
          <w:sz w:val="21"/>
          <w:szCs w:val="21"/>
          <w:highlight w:val="none"/>
          <w:lang w:eastAsia="zh-CN"/>
        </w:rPr>
        <w:t>服务区</w:t>
      </w:r>
      <w:r>
        <w:rPr>
          <w:rFonts w:hint="eastAsia" w:ascii="宋体" w:hAnsi="宋体" w:eastAsia="宋体" w:cs="宋体"/>
          <w:color w:val="auto"/>
          <w:kern w:val="0"/>
          <w:sz w:val="21"/>
          <w:szCs w:val="21"/>
          <w:highlight w:val="none"/>
        </w:rPr>
        <w:t>主管部门申请复核，经复核改变评分结果的，应予变更或消除。</w:t>
      </w:r>
    </w:p>
    <w:p>
      <w:pPr>
        <w:autoSpaceDE w:val="0"/>
        <w:autoSpaceDN w:val="0"/>
        <w:adjustRightInd w:val="0"/>
        <w:snapToGrid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六、评分考核表作为服务合同信用档案的组成部分，检查考核小组有责任向物业服务部门阐明不符合要求项的原因并提出整改建议和意见。 </w:t>
      </w:r>
    </w:p>
    <w:p>
      <w:pPr>
        <w:autoSpaceDE w:val="0"/>
        <w:autoSpaceDN w:val="0"/>
        <w:adjustRightInd w:val="0"/>
        <w:snapToGrid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七、奖罚措施</w:t>
      </w:r>
    </w:p>
    <w:p>
      <w:pPr>
        <w:autoSpaceDE w:val="0"/>
        <w:autoSpaceDN w:val="0"/>
        <w:adjustRightInd w:val="0"/>
        <w:snapToGrid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服务区</w:t>
      </w:r>
      <w:r>
        <w:rPr>
          <w:rFonts w:hint="eastAsia" w:ascii="宋体" w:hAnsi="宋体" w:eastAsia="宋体" w:cs="宋体"/>
          <w:color w:val="auto"/>
          <w:kern w:val="0"/>
          <w:sz w:val="21"/>
          <w:szCs w:val="21"/>
          <w:highlight w:val="none"/>
        </w:rPr>
        <w:t>物业项目</w:t>
      </w:r>
      <w:r>
        <w:rPr>
          <w:rFonts w:hint="eastAsia" w:ascii="宋体" w:hAnsi="宋体" w:eastAsia="宋体" w:cs="宋体"/>
          <w:color w:val="auto"/>
          <w:kern w:val="0"/>
          <w:sz w:val="21"/>
          <w:szCs w:val="21"/>
          <w:highlight w:val="none"/>
          <w:lang w:val="en-US" w:eastAsia="zh-CN"/>
        </w:rPr>
        <w:t>季</w:t>
      </w:r>
      <w:r>
        <w:rPr>
          <w:rFonts w:hint="eastAsia" w:ascii="宋体" w:hAnsi="宋体" w:eastAsia="宋体" w:cs="宋体"/>
          <w:color w:val="auto"/>
          <w:kern w:val="0"/>
          <w:sz w:val="21"/>
          <w:szCs w:val="21"/>
          <w:highlight w:val="none"/>
        </w:rPr>
        <w:t>度考核作为物业合同约定考核的重要依据，现场管理人员统计汇总</w:t>
      </w:r>
      <w:r>
        <w:rPr>
          <w:rFonts w:hint="eastAsia" w:ascii="宋体" w:hAnsi="宋体" w:eastAsia="宋体" w:cs="宋体"/>
          <w:color w:val="auto"/>
          <w:kern w:val="0"/>
          <w:sz w:val="21"/>
          <w:szCs w:val="21"/>
          <w:highlight w:val="none"/>
          <w:lang w:eastAsia="zh-CN"/>
        </w:rPr>
        <w:t>服务区</w:t>
      </w:r>
      <w:r>
        <w:rPr>
          <w:rFonts w:hint="eastAsia" w:ascii="宋体" w:hAnsi="宋体" w:eastAsia="宋体" w:cs="宋体"/>
          <w:color w:val="auto"/>
          <w:kern w:val="0"/>
          <w:sz w:val="21"/>
          <w:szCs w:val="21"/>
          <w:highlight w:val="none"/>
        </w:rPr>
        <w:t>考核情况当</w:t>
      </w:r>
      <w:r>
        <w:rPr>
          <w:rFonts w:hint="eastAsia" w:ascii="宋体" w:hAnsi="宋体" w:eastAsia="宋体" w:cs="宋体"/>
          <w:color w:val="auto"/>
          <w:kern w:val="0"/>
          <w:sz w:val="21"/>
          <w:szCs w:val="21"/>
          <w:highlight w:val="none"/>
          <w:lang w:val="en-US" w:eastAsia="zh-CN"/>
        </w:rPr>
        <w:t>季</w:t>
      </w:r>
      <w:r>
        <w:rPr>
          <w:rFonts w:hint="eastAsia" w:ascii="宋体" w:hAnsi="宋体" w:eastAsia="宋体" w:cs="宋体"/>
          <w:color w:val="auto"/>
          <w:kern w:val="0"/>
          <w:sz w:val="21"/>
          <w:szCs w:val="21"/>
          <w:highlight w:val="none"/>
        </w:rPr>
        <w:t>物业考核总分。</w:t>
      </w:r>
    </w:p>
    <w:p>
      <w:pPr>
        <w:numPr>
          <w:ilvl w:val="0"/>
          <w:numId w:val="23"/>
        </w:numPr>
        <w:autoSpaceDE w:val="0"/>
        <w:autoSpaceDN w:val="0"/>
        <w:adjustRightInd w:val="0"/>
        <w:snapToGrid w:val="0"/>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定义</w:t>
      </w:r>
    </w:p>
    <w:p>
      <w:pPr>
        <w:numPr>
          <w:ilvl w:val="0"/>
          <w:numId w:val="24"/>
        </w:numPr>
        <w:autoSpaceDE w:val="0"/>
        <w:autoSpaceDN w:val="0"/>
        <w:adjustRightInd w:val="0"/>
        <w:snapToGrid w:val="0"/>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服务区</w:t>
      </w:r>
      <w:r>
        <w:rPr>
          <w:rFonts w:hint="eastAsia" w:ascii="宋体" w:hAnsi="宋体" w:eastAsia="宋体" w:cs="宋体"/>
          <w:color w:val="auto"/>
          <w:kern w:val="0"/>
          <w:sz w:val="21"/>
          <w:szCs w:val="21"/>
          <w:highlight w:val="none"/>
        </w:rPr>
        <w:t>当年合同费用折算为</w:t>
      </w:r>
      <w:r>
        <w:rPr>
          <w:rFonts w:hint="eastAsia" w:ascii="宋体" w:hAnsi="宋体" w:eastAsia="宋体" w:cs="宋体"/>
          <w:color w:val="auto"/>
          <w:kern w:val="0"/>
          <w:sz w:val="21"/>
          <w:szCs w:val="21"/>
          <w:highlight w:val="none"/>
          <w:lang w:val="en-US" w:eastAsia="zh-CN"/>
        </w:rPr>
        <w:t>季度</w:t>
      </w:r>
      <w:r>
        <w:rPr>
          <w:rFonts w:hint="eastAsia" w:ascii="宋体" w:hAnsi="宋体" w:eastAsia="宋体" w:cs="宋体"/>
          <w:color w:val="auto"/>
          <w:kern w:val="0"/>
          <w:sz w:val="21"/>
          <w:szCs w:val="21"/>
          <w:highlight w:val="none"/>
        </w:rPr>
        <w:t>费用的90%作为基本物业费。</w:t>
      </w:r>
    </w:p>
    <w:p>
      <w:pPr>
        <w:numPr>
          <w:ilvl w:val="0"/>
          <w:numId w:val="24"/>
        </w:numPr>
        <w:autoSpaceDE w:val="0"/>
        <w:autoSpaceDN w:val="0"/>
        <w:adjustRightInd w:val="0"/>
        <w:snapToGrid w:val="0"/>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服务区</w:t>
      </w:r>
      <w:r>
        <w:rPr>
          <w:rFonts w:hint="eastAsia" w:ascii="宋体" w:hAnsi="宋体" w:eastAsia="宋体" w:cs="宋体"/>
          <w:color w:val="auto"/>
          <w:kern w:val="0"/>
          <w:sz w:val="21"/>
          <w:szCs w:val="21"/>
          <w:highlight w:val="none"/>
        </w:rPr>
        <w:t>当年合同费用折算为</w:t>
      </w:r>
      <w:r>
        <w:rPr>
          <w:rFonts w:hint="eastAsia" w:ascii="宋体" w:hAnsi="宋体" w:eastAsia="宋体" w:cs="宋体"/>
          <w:color w:val="auto"/>
          <w:kern w:val="0"/>
          <w:sz w:val="21"/>
          <w:szCs w:val="21"/>
          <w:highlight w:val="none"/>
          <w:lang w:val="en-US" w:eastAsia="zh-CN"/>
        </w:rPr>
        <w:t>季度</w:t>
      </w:r>
      <w:r>
        <w:rPr>
          <w:rFonts w:hint="eastAsia" w:ascii="宋体" w:hAnsi="宋体" w:eastAsia="宋体" w:cs="宋体"/>
          <w:color w:val="auto"/>
          <w:kern w:val="0"/>
          <w:sz w:val="21"/>
          <w:szCs w:val="21"/>
          <w:highlight w:val="none"/>
        </w:rPr>
        <w:t>费用的10%作为考核奖。</w:t>
      </w:r>
    </w:p>
    <w:p>
      <w:pPr>
        <w:numPr>
          <w:ilvl w:val="0"/>
          <w:numId w:val="24"/>
        </w:numPr>
        <w:autoSpaceDE w:val="0"/>
        <w:autoSpaceDN w:val="0"/>
        <w:adjustRightInd w:val="0"/>
        <w:snapToGrid w:val="0"/>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单项考核分数可累计扣分，以单项总分数扣完为止。</w:t>
      </w:r>
    </w:p>
    <w:p>
      <w:pPr>
        <w:autoSpaceDE w:val="0"/>
        <w:autoSpaceDN w:val="0"/>
        <w:adjustRightInd w:val="0"/>
        <w:snapToGrid w:val="0"/>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2、考核标准</w:t>
      </w:r>
    </w:p>
    <w:p>
      <w:pPr>
        <w:autoSpaceDE w:val="0"/>
        <w:autoSpaceDN w:val="0"/>
        <w:adjustRightInd w:val="0"/>
        <w:snapToGrid w:val="0"/>
        <w:spacing w:line="240" w:lineRule="auto"/>
        <w:ind w:firstLine="630" w:firstLineChars="3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按</w:t>
      </w:r>
      <w:r>
        <w:rPr>
          <w:rFonts w:hint="eastAsia" w:ascii="宋体" w:hAnsi="宋体" w:eastAsia="宋体" w:cs="宋体"/>
          <w:color w:val="auto"/>
          <w:kern w:val="0"/>
          <w:sz w:val="21"/>
          <w:szCs w:val="21"/>
          <w:highlight w:val="none"/>
        </w:rPr>
        <w:t>若考核分发放物业考核奖</w:t>
      </w:r>
    </w:p>
    <w:p>
      <w:pPr>
        <w:autoSpaceDE w:val="0"/>
        <w:autoSpaceDN w:val="0"/>
        <w:adjustRightInd w:val="0"/>
        <w:snapToGrid w:val="0"/>
        <w:spacing w:line="240" w:lineRule="auto"/>
        <w:ind w:firstLine="630" w:firstLineChars="3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2）连续</w:t>
      </w:r>
      <w:r>
        <w:rPr>
          <w:rFonts w:hint="eastAsia" w:ascii="宋体" w:hAnsi="宋体" w:eastAsia="宋体" w:cs="宋体"/>
          <w:color w:val="auto"/>
          <w:kern w:val="0"/>
          <w:sz w:val="21"/>
          <w:szCs w:val="21"/>
          <w:highlight w:val="none"/>
          <w:lang w:val="en-US" w:eastAsia="zh-CN"/>
        </w:rPr>
        <w:t>两个季度</w:t>
      </w:r>
      <w:r>
        <w:rPr>
          <w:rFonts w:hint="eastAsia" w:ascii="宋体" w:hAnsi="宋体" w:eastAsia="宋体" w:cs="宋体"/>
          <w:color w:val="auto"/>
          <w:kern w:val="0"/>
          <w:sz w:val="21"/>
          <w:szCs w:val="21"/>
          <w:highlight w:val="none"/>
        </w:rPr>
        <w:t>份若考核分105分以下（不含105分），</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有权单方面解除合同。</w:t>
      </w:r>
    </w:p>
    <w:p>
      <w:pPr>
        <w:autoSpaceDE w:val="0"/>
        <w:autoSpaceDN w:val="0"/>
        <w:adjustRightInd w:val="0"/>
        <w:snapToGrid w:val="0"/>
        <w:spacing w:line="240" w:lineRule="auto"/>
        <w:ind w:firstLine="210" w:firstLineChars="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3、考核奖标准</w:t>
      </w:r>
    </w:p>
    <w:p>
      <w:pPr>
        <w:spacing w:line="240" w:lineRule="auto"/>
        <w:ind w:left="284"/>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考核奖标准表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4"/>
        <w:gridCol w:w="4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84" w:type="dxa"/>
            <w:noWrap w:val="0"/>
            <w:vAlign w:val="center"/>
          </w:tcPr>
          <w:p>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考核分数</w:t>
            </w:r>
          </w:p>
        </w:tc>
        <w:tc>
          <w:tcPr>
            <w:tcW w:w="4296" w:type="dxa"/>
            <w:noWrap w:val="0"/>
            <w:vAlign w:val="center"/>
          </w:tcPr>
          <w:p>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考核奖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84" w:type="dxa"/>
            <w:noWrap w:val="0"/>
            <w:vAlign w:val="center"/>
          </w:tcPr>
          <w:p>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150-135分</w:t>
            </w:r>
          </w:p>
        </w:tc>
        <w:tc>
          <w:tcPr>
            <w:tcW w:w="4296" w:type="dxa"/>
            <w:noWrap w:val="0"/>
            <w:vAlign w:val="center"/>
          </w:tcPr>
          <w:p>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全额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84" w:type="dxa"/>
            <w:noWrap w:val="0"/>
            <w:vAlign w:val="center"/>
          </w:tcPr>
          <w:p>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135-120分（包括120分）</w:t>
            </w:r>
          </w:p>
        </w:tc>
        <w:tc>
          <w:tcPr>
            <w:tcW w:w="4296" w:type="dxa"/>
            <w:noWrap w:val="0"/>
            <w:vAlign w:val="center"/>
          </w:tcPr>
          <w:p>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考核奖全额*（90%）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4284" w:type="dxa"/>
            <w:noWrap w:val="0"/>
            <w:vAlign w:val="center"/>
          </w:tcPr>
          <w:p>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120-105分（包括105分）</w:t>
            </w:r>
          </w:p>
        </w:tc>
        <w:tc>
          <w:tcPr>
            <w:tcW w:w="4296" w:type="dxa"/>
            <w:noWrap w:val="0"/>
            <w:vAlign w:val="center"/>
          </w:tcPr>
          <w:p>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考核奖全额*（70%）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84" w:type="dxa"/>
            <w:noWrap w:val="0"/>
            <w:vAlign w:val="center"/>
          </w:tcPr>
          <w:p>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105-90分（包括90分）</w:t>
            </w:r>
          </w:p>
        </w:tc>
        <w:tc>
          <w:tcPr>
            <w:tcW w:w="4296" w:type="dxa"/>
            <w:noWrap w:val="0"/>
            <w:vAlign w:val="center"/>
          </w:tcPr>
          <w:p>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考核奖全额*（50%）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84" w:type="dxa"/>
            <w:noWrap w:val="0"/>
            <w:vAlign w:val="center"/>
          </w:tcPr>
          <w:p>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90-75分（包括75分</w:t>
            </w:r>
          </w:p>
        </w:tc>
        <w:tc>
          <w:tcPr>
            <w:tcW w:w="4296" w:type="dxa"/>
            <w:noWrap w:val="0"/>
            <w:vAlign w:val="center"/>
          </w:tcPr>
          <w:p>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考核奖全额*（30%）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84" w:type="dxa"/>
            <w:noWrap w:val="0"/>
            <w:vAlign w:val="center"/>
          </w:tcPr>
          <w:p>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75分以下</w:t>
            </w:r>
          </w:p>
        </w:tc>
        <w:tc>
          <w:tcPr>
            <w:tcW w:w="4296" w:type="dxa"/>
            <w:noWrap w:val="0"/>
            <w:vAlign w:val="center"/>
          </w:tcPr>
          <w:p>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w:t>
            </w:r>
          </w:p>
        </w:tc>
      </w:tr>
    </w:tbl>
    <w:p>
      <w:pPr>
        <w:pStyle w:val="2"/>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附：物业项目部季度考核评分表</w:t>
      </w:r>
    </w:p>
    <w:p>
      <w:pPr>
        <w:rPr>
          <w:rFonts w:hint="eastAsia" w:ascii="宋体" w:hAnsi="宋体" w:eastAsia="宋体" w:cs="宋体"/>
          <w:b/>
          <w:bCs/>
          <w:color w:val="auto"/>
          <w:sz w:val="36"/>
          <w:szCs w:val="36"/>
          <w:highlight w:val="none"/>
        </w:rPr>
      </w:pPr>
    </w:p>
    <w:p>
      <w:pPr>
        <w:rPr>
          <w:rFonts w:hint="eastAsia" w:ascii="宋体" w:hAnsi="宋体" w:eastAsia="宋体" w:cs="宋体"/>
          <w:highlight w:val="none"/>
        </w:rPr>
        <w:sectPr>
          <w:footerReference r:id="rId3" w:type="default"/>
          <w:pgSz w:w="11906" w:h="16838"/>
          <w:pgMar w:top="1417" w:right="1417" w:bottom="1361" w:left="1417" w:header="851" w:footer="992" w:gutter="0"/>
          <w:pgNumType w:fmt="decimal" w:start="1"/>
          <w:cols w:space="720" w:num="1"/>
          <w:docGrid w:type="lines" w:linePitch="312" w:charSpace="0"/>
        </w:sectPr>
      </w:pPr>
    </w:p>
    <w:p>
      <w:pPr>
        <w:jc w:val="left"/>
        <w:rPr>
          <w:rFonts w:hint="eastAsia" w:ascii="宋体" w:hAnsi="宋体" w:eastAsia="宋体" w:cs="宋体"/>
          <w:b/>
          <w:bCs/>
          <w:color w:val="auto"/>
          <w:sz w:val="36"/>
          <w:szCs w:val="36"/>
          <w:highlight w:val="none"/>
          <w:lang w:val="en-US" w:eastAsia="zh-CN"/>
        </w:rPr>
      </w:pPr>
      <w:r>
        <w:rPr>
          <w:rFonts w:hint="eastAsia" w:ascii="宋体" w:hAnsi="宋体" w:eastAsia="宋体" w:cs="宋体"/>
          <w:color w:val="auto"/>
          <w:sz w:val="21"/>
          <w:szCs w:val="21"/>
          <w:highlight w:val="none"/>
          <w:lang w:val="en-US" w:eastAsia="zh-CN"/>
        </w:rPr>
        <w:t>附件五</w:t>
      </w:r>
    </w:p>
    <w:p>
      <w:pPr>
        <w:autoSpaceDE w:val="0"/>
        <w:autoSpaceDN w:val="0"/>
        <w:adjustRightInd w:val="0"/>
        <w:spacing w:line="240" w:lineRule="auto"/>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物业季度考核评分表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876"/>
        <w:gridCol w:w="5103"/>
        <w:gridCol w:w="3685"/>
        <w:gridCol w:w="2471"/>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57"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540"/>
                <w:tab w:val="left" w:pos="720"/>
              </w:tabs>
              <w:adjustRightInd w:val="0"/>
              <w:snapToGrid w:val="0"/>
              <w:spacing w:line="240" w:lineRule="auto"/>
              <w:ind w:left="410" w:hanging="307" w:hangingChars="170"/>
              <w:jc w:val="center"/>
              <w:rPr>
                <w:rFonts w:hint="eastAsia" w:ascii="宋体" w:hAnsi="宋体" w:eastAsia="宋体" w:cs="宋体"/>
                <w:b/>
                <w:color w:val="auto"/>
                <w:sz w:val="18"/>
                <w:szCs w:val="18"/>
                <w:highlight w:val="none"/>
              </w:rPr>
            </w:pPr>
            <w:bookmarkStart w:id="191" w:name="_Hlk14013497"/>
            <w:r>
              <w:rPr>
                <w:rFonts w:hint="eastAsia" w:ascii="宋体" w:hAnsi="宋体" w:eastAsia="宋体" w:cs="宋体"/>
                <w:b/>
                <w:color w:val="auto"/>
                <w:sz w:val="18"/>
                <w:szCs w:val="18"/>
                <w:highlight w:val="none"/>
              </w:rPr>
              <w:t>项目</w:t>
            </w:r>
          </w:p>
        </w:tc>
        <w:tc>
          <w:tcPr>
            <w:tcW w:w="5103" w:type="dxa"/>
            <w:tcBorders>
              <w:top w:val="single" w:color="auto" w:sz="4" w:space="0"/>
              <w:left w:val="single" w:color="auto" w:sz="4" w:space="0"/>
              <w:bottom w:val="single" w:color="auto" w:sz="4" w:space="0"/>
              <w:right w:val="single" w:color="auto" w:sz="4" w:space="0"/>
            </w:tcBorders>
            <w:noWrap w:val="0"/>
            <w:vAlign w:val="center"/>
          </w:tcPr>
          <w:p>
            <w:pPr>
              <w:tabs>
                <w:tab w:val="left" w:pos="540"/>
                <w:tab w:val="left" w:pos="720"/>
              </w:tabs>
              <w:adjustRightInd w:val="0"/>
              <w:snapToGrid w:val="0"/>
              <w:spacing w:line="240" w:lineRule="auto"/>
              <w:ind w:left="410" w:hanging="307" w:hangingChars="170"/>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考核标准</w:t>
            </w:r>
          </w:p>
        </w:tc>
        <w:tc>
          <w:tcPr>
            <w:tcW w:w="3685" w:type="dxa"/>
            <w:tcBorders>
              <w:top w:val="single" w:color="auto" w:sz="4" w:space="0"/>
              <w:left w:val="single" w:color="auto" w:sz="4" w:space="0"/>
              <w:bottom w:val="single" w:color="auto" w:sz="4" w:space="0"/>
              <w:right w:val="single" w:color="auto" w:sz="4" w:space="0"/>
            </w:tcBorders>
            <w:noWrap w:val="0"/>
            <w:vAlign w:val="center"/>
          </w:tcPr>
          <w:p>
            <w:pPr>
              <w:tabs>
                <w:tab w:val="left" w:pos="540"/>
                <w:tab w:val="left" w:pos="720"/>
              </w:tabs>
              <w:adjustRightInd w:val="0"/>
              <w:snapToGrid w:val="0"/>
              <w:spacing w:line="240" w:lineRule="auto"/>
              <w:ind w:left="410" w:hanging="307" w:hangingChars="170"/>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考核办法</w:t>
            </w:r>
          </w:p>
        </w:tc>
        <w:tc>
          <w:tcPr>
            <w:tcW w:w="2471" w:type="dxa"/>
            <w:tcBorders>
              <w:top w:val="single" w:color="auto" w:sz="4" w:space="0"/>
              <w:left w:val="single" w:color="auto" w:sz="4" w:space="0"/>
              <w:bottom w:val="single" w:color="auto" w:sz="4" w:space="0"/>
              <w:right w:val="single" w:color="auto" w:sz="4" w:space="0"/>
            </w:tcBorders>
            <w:noWrap w:val="0"/>
            <w:vAlign w:val="center"/>
          </w:tcPr>
          <w:p>
            <w:pPr>
              <w:tabs>
                <w:tab w:val="left" w:pos="540"/>
                <w:tab w:val="left" w:pos="720"/>
              </w:tabs>
              <w:adjustRightInd w:val="0"/>
              <w:snapToGrid w:val="0"/>
              <w:spacing w:line="240" w:lineRule="auto"/>
              <w:ind w:left="410" w:hanging="307" w:hangingChars="170"/>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扣分事项</w:t>
            </w:r>
          </w:p>
        </w:tc>
        <w:tc>
          <w:tcPr>
            <w:tcW w:w="948" w:type="dxa"/>
            <w:tcBorders>
              <w:top w:val="single" w:color="auto" w:sz="4" w:space="0"/>
              <w:left w:val="single" w:color="auto" w:sz="4" w:space="0"/>
              <w:bottom w:val="single" w:color="auto" w:sz="4" w:space="0"/>
              <w:right w:val="single" w:color="auto" w:sz="4" w:space="0"/>
            </w:tcBorders>
            <w:noWrap w:val="0"/>
            <w:vAlign w:val="center"/>
          </w:tcPr>
          <w:p>
            <w:pPr>
              <w:tabs>
                <w:tab w:val="left" w:pos="540"/>
                <w:tab w:val="left" w:pos="720"/>
              </w:tabs>
              <w:adjustRightInd w:val="0"/>
              <w:snapToGrid w:val="0"/>
              <w:spacing w:line="240" w:lineRule="auto"/>
              <w:ind w:left="410" w:hanging="307" w:hangingChars="170"/>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1" w:type="dxa"/>
            <w:vMerge w:val="restart"/>
            <w:tcBorders>
              <w:top w:val="single" w:color="auto" w:sz="4" w:space="0"/>
              <w:left w:val="single" w:color="auto" w:sz="4" w:space="0"/>
              <w:right w:val="single" w:color="auto" w:sz="4" w:space="0"/>
            </w:tcBorders>
            <w:noWrap w:val="0"/>
            <w:vAlign w:val="center"/>
          </w:tcPr>
          <w:p>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总</w:t>
            </w:r>
          </w:p>
          <w:p>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体</w:t>
            </w:r>
          </w:p>
          <w:p>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要</w:t>
            </w:r>
          </w:p>
          <w:p>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求</w:t>
            </w:r>
          </w:p>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（50分）</w:t>
            </w:r>
          </w:p>
        </w:tc>
        <w:tc>
          <w:tcPr>
            <w:tcW w:w="876"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管</w:t>
            </w:r>
          </w:p>
          <w:p>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理</w:t>
            </w:r>
          </w:p>
          <w:p>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体</w:t>
            </w:r>
          </w:p>
          <w:p>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系</w:t>
            </w:r>
          </w:p>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（10分）</w:t>
            </w:r>
          </w:p>
        </w:tc>
        <w:tc>
          <w:tcPr>
            <w:tcW w:w="510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1、建立健全物业项目部管理体系；</w:t>
            </w:r>
          </w:p>
        </w:tc>
        <w:tc>
          <w:tcPr>
            <w:tcW w:w="36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未建立扣2分；</w:t>
            </w:r>
          </w:p>
        </w:tc>
        <w:tc>
          <w:tcPr>
            <w:tcW w:w="2471"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1" w:type="dxa"/>
            <w:vMerge w:val="continue"/>
            <w:tcBorders>
              <w:left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876"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510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2、物业项目部人员岗位职责明确，责任到位；</w:t>
            </w:r>
          </w:p>
        </w:tc>
        <w:tc>
          <w:tcPr>
            <w:tcW w:w="36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未形成岗位责任扣2分，责任落实不到位扣2-5分；</w:t>
            </w:r>
          </w:p>
        </w:tc>
        <w:tc>
          <w:tcPr>
            <w:tcW w:w="2471"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1" w:type="dxa"/>
            <w:vMerge w:val="continue"/>
            <w:tcBorders>
              <w:left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876"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510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3、物业公司对项目部每</w:t>
            </w:r>
            <w:r>
              <w:rPr>
                <w:rFonts w:hint="eastAsia" w:ascii="宋体" w:hAnsi="宋体" w:eastAsia="宋体" w:cs="宋体"/>
                <w:color w:val="auto"/>
                <w:sz w:val="18"/>
                <w:szCs w:val="18"/>
                <w:highlight w:val="none"/>
                <w:lang w:eastAsia="zh-CN"/>
              </w:rPr>
              <w:t>季</w:t>
            </w:r>
            <w:r>
              <w:rPr>
                <w:rFonts w:hint="eastAsia" w:ascii="宋体" w:hAnsi="宋体" w:eastAsia="宋体" w:cs="宋体"/>
                <w:color w:val="auto"/>
                <w:sz w:val="18"/>
                <w:szCs w:val="18"/>
                <w:highlight w:val="none"/>
              </w:rPr>
              <w:t>检查不少于</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次；</w:t>
            </w:r>
          </w:p>
        </w:tc>
        <w:tc>
          <w:tcPr>
            <w:tcW w:w="36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检查少一次扣2分；</w:t>
            </w:r>
          </w:p>
        </w:tc>
        <w:tc>
          <w:tcPr>
            <w:tcW w:w="2471"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1" w:type="dxa"/>
            <w:vMerge w:val="continue"/>
            <w:tcBorders>
              <w:left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876"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510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4、项目管理层以身作则，对队员的工作开展经常性认真检查和指导，有效组织物业人员遵守</w:t>
            </w:r>
            <w:r>
              <w:rPr>
                <w:rFonts w:hint="eastAsia" w:ascii="宋体" w:hAnsi="宋体" w:eastAsia="宋体" w:cs="宋体"/>
                <w:color w:val="auto"/>
                <w:sz w:val="18"/>
                <w:szCs w:val="18"/>
                <w:highlight w:val="none"/>
                <w:lang w:eastAsia="zh-CN"/>
              </w:rPr>
              <w:t>服务区</w:t>
            </w:r>
            <w:r>
              <w:rPr>
                <w:rFonts w:hint="eastAsia" w:ascii="宋体" w:hAnsi="宋体" w:eastAsia="宋体" w:cs="宋体"/>
                <w:color w:val="auto"/>
                <w:sz w:val="18"/>
                <w:szCs w:val="18"/>
                <w:highlight w:val="none"/>
              </w:rPr>
              <w:t>的有关规定；</w:t>
            </w:r>
          </w:p>
        </w:tc>
        <w:tc>
          <w:tcPr>
            <w:tcW w:w="36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未能落实</w:t>
            </w:r>
            <w:r>
              <w:rPr>
                <w:rFonts w:hint="eastAsia" w:ascii="宋体" w:hAnsi="宋体" w:eastAsia="宋体" w:cs="宋体"/>
                <w:color w:val="auto"/>
                <w:sz w:val="18"/>
                <w:szCs w:val="18"/>
                <w:highlight w:val="none"/>
                <w:lang w:eastAsia="zh-CN"/>
              </w:rPr>
              <w:t>服务区</w:t>
            </w:r>
            <w:r>
              <w:rPr>
                <w:rFonts w:hint="eastAsia" w:ascii="宋体" w:hAnsi="宋体" w:eastAsia="宋体" w:cs="宋体"/>
                <w:color w:val="auto"/>
                <w:sz w:val="18"/>
                <w:szCs w:val="18"/>
                <w:highlight w:val="none"/>
              </w:rPr>
              <w:t>管理需求，扣5分；</w:t>
            </w:r>
          </w:p>
        </w:tc>
        <w:tc>
          <w:tcPr>
            <w:tcW w:w="2471"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1" w:type="dxa"/>
            <w:vMerge w:val="continue"/>
            <w:tcBorders>
              <w:left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876"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878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备注：</w:t>
            </w:r>
            <w:r>
              <w:rPr>
                <w:rFonts w:hint="eastAsia" w:ascii="宋体" w:hAnsi="宋体" w:eastAsia="宋体" w:cs="宋体"/>
                <w:color w:val="auto"/>
                <w:sz w:val="18"/>
                <w:szCs w:val="18"/>
                <w:highlight w:val="none"/>
                <w:lang w:val="en-US" w:eastAsia="zh-CN"/>
              </w:rPr>
              <w:t>管理体系</w:t>
            </w:r>
            <w:r>
              <w:rPr>
                <w:rFonts w:hint="eastAsia" w:ascii="宋体" w:hAnsi="宋体" w:eastAsia="宋体" w:cs="宋体"/>
                <w:color w:val="auto"/>
                <w:sz w:val="18"/>
                <w:szCs w:val="18"/>
                <w:highlight w:val="none"/>
              </w:rPr>
              <w:t>考核扣分扣完为止。</w:t>
            </w:r>
          </w:p>
        </w:tc>
        <w:tc>
          <w:tcPr>
            <w:tcW w:w="2471"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1" w:type="dxa"/>
            <w:vMerge w:val="continue"/>
            <w:tcBorders>
              <w:left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876"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规</w:t>
            </w:r>
          </w:p>
          <w:p>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章</w:t>
            </w:r>
          </w:p>
          <w:p>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制</w:t>
            </w:r>
          </w:p>
          <w:p>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度</w:t>
            </w:r>
          </w:p>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（10分）</w:t>
            </w:r>
          </w:p>
        </w:tc>
        <w:tc>
          <w:tcPr>
            <w:tcW w:w="510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bCs/>
                <w:color w:val="auto"/>
                <w:sz w:val="18"/>
                <w:szCs w:val="18"/>
                <w:highlight w:val="none"/>
              </w:rPr>
            </w:pPr>
            <w:r>
              <w:rPr>
                <w:rFonts w:hint="eastAsia" w:ascii="宋体" w:hAnsi="宋体" w:eastAsia="宋体" w:cs="宋体"/>
                <w:color w:val="auto"/>
                <w:sz w:val="18"/>
                <w:szCs w:val="18"/>
                <w:highlight w:val="none"/>
              </w:rPr>
              <w:t>1、健全内部各项规章制度及应急预案</w:t>
            </w:r>
            <w:r>
              <w:rPr>
                <w:rFonts w:hint="eastAsia" w:ascii="宋体" w:hAnsi="宋体" w:eastAsia="宋体" w:cs="宋体"/>
                <w:bCs/>
                <w:color w:val="auto"/>
                <w:sz w:val="18"/>
                <w:szCs w:val="18"/>
                <w:highlight w:val="none"/>
              </w:rPr>
              <w:t>；</w:t>
            </w:r>
          </w:p>
        </w:tc>
        <w:tc>
          <w:tcPr>
            <w:tcW w:w="36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未建立扣5分，不健全扣2扣</w:t>
            </w:r>
          </w:p>
        </w:tc>
        <w:tc>
          <w:tcPr>
            <w:tcW w:w="2471"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1" w:type="dxa"/>
            <w:vMerge w:val="continue"/>
            <w:tcBorders>
              <w:left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876"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510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2、熟悉业主单位各项管理制度及应急预案，并有效组织实施；</w:t>
            </w:r>
          </w:p>
        </w:tc>
        <w:tc>
          <w:tcPr>
            <w:tcW w:w="36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不熟悉扣1分，不能有效组织实施扣2分；</w:t>
            </w:r>
          </w:p>
        </w:tc>
        <w:tc>
          <w:tcPr>
            <w:tcW w:w="2471"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1" w:type="dxa"/>
            <w:vMerge w:val="continue"/>
            <w:tcBorders>
              <w:left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876"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510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3、建立内部岗位绩效考核办法，报业主单位备案；</w:t>
            </w:r>
          </w:p>
        </w:tc>
        <w:tc>
          <w:tcPr>
            <w:tcW w:w="36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未建立绩效考核办法扣2分，未落实考核奖罚办法执行扣5分；</w:t>
            </w:r>
          </w:p>
        </w:tc>
        <w:tc>
          <w:tcPr>
            <w:tcW w:w="2471"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1" w:type="dxa"/>
            <w:vMerge w:val="continue"/>
            <w:tcBorders>
              <w:left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876"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878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备注：</w:t>
            </w:r>
            <w:r>
              <w:rPr>
                <w:rFonts w:hint="eastAsia" w:ascii="宋体" w:hAnsi="宋体" w:eastAsia="宋体" w:cs="宋体"/>
                <w:color w:val="auto"/>
                <w:sz w:val="18"/>
                <w:szCs w:val="18"/>
                <w:highlight w:val="none"/>
                <w:lang w:val="en-US" w:eastAsia="zh-CN"/>
              </w:rPr>
              <w:t>规章制度</w:t>
            </w:r>
            <w:r>
              <w:rPr>
                <w:rFonts w:hint="eastAsia" w:ascii="宋体" w:hAnsi="宋体" w:eastAsia="宋体" w:cs="宋体"/>
                <w:color w:val="auto"/>
                <w:sz w:val="18"/>
                <w:szCs w:val="18"/>
                <w:highlight w:val="none"/>
              </w:rPr>
              <w:t>考核扣分扣完为止。</w:t>
            </w:r>
          </w:p>
        </w:tc>
        <w:tc>
          <w:tcPr>
            <w:tcW w:w="2471"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1" w:type="dxa"/>
            <w:vMerge w:val="continue"/>
            <w:tcBorders>
              <w:left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876"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人</w:t>
            </w:r>
          </w:p>
          <w:p>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员</w:t>
            </w:r>
          </w:p>
          <w:p>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配</w:t>
            </w:r>
          </w:p>
          <w:p>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备</w:t>
            </w:r>
          </w:p>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（10分）</w:t>
            </w:r>
          </w:p>
        </w:tc>
        <w:tc>
          <w:tcPr>
            <w:tcW w:w="510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1、人员编制符合要求；</w:t>
            </w:r>
          </w:p>
        </w:tc>
        <w:tc>
          <w:tcPr>
            <w:tcW w:w="36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达不到要求，缺少1人扣</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分；</w:t>
            </w:r>
            <w:r>
              <w:rPr>
                <w:rFonts w:hint="eastAsia" w:ascii="宋体" w:hAnsi="宋体" w:eastAsia="宋体" w:cs="宋体"/>
                <w:color w:val="auto"/>
                <w:sz w:val="18"/>
                <w:szCs w:val="18"/>
                <w:highlight w:val="none"/>
                <w:lang w:val="en-US" w:eastAsia="zh-CN"/>
              </w:rPr>
              <w:t>连续两个月未整改，该季度考核分扣10分，连续3个月未整改，该季度考核做0分处理。</w:t>
            </w:r>
          </w:p>
        </w:tc>
        <w:tc>
          <w:tcPr>
            <w:tcW w:w="2471"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1" w:type="dxa"/>
            <w:vMerge w:val="continue"/>
            <w:tcBorders>
              <w:left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876"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510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2、人员招聘符合业主要求；</w:t>
            </w:r>
          </w:p>
        </w:tc>
        <w:tc>
          <w:tcPr>
            <w:tcW w:w="36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不符合要求的每人扣</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分；</w:t>
            </w:r>
          </w:p>
        </w:tc>
        <w:tc>
          <w:tcPr>
            <w:tcW w:w="2471"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1" w:type="dxa"/>
            <w:vMerge w:val="continue"/>
            <w:tcBorders>
              <w:left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876"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510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3、人员上岗证配备达到100%，队伍保持稳定；</w:t>
            </w:r>
          </w:p>
        </w:tc>
        <w:tc>
          <w:tcPr>
            <w:tcW w:w="36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未</w:t>
            </w:r>
            <w:r>
              <w:rPr>
                <w:rFonts w:hint="eastAsia" w:ascii="宋体" w:hAnsi="宋体" w:eastAsia="宋体" w:cs="宋体"/>
                <w:color w:val="auto"/>
                <w:sz w:val="18"/>
                <w:szCs w:val="18"/>
                <w:highlight w:val="none"/>
                <w:lang w:val="en-US" w:eastAsia="zh-CN"/>
              </w:rPr>
              <w:t>持</w:t>
            </w:r>
            <w:r>
              <w:rPr>
                <w:rFonts w:hint="eastAsia" w:ascii="宋体" w:hAnsi="宋体" w:eastAsia="宋体" w:cs="宋体"/>
                <w:color w:val="auto"/>
                <w:sz w:val="18"/>
                <w:szCs w:val="18"/>
                <w:highlight w:val="none"/>
              </w:rPr>
              <w:t>证上岗证的发现一次扣</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分/每人；影响</w:t>
            </w:r>
            <w:r>
              <w:rPr>
                <w:rFonts w:hint="eastAsia" w:ascii="宋体" w:hAnsi="宋体" w:eastAsia="宋体" w:cs="宋体"/>
                <w:color w:val="auto"/>
                <w:sz w:val="18"/>
                <w:szCs w:val="18"/>
                <w:highlight w:val="none"/>
                <w:lang w:eastAsia="zh-CN"/>
              </w:rPr>
              <w:t>服务区</w:t>
            </w:r>
            <w:r>
              <w:rPr>
                <w:rFonts w:hint="eastAsia" w:ascii="宋体" w:hAnsi="宋体" w:eastAsia="宋体" w:cs="宋体"/>
                <w:color w:val="auto"/>
                <w:sz w:val="18"/>
                <w:szCs w:val="18"/>
                <w:highlight w:val="none"/>
              </w:rPr>
              <w:t>工作正常运转扣5分</w:t>
            </w:r>
            <w:r>
              <w:rPr>
                <w:rFonts w:hint="eastAsia" w:ascii="宋体" w:hAnsi="宋体" w:eastAsia="宋体" w:cs="宋体"/>
                <w:color w:val="auto"/>
                <w:sz w:val="18"/>
                <w:szCs w:val="18"/>
                <w:highlight w:val="none"/>
                <w:lang w:eastAsia="zh-CN"/>
              </w:rPr>
              <w:t>；</w:t>
            </w:r>
          </w:p>
        </w:tc>
        <w:tc>
          <w:tcPr>
            <w:tcW w:w="2471"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1" w:type="dxa"/>
            <w:vMerge w:val="continue"/>
            <w:tcBorders>
              <w:left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876"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510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4、人员无犯罪证明、上岗证等信息要到甲方备案，人员花名册每月更新上报甲方备案</w:t>
            </w:r>
          </w:p>
        </w:tc>
        <w:tc>
          <w:tcPr>
            <w:tcW w:w="36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未建立人员信息管理台帐和未</w:t>
            </w:r>
            <w:r>
              <w:rPr>
                <w:rFonts w:hint="eastAsia" w:ascii="宋体" w:hAnsi="宋体" w:eastAsia="宋体" w:cs="宋体"/>
                <w:color w:val="auto"/>
                <w:sz w:val="18"/>
                <w:szCs w:val="18"/>
                <w:highlight w:val="none"/>
                <w:lang w:val="en-US" w:eastAsia="zh-CN"/>
              </w:rPr>
              <w:t>向</w:t>
            </w:r>
            <w:r>
              <w:rPr>
                <w:rFonts w:hint="eastAsia" w:ascii="宋体" w:hAnsi="宋体" w:eastAsia="宋体" w:cs="宋体"/>
                <w:color w:val="auto"/>
                <w:sz w:val="18"/>
                <w:szCs w:val="18"/>
                <w:highlight w:val="none"/>
              </w:rPr>
              <w:t>甲方备案的扣2分；</w:t>
            </w:r>
          </w:p>
        </w:tc>
        <w:tc>
          <w:tcPr>
            <w:tcW w:w="2471"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1" w:type="dxa"/>
            <w:vMerge w:val="continue"/>
            <w:tcBorders>
              <w:left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876"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878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备注：</w:t>
            </w:r>
            <w:r>
              <w:rPr>
                <w:rFonts w:hint="eastAsia" w:ascii="宋体" w:hAnsi="宋体" w:eastAsia="宋体" w:cs="宋体"/>
                <w:color w:val="auto"/>
                <w:sz w:val="18"/>
                <w:szCs w:val="18"/>
                <w:highlight w:val="none"/>
                <w:lang w:val="en-US" w:eastAsia="zh-CN"/>
              </w:rPr>
              <w:t>人员配备</w:t>
            </w:r>
            <w:r>
              <w:rPr>
                <w:rFonts w:hint="eastAsia" w:ascii="宋体" w:hAnsi="宋体" w:eastAsia="宋体" w:cs="宋体"/>
                <w:color w:val="auto"/>
                <w:sz w:val="18"/>
                <w:szCs w:val="18"/>
                <w:highlight w:val="none"/>
              </w:rPr>
              <w:t>考核扣分扣完为止。</w:t>
            </w:r>
          </w:p>
        </w:tc>
        <w:tc>
          <w:tcPr>
            <w:tcW w:w="2471"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1" w:type="dxa"/>
            <w:vMerge w:val="continue"/>
            <w:tcBorders>
              <w:left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876" w:type="dxa"/>
            <w:vMerge w:val="restart"/>
            <w:tcBorders>
              <w:top w:val="single" w:color="auto" w:sz="4" w:space="0"/>
              <w:left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教</w:t>
            </w:r>
          </w:p>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育</w:t>
            </w:r>
          </w:p>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培</w:t>
            </w:r>
          </w:p>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训</w:t>
            </w:r>
          </w:p>
          <w:p>
            <w:pPr>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（10分）</w:t>
            </w:r>
          </w:p>
        </w:tc>
        <w:tc>
          <w:tcPr>
            <w:tcW w:w="510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1、制订内部教育培训计划，并按规定执行。</w:t>
            </w:r>
          </w:p>
        </w:tc>
        <w:tc>
          <w:tcPr>
            <w:tcW w:w="36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无培训计划扣2分，未按计划组织培训1次扣1分；</w:t>
            </w:r>
          </w:p>
        </w:tc>
        <w:tc>
          <w:tcPr>
            <w:tcW w:w="2471"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1" w:type="dxa"/>
            <w:vMerge w:val="continue"/>
            <w:tcBorders>
              <w:left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876" w:type="dxa"/>
            <w:vMerge w:val="continue"/>
            <w:tcBorders>
              <w:left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5103"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2、组织员工开展安全培训，形成岗前安全教育培训台帐；</w:t>
            </w:r>
          </w:p>
        </w:tc>
        <w:tc>
          <w:tcPr>
            <w:tcW w:w="36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未能做到扣2分；</w:t>
            </w:r>
          </w:p>
        </w:tc>
        <w:tc>
          <w:tcPr>
            <w:tcW w:w="2471"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1" w:type="dxa"/>
            <w:vMerge w:val="continue"/>
            <w:tcBorders>
              <w:left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876" w:type="dxa"/>
            <w:vMerge w:val="continue"/>
            <w:tcBorders>
              <w:left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5103"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3、积极组织员工参加</w:t>
            </w:r>
            <w:r>
              <w:rPr>
                <w:rFonts w:hint="eastAsia" w:ascii="宋体" w:hAnsi="宋体" w:eastAsia="宋体" w:cs="宋体"/>
                <w:color w:val="auto"/>
                <w:sz w:val="18"/>
                <w:szCs w:val="18"/>
                <w:highlight w:val="none"/>
                <w:lang w:eastAsia="zh-CN"/>
              </w:rPr>
              <w:t>服务区</w:t>
            </w:r>
            <w:r>
              <w:rPr>
                <w:rFonts w:hint="eastAsia" w:ascii="宋体" w:hAnsi="宋体" w:eastAsia="宋体" w:cs="宋体"/>
                <w:color w:val="auto"/>
                <w:sz w:val="18"/>
                <w:szCs w:val="18"/>
                <w:highlight w:val="none"/>
              </w:rPr>
              <w:t>组织各项教育培训活动；</w:t>
            </w:r>
          </w:p>
        </w:tc>
        <w:tc>
          <w:tcPr>
            <w:tcW w:w="36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未能有效组织参加扣2分；</w:t>
            </w:r>
          </w:p>
        </w:tc>
        <w:tc>
          <w:tcPr>
            <w:tcW w:w="2471"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1" w:type="dxa"/>
            <w:vMerge w:val="continue"/>
            <w:tcBorders>
              <w:left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876" w:type="dxa"/>
            <w:vMerge w:val="continue"/>
            <w:tcBorders>
              <w:left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5103"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4、物业项目部每年组织开展员工技能培训活动不少于4次，并形成台帐记录；</w:t>
            </w:r>
          </w:p>
        </w:tc>
        <w:tc>
          <w:tcPr>
            <w:tcW w:w="36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未能有效组织实施一次扣2分；</w:t>
            </w:r>
          </w:p>
        </w:tc>
        <w:tc>
          <w:tcPr>
            <w:tcW w:w="2471"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1" w:type="dxa"/>
            <w:vMerge w:val="continue"/>
            <w:tcBorders>
              <w:left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876" w:type="dxa"/>
            <w:vMerge w:val="continue"/>
            <w:tcBorders>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5103"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备注：</w:t>
            </w:r>
            <w:r>
              <w:rPr>
                <w:rFonts w:hint="eastAsia" w:ascii="宋体" w:hAnsi="宋体" w:eastAsia="宋体" w:cs="宋体"/>
                <w:color w:val="auto"/>
                <w:sz w:val="18"/>
                <w:szCs w:val="18"/>
                <w:highlight w:val="none"/>
                <w:lang w:val="en-US" w:eastAsia="zh-CN"/>
              </w:rPr>
              <w:t>教育培训</w:t>
            </w:r>
            <w:r>
              <w:rPr>
                <w:rFonts w:hint="eastAsia" w:ascii="宋体" w:hAnsi="宋体" w:eastAsia="宋体" w:cs="宋体"/>
                <w:color w:val="auto"/>
                <w:sz w:val="18"/>
                <w:szCs w:val="18"/>
                <w:highlight w:val="none"/>
              </w:rPr>
              <w:t>考核扣分扣完为止。</w:t>
            </w:r>
          </w:p>
        </w:tc>
        <w:tc>
          <w:tcPr>
            <w:tcW w:w="36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p>
        </w:tc>
        <w:tc>
          <w:tcPr>
            <w:tcW w:w="2471"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1" w:type="dxa"/>
            <w:vMerge w:val="continue"/>
            <w:tcBorders>
              <w:left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876" w:type="dxa"/>
            <w:vMerge w:val="restart"/>
            <w:tcBorders>
              <w:top w:val="single" w:color="auto" w:sz="4" w:space="0"/>
              <w:left w:val="single" w:color="auto" w:sz="4" w:space="0"/>
              <w:right w:val="single" w:color="auto" w:sz="4" w:space="0"/>
            </w:tcBorders>
            <w:noWrap w:val="0"/>
            <w:vAlign w:val="top"/>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安</w:t>
            </w:r>
          </w:p>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全</w:t>
            </w:r>
          </w:p>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生</w:t>
            </w:r>
          </w:p>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产</w:t>
            </w:r>
          </w:p>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r>
              <w:rPr>
                <w:rFonts w:hint="eastAsia" w:ascii="宋体" w:hAnsi="宋体" w:eastAsia="宋体" w:cs="宋体"/>
                <w:color w:val="auto"/>
                <w:sz w:val="18"/>
                <w:szCs w:val="18"/>
                <w:highlight w:val="none"/>
              </w:rPr>
              <w:t>（10分）</w:t>
            </w:r>
          </w:p>
        </w:tc>
        <w:tc>
          <w:tcPr>
            <w:tcW w:w="510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1、制定保安巡逻制度，按规定组织开展日常巡视和安全检查。</w:t>
            </w:r>
          </w:p>
        </w:tc>
        <w:tc>
          <w:tcPr>
            <w:tcW w:w="36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未制定巡逻制度扣2分，日常巡查或检查不到位扣</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分/次。</w:t>
            </w:r>
          </w:p>
        </w:tc>
        <w:tc>
          <w:tcPr>
            <w:tcW w:w="2471"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1" w:type="dxa"/>
            <w:vMerge w:val="continue"/>
            <w:tcBorders>
              <w:left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876" w:type="dxa"/>
            <w:vMerge w:val="continue"/>
            <w:tcBorders>
              <w:left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510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2、定期开展安全检查工作，发现安全隐患，进行记录登记和上报，及落实整改及防范措施；</w:t>
            </w:r>
          </w:p>
        </w:tc>
        <w:tc>
          <w:tcPr>
            <w:tcW w:w="36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未及时发现安全隐患扣</w:t>
            </w: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rPr>
              <w:t>分/次，安全隐患整改落实不到位扣</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分/次。</w:t>
            </w:r>
          </w:p>
        </w:tc>
        <w:tc>
          <w:tcPr>
            <w:tcW w:w="2471"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1" w:type="dxa"/>
            <w:vMerge w:val="continue"/>
            <w:tcBorders>
              <w:left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876" w:type="dxa"/>
            <w:vMerge w:val="continue"/>
            <w:tcBorders>
              <w:left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510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3、现场安全措施落实到位，无“三违”现象。</w:t>
            </w:r>
          </w:p>
        </w:tc>
        <w:tc>
          <w:tcPr>
            <w:tcW w:w="36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违反一次扣5分/次。</w:t>
            </w:r>
          </w:p>
        </w:tc>
        <w:tc>
          <w:tcPr>
            <w:tcW w:w="2471"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1" w:type="dxa"/>
            <w:vMerge w:val="continue"/>
            <w:tcBorders>
              <w:left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876" w:type="dxa"/>
            <w:vMerge w:val="continue"/>
            <w:tcBorders>
              <w:left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510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4、物业公司组织技术力量每季对</w:t>
            </w:r>
            <w:r>
              <w:rPr>
                <w:rFonts w:hint="eastAsia" w:ascii="宋体" w:hAnsi="宋体" w:eastAsia="宋体" w:cs="宋体"/>
                <w:color w:val="auto"/>
                <w:sz w:val="18"/>
                <w:szCs w:val="18"/>
                <w:highlight w:val="none"/>
                <w:lang w:eastAsia="zh-CN"/>
              </w:rPr>
              <w:t>服务区</w:t>
            </w:r>
            <w:r>
              <w:rPr>
                <w:rFonts w:hint="eastAsia" w:ascii="宋体" w:hAnsi="宋体" w:eastAsia="宋体" w:cs="宋体"/>
                <w:color w:val="auto"/>
                <w:sz w:val="18"/>
                <w:szCs w:val="18"/>
                <w:highlight w:val="none"/>
              </w:rPr>
              <w:t>设施设备定期开展检查与指导，并形成书面报告</w:t>
            </w:r>
            <w:r>
              <w:rPr>
                <w:rFonts w:hint="eastAsia" w:ascii="宋体" w:hAnsi="宋体" w:eastAsia="宋体" w:cs="宋体"/>
                <w:color w:val="auto"/>
                <w:sz w:val="18"/>
                <w:szCs w:val="18"/>
                <w:highlight w:val="none"/>
                <w:lang w:eastAsia="zh-CN"/>
              </w:rPr>
              <w:t>服务区</w:t>
            </w:r>
            <w:r>
              <w:rPr>
                <w:rFonts w:hint="eastAsia" w:ascii="宋体" w:hAnsi="宋体" w:eastAsia="宋体" w:cs="宋体"/>
                <w:color w:val="auto"/>
                <w:sz w:val="18"/>
                <w:szCs w:val="18"/>
                <w:highlight w:val="none"/>
              </w:rPr>
              <w:t>。</w:t>
            </w:r>
          </w:p>
        </w:tc>
        <w:tc>
          <w:tcPr>
            <w:tcW w:w="36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未能做到一次扣5分。</w:t>
            </w:r>
          </w:p>
        </w:tc>
        <w:tc>
          <w:tcPr>
            <w:tcW w:w="2471"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1" w:type="dxa"/>
            <w:vMerge w:val="continue"/>
            <w:tcBorders>
              <w:left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876" w:type="dxa"/>
            <w:vMerge w:val="continue"/>
            <w:tcBorders>
              <w:left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510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5、应急突发事件处置及时，响应迅速有效，措施到位。</w:t>
            </w:r>
          </w:p>
        </w:tc>
        <w:tc>
          <w:tcPr>
            <w:tcW w:w="36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处置不及时或处置方法不当，发现一次扣5分。</w:t>
            </w:r>
          </w:p>
        </w:tc>
        <w:tc>
          <w:tcPr>
            <w:tcW w:w="2471"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1" w:type="dxa"/>
            <w:vMerge w:val="continue"/>
            <w:tcBorders>
              <w:left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876" w:type="dxa"/>
            <w:vMerge w:val="continue"/>
            <w:tcBorders>
              <w:left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510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6、不得出现责任性安全生产事故，因物业管理不当造成安全生产事故。</w:t>
            </w:r>
          </w:p>
        </w:tc>
        <w:tc>
          <w:tcPr>
            <w:tcW w:w="36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当月考核0分处理，并按合同约定，承担相应经济责任。</w:t>
            </w:r>
          </w:p>
        </w:tc>
        <w:tc>
          <w:tcPr>
            <w:tcW w:w="2471"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1" w:type="dxa"/>
            <w:vMerge w:val="continue"/>
            <w:tcBorders>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876" w:type="dxa"/>
            <w:vMerge w:val="continue"/>
            <w:tcBorders>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510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备注：</w:t>
            </w:r>
            <w:r>
              <w:rPr>
                <w:rFonts w:hint="eastAsia" w:ascii="宋体" w:hAnsi="宋体" w:eastAsia="宋体" w:cs="宋体"/>
                <w:color w:val="auto"/>
                <w:sz w:val="18"/>
                <w:szCs w:val="18"/>
                <w:highlight w:val="none"/>
                <w:lang w:val="en-US" w:eastAsia="zh-CN"/>
              </w:rPr>
              <w:t>安全生产</w:t>
            </w:r>
            <w:r>
              <w:rPr>
                <w:rFonts w:hint="eastAsia" w:ascii="宋体" w:hAnsi="宋体" w:eastAsia="宋体" w:cs="宋体"/>
                <w:color w:val="auto"/>
                <w:sz w:val="18"/>
                <w:szCs w:val="18"/>
                <w:highlight w:val="none"/>
              </w:rPr>
              <w:t>考核扣分扣完为止。</w:t>
            </w:r>
          </w:p>
        </w:tc>
        <w:tc>
          <w:tcPr>
            <w:tcW w:w="36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kern w:val="2"/>
                <w:sz w:val="18"/>
                <w:szCs w:val="18"/>
                <w:highlight w:val="none"/>
                <w:lang w:val="en-US" w:eastAsia="zh-CN" w:bidi="ar-SA"/>
              </w:rPr>
            </w:pPr>
          </w:p>
        </w:tc>
        <w:tc>
          <w:tcPr>
            <w:tcW w:w="2471"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r>
      <w:bookmarkEnd w:id="191"/>
    </w:tbl>
    <w:p>
      <w:pPr>
        <w:tabs>
          <w:tab w:val="left" w:pos="540"/>
          <w:tab w:val="left" w:pos="720"/>
        </w:tabs>
        <w:adjustRightInd w:val="0"/>
        <w:snapToGrid w:val="0"/>
        <w:spacing w:line="240" w:lineRule="auto"/>
        <w:ind w:left="410" w:hanging="307" w:hangingChars="170"/>
        <w:jc w:val="both"/>
        <w:rPr>
          <w:rFonts w:hint="default" w:ascii="宋体" w:hAnsi="宋体" w:eastAsia="宋体" w:cs="宋体"/>
          <w:b/>
          <w:color w:val="auto"/>
          <w:sz w:val="18"/>
          <w:szCs w:val="18"/>
          <w:highlight w:val="none"/>
          <w:lang w:val="en-US" w:eastAsia="zh-CN"/>
        </w:rPr>
      </w:pPr>
    </w:p>
    <w:tbl>
      <w:tblPr>
        <w:tblStyle w:val="24"/>
        <w:tblpPr w:leftFromText="180" w:rightFromText="180" w:vertAnchor="text" w:horzAnchor="page" w:tblpXSpec="center" w:tblpY="1"/>
        <w:tblOverlap w:val="never"/>
        <w:tblW w:w="13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888"/>
        <w:gridCol w:w="5340"/>
        <w:gridCol w:w="3420"/>
        <w:gridCol w:w="2472"/>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02"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540"/>
                <w:tab w:val="left" w:pos="720"/>
              </w:tabs>
              <w:adjustRightInd w:val="0"/>
              <w:snapToGrid w:val="0"/>
              <w:spacing w:line="240" w:lineRule="auto"/>
              <w:ind w:left="410" w:hanging="307" w:hangingChars="170"/>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项目</w:t>
            </w:r>
          </w:p>
        </w:tc>
        <w:tc>
          <w:tcPr>
            <w:tcW w:w="5340" w:type="dxa"/>
            <w:tcBorders>
              <w:top w:val="single" w:color="auto" w:sz="4" w:space="0"/>
              <w:left w:val="single" w:color="auto" w:sz="4" w:space="0"/>
              <w:bottom w:val="single" w:color="auto" w:sz="4" w:space="0"/>
              <w:right w:val="single" w:color="auto" w:sz="4" w:space="0"/>
            </w:tcBorders>
            <w:noWrap w:val="0"/>
            <w:vAlign w:val="center"/>
          </w:tcPr>
          <w:p>
            <w:pPr>
              <w:tabs>
                <w:tab w:val="left" w:pos="540"/>
                <w:tab w:val="left" w:pos="720"/>
              </w:tabs>
              <w:adjustRightInd w:val="0"/>
              <w:snapToGrid w:val="0"/>
              <w:spacing w:line="240" w:lineRule="auto"/>
              <w:ind w:left="410" w:hanging="307" w:hangingChars="170"/>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考核标准</w:t>
            </w:r>
          </w:p>
        </w:tc>
        <w:tc>
          <w:tcPr>
            <w:tcW w:w="3420" w:type="dxa"/>
            <w:tcBorders>
              <w:top w:val="single" w:color="auto" w:sz="4" w:space="0"/>
              <w:left w:val="single" w:color="auto" w:sz="4" w:space="0"/>
              <w:bottom w:val="single" w:color="auto" w:sz="4" w:space="0"/>
              <w:right w:val="single" w:color="auto" w:sz="4" w:space="0"/>
            </w:tcBorders>
            <w:noWrap w:val="0"/>
            <w:vAlign w:val="center"/>
          </w:tcPr>
          <w:p>
            <w:pPr>
              <w:tabs>
                <w:tab w:val="left" w:pos="540"/>
                <w:tab w:val="left" w:pos="720"/>
              </w:tabs>
              <w:adjustRightInd w:val="0"/>
              <w:snapToGrid w:val="0"/>
              <w:spacing w:line="240" w:lineRule="auto"/>
              <w:ind w:left="410" w:hanging="307" w:hangingChars="170"/>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考核办法</w:t>
            </w:r>
          </w:p>
        </w:tc>
        <w:tc>
          <w:tcPr>
            <w:tcW w:w="2472" w:type="dxa"/>
            <w:tcBorders>
              <w:top w:val="single" w:color="auto" w:sz="4" w:space="0"/>
              <w:left w:val="single" w:color="auto" w:sz="4" w:space="0"/>
              <w:bottom w:val="single" w:color="auto" w:sz="4" w:space="0"/>
              <w:right w:val="single" w:color="auto" w:sz="4" w:space="0"/>
            </w:tcBorders>
            <w:noWrap w:val="0"/>
            <w:vAlign w:val="center"/>
          </w:tcPr>
          <w:p>
            <w:pPr>
              <w:tabs>
                <w:tab w:val="left" w:pos="540"/>
                <w:tab w:val="left" w:pos="720"/>
              </w:tabs>
              <w:adjustRightInd w:val="0"/>
              <w:snapToGrid w:val="0"/>
              <w:spacing w:line="240" w:lineRule="auto"/>
              <w:ind w:left="410" w:hanging="307" w:hangingChars="170"/>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扣分事项</w:t>
            </w:r>
          </w:p>
        </w:tc>
        <w:tc>
          <w:tcPr>
            <w:tcW w:w="948" w:type="dxa"/>
            <w:tcBorders>
              <w:top w:val="single" w:color="auto" w:sz="4" w:space="0"/>
              <w:left w:val="single" w:color="auto" w:sz="4" w:space="0"/>
              <w:bottom w:val="single" w:color="auto" w:sz="4" w:space="0"/>
              <w:right w:val="single" w:color="auto" w:sz="4" w:space="0"/>
            </w:tcBorders>
            <w:noWrap w:val="0"/>
            <w:vAlign w:val="center"/>
          </w:tcPr>
          <w:p>
            <w:pPr>
              <w:tabs>
                <w:tab w:val="left" w:pos="540"/>
                <w:tab w:val="left" w:pos="720"/>
              </w:tabs>
              <w:adjustRightInd w:val="0"/>
              <w:snapToGrid w:val="0"/>
              <w:spacing w:line="240" w:lineRule="auto"/>
              <w:ind w:left="410" w:hanging="307" w:hangingChars="170"/>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4" w:type="dxa"/>
            <w:vMerge w:val="restart"/>
            <w:tcBorders>
              <w:top w:val="single" w:color="auto" w:sz="4" w:space="0"/>
              <w:left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18"/>
                <w:szCs w:val="18"/>
                <w:highlight w:val="none"/>
              </w:rPr>
            </w:pPr>
          </w:p>
          <w:p>
            <w:pPr>
              <w:spacing w:line="240" w:lineRule="auto"/>
              <w:jc w:val="center"/>
              <w:rPr>
                <w:rFonts w:hint="eastAsia" w:ascii="宋体" w:hAnsi="宋体" w:eastAsia="宋体" w:cs="宋体"/>
                <w:color w:val="auto"/>
                <w:sz w:val="18"/>
                <w:szCs w:val="18"/>
                <w:highlight w:val="none"/>
              </w:rPr>
            </w:pPr>
          </w:p>
          <w:p>
            <w:pPr>
              <w:spacing w:line="240" w:lineRule="auto"/>
              <w:jc w:val="center"/>
              <w:rPr>
                <w:rFonts w:hint="eastAsia" w:ascii="宋体" w:hAnsi="宋体" w:eastAsia="宋体" w:cs="宋体"/>
                <w:color w:val="auto"/>
                <w:sz w:val="18"/>
                <w:szCs w:val="18"/>
                <w:highlight w:val="none"/>
              </w:rPr>
            </w:pPr>
          </w:p>
          <w:p>
            <w:pPr>
              <w:spacing w:line="240" w:lineRule="auto"/>
              <w:jc w:val="center"/>
              <w:rPr>
                <w:rFonts w:hint="eastAsia" w:ascii="宋体" w:hAnsi="宋体" w:eastAsia="宋体" w:cs="宋体"/>
                <w:color w:val="auto"/>
                <w:sz w:val="18"/>
                <w:szCs w:val="18"/>
                <w:highlight w:val="none"/>
              </w:rPr>
            </w:pPr>
          </w:p>
          <w:p>
            <w:pPr>
              <w:spacing w:line="240" w:lineRule="auto"/>
              <w:jc w:val="center"/>
              <w:rPr>
                <w:rFonts w:hint="eastAsia" w:ascii="宋体" w:hAnsi="宋体" w:eastAsia="宋体" w:cs="宋体"/>
                <w:color w:val="auto"/>
                <w:sz w:val="18"/>
                <w:szCs w:val="18"/>
                <w:highlight w:val="none"/>
              </w:rPr>
            </w:pPr>
          </w:p>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质</w:t>
            </w:r>
          </w:p>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量</w:t>
            </w:r>
          </w:p>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管</w:t>
            </w:r>
          </w:p>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理</w:t>
            </w:r>
          </w:p>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5分）</w:t>
            </w:r>
          </w:p>
        </w:tc>
        <w:tc>
          <w:tcPr>
            <w:tcW w:w="88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六</w:t>
            </w:r>
          </w:p>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大</w:t>
            </w:r>
          </w:p>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禁</w:t>
            </w:r>
          </w:p>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令</w:t>
            </w:r>
          </w:p>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（10分）</w:t>
            </w:r>
          </w:p>
        </w:tc>
        <w:tc>
          <w:tcPr>
            <w:tcW w:w="53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1、严禁员工将</w:t>
            </w:r>
            <w:r>
              <w:rPr>
                <w:rFonts w:hint="eastAsia" w:ascii="宋体" w:hAnsi="宋体" w:eastAsia="宋体" w:cs="宋体"/>
                <w:color w:val="auto"/>
                <w:sz w:val="18"/>
                <w:szCs w:val="18"/>
                <w:highlight w:val="none"/>
                <w:lang w:eastAsia="zh-CN"/>
              </w:rPr>
              <w:t>服务区</w:t>
            </w:r>
            <w:r>
              <w:rPr>
                <w:rFonts w:hint="eastAsia" w:ascii="宋体" w:hAnsi="宋体" w:eastAsia="宋体" w:cs="宋体"/>
                <w:color w:val="auto"/>
                <w:sz w:val="18"/>
                <w:szCs w:val="18"/>
                <w:highlight w:val="none"/>
              </w:rPr>
              <w:t>物品占为自有。</w:t>
            </w:r>
          </w:p>
        </w:tc>
        <w:tc>
          <w:tcPr>
            <w:tcW w:w="342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违者辞退处理，项目部月度考核扣10分，罚款500元/次</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扣完为止</w:t>
            </w:r>
            <w:r>
              <w:rPr>
                <w:rFonts w:hint="eastAsia" w:ascii="宋体" w:hAnsi="宋体" w:eastAsia="宋体" w:cs="宋体"/>
                <w:color w:val="auto"/>
                <w:sz w:val="18"/>
                <w:szCs w:val="18"/>
                <w:highlight w:val="none"/>
              </w:rPr>
              <w:t>。</w:t>
            </w:r>
          </w:p>
        </w:tc>
        <w:tc>
          <w:tcPr>
            <w:tcW w:w="2472"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4" w:type="dxa"/>
            <w:vMerge w:val="continue"/>
            <w:tcBorders>
              <w:left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888" w:type="dxa"/>
            <w:vMerge w:val="continue"/>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宋体" w:hAnsi="宋体" w:eastAsia="宋体" w:cs="宋体"/>
                <w:color w:val="auto"/>
                <w:sz w:val="18"/>
                <w:szCs w:val="18"/>
                <w:highlight w:val="none"/>
              </w:rPr>
            </w:pPr>
          </w:p>
        </w:tc>
        <w:tc>
          <w:tcPr>
            <w:tcW w:w="53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2、严禁员工利用公共区域私卖物品，谋取私利。</w:t>
            </w:r>
          </w:p>
        </w:tc>
        <w:tc>
          <w:tcPr>
            <w:tcW w:w="34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p>
        </w:tc>
        <w:tc>
          <w:tcPr>
            <w:tcW w:w="2472"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914" w:type="dxa"/>
            <w:vMerge w:val="continue"/>
            <w:tcBorders>
              <w:left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888" w:type="dxa"/>
            <w:vMerge w:val="continue"/>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宋体" w:hAnsi="宋体" w:eastAsia="宋体" w:cs="宋体"/>
                <w:color w:val="auto"/>
                <w:sz w:val="18"/>
                <w:szCs w:val="18"/>
                <w:highlight w:val="none"/>
              </w:rPr>
            </w:pPr>
          </w:p>
        </w:tc>
        <w:tc>
          <w:tcPr>
            <w:tcW w:w="53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3、严禁员工向</w:t>
            </w:r>
            <w:r>
              <w:rPr>
                <w:rFonts w:hint="eastAsia" w:ascii="宋体" w:hAnsi="宋体" w:eastAsia="宋体" w:cs="宋体"/>
                <w:color w:val="auto"/>
                <w:sz w:val="18"/>
                <w:szCs w:val="18"/>
                <w:highlight w:val="none"/>
                <w:lang w:eastAsia="zh-CN"/>
              </w:rPr>
              <w:t>服务区</w:t>
            </w:r>
            <w:r>
              <w:rPr>
                <w:rFonts w:hint="eastAsia" w:ascii="宋体" w:hAnsi="宋体" w:eastAsia="宋体" w:cs="宋体"/>
                <w:color w:val="auto"/>
                <w:sz w:val="18"/>
                <w:szCs w:val="18"/>
                <w:highlight w:val="none"/>
              </w:rPr>
              <w:t>商家“吃、拿、卡、要”。</w:t>
            </w:r>
          </w:p>
        </w:tc>
        <w:tc>
          <w:tcPr>
            <w:tcW w:w="34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p>
        </w:tc>
        <w:tc>
          <w:tcPr>
            <w:tcW w:w="2472"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4" w:type="dxa"/>
            <w:vMerge w:val="continue"/>
            <w:tcBorders>
              <w:left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888" w:type="dxa"/>
            <w:vMerge w:val="continue"/>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宋体" w:hAnsi="宋体" w:eastAsia="宋体" w:cs="宋体"/>
                <w:color w:val="auto"/>
                <w:sz w:val="18"/>
                <w:szCs w:val="18"/>
                <w:highlight w:val="none"/>
              </w:rPr>
            </w:pPr>
          </w:p>
        </w:tc>
        <w:tc>
          <w:tcPr>
            <w:tcW w:w="53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4、严禁员工与司乘人员吵闹、殴打。</w:t>
            </w:r>
          </w:p>
        </w:tc>
        <w:tc>
          <w:tcPr>
            <w:tcW w:w="34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p>
        </w:tc>
        <w:tc>
          <w:tcPr>
            <w:tcW w:w="2472"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914" w:type="dxa"/>
            <w:vMerge w:val="continue"/>
            <w:tcBorders>
              <w:left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888" w:type="dxa"/>
            <w:vMerge w:val="continue"/>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宋体" w:hAnsi="宋体" w:eastAsia="宋体" w:cs="宋体"/>
                <w:color w:val="auto"/>
                <w:sz w:val="18"/>
                <w:szCs w:val="18"/>
                <w:highlight w:val="none"/>
              </w:rPr>
            </w:pPr>
          </w:p>
        </w:tc>
        <w:tc>
          <w:tcPr>
            <w:tcW w:w="53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5、严禁聚众赌博、班中饮酒、员工之间打架等</w:t>
            </w:r>
          </w:p>
        </w:tc>
        <w:tc>
          <w:tcPr>
            <w:tcW w:w="34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p>
        </w:tc>
        <w:tc>
          <w:tcPr>
            <w:tcW w:w="2472"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4" w:type="dxa"/>
            <w:vMerge w:val="continue"/>
            <w:tcBorders>
              <w:left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888" w:type="dxa"/>
            <w:vMerge w:val="continue"/>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宋体" w:hAnsi="宋体" w:eastAsia="宋体" w:cs="宋体"/>
                <w:color w:val="auto"/>
                <w:sz w:val="18"/>
                <w:szCs w:val="18"/>
                <w:highlight w:val="none"/>
              </w:rPr>
            </w:pPr>
          </w:p>
        </w:tc>
        <w:tc>
          <w:tcPr>
            <w:tcW w:w="53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6、严禁利用工作之便偷盗、侵吞公共财物或串通外来人员进行违法行为。</w:t>
            </w:r>
          </w:p>
        </w:tc>
        <w:tc>
          <w:tcPr>
            <w:tcW w:w="34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p>
        </w:tc>
        <w:tc>
          <w:tcPr>
            <w:tcW w:w="2472"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4" w:type="dxa"/>
            <w:vMerge w:val="continue"/>
            <w:tcBorders>
              <w:left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88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劳</w:t>
            </w:r>
          </w:p>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动</w:t>
            </w:r>
          </w:p>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纪</w:t>
            </w:r>
          </w:p>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律</w:t>
            </w:r>
          </w:p>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r>
              <w:rPr>
                <w:rFonts w:hint="eastAsia" w:ascii="宋体" w:hAnsi="宋体" w:eastAsia="宋体" w:cs="宋体"/>
                <w:color w:val="auto"/>
                <w:sz w:val="18"/>
                <w:szCs w:val="18"/>
                <w:highlight w:val="none"/>
                <w:lang w:val="en-US" w:eastAsia="zh-CN"/>
              </w:rPr>
              <w:t>0</w:t>
            </w:r>
            <w:r>
              <w:rPr>
                <w:rFonts w:hint="eastAsia" w:ascii="宋体" w:hAnsi="宋体" w:eastAsia="宋体" w:cs="宋体"/>
                <w:color w:val="auto"/>
                <w:sz w:val="18"/>
                <w:szCs w:val="18"/>
                <w:highlight w:val="none"/>
              </w:rPr>
              <w:t>分）</w:t>
            </w:r>
          </w:p>
        </w:tc>
        <w:tc>
          <w:tcPr>
            <w:tcW w:w="53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1、准时上下岗，保证内外现场不断人，交接班必须在现场地交接。</w:t>
            </w:r>
          </w:p>
        </w:tc>
        <w:tc>
          <w:tcPr>
            <w:tcW w:w="342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违反一条每次扣2分，</w:t>
            </w:r>
            <w:r>
              <w:rPr>
                <w:rFonts w:hint="eastAsia" w:ascii="宋体" w:hAnsi="宋体" w:eastAsia="宋体" w:cs="宋体"/>
                <w:color w:val="auto"/>
                <w:sz w:val="18"/>
                <w:szCs w:val="18"/>
                <w:highlight w:val="none"/>
                <w:lang w:val="en-US" w:eastAsia="zh-CN"/>
              </w:rPr>
              <w:t>扣完为止。</w:t>
            </w:r>
          </w:p>
        </w:tc>
        <w:tc>
          <w:tcPr>
            <w:tcW w:w="2472"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4" w:type="dxa"/>
            <w:vMerge w:val="continue"/>
            <w:tcBorders>
              <w:left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88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18"/>
                <w:szCs w:val="18"/>
                <w:highlight w:val="none"/>
              </w:rPr>
            </w:pPr>
          </w:p>
        </w:tc>
        <w:tc>
          <w:tcPr>
            <w:tcW w:w="53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2、上岗期间不能发生脱岗、睡岗、聚众闲聊、玩游戏等行为。</w:t>
            </w:r>
          </w:p>
        </w:tc>
        <w:tc>
          <w:tcPr>
            <w:tcW w:w="34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p>
        </w:tc>
        <w:tc>
          <w:tcPr>
            <w:tcW w:w="2472"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4" w:type="dxa"/>
            <w:vMerge w:val="continue"/>
            <w:tcBorders>
              <w:left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88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18"/>
                <w:szCs w:val="18"/>
                <w:highlight w:val="none"/>
              </w:rPr>
            </w:pPr>
          </w:p>
        </w:tc>
        <w:tc>
          <w:tcPr>
            <w:tcW w:w="53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3、按上报的排班表上岗，不发生岗位缺岗。因特殊原因不能按编上岗，应向</w:t>
            </w:r>
            <w:r>
              <w:rPr>
                <w:rFonts w:hint="eastAsia" w:ascii="宋体" w:hAnsi="宋体" w:eastAsia="宋体" w:cs="宋体"/>
                <w:color w:val="auto"/>
                <w:sz w:val="18"/>
                <w:szCs w:val="18"/>
                <w:highlight w:val="none"/>
                <w:lang w:eastAsia="zh-CN"/>
              </w:rPr>
              <w:t>服务区</w:t>
            </w:r>
            <w:r>
              <w:rPr>
                <w:rFonts w:hint="eastAsia" w:ascii="宋体" w:hAnsi="宋体" w:eastAsia="宋体" w:cs="宋体"/>
                <w:color w:val="auto"/>
                <w:sz w:val="18"/>
                <w:szCs w:val="18"/>
                <w:highlight w:val="none"/>
              </w:rPr>
              <w:t>说明，并征得同意。</w:t>
            </w:r>
          </w:p>
        </w:tc>
        <w:tc>
          <w:tcPr>
            <w:tcW w:w="34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p>
        </w:tc>
        <w:tc>
          <w:tcPr>
            <w:tcW w:w="2472"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914" w:type="dxa"/>
            <w:vMerge w:val="continue"/>
            <w:tcBorders>
              <w:left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888" w:type="dxa"/>
            <w:vMerge w:val="continue"/>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宋体" w:hAnsi="宋体" w:eastAsia="宋体" w:cs="宋体"/>
                <w:color w:val="auto"/>
                <w:sz w:val="18"/>
                <w:szCs w:val="18"/>
                <w:highlight w:val="none"/>
              </w:rPr>
            </w:pPr>
          </w:p>
        </w:tc>
        <w:tc>
          <w:tcPr>
            <w:tcW w:w="53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4、上岗期间需配合</w:t>
            </w:r>
            <w:r>
              <w:rPr>
                <w:rFonts w:hint="eastAsia" w:ascii="宋体" w:hAnsi="宋体" w:eastAsia="宋体" w:cs="宋体"/>
                <w:color w:val="auto"/>
                <w:sz w:val="18"/>
                <w:szCs w:val="18"/>
                <w:highlight w:val="none"/>
                <w:lang w:eastAsia="zh-CN"/>
              </w:rPr>
              <w:t>服务区</w:t>
            </w:r>
            <w:r>
              <w:rPr>
                <w:rFonts w:hint="eastAsia" w:ascii="宋体" w:hAnsi="宋体" w:eastAsia="宋体" w:cs="宋体"/>
                <w:color w:val="auto"/>
                <w:sz w:val="18"/>
                <w:szCs w:val="18"/>
                <w:highlight w:val="none"/>
              </w:rPr>
              <w:t>稽查人员稽查。</w:t>
            </w:r>
          </w:p>
        </w:tc>
        <w:tc>
          <w:tcPr>
            <w:tcW w:w="34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p>
        </w:tc>
        <w:tc>
          <w:tcPr>
            <w:tcW w:w="2472"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914" w:type="dxa"/>
            <w:vMerge w:val="continue"/>
            <w:tcBorders>
              <w:left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888" w:type="dxa"/>
            <w:vMerge w:val="continue"/>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宋体" w:hAnsi="宋体" w:eastAsia="宋体" w:cs="宋体"/>
                <w:color w:val="auto"/>
                <w:sz w:val="18"/>
                <w:szCs w:val="18"/>
                <w:highlight w:val="none"/>
              </w:rPr>
            </w:pPr>
          </w:p>
        </w:tc>
        <w:tc>
          <w:tcPr>
            <w:tcW w:w="53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5、上岗期间不串岗，当班保安就餐前须落实好替岗人员，轮换就餐，交接班必须在现场交接。</w:t>
            </w:r>
          </w:p>
        </w:tc>
        <w:tc>
          <w:tcPr>
            <w:tcW w:w="34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p>
        </w:tc>
        <w:tc>
          <w:tcPr>
            <w:tcW w:w="2472"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4" w:type="dxa"/>
            <w:vMerge w:val="continue"/>
            <w:tcBorders>
              <w:left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88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18"/>
                <w:szCs w:val="18"/>
                <w:highlight w:val="none"/>
              </w:rPr>
            </w:pPr>
          </w:p>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行</w:t>
            </w:r>
          </w:p>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为</w:t>
            </w:r>
          </w:p>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规</w:t>
            </w:r>
          </w:p>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范</w:t>
            </w:r>
          </w:p>
          <w:p>
            <w:p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10</w:t>
            </w:r>
            <w:r>
              <w:rPr>
                <w:rFonts w:hint="eastAsia" w:ascii="宋体" w:hAnsi="宋体" w:eastAsia="宋体" w:cs="宋体"/>
                <w:color w:val="auto"/>
                <w:sz w:val="18"/>
                <w:szCs w:val="18"/>
                <w:highlight w:val="none"/>
              </w:rPr>
              <w:t>分</w:t>
            </w:r>
            <w:r>
              <w:rPr>
                <w:rFonts w:hint="eastAsia" w:ascii="宋体" w:hAnsi="宋体" w:eastAsia="宋体" w:cs="宋体"/>
                <w:color w:val="auto"/>
                <w:sz w:val="18"/>
                <w:szCs w:val="18"/>
                <w:highlight w:val="none"/>
                <w:lang w:val="en-US" w:eastAsia="zh-CN"/>
              </w:rPr>
              <w:t>)</w:t>
            </w:r>
          </w:p>
        </w:tc>
        <w:tc>
          <w:tcPr>
            <w:tcW w:w="53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1、正确的使用礼貌用语。</w:t>
            </w:r>
          </w:p>
        </w:tc>
        <w:tc>
          <w:tcPr>
            <w:tcW w:w="342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违反一条每次扣2分</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扣完为止。</w:t>
            </w:r>
          </w:p>
        </w:tc>
        <w:tc>
          <w:tcPr>
            <w:tcW w:w="2472"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4" w:type="dxa"/>
            <w:vMerge w:val="continue"/>
            <w:tcBorders>
              <w:left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888" w:type="dxa"/>
            <w:vMerge w:val="continue"/>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53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2、发生司乘人员求助时，应热情服务、积极帮助，不能借故推脱。</w:t>
            </w:r>
          </w:p>
        </w:tc>
        <w:tc>
          <w:tcPr>
            <w:tcW w:w="34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p>
        </w:tc>
        <w:tc>
          <w:tcPr>
            <w:tcW w:w="2472"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4" w:type="dxa"/>
            <w:vMerge w:val="continue"/>
            <w:tcBorders>
              <w:left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888" w:type="dxa"/>
            <w:vMerge w:val="continue"/>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53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3、掌握</w:t>
            </w:r>
            <w:r>
              <w:rPr>
                <w:rFonts w:hint="eastAsia" w:ascii="宋体" w:hAnsi="宋体" w:eastAsia="宋体" w:cs="宋体"/>
                <w:color w:val="auto"/>
                <w:sz w:val="18"/>
                <w:szCs w:val="18"/>
                <w:highlight w:val="none"/>
                <w:lang w:eastAsia="zh-CN"/>
              </w:rPr>
              <w:t>服务区</w:t>
            </w:r>
            <w:r>
              <w:rPr>
                <w:rFonts w:hint="eastAsia" w:ascii="宋体" w:hAnsi="宋体" w:eastAsia="宋体" w:cs="宋体"/>
                <w:color w:val="auto"/>
                <w:sz w:val="18"/>
                <w:szCs w:val="18"/>
                <w:highlight w:val="none"/>
              </w:rPr>
              <w:t>所在周边环境、道路交通、服务场所、旅游景点情况，能为司乘人员提供咨询服务。</w:t>
            </w:r>
          </w:p>
        </w:tc>
        <w:tc>
          <w:tcPr>
            <w:tcW w:w="34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p>
        </w:tc>
        <w:tc>
          <w:tcPr>
            <w:tcW w:w="2472"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4" w:type="dxa"/>
            <w:vMerge w:val="continue"/>
            <w:tcBorders>
              <w:left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888" w:type="dxa"/>
            <w:vMerge w:val="continue"/>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53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4、仪表、仪容端正、大方；男员工不留长发，不蓄胡须；女员工不浓妆艳抹。</w:t>
            </w:r>
          </w:p>
        </w:tc>
        <w:tc>
          <w:tcPr>
            <w:tcW w:w="34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p>
        </w:tc>
        <w:tc>
          <w:tcPr>
            <w:tcW w:w="2472"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4" w:type="dxa"/>
            <w:vMerge w:val="continue"/>
            <w:tcBorders>
              <w:left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888" w:type="dxa"/>
            <w:vMerge w:val="continue"/>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53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5、佩证（工号牌）上岗，证（工号牌）不被遮挡。</w:t>
            </w:r>
          </w:p>
        </w:tc>
        <w:tc>
          <w:tcPr>
            <w:tcW w:w="34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p>
        </w:tc>
        <w:tc>
          <w:tcPr>
            <w:tcW w:w="2472"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4" w:type="dxa"/>
            <w:vMerge w:val="continue"/>
            <w:tcBorders>
              <w:left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888" w:type="dxa"/>
            <w:vMerge w:val="continue"/>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53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6、上岗时应按规定着工装；夜间、外场必须加着安全标志服。</w:t>
            </w:r>
          </w:p>
        </w:tc>
        <w:tc>
          <w:tcPr>
            <w:tcW w:w="34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p>
        </w:tc>
        <w:tc>
          <w:tcPr>
            <w:tcW w:w="2472"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4" w:type="dxa"/>
            <w:vMerge w:val="continue"/>
            <w:tcBorders>
              <w:left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888" w:type="dxa"/>
            <w:vMerge w:val="continue"/>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53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7、熟悉工作岗位职责，保质保量完成交办的各项工作</w:t>
            </w:r>
          </w:p>
        </w:tc>
        <w:tc>
          <w:tcPr>
            <w:tcW w:w="34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p>
        </w:tc>
        <w:tc>
          <w:tcPr>
            <w:tcW w:w="2472"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914" w:type="dxa"/>
            <w:vMerge w:val="continue"/>
            <w:tcBorders>
              <w:left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888" w:type="dxa"/>
            <w:vMerge w:val="restart"/>
            <w:tcBorders>
              <w:top w:val="single" w:color="auto" w:sz="4" w:space="0"/>
              <w:left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台</w:t>
            </w:r>
          </w:p>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帐</w:t>
            </w:r>
          </w:p>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管</w:t>
            </w:r>
          </w:p>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理</w:t>
            </w:r>
          </w:p>
          <w:p>
            <w:pPr>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（5分）</w:t>
            </w:r>
          </w:p>
        </w:tc>
        <w:tc>
          <w:tcPr>
            <w:tcW w:w="53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1、及时按要求填写规定台帐；</w:t>
            </w:r>
          </w:p>
        </w:tc>
        <w:tc>
          <w:tcPr>
            <w:tcW w:w="3420" w:type="dxa"/>
            <w:vMerge w:val="restart"/>
            <w:tcBorders>
              <w:top w:val="single" w:color="auto" w:sz="4" w:space="0"/>
              <w:left w:val="single" w:color="auto" w:sz="4" w:space="0"/>
              <w:right w:val="single" w:color="auto" w:sz="4" w:space="0"/>
            </w:tcBorders>
            <w:noWrap w:val="0"/>
            <w:vAlign w:val="center"/>
          </w:tcPr>
          <w:p>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违反一条每次扣1分</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扣完为止。</w:t>
            </w:r>
          </w:p>
        </w:tc>
        <w:tc>
          <w:tcPr>
            <w:tcW w:w="2472"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4" w:type="dxa"/>
            <w:vMerge w:val="continue"/>
            <w:tcBorders>
              <w:left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888" w:type="dxa"/>
            <w:vMerge w:val="continue"/>
            <w:tcBorders>
              <w:left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53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2、台帐内容须填写规范；</w:t>
            </w:r>
          </w:p>
        </w:tc>
        <w:tc>
          <w:tcPr>
            <w:tcW w:w="3420" w:type="dxa"/>
            <w:vMerge w:val="continue"/>
            <w:tcBorders>
              <w:left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p>
        </w:tc>
        <w:tc>
          <w:tcPr>
            <w:tcW w:w="2472"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4" w:type="dxa"/>
            <w:vMerge w:val="continue"/>
            <w:tcBorders>
              <w:left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888" w:type="dxa"/>
            <w:vMerge w:val="continue"/>
            <w:tcBorders>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53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3、按</w:t>
            </w:r>
            <w:r>
              <w:rPr>
                <w:rFonts w:hint="eastAsia" w:ascii="宋体" w:hAnsi="宋体" w:eastAsia="宋体" w:cs="宋体"/>
                <w:color w:val="auto"/>
                <w:sz w:val="18"/>
                <w:szCs w:val="18"/>
                <w:highlight w:val="none"/>
                <w:lang w:eastAsia="zh-CN"/>
              </w:rPr>
              <w:t>服务区</w:t>
            </w:r>
            <w:r>
              <w:rPr>
                <w:rFonts w:hint="eastAsia" w:ascii="宋体" w:hAnsi="宋体" w:eastAsia="宋体" w:cs="宋体"/>
                <w:color w:val="auto"/>
                <w:sz w:val="18"/>
                <w:szCs w:val="18"/>
                <w:highlight w:val="none"/>
              </w:rPr>
              <w:t>要求及时上报台帐。</w:t>
            </w:r>
          </w:p>
        </w:tc>
        <w:tc>
          <w:tcPr>
            <w:tcW w:w="3420" w:type="dxa"/>
            <w:vMerge w:val="continue"/>
            <w:tcBorders>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p>
        </w:tc>
        <w:tc>
          <w:tcPr>
            <w:tcW w:w="2472"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r>
    </w:tbl>
    <w:p>
      <w:pPr>
        <w:spacing w:line="240" w:lineRule="auto"/>
        <w:jc w:val="left"/>
        <w:rPr>
          <w:rFonts w:hint="eastAsia" w:ascii="宋体" w:hAnsi="宋体" w:eastAsia="宋体" w:cs="宋体"/>
          <w:color w:val="auto"/>
          <w:sz w:val="18"/>
          <w:szCs w:val="18"/>
          <w:highlight w:val="none"/>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915"/>
        <w:gridCol w:w="2"/>
        <w:gridCol w:w="5023"/>
        <w:gridCol w:w="3727"/>
        <w:gridCol w:w="5"/>
        <w:gridCol w:w="2349"/>
        <w:gridCol w:w="3"/>
        <w:gridCol w:w="987"/>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3" w:hRule="atLeast"/>
          <w:jc w:val="center"/>
        </w:trPr>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540"/>
                <w:tab w:val="left" w:pos="720"/>
              </w:tabs>
              <w:adjustRightInd w:val="0"/>
              <w:snapToGrid w:val="0"/>
              <w:spacing w:line="240" w:lineRule="auto"/>
              <w:ind w:left="410" w:hanging="307" w:hangingChars="170"/>
              <w:jc w:val="center"/>
              <w:rPr>
                <w:rFonts w:hint="eastAsia" w:ascii="宋体" w:hAnsi="宋体" w:eastAsia="宋体" w:cs="宋体"/>
                <w:b/>
                <w:color w:val="auto"/>
                <w:sz w:val="18"/>
                <w:szCs w:val="18"/>
                <w:highlight w:val="none"/>
                <w:lang w:val="en-US" w:eastAsia="zh-CN"/>
              </w:rPr>
            </w:pPr>
            <w:r>
              <w:rPr>
                <w:rFonts w:hint="eastAsia" w:ascii="宋体" w:hAnsi="宋体" w:eastAsia="宋体" w:cs="宋体"/>
                <w:b/>
                <w:color w:val="auto"/>
                <w:sz w:val="18"/>
                <w:szCs w:val="18"/>
                <w:highlight w:val="none"/>
                <w:lang w:val="en-US" w:eastAsia="zh-CN"/>
              </w:rPr>
              <w:t>项目</w:t>
            </w:r>
          </w:p>
        </w:tc>
        <w:tc>
          <w:tcPr>
            <w:tcW w:w="502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540"/>
                <w:tab w:val="left" w:pos="720"/>
              </w:tabs>
              <w:adjustRightInd w:val="0"/>
              <w:snapToGrid w:val="0"/>
              <w:spacing w:line="240" w:lineRule="auto"/>
              <w:ind w:left="410" w:hanging="307" w:hangingChars="170"/>
              <w:jc w:val="center"/>
              <w:rPr>
                <w:rFonts w:hint="eastAsia" w:ascii="宋体" w:hAnsi="宋体" w:eastAsia="宋体" w:cs="宋体"/>
                <w:b/>
                <w:color w:val="auto"/>
                <w:sz w:val="18"/>
                <w:szCs w:val="18"/>
                <w:highlight w:val="none"/>
                <w:lang w:val="en-US" w:eastAsia="zh-CN"/>
              </w:rPr>
            </w:pPr>
            <w:r>
              <w:rPr>
                <w:rFonts w:hint="eastAsia" w:ascii="宋体" w:hAnsi="宋体" w:eastAsia="宋体" w:cs="宋体"/>
                <w:b/>
                <w:color w:val="auto"/>
                <w:sz w:val="18"/>
                <w:szCs w:val="18"/>
                <w:highlight w:val="none"/>
                <w:lang w:val="en-US" w:eastAsia="zh-CN"/>
              </w:rPr>
              <w:t>考核标准</w:t>
            </w:r>
          </w:p>
        </w:tc>
        <w:tc>
          <w:tcPr>
            <w:tcW w:w="3732"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540"/>
                <w:tab w:val="left" w:pos="720"/>
              </w:tabs>
              <w:adjustRightInd w:val="0"/>
              <w:snapToGrid w:val="0"/>
              <w:spacing w:line="240" w:lineRule="auto"/>
              <w:ind w:left="410" w:hanging="307" w:hangingChars="170"/>
              <w:jc w:val="center"/>
              <w:rPr>
                <w:rFonts w:hint="eastAsia" w:ascii="宋体" w:hAnsi="宋体" w:eastAsia="宋体" w:cs="宋体"/>
                <w:b/>
                <w:color w:val="auto"/>
                <w:sz w:val="18"/>
                <w:szCs w:val="18"/>
                <w:highlight w:val="none"/>
                <w:lang w:val="en-US" w:eastAsia="zh-CN"/>
              </w:rPr>
            </w:pPr>
            <w:r>
              <w:rPr>
                <w:rFonts w:hint="eastAsia" w:ascii="宋体" w:hAnsi="宋体" w:eastAsia="宋体" w:cs="宋体"/>
                <w:b/>
                <w:color w:val="auto"/>
                <w:sz w:val="18"/>
                <w:szCs w:val="18"/>
                <w:highlight w:val="none"/>
                <w:lang w:val="en-US" w:eastAsia="zh-CN"/>
              </w:rPr>
              <w:t>考核办法</w:t>
            </w:r>
          </w:p>
        </w:tc>
        <w:tc>
          <w:tcPr>
            <w:tcW w:w="2349" w:type="dxa"/>
            <w:tcBorders>
              <w:top w:val="single" w:color="auto" w:sz="4" w:space="0"/>
              <w:left w:val="single" w:color="auto" w:sz="4" w:space="0"/>
              <w:bottom w:val="single" w:color="auto" w:sz="4" w:space="0"/>
              <w:right w:val="single" w:color="auto" w:sz="4" w:space="0"/>
            </w:tcBorders>
            <w:noWrap w:val="0"/>
            <w:vAlign w:val="center"/>
          </w:tcPr>
          <w:p>
            <w:pPr>
              <w:tabs>
                <w:tab w:val="left" w:pos="540"/>
                <w:tab w:val="left" w:pos="720"/>
              </w:tabs>
              <w:adjustRightInd w:val="0"/>
              <w:snapToGrid w:val="0"/>
              <w:spacing w:line="240" w:lineRule="auto"/>
              <w:ind w:left="410" w:hanging="307" w:hangingChars="170"/>
              <w:jc w:val="center"/>
              <w:rPr>
                <w:rFonts w:hint="eastAsia" w:ascii="宋体" w:hAnsi="宋体" w:eastAsia="宋体" w:cs="宋体"/>
                <w:b/>
                <w:color w:val="auto"/>
                <w:sz w:val="18"/>
                <w:szCs w:val="18"/>
                <w:highlight w:val="none"/>
                <w:lang w:val="en-US" w:eastAsia="zh-CN"/>
              </w:rPr>
            </w:pPr>
            <w:r>
              <w:rPr>
                <w:rFonts w:hint="eastAsia" w:ascii="宋体" w:hAnsi="宋体" w:eastAsia="宋体" w:cs="宋体"/>
                <w:b/>
                <w:color w:val="auto"/>
                <w:sz w:val="18"/>
                <w:szCs w:val="18"/>
                <w:highlight w:val="none"/>
                <w:lang w:val="en-US" w:eastAsia="zh-CN"/>
              </w:rPr>
              <w:t>扣分事项</w:t>
            </w:r>
          </w:p>
        </w:tc>
        <w:tc>
          <w:tcPr>
            <w:tcW w:w="990"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540"/>
                <w:tab w:val="left" w:pos="720"/>
              </w:tabs>
              <w:adjustRightInd w:val="0"/>
              <w:snapToGrid w:val="0"/>
              <w:spacing w:line="240" w:lineRule="auto"/>
              <w:ind w:left="410" w:hanging="307" w:hangingChars="170"/>
              <w:jc w:val="center"/>
              <w:rPr>
                <w:rFonts w:hint="eastAsia" w:ascii="宋体" w:hAnsi="宋体" w:eastAsia="宋体" w:cs="宋体"/>
                <w:b/>
                <w:color w:val="auto"/>
                <w:sz w:val="18"/>
                <w:szCs w:val="18"/>
                <w:highlight w:val="none"/>
                <w:lang w:val="en-US" w:eastAsia="zh-CN"/>
              </w:rPr>
            </w:pPr>
            <w:r>
              <w:rPr>
                <w:rFonts w:hint="eastAsia" w:ascii="宋体" w:hAnsi="宋体" w:eastAsia="宋体" w:cs="宋体"/>
                <w:b/>
                <w:color w:val="auto"/>
                <w:sz w:val="18"/>
                <w:szCs w:val="18"/>
                <w:highlight w:val="no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3" w:hRule="atLeast"/>
          <w:jc w:val="center"/>
        </w:trPr>
        <w:tc>
          <w:tcPr>
            <w:tcW w:w="960" w:type="dxa"/>
            <w:vMerge w:val="restart"/>
            <w:tcBorders>
              <w:top w:val="single" w:color="auto" w:sz="4" w:space="0"/>
              <w:left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岗位细则</w:t>
            </w:r>
          </w:p>
          <w:p>
            <w:pPr>
              <w:spacing w:line="240" w:lineRule="auto"/>
              <w:jc w:val="left"/>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6</w:t>
            </w:r>
            <w:r>
              <w:rPr>
                <w:rFonts w:hint="eastAsia" w:ascii="宋体" w:hAnsi="宋体" w:eastAsia="宋体" w:cs="宋体"/>
                <w:color w:val="auto"/>
                <w:sz w:val="18"/>
                <w:szCs w:val="18"/>
                <w:highlight w:val="none"/>
              </w:rPr>
              <w:t>5分</w:t>
            </w:r>
            <w:r>
              <w:rPr>
                <w:rFonts w:hint="eastAsia" w:ascii="宋体" w:hAnsi="宋体" w:eastAsia="宋体" w:cs="宋体"/>
                <w:color w:val="auto"/>
                <w:sz w:val="18"/>
                <w:szCs w:val="18"/>
                <w:highlight w:val="none"/>
                <w:lang w:eastAsia="zh-CN"/>
              </w:rPr>
              <w:t>）</w:t>
            </w:r>
          </w:p>
        </w:tc>
        <w:tc>
          <w:tcPr>
            <w:tcW w:w="917" w:type="dxa"/>
            <w:gridSpan w:val="2"/>
            <w:vMerge w:val="restart"/>
            <w:tcBorders>
              <w:top w:val="single" w:color="auto" w:sz="4" w:space="0"/>
              <w:left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保安（消控）考核细则</w:t>
            </w:r>
          </w:p>
          <w:p>
            <w:pPr>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25</w:t>
            </w:r>
            <w:r>
              <w:rPr>
                <w:rFonts w:hint="eastAsia" w:ascii="宋体" w:hAnsi="宋体" w:eastAsia="宋体" w:cs="宋体"/>
                <w:color w:val="auto"/>
                <w:sz w:val="18"/>
                <w:szCs w:val="18"/>
                <w:highlight w:val="none"/>
              </w:rPr>
              <w:t>分）</w:t>
            </w:r>
          </w:p>
        </w:tc>
        <w:tc>
          <w:tcPr>
            <w:tcW w:w="502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1、发现有法规明文禁止的行为，及时给予劝阻并督促改正，对现场突发事件必须及时报</w:t>
            </w:r>
            <w:r>
              <w:rPr>
                <w:rFonts w:hint="eastAsia" w:ascii="宋体" w:hAnsi="宋体" w:eastAsia="宋体" w:cs="宋体"/>
                <w:color w:val="auto"/>
                <w:sz w:val="18"/>
                <w:szCs w:val="18"/>
                <w:highlight w:val="none"/>
                <w:lang w:eastAsia="zh-CN"/>
              </w:rPr>
              <w:t>服务区</w:t>
            </w:r>
            <w:r>
              <w:rPr>
                <w:rFonts w:hint="eastAsia" w:ascii="宋体" w:hAnsi="宋体" w:eastAsia="宋体" w:cs="宋体"/>
                <w:color w:val="auto"/>
                <w:sz w:val="18"/>
                <w:szCs w:val="18"/>
                <w:highlight w:val="none"/>
              </w:rPr>
              <w:t>。</w:t>
            </w:r>
          </w:p>
        </w:tc>
        <w:tc>
          <w:tcPr>
            <w:tcW w:w="3732" w:type="dxa"/>
            <w:gridSpan w:val="2"/>
            <w:vMerge w:val="restart"/>
            <w:tcBorders>
              <w:top w:val="single" w:color="auto" w:sz="4" w:space="0"/>
              <w:left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违反一条每次扣2分</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扣完为止</w:t>
            </w:r>
            <w:r>
              <w:rPr>
                <w:rFonts w:hint="eastAsia" w:ascii="宋体" w:hAnsi="宋体" w:eastAsia="宋体" w:cs="宋体"/>
                <w:color w:val="auto"/>
                <w:sz w:val="18"/>
                <w:szCs w:val="18"/>
                <w:highlight w:val="none"/>
              </w:rPr>
              <w:t>。</w:t>
            </w:r>
          </w:p>
        </w:tc>
        <w:tc>
          <w:tcPr>
            <w:tcW w:w="2349"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90"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3" w:hRule="atLeast"/>
          <w:jc w:val="center"/>
        </w:trPr>
        <w:tc>
          <w:tcPr>
            <w:tcW w:w="960" w:type="dxa"/>
            <w:vMerge w:val="continue"/>
            <w:tcBorders>
              <w:left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17" w:type="dxa"/>
            <w:gridSpan w:val="2"/>
            <w:vMerge w:val="continue"/>
            <w:tcBorders>
              <w:left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502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2、严格遵守各项操作规程或</w:t>
            </w:r>
            <w:r>
              <w:rPr>
                <w:rFonts w:hint="eastAsia" w:ascii="宋体" w:hAnsi="宋体" w:eastAsia="宋体" w:cs="宋体"/>
                <w:color w:val="auto"/>
                <w:sz w:val="18"/>
                <w:szCs w:val="18"/>
                <w:highlight w:val="none"/>
                <w:lang w:eastAsia="zh-CN"/>
              </w:rPr>
              <w:t>服务区</w:t>
            </w:r>
            <w:r>
              <w:rPr>
                <w:rFonts w:hint="eastAsia" w:ascii="宋体" w:hAnsi="宋体" w:eastAsia="宋体" w:cs="宋体"/>
                <w:color w:val="auto"/>
                <w:sz w:val="18"/>
                <w:szCs w:val="18"/>
                <w:highlight w:val="none"/>
              </w:rPr>
              <w:t>规章制度，积极配合</w:t>
            </w:r>
            <w:r>
              <w:rPr>
                <w:rFonts w:hint="eastAsia" w:ascii="宋体" w:hAnsi="宋体" w:eastAsia="宋体" w:cs="宋体"/>
                <w:color w:val="auto"/>
                <w:sz w:val="18"/>
                <w:szCs w:val="18"/>
                <w:highlight w:val="none"/>
                <w:lang w:eastAsia="zh-CN"/>
              </w:rPr>
              <w:t>服务区</w:t>
            </w:r>
            <w:r>
              <w:rPr>
                <w:rFonts w:hint="eastAsia" w:ascii="宋体" w:hAnsi="宋体" w:eastAsia="宋体" w:cs="宋体"/>
                <w:color w:val="auto"/>
                <w:sz w:val="18"/>
                <w:szCs w:val="18"/>
                <w:highlight w:val="none"/>
              </w:rPr>
              <w:t>工作。</w:t>
            </w:r>
          </w:p>
        </w:tc>
        <w:tc>
          <w:tcPr>
            <w:tcW w:w="3732" w:type="dxa"/>
            <w:gridSpan w:val="2"/>
            <w:vMerge w:val="continue"/>
            <w:tcBorders>
              <w:left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p>
        </w:tc>
        <w:tc>
          <w:tcPr>
            <w:tcW w:w="2349"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90"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3" w:hRule="atLeast"/>
          <w:jc w:val="center"/>
        </w:trPr>
        <w:tc>
          <w:tcPr>
            <w:tcW w:w="960" w:type="dxa"/>
            <w:vMerge w:val="continue"/>
            <w:tcBorders>
              <w:left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17" w:type="dxa"/>
            <w:gridSpan w:val="2"/>
            <w:vMerge w:val="continue"/>
            <w:tcBorders>
              <w:left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502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3、按照门卫制度规定对车辆、人员、物品进出进行登记,严把进口关。</w:t>
            </w:r>
          </w:p>
        </w:tc>
        <w:tc>
          <w:tcPr>
            <w:tcW w:w="3732" w:type="dxa"/>
            <w:gridSpan w:val="2"/>
            <w:vMerge w:val="continue"/>
            <w:tcBorders>
              <w:left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p>
        </w:tc>
        <w:tc>
          <w:tcPr>
            <w:tcW w:w="2349"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90"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3" w:hRule="atLeast"/>
          <w:jc w:val="center"/>
        </w:trPr>
        <w:tc>
          <w:tcPr>
            <w:tcW w:w="960" w:type="dxa"/>
            <w:vMerge w:val="continue"/>
            <w:tcBorders>
              <w:left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17" w:type="dxa"/>
            <w:gridSpan w:val="2"/>
            <w:vMerge w:val="continue"/>
            <w:tcBorders>
              <w:left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502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4、保证绿色通道及停车场畅通，对各类有危及人身安全及行车安全的位置及时放置明显标识和具体的防范措施。</w:t>
            </w:r>
          </w:p>
        </w:tc>
        <w:tc>
          <w:tcPr>
            <w:tcW w:w="3732" w:type="dxa"/>
            <w:gridSpan w:val="2"/>
            <w:vMerge w:val="continue"/>
            <w:tcBorders>
              <w:left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p>
        </w:tc>
        <w:tc>
          <w:tcPr>
            <w:tcW w:w="2349"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90"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3" w:hRule="atLeast"/>
          <w:jc w:val="center"/>
        </w:trPr>
        <w:tc>
          <w:tcPr>
            <w:tcW w:w="960" w:type="dxa"/>
            <w:vMerge w:val="continue"/>
            <w:tcBorders>
              <w:left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p>
        </w:tc>
        <w:tc>
          <w:tcPr>
            <w:tcW w:w="915" w:type="dxa"/>
            <w:vMerge w:val="continue"/>
            <w:tcBorders>
              <w:left w:val="single" w:color="auto" w:sz="4" w:space="0"/>
              <w:right w:val="single" w:color="auto" w:sz="4" w:space="0"/>
            </w:tcBorders>
            <w:noWrap w:val="0"/>
            <w:vAlign w:val="center"/>
          </w:tcPr>
          <w:p>
            <w:pPr>
              <w:spacing w:line="240" w:lineRule="auto"/>
              <w:jc w:val="both"/>
              <w:rPr>
                <w:rFonts w:hint="eastAsia" w:ascii="宋体" w:hAnsi="宋体" w:eastAsia="宋体" w:cs="宋体"/>
                <w:color w:val="auto"/>
                <w:sz w:val="18"/>
                <w:szCs w:val="18"/>
                <w:highlight w:val="none"/>
                <w:lang w:val="en-US" w:eastAsia="zh-CN"/>
              </w:rPr>
            </w:pPr>
          </w:p>
        </w:tc>
        <w:tc>
          <w:tcPr>
            <w:tcW w:w="502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5、保安交接班时必须列队交接。</w:t>
            </w:r>
          </w:p>
        </w:tc>
        <w:tc>
          <w:tcPr>
            <w:tcW w:w="3732" w:type="dxa"/>
            <w:gridSpan w:val="2"/>
            <w:vMerge w:val="continue"/>
            <w:tcBorders>
              <w:left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p>
        </w:tc>
        <w:tc>
          <w:tcPr>
            <w:tcW w:w="2349"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90"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3" w:hRule="atLeast"/>
          <w:jc w:val="center"/>
        </w:trPr>
        <w:tc>
          <w:tcPr>
            <w:tcW w:w="960" w:type="dxa"/>
            <w:vMerge w:val="continue"/>
            <w:tcBorders>
              <w:left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15" w:type="dxa"/>
            <w:vMerge w:val="continue"/>
            <w:tcBorders>
              <w:left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502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6、主动配合交警、公安人员做好警卫、封道及事故、案件现场保护工作。</w:t>
            </w:r>
          </w:p>
        </w:tc>
        <w:tc>
          <w:tcPr>
            <w:tcW w:w="3732" w:type="dxa"/>
            <w:gridSpan w:val="2"/>
            <w:vMerge w:val="continue"/>
            <w:tcBorders>
              <w:left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p>
        </w:tc>
        <w:tc>
          <w:tcPr>
            <w:tcW w:w="2349"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90"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3" w:hRule="atLeast"/>
          <w:jc w:val="center"/>
        </w:trPr>
        <w:tc>
          <w:tcPr>
            <w:tcW w:w="960" w:type="dxa"/>
            <w:vMerge w:val="continue"/>
            <w:tcBorders>
              <w:left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15" w:type="dxa"/>
            <w:vMerge w:val="continue"/>
            <w:tcBorders>
              <w:left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502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7、及时配合处理治安、消防事件。</w:t>
            </w:r>
          </w:p>
        </w:tc>
        <w:tc>
          <w:tcPr>
            <w:tcW w:w="3732" w:type="dxa"/>
            <w:gridSpan w:val="2"/>
            <w:vMerge w:val="continue"/>
            <w:tcBorders>
              <w:left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p>
        </w:tc>
        <w:tc>
          <w:tcPr>
            <w:tcW w:w="2349"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90"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3" w:hRule="atLeast"/>
          <w:jc w:val="center"/>
        </w:trPr>
        <w:tc>
          <w:tcPr>
            <w:tcW w:w="960" w:type="dxa"/>
            <w:vMerge w:val="continue"/>
            <w:tcBorders>
              <w:left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15" w:type="dxa"/>
            <w:vMerge w:val="continue"/>
            <w:tcBorders>
              <w:left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p>
        </w:tc>
        <w:tc>
          <w:tcPr>
            <w:tcW w:w="502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8、主动引导车辆按区停放；危化品车辆引导到专用停车位停放，做好登记。</w:t>
            </w:r>
          </w:p>
        </w:tc>
        <w:tc>
          <w:tcPr>
            <w:tcW w:w="3732" w:type="dxa"/>
            <w:gridSpan w:val="2"/>
            <w:vMerge w:val="continue"/>
            <w:tcBorders>
              <w:left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p>
        </w:tc>
        <w:tc>
          <w:tcPr>
            <w:tcW w:w="2349"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90"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3" w:hRule="atLeast"/>
          <w:jc w:val="center"/>
        </w:trPr>
        <w:tc>
          <w:tcPr>
            <w:tcW w:w="960" w:type="dxa"/>
            <w:vMerge w:val="continue"/>
            <w:tcBorders>
              <w:left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15" w:type="dxa"/>
            <w:vMerge w:val="continue"/>
            <w:tcBorders>
              <w:left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502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9、每天定时定位对各营业场所、停车场、消防重点部位、安全设施进行流动巡逻，夜间巡查每2小时不少于1次；</w:t>
            </w:r>
          </w:p>
        </w:tc>
        <w:tc>
          <w:tcPr>
            <w:tcW w:w="3732" w:type="dxa"/>
            <w:gridSpan w:val="2"/>
            <w:vMerge w:val="continue"/>
            <w:tcBorders>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p>
        </w:tc>
        <w:tc>
          <w:tcPr>
            <w:tcW w:w="2349"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90"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3" w:hRule="atLeast"/>
          <w:jc w:val="center"/>
        </w:trPr>
        <w:tc>
          <w:tcPr>
            <w:tcW w:w="960" w:type="dxa"/>
            <w:vMerge w:val="continue"/>
            <w:tcBorders>
              <w:left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15" w:type="dxa"/>
            <w:vMerge w:val="continue"/>
            <w:tcBorders>
              <w:left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502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10、保护</w:t>
            </w:r>
            <w:r>
              <w:rPr>
                <w:rFonts w:hint="eastAsia" w:ascii="宋体" w:hAnsi="宋体" w:eastAsia="宋体" w:cs="宋体"/>
                <w:color w:val="auto"/>
                <w:sz w:val="18"/>
                <w:szCs w:val="18"/>
                <w:highlight w:val="none"/>
                <w:lang w:eastAsia="zh-CN"/>
              </w:rPr>
              <w:t>服务区</w:t>
            </w:r>
            <w:r>
              <w:rPr>
                <w:rFonts w:hint="eastAsia" w:ascii="宋体" w:hAnsi="宋体" w:eastAsia="宋体" w:cs="宋体"/>
                <w:color w:val="auto"/>
                <w:sz w:val="18"/>
                <w:szCs w:val="18"/>
                <w:highlight w:val="none"/>
              </w:rPr>
              <w:t>财产，当日发现</w:t>
            </w:r>
            <w:r>
              <w:rPr>
                <w:rFonts w:hint="eastAsia" w:ascii="宋体" w:hAnsi="宋体" w:eastAsia="宋体" w:cs="宋体"/>
                <w:color w:val="auto"/>
                <w:sz w:val="18"/>
                <w:szCs w:val="18"/>
                <w:highlight w:val="none"/>
                <w:lang w:eastAsia="zh-CN"/>
              </w:rPr>
              <w:t>服务区</w:t>
            </w:r>
            <w:r>
              <w:rPr>
                <w:rFonts w:hint="eastAsia" w:ascii="宋体" w:hAnsi="宋体" w:eastAsia="宋体" w:cs="宋体"/>
                <w:color w:val="auto"/>
                <w:sz w:val="18"/>
                <w:szCs w:val="18"/>
                <w:highlight w:val="none"/>
              </w:rPr>
              <w:t>财产损失先立即报</w:t>
            </w:r>
            <w:r>
              <w:rPr>
                <w:rFonts w:hint="eastAsia" w:ascii="宋体" w:hAnsi="宋体" w:eastAsia="宋体" w:cs="宋体"/>
                <w:color w:val="auto"/>
                <w:sz w:val="18"/>
                <w:szCs w:val="18"/>
                <w:highlight w:val="none"/>
                <w:lang w:eastAsia="zh-CN"/>
              </w:rPr>
              <w:t>服务区</w:t>
            </w:r>
            <w:r>
              <w:rPr>
                <w:rFonts w:hint="eastAsia" w:ascii="宋体" w:hAnsi="宋体" w:eastAsia="宋体" w:cs="宋体"/>
                <w:color w:val="auto"/>
                <w:sz w:val="18"/>
                <w:szCs w:val="18"/>
                <w:highlight w:val="none"/>
              </w:rPr>
              <w:t>值班人员再进行相应赔偿。</w:t>
            </w:r>
          </w:p>
        </w:tc>
        <w:tc>
          <w:tcPr>
            <w:tcW w:w="373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服务区</w:t>
            </w:r>
            <w:r>
              <w:rPr>
                <w:rFonts w:hint="eastAsia" w:ascii="宋体" w:hAnsi="宋体" w:eastAsia="宋体" w:cs="宋体"/>
                <w:color w:val="auto"/>
                <w:sz w:val="18"/>
                <w:szCs w:val="18"/>
                <w:highlight w:val="none"/>
              </w:rPr>
              <w:t>财产损失未及时发现，</w:t>
            </w:r>
            <w:r>
              <w:rPr>
                <w:rFonts w:hint="eastAsia" w:ascii="宋体" w:hAnsi="宋体" w:eastAsia="宋体" w:cs="宋体"/>
                <w:strike/>
                <w:dstrike w:val="0"/>
                <w:color w:val="auto"/>
                <w:sz w:val="18"/>
                <w:szCs w:val="18"/>
                <w:highlight w:val="none"/>
              </w:rPr>
              <w:t>按实赔偿</w:t>
            </w:r>
            <w:r>
              <w:rPr>
                <w:rFonts w:hint="eastAsia" w:ascii="宋体" w:hAnsi="宋体" w:eastAsia="宋体" w:cs="宋体"/>
                <w:strike/>
                <w:dstrike w:val="0"/>
                <w:color w:val="auto"/>
                <w:sz w:val="18"/>
                <w:szCs w:val="18"/>
                <w:highlight w:val="none"/>
                <w:lang w:eastAsia="zh-CN"/>
              </w:rPr>
              <w:t>，</w:t>
            </w:r>
            <w:r>
              <w:rPr>
                <w:rFonts w:hint="eastAsia" w:ascii="宋体" w:hAnsi="宋体" w:eastAsia="宋体" w:cs="宋体"/>
                <w:color w:val="auto"/>
                <w:sz w:val="18"/>
                <w:szCs w:val="18"/>
                <w:highlight w:val="none"/>
                <w:lang w:val="en-US" w:eastAsia="zh-CN"/>
              </w:rPr>
              <w:t>视情况扣2--5分</w:t>
            </w:r>
            <w:r>
              <w:rPr>
                <w:rFonts w:hint="eastAsia" w:ascii="宋体" w:hAnsi="宋体" w:eastAsia="宋体" w:cs="宋体"/>
                <w:color w:val="auto"/>
                <w:sz w:val="18"/>
                <w:szCs w:val="18"/>
                <w:highlight w:val="none"/>
              </w:rPr>
              <w:t>。</w:t>
            </w:r>
          </w:p>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及时发现并获得赔偿的，奖励2-5分</w:t>
            </w:r>
          </w:p>
        </w:tc>
        <w:tc>
          <w:tcPr>
            <w:tcW w:w="2349"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90"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3" w:hRule="atLeast"/>
          <w:jc w:val="center"/>
        </w:trPr>
        <w:tc>
          <w:tcPr>
            <w:tcW w:w="960" w:type="dxa"/>
            <w:vMerge w:val="continue"/>
            <w:tcBorders>
              <w:left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15" w:type="dxa"/>
            <w:vMerge w:val="continue"/>
            <w:tcBorders>
              <w:left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502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11、工作中因违章操作造成设备损坏。</w:t>
            </w:r>
          </w:p>
        </w:tc>
        <w:tc>
          <w:tcPr>
            <w:tcW w:w="373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按实赔偿</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并视情况扣2--5分</w:t>
            </w:r>
            <w:r>
              <w:rPr>
                <w:rFonts w:hint="eastAsia" w:ascii="宋体" w:hAnsi="宋体" w:eastAsia="宋体" w:cs="宋体"/>
                <w:color w:val="auto"/>
                <w:sz w:val="18"/>
                <w:szCs w:val="18"/>
                <w:highlight w:val="none"/>
              </w:rPr>
              <w:t>。</w:t>
            </w:r>
          </w:p>
        </w:tc>
        <w:tc>
          <w:tcPr>
            <w:tcW w:w="2349"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90"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3" w:hRule="atLeast"/>
          <w:jc w:val="center"/>
        </w:trPr>
        <w:tc>
          <w:tcPr>
            <w:tcW w:w="960" w:type="dxa"/>
            <w:vMerge w:val="continue"/>
            <w:tcBorders>
              <w:left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15" w:type="dxa"/>
            <w:vMerge w:val="continue"/>
            <w:tcBorders>
              <w:left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502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12、发现安全隐患及时采取有效措施进行处理，处理不了立即上报值班领导。</w:t>
            </w:r>
          </w:p>
        </w:tc>
        <w:tc>
          <w:tcPr>
            <w:tcW w:w="373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违反一条每次扣2分</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扣完为止</w:t>
            </w:r>
            <w:r>
              <w:rPr>
                <w:rFonts w:hint="eastAsia" w:ascii="宋体" w:hAnsi="宋体" w:eastAsia="宋体" w:cs="宋体"/>
                <w:color w:val="auto"/>
                <w:sz w:val="18"/>
                <w:szCs w:val="18"/>
                <w:highlight w:val="none"/>
              </w:rPr>
              <w:t>。</w:t>
            </w:r>
          </w:p>
        </w:tc>
        <w:tc>
          <w:tcPr>
            <w:tcW w:w="2349"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90"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3" w:hRule="atLeast"/>
          <w:jc w:val="center"/>
        </w:trPr>
        <w:tc>
          <w:tcPr>
            <w:tcW w:w="960" w:type="dxa"/>
            <w:vMerge w:val="continue"/>
            <w:tcBorders>
              <w:left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15" w:type="dxa"/>
            <w:vMerge w:val="continue"/>
            <w:tcBorders>
              <w:left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502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13、按消防安全部门的规定管理、使用消防设施、器材，完好率达到100% 。</w:t>
            </w:r>
          </w:p>
        </w:tc>
        <w:tc>
          <w:tcPr>
            <w:tcW w:w="373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p>
        </w:tc>
        <w:tc>
          <w:tcPr>
            <w:tcW w:w="2349"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90"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3" w:hRule="atLeast"/>
          <w:jc w:val="center"/>
        </w:trPr>
        <w:tc>
          <w:tcPr>
            <w:tcW w:w="960" w:type="dxa"/>
            <w:vMerge w:val="continue"/>
            <w:tcBorders>
              <w:left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15" w:type="dxa"/>
            <w:vMerge w:val="continue"/>
            <w:tcBorders>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502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14、因工作失职发生车辆或车内物品被盗等治安案件。</w:t>
            </w:r>
          </w:p>
        </w:tc>
        <w:tc>
          <w:tcPr>
            <w:tcW w:w="373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p>
        </w:tc>
        <w:tc>
          <w:tcPr>
            <w:tcW w:w="2349"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90"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0" w:type="dxa"/>
            <w:vMerge w:val="continue"/>
            <w:tcBorders>
              <w:left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18"/>
                <w:szCs w:val="18"/>
                <w:highlight w:val="none"/>
              </w:rPr>
            </w:pPr>
          </w:p>
        </w:tc>
        <w:tc>
          <w:tcPr>
            <w:tcW w:w="915" w:type="dxa"/>
            <w:vMerge w:val="restart"/>
            <w:tcBorders>
              <w:top w:val="single" w:color="auto" w:sz="4" w:space="0"/>
              <w:left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保洁</w:t>
            </w:r>
          </w:p>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岗位</w:t>
            </w:r>
          </w:p>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考核</w:t>
            </w:r>
          </w:p>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细则</w:t>
            </w:r>
          </w:p>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25</w:t>
            </w:r>
            <w:r>
              <w:rPr>
                <w:rFonts w:hint="eastAsia" w:ascii="宋体" w:hAnsi="宋体" w:eastAsia="宋体" w:cs="宋体"/>
                <w:color w:val="auto"/>
                <w:sz w:val="18"/>
                <w:szCs w:val="18"/>
                <w:highlight w:val="none"/>
              </w:rPr>
              <w:t>分）</w:t>
            </w:r>
          </w:p>
        </w:tc>
        <w:tc>
          <w:tcPr>
            <w:tcW w:w="502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1、发现有法规明文禁止的行为，</w:t>
            </w:r>
            <w:r>
              <w:rPr>
                <w:rFonts w:hint="eastAsia" w:ascii="宋体" w:hAnsi="宋体" w:eastAsia="宋体" w:cs="宋体"/>
                <w:color w:val="auto"/>
                <w:sz w:val="18"/>
                <w:szCs w:val="18"/>
                <w:highlight w:val="none"/>
                <w:lang w:val="en-US" w:eastAsia="zh-CN"/>
              </w:rPr>
              <w:t>应</w:t>
            </w:r>
            <w:r>
              <w:rPr>
                <w:rFonts w:hint="eastAsia" w:ascii="宋体" w:hAnsi="宋体" w:eastAsia="宋体" w:cs="宋体"/>
                <w:color w:val="auto"/>
                <w:sz w:val="18"/>
                <w:szCs w:val="18"/>
                <w:highlight w:val="none"/>
              </w:rPr>
              <w:t>及时给予劝阻并督促改正，报有关</w:t>
            </w:r>
            <w:r>
              <w:rPr>
                <w:rFonts w:hint="eastAsia" w:ascii="宋体" w:hAnsi="宋体" w:eastAsia="宋体" w:cs="宋体"/>
                <w:color w:val="auto"/>
                <w:sz w:val="18"/>
                <w:szCs w:val="18"/>
                <w:highlight w:val="none"/>
                <w:lang w:eastAsia="zh-CN"/>
              </w:rPr>
              <w:t>服务区</w:t>
            </w:r>
            <w:r>
              <w:rPr>
                <w:rFonts w:hint="eastAsia" w:ascii="宋体" w:hAnsi="宋体" w:eastAsia="宋体" w:cs="宋体"/>
                <w:color w:val="auto"/>
                <w:sz w:val="18"/>
                <w:szCs w:val="18"/>
                <w:highlight w:val="none"/>
              </w:rPr>
              <w:t>主管部门。</w:t>
            </w:r>
          </w:p>
        </w:tc>
        <w:tc>
          <w:tcPr>
            <w:tcW w:w="3727" w:type="dxa"/>
            <w:vMerge w:val="restart"/>
            <w:tcBorders>
              <w:top w:val="single" w:color="auto" w:sz="4" w:space="0"/>
              <w:left w:val="single" w:color="auto" w:sz="4" w:space="0"/>
              <w:right w:val="single" w:color="auto" w:sz="4" w:space="0"/>
            </w:tcBorders>
            <w:noWrap w:val="0"/>
            <w:vAlign w:val="center"/>
          </w:tcPr>
          <w:p>
            <w:pPr>
              <w:spacing w:line="240" w:lineRule="auto"/>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违反一条每次扣2分</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扣完为止</w:t>
            </w:r>
          </w:p>
        </w:tc>
        <w:tc>
          <w:tcPr>
            <w:tcW w:w="2357" w:type="dxa"/>
            <w:gridSpan w:val="3"/>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0" w:type="dxa"/>
            <w:vMerge w:val="continue"/>
            <w:tcBorders>
              <w:left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15" w:type="dxa"/>
            <w:vMerge w:val="continue"/>
            <w:tcBorders>
              <w:left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502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2、严格遵守各项操作规程或</w:t>
            </w:r>
            <w:r>
              <w:rPr>
                <w:rFonts w:hint="eastAsia" w:ascii="宋体" w:hAnsi="宋体" w:eastAsia="宋体" w:cs="宋体"/>
                <w:color w:val="auto"/>
                <w:sz w:val="18"/>
                <w:szCs w:val="18"/>
                <w:highlight w:val="none"/>
                <w:lang w:eastAsia="zh-CN"/>
              </w:rPr>
              <w:t>服务区</w:t>
            </w:r>
            <w:r>
              <w:rPr>
                <w:rFonts w:hint="eastAsia" w:ascii="宋体" w:hAnsi="宋体" w:eastAsia="宋体" w:cs="宋体"/>
                <w:color w:val="auto"/>
                <w:sz w:val="18"/>
                <w:szCs w:val="18"/>
                <w:highlight w:val="none"/>
              </w:rPr>
              <w:t>规章制度，积极配合</w:t>
            </w:r>
            <w:r>
              <w:rPr>
                <w:rFonts w:hint="eastAsia" w:ascii="宋体" w:hAnsi="宋体" w:eastAsia="宋体" w:cs="宋体"/>
                <w:color w:val="auto"/>
                <w:sz w:val="18"/>
                <w:szCs w:val="18"/>
                <w:highlight w:val="none"/>
                <w:lang w:eastAsia="zh-CN"/>
              </w:rPr>
              <w:t>服务区</w:t>
            </w:r>
            <w:r>
              <w:rPr>
                <w:rFonts w:hint="eastAsia" w:ascii="宋体" w:hAnsi="宋体" w:eastAsia="宋体" w:cs="宋体"/>
                <w:color w:val="auto"/>
                <w:sz w:val="18"/>
                <w:szCs w:val="18"/>
                <w:highlight w:val="none"/>
              </w:rPr>
              <w:t>开展工作。</w:t>
            </w:r>
          </w:p>
        </w:tc>
        <w:tc>
          <w:tcPr>
            <w:tcW w:w="3727" w:type="dxa"/>
            <w:vMerge w:val="continue"/>
            <w:tcBorders>
              <w:left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p>
        </w:tc>
        <w:tc>
          <w:tcPr>
            <w:tcW w:w="2357" w:type="dxa"/>
            <w:gridSpan w:val="3"/>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0" w:type="dxa"/>
            <w:vMerge w:val="continue"/>
            <w:tcBorders>
              <w:left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15" w:type="dxa"/>
            <w:vMerge w:val="continue"/>
            <w:tcBorders>
              <w:left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502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3、每日对公厕按时段进行多次清洗自检，并作好记录；公厕夜班每隔二小时冲洗一次，办公楼卫生清理每日不少于二次，公共场所的走廊、过道、楼梯随脏随清扫。</w:t>
            </w:r>
          </w:p>
        </w:tc>
        <w:tc>
          <w:tcPr>
            <w:tcW w:w="3727" w:type="dxa"/>
            <w:vMerge w:val="continue"/>
            <w:tcBorders>
              <w:left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p>
        </w:tc>
        <w:tc>
          <w:tcPr>
            <w:tcW w:w="2357" w:type="dxa"/>
            <w:gridSpan w:val="3"/>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0" w:type="dxa"/>
            <w:vMerge w:val="continue"/>
            <w:tcBorders>
              <w:left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15" w:type="dxa"/>
            <w:vMerge w:val="continue"/>
            <w:tcBorders>
              <w:left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p>
        </w:tc>
        <w:tc>
          <w:tcPr>
            <w:tcW w:w="502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4、垃圾桶（果皮箱）表面清洁无污渍，垃圾及时清运。纸篓（桶内）垃圾不得超过篓深（桶深）2/3。</w:t>
            </w:r>
          </w:p>
        </w:tc>
        <w:tc>
          <w:tcPr>
            <w:tcW w:w="3727" w:type="dxa"/>
            <w:vMerge w:val="continue"/>
            <w:tcBorders>
              <w:left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p>
        </w:tc>
        <w:tc>
          <w:tcPr>
            <w:tcW w:w="2357" w:type="dxa"/>
            <w:gridSpan w:val="3"/>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0" w:type="dxa"/>
            <w:vMerge w:val="continue"/>
            <w:tcBorders>
              <w:left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15" w:type="dxa"/>
            <w:vMerge w:val="continue"/>
            <w:tcBorders>
              <w:left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502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5、边沟、下水道、垃圾房、垃圾桶的消毒杀菌、防虫处理每周不少于一次，并记录完整。</w:t>
            </w:r>
          </w:p>
        </w:tc>
        <w:tc>
          <w:tcPr>
            <w:tcW w:w="3727" w:type="dxa"/>
            <w:vMerge w:val="continue"/>
            <w:tcBorders>
              <w:left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p>
        </w:tc>
        <w:tc>
          <w:tcPr>
            <w:tcW w:w="2357" w:type="dxa"/>
            <w:gridSpan w:val="3"/>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0" w:type="dxa"/>
            <w:vMerge w:val="continue"/>
            <w:tcBorders>
              <w:left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15" w:type="dxa"/>
            <w:vMerge w:val="continue"/>
            <w:tcBorders>
              <w:left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502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6、草坪、绿化带内无杂物、包装袋、饮料瓶等影响环境卫生和</w:t>
            </w:r>
            <w:r>
              <w:rPr>
                <w:rFonts w:hint="eastAsia" w:ascii="宋体" w:hAnsi="宋体" w:eastAsia="宋体" w:cs="宋体"/>
                <w:color w:val="auto"/>
                <w:sz w:val="18"/>
                <w:szCs w:val="18"/>
                <w:highlight w:val="none"/>
                <w:lang w:eastAsia="zh-CN"/>
              </w:rPr>
              <w:t>服务区</w:t>
            </w:r>
            <w:r>
              <w:rPr>
                <w:rFonts w:hint="eastAsia" w:ascii="宋体" w:hAnsi="宋体" w:eastAsia="宋体" w:cs="宋体"/>
                <w:color w:val="auto"/>
                <w:sz w:val="18"/>
                <w:szCs w:val="18"/>
                <w:highlight w:val="none"/>
              </w:rPr>
              <w:t>形象的废弃物。</w:t>
            </w:r>
          </w:p>
        </w:tc>
        <w:tc>
          <w:tcPr>
            <w:tcW w:w="3727" w:type="dxa"/>
            <w:vMerge w:val="continue"/>
            <w:tcBorders>
              <w:left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p>
        </w:tc>
        <w:tc>
          <w:tcPr>
            <w:tcW w:w="2357" w:type="dxa"/>
            <w:gridSpan w:val="3"/>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0" w:type="dxa"/>
            <w:vMerge w:val="continue"/>
            <w:tcBorders>
              <w:left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15" w:type="dxa"/>
            <w:vMerge w:val="continue"/>
            <w:tcBorders>
              <w:left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502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7、保洁工具及时清洗干净摆放到指定位置。</w:t>
            </w:r>
          </w:p>
        </w:tc>
        <w:tc>
          <w:tcPr>
            <w:tcW w:w="3727" w:type="dxa"/>
            <w:vMerge w:val="continue"/>
            <w:tcBorders>
              <w:left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p>
        </w:tc>
        <w:tc>
          <w:tcPr>
            <w:tcW w:w="2357" w:type="dxa"/>
            <w:gridSpan w:val="3"/>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0" w:type="dxa"/>
            <w:vMerge w:val="continue"/>
            <w:tcBorders>
              <w:left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15" w:type="dxa"/>
            <w:vMerge w:val="continue"/>
            <w:tcBorders>
              <w:left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502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8、低值易耗品无明显浪费现象。</w:t>
            </w:r>
          </w:p>
        </w:tc>
        <w:tc>
          <w:tcPr>
            <w:tcW w:w="3727" w:type="dxa"/>
            <w:vMerge w:val="continue"/>
            <w:tcBorders>
              <w:left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p>
        </w:tc>
        <w:tc>
          <w:tcPr>
            <w:tcW w:w="2357" w:type="dxa"/>
            <w:gridSpan w:val="3"/>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0" w:type="dxa"/>
            <w:vMerge w:val="continue"/>
            <w:tcBorders>
              <w:left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15" w:type="dxa"/>
            <w:vMerge w:val="continue"/>
            <w:tcBorders>
              <w:left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502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9、公厕和卫生间地面无积水、无污物；便池、小便斗、小便槽保持干净无污迹、无臭味。</w:t>
            </w:r>
          </w:p>
        </w:tc>
        <w:tc>
          <w:tcPr>
            <w:tcW w:w="3727" w:type="dxa"/>
            <w:vMerge w:val="continue"/>
            <w:tcBorders>
              <w:left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p>
        </w:tc>
        <w:tc>
          <w:tcPr>
            <w:tcW w:w="2357" w:type="dxa"/>
            <w:gridSpan w:val="3"/>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0" w:type="dxa"/>
            <w:vMerge w:val="continue"/>
            <w:tcBorders>
              <w:left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15" w:type="dxa"/>
            <w:vMerge w:val="continue"/>
            <w:tcBorders>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502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10、公厕和卫生间保持空气流通，无蜘蛛网，墙面、顶棚、玻璃无灰尘、水垢，镜面保持无污迹。</w:t>
            </w:r>
          </w:p>
        </w:tc>
        <w:tc>
          <w:tcPr>
            <w:tcW w:w="3727" w:type="dxa"/>
            <w:vMerge w:val="continue"/>
            <w:tcBorders>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p>
        </w:tc>
        <w:tc>
          <w:tcPr>
            <w:tcW w:w="2357" w:type="dxa"/>
            <w:gridSpan w:val="3"/>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0" w:type="dxa"/>
            <w:vMerge w:val="continue"/>
            <w:tcBorders>
              <w:left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15" w:type="dxa"/>
            <w:vMerge w:val="restart"/>
            <w:tcBorders>
              <w:top w:val="single" w:color="auto" w:sz="4" w:space="0"/>
              <w:left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水电工</w:t>
            </w:r>
          </w:p>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岗位</w:t>
            </w:r>
          </w:p>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考核</w:t>
            </w:r>
          </w:p>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细则</w:t>
            </w:r>
          </w:p>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（5分)</w:t>
            </w:r>
          </w:p>
        </w:tc>
        <w:tc>
          <w:tcPr>
            <w:tcW w:w="502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、保持电工间、配电房、发电机房、水泵房、污水处理设备的卫生清洁。</w:t>
            </w:r>
          </w:p>
        </w:tc>
        <w:tc>
          <w:tcPr>
            <w:tcW w:w="3727" w:type="dxa"/>
            <w:vMerge w:val="restart"/>
            <w:tcBorders>
              <w:top w:val="single" w:color="auto" w:sz="4" w:space="0"/>
              <w:left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违反一条每次扣2分</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扣完为止</w:t>
            </w:r>
            <w:r>
              <w:rPr>
                <w:rFonts w:hint="eastAsia" w:ascii="宋体" w:hAnsi="宋体" w:eastAsia="宋体" w:cs="宋体"/>
                <w:color w:val="auto"/>
                <w:sz w:val="18"/>
                <w:szCs w:val="18"/>
                <w:highlight w:val="none"/>
              </w:rPr>
              <w:t>。</w:t>
            </w:r>
          </w:p>
        </w:tc>
        <w:tc>
          <w:tcPr>
            <w:tcW w:w="2357" w:type="dxa"/>
            <w:gridSpan w:val="3"/>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0" w:type="dxa"/>
            <w:vMerge w:val="continue"/>
            <w:tcBorders>
              <w:left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15" w:type="dxa"/>
            <w:vMerge w:val="continue"/>
            <w:tcBorders>
              <w:left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502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、根据季节变化适时调整广场高杆灯的开、关时间。</w:t>
            </w:r>
          </w:p>
        </w:tc>
        <w:tc>
          <w:tcPr>
            <w:tcW w:w="3727" w:type="dxa"/>
            <w:vMerge w:val="continue"/>
            <w:tcBorders>
              <w:left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p>
        </w:tc>
        <w:tc>
          <w:tcPr>
            <w:tcW w:w="2357" w:type="dxa"/>
            <w:gridSpan w:val="3"/>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0" w:type="dxa"/>
            <w:vMerge w:val="continue"/>
            <w:tcBorders>
              <w:left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15" w:type="dxa"/>
            <w:vMerge w:val="continue"/>
            <w:tcBorders>
              <w:left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502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、每日进行水电总表的抄报和做好水电工日志。</w:t>
            </w:r>
          </w:p>
        </w:tc>
        <w:tc>
          <w:tcPr>
            <w:tcW w:w="3727" w:type="dxa"/>
            <w:vMerge w:val="continue"/>
            <w:tcBorders>
              <w:left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p>
        </w:tc>
        <w:tc>
          <w:tcPr>
            <w:tcW w:w="2357" w:type="dxa"/>
            <w:gridSpan w:val="3"/>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0" w:type="dxa"/>
            <w:vMerge w:val="continue"/>
            <w:tcBorders>
              <w:left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15" w:type="dxa"/>
            <w:vMerge w:val="continue"/>
            <w:tcBorders>
              <w:left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502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rPr>
              <w:t>、熟悉各设施设备性能，保证运行正常。</w:t>
            </w:r>
            <w:r>
              <w:rPr>
                <w:rFonts w:hint="eastAsia" w:ascii="宋体" w:hAnsi="宋体" w:eastAsia="宋体" w:cs="宋体"/>
                <w:color w:val="auto"/>
                <w:sz w:val="18"/>
                <w:szCs w:val="18"/>
                <w:highlight w:val="none"/>
                <w:lang w:val="en-US" w:eastAsia="zh-CN"/>
              </w:rPr>
              <w:t>如有设施设备故障、损坏等情况，乙方应及时发现并维修。</w:t>
            </w:r>
          </w:p>
        </w:tc>
        <w:tc>
          <w:tcPr>
            <w:tcW w:w="3727" w:type="dxa"/>
            <w:vMerge w:val="continue"/>
            <w:tcBorders>
              <w:left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p>
        </w:tc>
        <w:tc>
          <w:tcPr>
            <w:tcW w:w="2357" w:type="dxa"/>
            <w:gridSpan w:val="3"/>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0" w:type="dxa"/>
            <w:vMerge w:val="continue"/>
            <w:tcBorders>
              <w:left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15" w:type="dxa"/>
            <w:vMerge w:val="continue"/>
            <w:tcBorders>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502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rPr>
              <w:t>、及时按要求填写规定台帐，有填写人和审核人，内容须填写规范。</w:t>
            </w:r>
          </w:p>
        </w:tc>
        <w:tc>
          <w:tcPr>
            <w:tcW w:w="3727" w:type="dxa"/>
            <w:vMerge w:val="continue"/>
            <w:tcBorders>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p>
        </w:tc>
        <w:tc>
          <w:tcPr>
            <w:tcW w:w="2357" w:type="dxa"/>
            <w:gridSpan w:val="3"/>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r>
    </w:tbl>
    <w:tbl>
      <w:tblPr>
        <w:tblStyle w:val="24"/>
        <w:tblpPr w:leftFromText="180" w:rightFromText="180" w:vertAnchor="text" w:horzAnchor="page" w:tblpXSpec="center" w:tblpY="235"/>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816"/>
        <w:gridCol w:w="5112"/>
        <w:gridCol w:w="3748"/>
        <w:gridCol w:w="2374"/>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其</w:t>
            </w:r>
          </w:p>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他</w:t>
            </w:r>
          </w:p>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考</w:t>
            </w:r>
          </w:p>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核</w:t>
            </w:r>
          </w:p>
        </w:tc>
        <w:tc>
          <w:tcPr>
            <w:tcW w:w="816" w:type="dxa"/>
            <w:vMerge w:val="restart"/>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其</w:t>
            </w:r>
          </w:p>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他</w:t>
            </w:r>
          </w:p>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处</w:t>
            </w:r>
          </w:p>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罚</w:t>
            </w:r>
          </w:p>
        </w:tc>
        <w:tc>
          <w:tcPr>
            <w:tcW w:w="511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由于工作不当被新闻媒体曝光。</w:t>
            </w:r>
          </w:p>
        </w:tc>
        <w:tc>
          <w:tcPr>
            <w:tcW w:w="374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视情况给予当月考核0分处理或酌情给予2000-10000罚款</w:t>
            </w:r>
          </w:p>
        </w:tc>
        <w:tc>
          <w:tcPr>
            <w:tcW w:w="2374"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7" w:type="dxa"/>
            <w:vMerge w:val="continue"/>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宋体" w:hAnsi="宋体" w:eastAsia="宋体" w:cs="宋体"/>
                <w:color w:val="auto"/>
                <w:sz w:val="18"/>
                <w:szCs w:val="18"/>
                <w:highlight w:val="none"/>
              </w:rPr>
            </w:pPr>
          </w:p>
        </w:tc>
        <w:tc>
          <w:tcPr>
            <w:tcW w:w="816" w:type="dxa"/>
            <w:vMerge w:val="continue"/>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宋体" w:hAnsi="宋体" w:eastAsia="宋体" w:cs="宋体"/>
                <w:color w:val="auto"/>
                <w:sz w:val="18"/>
                <w:szCs w:val="18"/>
                <w:highlight w:val="none"/>
              </w:rPr>
            </w:pPr>
          </w:p>
        </w:tc>
        <w:tc>
          <w:tcPr>
            <w:tcW w:w="511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发生有责投诉事件</w:t>
            </w:r>
          </w:p>
        </w:tc>
        <w:tc>
          <w:tcPr>
            <w:tcW w:w="374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p>
        </w:tc>
        <w:tc>
          <w:tcPr>
            <w:tcW w:w="2374"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7" w:type="dxa"/>
            <w:vMerge w:val="continue"/>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宋体" w:hAnsi="宋体" w:eastAsia="宋体" w:cs="宋体"/>
                <w:color w:val="auto"/>
                <w:sz w:val="18"/>
                <w:szCs w:val="18"/>
                <w:highlight w:val="none"/>
              </w:rPr>
            </w:pPr>
          </w:p>
        </w:tc>
        <w:tc>
          <w:tcPr>
            <w:tcW w:w="816" w:type="dxa"/>
            <w:vMerge w:val="continue"/>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宋体" w:hAnsi="宋体" w:eastAsia="宋体" w:cs="宋体"/>
                <w:color w:val="auto"/>
                <w:sz w:val="18"/>
                <w:szCs w:val="18"/>
                <w:highlight w:val="none"/>
              </w:rPr>
            </w:pPr>
          </w:p>
        </w:tc>
        <w:tc>
          <w:tcPr>
            <w:tcW w:w="511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因管理不当被行业主管理部门或集团公司通报批评。</w:t>
            </w:r>
          </w:p>
        </w:tc>
        <w:tc>
          <w:tcPr>
            <w:tcW w:w="374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p>
        </w:tc>
        <w:tc>
          <w:tcPr>
            <w:tcW w:w="2374"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7" w:type="dxa"/>
            <w:vMerge w:val="continue"/>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宋体" w:hAnsi="宋体" w:eastAsia="宋体" w:cs="宋体"/>
                <w:color w:val="auto"/>
                <w:sz w:val="18"/>
                <w:szCs w:val="18"/>
                <w:highlight w:val="none"/>
              </w:rPr>
            </w:pPr>
          </w:p>
        </w:tc>
        <w:tc>
          <w:tcPr>
            <w:tcW w:w="816" w:type="dxa"/>
            <w:vMerge w:val="continue"/>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宋体" w:hAnsi="宋体" w:eastAsia="宋体" w:cs="宋体"/>
                <w:color w:val="auto"/>
                <w:sz w:val="18"/>
                <w:szCs w:val="18"/>
                <w:highlight w:val="none"/>
              </w:rPr>
            </w:pPr>
          </w:p>
        </w:tc>
        <w:tc>
          <w:tcPr>
            <w:tcW w:w="511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对</w:t>
            </w:r>
            <w:r>
              <w:rPr>
                <w:rFonts w:hint="eastAsia" w:ascii="宋体" w:hAnsi="宋体" w:eastAsia="宋体" w:cs="宋体"/>
                <w:color w:val="auto"/>
                <w:sz w:val="18"/>
                <w:szCs w:val="18"/>
                <w:highlight w:val="none"/>
                <w:lang w:eastAsia="zh-CN"/>
              </w:rPr>
              <w:t>服务区</w:t>
            </w:r>
            <w:r>
              <w:rPr>
                <w:rFonts w:hint="eastAsia" w:ascii="宋体" w:hAnsi="宋体" w:eastAsia="宋体" w:cs="宋体"/>
                <w:color w:val="auto"/>
                <w:sz w:val="18"/>
                <w:szCs w:val="18"/>
                <w:highlight w:val="none"/>
              </w:rPr>
              <w:t>交办的其他临时性工作完成较差。</w:t>
            </w:r>
          </w:p>
        </w:tc>
        <w:tc>
          <w:tcPr>
            <w:tcW w:w="374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p>
        </w:tc>
        <w:tc>
          <w:tcPr>
            <w:tcW w:w="2374"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7" w:type="dxa"/>
            <w:vMerge w:val="continue"/>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宋体" w:hAnsi="宋体" w:eastAsia="宋体" w:cs="宋体"/>
                <w:color w:val="auto"/>
                <w:sz w:val="18"/>
                <w:szCs w:val="18"/>
                <w:highlight w:val="none"/>
              </w:rPr>
            </w:pPr>
          </w:p>
        </w:tc>
        <w:tc>
          <w:tcPr>
            <w:tcW w:w="816" w:type="dxa"/>
            <w:vMerge w:val="restart"/>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宋体" w:hAnsi="宋体" w:eastAsia="宋体" w:cs="宋体"/>
                <w:color w:val="auto"/>
                <w:sz w:val="18"/>
                <w:szCs w:val="18"/>
                <w:highlight w:val="none"/>
              </w:rPr>
            </w:pPr>
          </w:p>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加</w:t>
            </w:r>
          </w:p>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分</w:t>
            </w:r>
          </w:p>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项</w:t>
            </w:r>
          </w:p>
        </w:tc>
        <w:tc>
          <w:tcPr>
            <w:tcW w:w="511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见义勇为、拾金不昧、好人好事被司乘人员或上级部门表扬和新闻媒体报道的。</w:t>
            </w:r>
          </w:p>
        </w:tc>
        <w:tc>
          <w:tcPr>
            <w:tcW w:w="374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视情况给予2-20分加分</w:t>
            </w:r>
          </w:p>
        </w:tc>
        <w:tc>
          <w:tcPr>
            <w:tcW w:w="2374"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7" w:type="dxa"/>
            <w:vMerge w:val="continue"/>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816" w:type="dxa"/>
            <w:vMerge w:val="continue"/>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511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因管理优秀被上级部门表彰</w:t>
            </w:r>
          </w:p>
        </w:tc>
        <w:tc>
          <w:tcPr>
            <w:tcW w:w="374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加2-15分</w:t>
            </w:r>
          </w:p>
        </w:tc>
        <w:tc>
          <w:tcPr>
            <w:tcW w:w="2374"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7" w:type="dxa"/>
            <w:vMerge w:val="continue"/>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816" w:type="dxa"/>
            <w:vMerge w:val="continue"/>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511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物业项目被评为市级以上优秀称号</w:t>
            </w:r>
          </w:p>
        </w:tc>
        <w:tc>
          <w:tcPr>
            <w:tcW w:w="374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加20分</w:t>
            </w:r>
          </w:p>
        </w:tc>
        <w:tc>
          <w:tcPr>
            <w:tcW w:w="2374"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highlight w:val="none"/>
              </w:rPr>
            </w:pPr>
          </w:p>
        </w:tc>
      </w:tr>
    </w:tbl>
    <w:p>
      <w:pPr>
        <w:pStyle w:val="2"/>
        <w:rPr>
          <w:rFonts w:hint="eastAsia" w:ascii="宋体" w:hAnsi="宋体" w:eastAsia="宋体" w:cs="宋体"/>
          <w:highlight w:val="none"/>
        </w:rPr>
      </w:pPr>
    </w:p>
    <w:p>
      <w:pPr>
        <w:rPr>
          <w:rFonts w:hint="eastAsia" w:ascii="宋体" w:hAnsi="宋体" w:eastAsia="宋体" w:cs="宋体"/>
          <w:highlight w:val="none"/>
        </w:rPr>
        <w:sectPr>
          <w:headerReference r:id="rId4" w:type="default"/>
          <w:footerReference r:id="rId5" w:type="default"/>
          <w:pgSz w:w="16838" w:h="11906" w:orient="landscape"/>
          <w:pgMar w:top="1474" w:right="1474" w:bottom="1474" w:left="1417" w:header="737" w:footer="737" w:gutter="0"/>
          <w:cols w:space="720" w:num="1"/>
          <w:docGrid w:linePitch="312" w:charSpace="0"/>
        </w:sectPr>
      </w:pPr>
      <w:r>
        <w:rPr>
          <w:rFonts w:hint="eastAsia" w:ascii="宋体" w:hAnsi="宋体" w:eastAsia="宋体" w:cs="宋体"/>
          <w:highlight w:val="none"/>
        </w:rPr>
        <w:br w:type="page"/>
      </w:r>
    </w:p>
    <w:p>
      <w:pPr>
        <w:pStyle w:val="2"/>
        <w:rPr>
          <w:rFonts w:hint="eastAsia" w:ascii="宋体" w:hAnsi="宋体" w:eastAsia="宋体" w:cs="宋体"/>
          <w:highlight w:val="none"/>
        </w:rPr>
      </w:pPr>
    </w:p>
    <w:p>
      <w:pPr>
        <w:pStyle w:val="10"/>
        <w:ind w:firstLine="440"/>
        <w:jc w:val="center"/>
        <w:rPr>
          <w:rFonts w:hint="eastAsia" w:ascii="宋体" w:hAnsi="宋体" w:eastAsia="宋体" w:cs="宋体"/>
          <w:szCs w:val="21"/>
          <w:highlight w:val="none"/>
        </w:rPr>
      </w:pPr>
      <w:r>
        <w:rPr>
          <w:rFonts w:hint="eastAsia" w:ascii="宋体" w:hAnsi="宋体" w:eastAsia="宋体" w:cs="宋体"/>
          <w:sz w:val="44"/>
          <w:szCs w:val="44"/>
          <w:highlight w:val="none"/>
        </w:rPr>
        <w:t>第三部分</w:t>
      </w:r>
      <w:bookmarkEnd w:id="179"/>
      <w:bookmarkEnd w:id="180"/>
      <w:bookmarkEnd w:id="181"/>
      <w:bookmarkEnd w:id="182"/>
      <w:bookmarkEnd w:id="183"/>
      <w:bookmarkEnd w:id="184"/>
      <w:bookmarkEnd w:id="185"/>
      <w:bookmarkEnd w:id="186"/>
      <w:bookmarkEnd w:id="187"/>
      <w:bookmarkEnd w:id="188"/>
      <w:r>
        <w:rPr>
          <w:rFonts w:hint="eastAsia" w:ascii="宋体" w:hAnsi="宋体" w:eastAsia="宋体" w:cs="宋体"/>
          <w:sz w:val="44"/>
          <w:szCs w:val="44"/>
          <w:highlight w:val="none"/>
        </w:rPr>
        <w:t xml:space="preserve"> 投标文件的编制格式</w:t>
      </w:r>
      <w:bookmarkEnd w:id="190"/>
    </w:p>
    <w:p>
      <w:pPr>
        <w:spacing w:before="120" w:beforeLines="50" w:after="120" w:afterLines="50"/>
        <w:rPr>
          <w:rFonts w:hint="eastAsia" w:ascii="宋体" w:hAnsi="宋体" w:eastAsia="宋体" w:cs="宋体"/>
          <w:sz w:val="22"/>
          <w:highlight w:val="none"/>
        </w:rPr>
      </w:pPr>
    </w:p>
    <w:p>
      <w:pPr>
        <w:spacing w:before="120" w:beforeLines="50" w:after="120" w:afterLines="50"/>
        <w:rPr>
          <w:rFonts w:hint="eastAsia" w:ascii="宋体" w:hAnsi="宋体" w:eastAsia="宋体" w:cs="宋体"/>
          <w:sz w:val="22"/>
          <w:highlight w:val="none"/>
        </w:rPr>
      </w:pPr>
      <w:r>
        <w:rPr>
          <w:rFonts w:hint="eastAsia" w:ascii="宋体" w:hAnsi="宋体" w:eastAsia="宋体" w:cs="宋体"/>
          <w:sz w:val="22"/>
          <w:highlight w:val="none"/>
        </w:rPr>
        <w:t>（技术资信标封面，供参考）</w:t>
      </w:r>
    </w:p>
    <w:p>
      <w:pPr>
        <w:spacing w:line="460" w:lineRule="exact"/>
        <w:jc w:val="righ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正/副本</w:t>
      </w:r>
    </w:p>
    <w:p>
      <w:pPr>
        <w:jc w:val="right"/>
        <w:rPr>
          <w:rFonts w:hint="eastAsia" w:ascii="宋体" w:hAnsi="宋体" w:eastAsia="宋体" w:cs="宋体"/>
          <w:szCs w:val="24"/>
          <w:highlight w:val="none"/>
        </w:rPr>
      </w:pPr>
    </w:p>
    <w:p>
      <w:pPr>
        <w:rPr>
          <w:rFonts w:hint="eastAsia" w:ascii="宋体" w:hAnsi="宋体" w:eastAsia="宋体" w:cs="宋体"/>
          <w:szCs w:val="24"/>
          <w:highlight w:val="none"/>
        </w:rPr>
      </w:pPr>
    </w:p>
    <w:p>
      <w:pPr>
        <w:ind w:left="480" w:hanging="480" w:hangingChars="200"/>
        <w:rPr>
          <w:rFonts w:hint="eastAsia" w:ascii="宋体" w:hAnsi="宋体" w:eastAsia="宋体" w:cs="宋体"/>
          <w:sz w:val="24"/>
          <w:szCs w:val="24"/>
          <w:highlight w:val="none"/>
        </w:rPr>
      </w:pPr>
    </w:p>
    <w:p>
      <w:pPr>
        <w:rPr>
          <w:rFonts w:hint="eastAsia" w:ascii="宋体" w:hAnsi="宋体" w:eastAsia="宋体" w:cs="宋体"/>
          <w:szCs w:val="24"/>
          <w:highlight w:val="none"/>
        </w:rPr>
      </w:pPr>
    </w:p>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（项目名称）              </w:t>
      </w:r>
      <w:r>
        <w:rPr>
          <w:rFonts w:hint="eastAsia" w:ascii="宋体" w:hAnsi="宋体" w:eastAsia="宋体" w:cs="宋体"/>
          <w:sz w:val="28"/>
          <w:szCs w:val="28"/>
          <w:highlight w:val="none"/>
        </w:rPr>
        <w:t>投标文件</w:t>
      </w: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autoSpaceDE w:val="0"/>
        <w:autoSpaceDN w:val="0"/>
        <w:adjustRightInd w:val="0"/>
        <w:spacing w:after="120"/>
        <w:ind w:firstLine="280" w:firstLineChars="100"/>
        <w:jc w:val="left"/>
        <w:rPr>
          <w:rFonts w:hint="eastAsia" w:ascii="宋体" w:hAnsi="宋体" w:eastAsia="宋体" w:cs="宋体"/>
          <w:sz w:val="28"/>
          <w:szCs w:val="28"/>
          <w:highlight w:val="none"/>
        </w:rPr>
      </w:pPr>
    </w:p>
    <w:p>
      <w:pPr>
        <w:autoSpaceDE w:val="0"/>
        <w:autoSpaceDN w:val="0"/>
        <w:adjustRightInd w:val="0"/>
        <w:spacing w:after="120"/>
        <w:ind w:firstLine="280" w:firstLineChars="100"/>
        <w:jc w:val="left"/>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spacing w:line="480" w:lineRule="auto"/>
        <w:jc w:val="center"/>
        <w:rPr>
          <w:rFonts w:hint="eastAsia" w:ascii="宋体" w:hAnsi="宋体" w:eastAsia="宋体" w:cs="宋体"/>
          <w:sz w:val="52"/>
          <w:szCs w:val="52"/>
          <w:highlight w:val="none"/>
        </w:rPr>
      </w:pPr>
      <w:r>
        <w:rPr>
          <w:rFonts w:hint="eastAsia" w:ascii="宋体" w:hAnsi="宋体" w:eastAsia="宋体" w:cs="宋体"/>
          <w:sz w:val="52"/>
          <w:szCs w:val="52"/>
          <w:highlight w:val="none"/>
        </w:rPr>
        <w:t>技 术 资 信 标</w:t>
      </w:r>
    </w:p>
    <w:p>
      <w:pPr>
        <w:spacing w:line="480" w:lineRule="auto"/>
        <w:jc w:val="center"/>
        <w:rPr>
          <w:rFonts w:hint="eastAsia" w:ascii="宋体" w:hAnsi="宋体" w:eastAsia="宋体" w:cs="宋体"/>
          <w:sz w:val="44"/>
          <w:szCs w:val="44"/>
          <w:highlight w:val="none"/>
        </w:rPr>
      </w:pPr>
    </w:p>
    <w:p>
      <w:pPr>
        <w:spacing w:line="360" w:lineRule="auto"/>
        <w:rPr>
          <w:rFonts w:hint="eastAsia" w:ascii="宋体" w:hAnsi="宋体" w:eastAsia="宋体" w:cs="宋体"/>
          <w:szCs w:val="21"/>
          <w:highlight w:val="none"/>
        </w:rPr>
      </w:pPr>
    </w:p>
    <w:p>
      <w:pPr>
        <w:spacing w:line="360" w:lineRule="auto"/>
        <w:rPr>
          <w:rFonts w:hint="eastAsia" w:ascii="宋体" w:hAnsi="宋体" w:eastAsia="宋体" w:cs="宋体"/>
          <w:szCs w:val="21"/>
          <w:highlight w:val="none"/>
        </w:rPr>
      </w:pPr>
    </w:p>
    <w:p>
      <w:pPr>
        <w:autoSpaceDE w:val="0"/>
        <w:autoSpaceDN w:val="0"/>
        <w:adjustRightInd w:val="0"/>
        <w:spacing w:after="120"/>
        <w:ind w:firstLine="210" w:firstLineChars="100"/>
        <w:jc w:val="left"/>
        <w:rPr>
          <w:rFonts w:hint="eastAsia" w:ascii="宋体" w:hAnsi="宋体" w:eastAsia="宋体" w:cs="宋体"/>
          <w:szCs w:val="24"/>
          <w:highlight w:val="none"/>
        </w:rPr>
      </w:pPr>
    </w:p>
    <w:p>
      <w:pPr>
        <w:spacing w:line="360" w:lineRule="auto"/>
        <w:rPr>
          <w:rFonts w:hint="eastAsia" w:ascii="宋体" w:hAnsi="宋体" w:eastAsia="宋体" w:cs="宋体"/>
          <w:szCs w:val="21"/>
          <w:highlight w:val="none"/>
        </w:rPr>
      </w:pPr>
    </w:p>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投标供应商：</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（盖单位公章）</w:t>
      </w:r>
    </w:p>
    <w:p>
      <w:pPr>
        <w:rPr>
          <w:rFonts w:hint="eastAsia" w:ascii="宋体" w:hAnsi="宋体" w:eastAsia="宋体" w:cs="宋体"/>
          <w:sz w:val="28"/>
          <w:szCs w:val="28"/>
          <w:highlight w:val="none"/>
          <w:u w:val="single"/>
        </w:rPr>
      </w:pPr>
    </w:p>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法定代表人</w:t>
      </w:r>
      <w:r>
        <w:rPr>
          <w:rFonts w:hint="eastAsia" w:ascii="宋体" w:hAnsi="宋体" w:eastAsia="宋体" w:cs="宋体"/>
          <w:sz w:val="28"/>
          <w:szCs w:val="28"/>
          <w:highlight w:val="none"/>
        </w:rPr>
        <w:t>或其委托代理人：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（签字或盖章）</w:t>
      </w:r>
    </w:p>
    <w:p>
      <w:pPr>
        <w:rPr>
          <w:rFonts w:hint="eastAsia" w:ascii="宋体" w:hAnsi="宋体" w:eastAsia="宋体" w:cs="宋体"/>
          <w:sz w:val="28"/>
          <w:szCs w:val="28"/>
          <w:highlight w:val="none"/>
        </w:rPr>
      </w:pPr>
    </w:p>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pPr>
        <w:autoSpaceDE w:val="0"/>
        <w:autoSpaceDN w:val="0"/>
        <w:adjustRightInd w:val="0"/>
        <w:spacing w:after="120"/>
        <w:jc w:val="center"/>
        <w:rPr>
          <w:rFonts w:hint="eastAsia" w:ascii="宋体" w:hAnsi="宋体" w:eastAsia="宋体" w:cs="宋体"/>
          <w:b/>
          <w:bCs/>
          <w:sz w:val="52"/>
          <w:szCs w:val="52"/>
          <w:highlight w:val="none"/>
        </w:rPr>
      </w:pPr>
      <w:r>
        <w:rPr>
          <w:rFonts w:hint="eastAsia" w:ascii="宋体" w:hAnsi="宋体" w:eastAsia="宋体" w:cs="宋体"/>
          <w:szCs w:val="24"/>
          <w:highlight w:val="none"/>
        </w:rPr>
        <w:br w:type="page"/>
      </w:r>
    </w:p>
    <w:p>
      <w:pPr>
        <w:jc w:val="center"/>
        <w:rPr>
          <w:rFonts w:hint="eastAsia" w:ascii="宋体" w:hAnsi="宋体" w:eastAsia="宋体" w:cs="宋体"/>
          <w:snapToGrid w:val="0"/>
          <w:sz w:val="32"/>
          <w:szCs w:val="20"/>
          <w:highlight w:val="none"/>
        </w:rPr>
      </w:pPr>
      <w:r>
        <w:rPr>
          <w:rFonts w:hint="eastAsia" w:ascii="宋体" w:hAnsi="宋体" w:eastAsia="宋体" w:cs="宋体"/>
          <w:snapToGrid w:val="0"/>
          <w:sz w:val="32"/>
          <w:szCs w:val="20"/>
          <w:highlight w:val="none"/>
        </w:rPr>
        <w:t>目录</w:t>
      </w:r>
    </w:p>
    <w:tbl>
      <w:tblPr>
        <w:tblStyle w:val="24"/>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7122"/>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序号</w:t>
            </w:r>
          </w:p>
        </w:tc>
        <w:tc>
          <w:tcPr>
            <w:tcW w:w="7122" w:type="dxa"/>
            <w:vAlign w:val="center"/>
          </w:tcPr>
          <w:p>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内  容</w:t>
            </w:r>
          </w:p>
        </w:tc>
        <w:tc>
          <w:tcPr>
            <w:tcW w:w="1105" w:type="dxa"/>
            <w:vAlign w:val="center"/>
          </w:tcPr>
          <w:p>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b/>
                <w:sz w:val="18"/>
                <w:szCs w:val="18"/>
                <w:highlight w:val="none"/>
              </w:rPr>
            </w:pPr>
          </w:p>
        </w:tc>
        <w:tc>
          <w:tcPr>
            <w:tcW w:w="7122" w:type="dxa"/>
            <w:vAlign w:val="center"/>
          </w:tcPr>
          <w:p>
            <w:pPr>
              <w:rPr>
                <w:rFonts w:hint="eastAsia" w:ascii="宋体" w:hAnsi="宋体" w:eastAsia="宋体" w:cs="宋体"/>
                <w:b/>
                <w:sz w:val="18"/>
                <w:szCs w:val="18"/>
                <w:highlight w:val="none"/>
              </w:rPr>
            </w:pPr>
            <w:r>
              <w:rPr>
                <w:rFonts w:hint="eastAsia" w:ascii="宋体" w:hAnsi="宋体" w:eastAsia="宋体" w:cs="宋体"/>
                <w:sz w:val="18"/>
                <w:szCs w:val="18"/>
                <w:highlight w:val="none"/>
              </w:rPr>
              <w:t>针对评分细则，编制目录索引，注明评标细则项目所在投标文件页码，格式自拟</w:t>
            </w:r>
          </w:p>
        </w:tc>
        <w:tc>
          <w:tcPr>
            <w:tcW w:w="1105" w:type="dxa"/>
            <w:vAlign w:val="center"/>
          </w:tcPr>
          <w:p>
            <w:pPr>
              <w:jc w:val="center"/>
              <w:rPr>
                <w:rFonts w:hint="eastAsia" w:ascii="宋体" w:hAnsi="宋体" w:eastAsia="宋体" w:cs="宋体"/>
                <w:b/>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7122" w:type="dxa"/>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rPr>
              <w:t>投标函</w:t>
            </w:r>
          </w:p>
        </w:tc>
        <w:tc>
          <w:tcPr>
            <w:tcW w:w="1105"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w:t>
            </w:r>
          </w:p>
        </w:tc>
        <w:tc>
          <w:tcPr>
            <w:tcW w:w="7122" w:type="dxa"/>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rPr>
              <w:t>技术规格、商务条款偏离表</w:t>
            </w:r>
          </w:p>
        </w:tc>
        <w:tc>
          <w:tcPr>
            <w:tcW w:w="1105"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7122" w:type="dxa"/>
            <w:vAlign w:val="center"/>
          </w:tcPr>
          <w:p>
            <w:pPr>
              <w:rPr>
                <w:rFonts w:hint="eastAsia" w:ascii="宋体" w:hAnsi="宋体" w:eastAsia="宋体" w:cs="宋体"/>
                <w:sz w:val="18"/>
                <w:szCs w:val="18"/>
                <w:highlight w:val="none"/>
                <w:u w:val="single"/>
              </w:rPr>
            </w:pPr>
            <w:r>
              <w:rPr>
                <w:rFonts w:hint="eastAsia" w:ascii="宋体" w:hAnsi="宋体" w:eastAsia="宋体" w:cs="宋体"/>
                <w:b/>
                <w:bCs/>
                <w:sz w:val="18"/>
                <w:szCs w:val="18"/>
                <w:highlight w:val="none"/>
                <w:u w:val="single"/>
              </w:rPr>
              <w:t>▲</w:t>
            </w:r>
            <w:r>
              <w:rPr>
                <w:rFonts w:hint="eastAsia" w:ascii="宋体" w:hAnsi="宋体" w:eastAsia="宋体" w:cs="宋体"/>
                <w:b/>
                <w:sz w:val="18"/>
                <w:szCs w:val="18"/>
                <w:highlight w:val="none"/>
                <w:u w:val="single"/>
              </w:rPr>
              <w:t>资格证明文件（本部分为投标人资格审查内容，为实质性要求）：</w:t>
            </w:r>
          </w:p>
        </w:tc>
        <w:tc>
          <w:tcPr>
            <w:tcW w:w="1105"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附件三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7122" w:type="dxa"/>
            <w:vAlign w:val="center"/>
          </w:tcPr>
          <w:p>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法定代表人授权书（授权代表参加投标时提供）</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p>
        </w:tc>
        <w:tc>
          <w:tcPr>
            <w:tcW w:w="7122" w:type="dxa"/>
            <w:vAlign w:val="center"/>
          </w:tcPr>
          <w:p>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法定代表人资格证明书（如法定代表人参加投标时提供）</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w:t>
            </w:r>
          </w:p>
        </w:tc>
        <w:tc>
          <w:tcPr>
            <w:tcW w:w="7122" w:type="dxa"/>
            <w:vAlign w:val="center"/>
          </w:tcPr>
          <w:p>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企业法人有效营业执照（或法人登记证书）复印件加盖单位公章</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7122" w:type="dxa"/>
            <w:vAlign w:val="center"/>
          </w:tcPr>
          <w:p>
            <w:pPr>
              <w:tabs>
                <w:tab w:val="left" w:pos="5355"/>
              </w:tabs>
              <w:rPr>
                <w:rFonts w:hint="eastAsia" w:ascii="宋体" w:hAnsi="宋体" w:eastAsia="宋体" w:cs="宋体"/>
                <w:kern w:val="2"/>
                <w:sz w:val="18"/>
                <w:szCs w:val="18"/>
                <w:highlight w:val="none"/>
                <w:u w:val="single"/>
                <w:lang w:val="en-US" w:eastAsia="zh-CN" w:bidi="ar-SA"/>
              </w:rPr>
            </w:pPr>
            <w:r>
              <w:rPr>
                <w:rFonts w:hint="eastAsia" w:ascii="宋体" w:hAnsi="宋体" w:eastAsia="宋体" w:cs="宋体"/>
                <w:sz w:val="18"/>
                <w:szCs w:val="18"/>
                <w:highlight w:val="none"/>
              </w:rPr>
              <w:t>投标声明书</w:t>
            </w:r>
          </w:p>
        </w:tc>
        <w:tc>
          <w:tcPr>
            <w:tcW w:w="1105"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附件四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a</w:t>
            </w:r>
          </w:p>
        </w:tc>
        <w:tc>
          <w:tcPr>
            <w:tcW w:w="7122" w:type="dxa"/>
            <w:vAlign w:val="center"/>
          </w:tcPr>
          <w:p>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rPr>
              <w:t>参加国企采购活动前三年内，在经营活动中没有重大违法记录。请在投标声明书中如实填写</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b</w:t>
            </w:r>
          </w:p>
        </w:tc>
        <w:tc>
          <w:tcPr>
            <w:tcW w:w="7122" w:type="dxa"/>
            <w:vAlign w:val="center"/>
          </w:tcPr>
          <w:p>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rPr>
              <w:t>截至投标截止日前，投标人未被列入“信用中国”网(www.creditchina.gov.cn)失信被执行人、重大税收违法案件当事人名单。请在投标声明书在如实填写，并以采购人或代理机构当天查询结果为准。</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17"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w:t>
            </w:r>
          </w:p>
        </w:tc>
        <w:tc>
          <w:tcPr>
            <w:tcW w:w="7122" w:type="dxa"/>
            <w:vAlign w:val="center"/>
          </w:tcPr>
          <w:p>
            <w:pPr>
              <w:tabs>
                <w:tab w:val="left" w:pos="5355"/>
              </w:tabs>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供应商简介</w:t>
            </w:r>
          </w:p>
        </w:tc>
        <w:tc>
          <w:tcPr>
            <w:tcW w:w="1105"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5</w:t>
            </w:r>
          </w:p>
        </w:tc>
        <w:tc>
          <w:tcPr>
            <w:tcW w:w="7122" w:type="dxa"/>
            <w:vAlign w:val="center"/>
          </w:tcPr>
          <w:p>
            <w:pPr>
              <w:rPr>
                <w:rFonts w:hint="eastAsia" w:ascii="宋体" w:hAnsi="宋体" w:eastAsia="宋体" w:cs="宋体"/>
                <w:kern w:val="2"/>
                <w:sz w:val="18"/>
                <w:szCs w:val="18"/>
                <w:highlight w:val="none"/>
                <w:lang w:val="en-US" w:eastAsia="zh-CN" w:bidi="ar-SA"/>
              </w:rPr>
            </w:pPr>
            <w:r>
              <w:rPr>
                <w:rFonts w:hint="eastAsia" w:ascii="宋体" w:hAnsi="宋体" w:eastAsia="宋体" w:cs="宋体"/>
                <w:b/>
                <w:sz w:val="18"/>
                <w:szCs w:val="18"/>
                <w:highlight w:val="none"/>
              </w:rPr>
              <w:t>资信证明文件（本项为评分量化内容，非强制性要求）</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5.1</w:t>
            </w:r>
          </w:p>
        </w:tc>
        <w:tc>
          <w:tcPr>
            <w:tcW w:w="7122" w:type="dxa"/>
            <w:vAlign w:val="center"/>
          </w:tcPr>
          <w:p>
            <w:pPr>
              <w:tabs>
                <w:tab w:val="left" w:pos="5355"/>
              </w:tabs>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投标人获得国家、省、部级荣誉证书</w:t>
            </w:r>
            <w:r>
              <w:rPr>
                <w:rFonts w:hint="eastAsia" w:ascii="宋体" w:hAnsi="宋体" w:eastAsia="宋体" w:cs="宋体"/>
                <w:sz w:val="18"/>
                <w:szCs w:val="18"/>
                <w:highlight w:val="none"/>
                <w:lang w:val="en-US" w:eastAsia="zh-CN"/>
              </w:rPr>
              <w:t>等</w:t>
            </w:r>
            <w:r>
              <w:rPr>
                <w:rFonts w:hint="eastAsia" w:ascii="宋体" w:hAnsi="宋体" w:eastAsia="宋体" w:cs="宋体"/>
                <w:sz w:val="18"/>
                <w:szCs w:val="18"/>
                <w:highlight w:val="none"/>
              </w:rPr>
              <w:t>（</w:t>
            </w:r>
            <w:r>
              <w:rPr>
                <w:rFonts w:hint="eastAsia" w:ascii="宋体" w:hAnsi="宋体" w:eastAsia="宋体" w:cs="宋体"/>
                <w:sz w:val="18"/>
                <w:szCs w:val="18"/>
                <w:highlight w:val="none"/>
                <w:lang w:val="en-US" w:eastAsia="zh-CN"/>
              </w:rPr>
              <w:t>如有，</w:t>
            </w:r>
            <w:r>
              <w:rPr>
                <w:rFonts w:hint="eastAsia" w:ascii="宋体" w:hAnsi="宋体" w:eastAsia="宋体" w:cs="宋体"/>
                <w:sz w:val="18"/>
                <w:szCs w:val="18"/>
                <w:highlight w:val="none"/>
              </w:rPr>
              <w:t>复印件加盖公章）</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5.2</w:t>
            </w:r>
          </w:p>
        </w:tc>
        <w:tc>
          <w:tcPr>
            <w:tcW w:w="7122" w:type="dxa"/>
            <w:vAlign w:val="center"/>
          </w:tcPr>
          <w:p>
            <w:pPr>
              <w:tabs>
                <w:tab w:val="left" w:pos="5355"/>
              </w:tabs>
              <w:rPr>
                <w:rFonts w:hint="eastAsia" w:ascii="宋体" w:hAnsi="宋体" w:eastAsia="宋体" w:cs="宋体"/>
                <w:sz w:val="18"/>
                <w:szCs w:val="18"/>
                <w:highlight w:val="none"/>
              </w:rPr>
            </w:pPr>
            <w:r>
              <w:rPr>
                <w:rFonts w:hint="eastAsia" w:ascii="宋体" w:hAnsi="宋体" w:eastAsia="宋体" w:cs="宋体"/>
                <w:sz w:val="18"/>
                <w:szCs w:val="18"/>
                <w:highlight w:val="none"/>
              </w:rPr>
              <w:t>投标供应商认为需要提供的其他资格证明文件（如有，复印件加盖公章）</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6</w:t>
            </w:r>
          </w:p>
        </w:tc>
        <w:tc>
          <w:tcPr>
            <w:tcW w:w="7122" w:type="dxa"/>
            <w:vAlign w:val="center"/>
          </w:tcPr>
          <w:p>
            <w:pPr>
              <w:tabs>
                <w:tab w:val="left" w:pos="5355"/>
              </w:tabs>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拟投入设备、工具、耗材一览表</w:t>
            </w:r>
          </w:p>
        </w:tc>
        <w:tc>
          <w:tcPr>
            <w:tcW w:w="1105"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7</w:t>
            </w:r>
          </w:p>
        </w:tc>
        <w:tc>
          <w:tcPr>
            <w:tcW w:w="7122" w:type="dxa"/>
            <w:vAlign w:val="center"/>
          </w:tcPr>
          <w:p>
            <w:pPr>
              <w:tabs>
                <w:tab w:val="left" w:pos="5355"/>
              </w:tabs>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拟派</w:t>
            </w:r>
            <w:r>
              <w:rPr>
                <w:rFonts w:hint="eastAsia" w:ascii="宋体" w:hAnsi="宋体" w:eastAsia="宋体" w:cs="宋体"/>
                <w:sz w:val="18"/>
                <w:szCs w:val="18"/>
                <w:highlight w:val="none"/>
              </w:rPr>
              <w:t>项目负责人情况表</w:t>
            </w:r>
          </w:p>
        </w:tc>
        <w:tc>
          <w:tcPr>
            <w:tcW w:w="1105"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8</w:t>
            </w:r>
          </w:p>
        </w:tc>
        <w:tc>
          <w:tcPr>
            <w:tcW w:w="7122" w:type="dxa"/>
            <w:vAlign w:val="center"/>
          </w:tcPr>
          <w:p>
            <w:pPr>
              <w:tabs>
                <w:tab w:val="left" w:pos="5355"/>
              </w:tabs>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项目</w:t>
            </w:r>
            <w:r>
              <w:rPr>
                <w:rFonts w:hint="eastAsia" w:ascii="宋体" w:hAnsi="宋体" w:eastAsia="宋体" w:cs="宋体"/>
                <w:sz w:val="18"/>
                <w:szCs w:val="18"/>
                <w:highlight w:val="none"/>
                <w:lang w:val="en-US" w:eastAsia="zh-CN"/>
              </w:rPr>
              <w:t>服务人员汇总</w:t>
            </w:r>
            <w:r>
              <w:rPr>
                <w:rFonts w:hint="eastAsia" w:ascii="宋体" w:hAnsi="宋体" w:eastAsia="宋体" w:cs="宋体"/>
                <w:sz w:val="18"/>
                <w:szCs w:val="18"/>
                <w:highlight w:val="none"/>
              </w:rPr>
              <w:t>表</w:t>
            </w:r>
          </w:p>
        </w:tc>
        <w:tc>
          <w:tcPr>
            <w:tcW w:w="1105"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9</w:t>
            </w:r>
          </w:p>
        </w:tc>
        <w:tc>
          <w:tcPr>
            <w:tcW w:w="7122" w:type="dxa"/>
            <w:vAlign w:val="center"/>
          </w:tcPr>
          <w:p>
            <w:pPr>
              <w:tabs>
                <w:tab w:val="left" w:pos="5355"/>
              </w:tabs>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投标人</w:t>
            </w:r>
            <w:r>
              <w:rPr>
                <w:rFonts w:hint="eastAsia" w:ascii="宋体" w:hAnsi="宋体" w:eastAsia="宋体" w:cs="宋体"/>
                <w:sz w:val="18"/>
                <w:szCs w:val="18"/>
                <w:highlight w:val="none"/>
                <w:lang w:eastAsia="zh-CN"/>
              </w:rPr>
              <w:t>2019年1月1日以来</w:t>
            </w:r>
            <w:r>
              <w:rPr>
                <w:rFonts w:hint="eastAsia" w:ascii="宋体" w:hAnsi="宋体" w:eastAsia="宋体" w:cs="宋体"/>
                <w:sz w:val="18"/>
                <w:szCs w:val="18"/>
                <w:highlight w:val="none"/>
              </w:rPr>
              <w:t>同类项目业绩一览表</w:t>
            </w:r>
          </w:p>
        </w:tc>
        <w:tc>
          <w:tcPr>
            <w:tcW w:w="1105"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10</w:t>
            </w:r>
          </w:p>
        </w:tc>
        <w:tc>
          <w:tcPr>
            <w:tcW w:w="7122" w:type="dxa"/>
            <w:vAlign w:val="center"/>
          </w:tcPr>
          <w:p>
            <w:pPr>
              <w:tabs>
                <w:tab w:val="left" w:pos="5355"/>
              </w:tabs>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项目组织实施方案</w:t>
            </w:r>
          </w:p>
        </w:tc>
        <w:tc>
          <w:tcPr>
            <w:tcW w:w="1105"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11</w:t>
            </w:r>
          </w:p>
        </w:tc>
        <w:tc>
          <w:tcPr>
            <w:tcW w:w="7122" w:type="dxa"/>
            <w:vAlign w:val="center"/>
          </w:tcPr>
          <w:p>
            <w:pPr>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服务人员人均月工资承诺函</w:t>
            </w:r>
          </w:p>
        </w:tc>
        <w:tc>
          <w:tcPr>
            <w:tcW w:w="1105"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附件十一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12</w:t>
            </w:r>
          </w:p>
        </w:tc>
        <w:tc>
          <w:tcPr>
            <w:tcW w:w="7122" w:type="dxa"/>
            <w:vAlign w:val="center"/>
          </w:tcPr>
          <w:p>
            <w:pP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投标供应商需要说明的其他文件和说明</w:t>
            </w:r>
          </w:p>
        </w:tc>
        <w:tc>
          <w:tcPr>
            <w:tcW w:w="1105" w:type="dxa"/>
            <w:vAlign w:val="center"/>
          </w:tcPr>
          <w:p>
            <w:pPr>
              <w:jc w:val="center"/>
              <w:rPr>
                <w:rFonts w:hint="eastAsia" w:ascii="宋体" w:hAnsi="宋体" w:eastAsia="宋体" w:cs="宋体"/>
                <w:sz w:val="18"/>
                <w:szCs w:val="18"/>
                <w:highlight w:val="none"/>
              </w:rPr>
            </w:pPr>
          </w:p>
        </w:tc>
      </w:tr>
    </w:tbl>
    <w:p>
      <w:pPr>
        <w:pStyle w:val="2"/>
        <w:rPr>
          <w:rFonts w:hint="eastAsia" w:ascii="宋体" w:hAnsi="宋体" w:eastAsia="宋体" w:cs="宋体"/>
          <w:snapToGrid w:val="0"/>
          <w:sz w:val="32"/>
          <w:szCs w:val="20"/>
          <w:highlight w:val="none"/>
        </w:rPr>
      </w:pPr>
    </w:p>
    <w:p>
      <w:pPr>
        <w:pStyle w:val="2"/>
        <w:rPr>
          <w:rFonts w:hint="eastAsia" w:ascii="宋体" w:hAnsi="宋体" w:eastAsia="宋体" w:cs="宋体"/>
          <w:snapToGrid w:val="0"/>
          <w:sz w:val="32"/>
          <w:szCs w:val="20"/>
          <w:highlight w:val="none"/>
        </w:rPr>
      </w:pPr>
    </w:p>
    <w:p>
      <w:pPr>
        <w:jc w:val="left"/>
        <w:rPr>
          <w:rFonts w:hint="eastAsia" w:ascii="宋体" w:hAnsi="宋体" w:eastAsia="宋体" w:cs="宋体"/>
          <w:snapToGrid w:val="0"/>
          <w:sz w:val="32"/>
          <w:szCs w:val="20"/>
          <w:highlight w:val="none"/>
        </w:rPr>
      </w:pPr>
      <w:r>
        <w:rPr>
          <w:rFonts w:hint="eastAsia" w:ascii="宋体" w:hAnsi="宋体" w:eastAsia="宋体" w:cs="宋体"/>
          <w:snapToGrid w:val="0"/>
          <w:sz w:val="32"/>
          <w:szCs w:val="20"/>
          <w:highlight w:val="none"/>
        </w:rPr>
        <w:br w:type="page"/>
      </w:r>
    </w:p>
    <w:p>
      <w:pPr>
        <w:pStyle w:val="10"/>
        <w:ind w:firstLine="210"/>
        <w:rPr>
          <w:rFonts w:hint="eastAsia" w:ascii="宋体" w:hAnsi="宋体" w:eastAsia="宋体" w:cs="宋体"/>
          <w:highlight w:val="none"/>
        </w:rPr>
      </w:pPr>
    </w:p>
    <w:p>
      <w:pPr>
        <w:spacing w:line="460" w:lineRule="exact"/>
        <w:jc w:val="center"/>
        <w:rPr>
          <w:rFonts w:hint="eastAsia" w:ascii="宋体" w:hAnsi="宋体" w:eastAsia="宋体" w:cs="宋体"/>
          <w:highlight w:val="none"/>
        </w:rPr>
      </w:pPr>
      <w:r>
        <w:rPr>
          <w:rFonts w:hint="eastAsia" w:ascii="宋体" w:hAnsi="宋体" w:eastAsia="宋体" w:cs="宋体"/>
          <w:b/>
          <w:bCs/>
          <w:sz w:val="30"/>
          <w:szCs w:val="30"/>
          <w:highlight w:val="none"/>
        </w:rPr>
        <w:t>评分索引表</w:t>
      </w:r>
    </w:p>
    <w:p>
      <w:pPr>
        <w:spacing w:line="460" w:lineRule="exact"/>
        <w:jc w:val="center"/>
        <w:rPr>
          <w:rFonts w:hint="eastAsia" w:ascii="宋体" w:hAnsi="宋体" w:eastAsia="宋体" w:cs="宋体"/>
          <w:b/>
          <w:bCs/>
          <w:sz w:val="30"/>
          <w:szCs w:val="30"/>
          <w:highlight w:val="none"/>
        </w:rPr>
      </w:pPr>
      <w:r>
        <w:rPr>
          <w:rFonts w:hint="eastAsia" w:ascii="宋体" w:hAnsi="宋体" w:eastAsia="宋体" w:cs="宋体"/>
          <w:highlight w:val="none"/>
        </w:rPr>
        <w:t xml:space="preserve">                     </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144"/>
        <w:gridCol w:w="2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948" w:type="dxa"/>
            <w:vAlign w:val="center"/>
          </w:tcPr>
          <w:p>
            <w:pPr>
              <w:spacing w:line="42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序号</w:t>
            </w:r>
          </w:p>
        </w:tc>
        <w:tc>
          <w:tcPr>
            <w:tcW w:w="5144" w:type="dxa"/>
            <w:vAlign w:val="center"/>
          </w:tcPr>
          <w:p>
            <w:pPr>
              <w:spacing w:line="42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评分项目</w:t>
            </w:r>
          </w:p>
        </w:tc>
        <w:tc>
          <w:tcPr>
            <w:tcW w:w="2690" w:type="dxa"/>
            <w:vAlign w:val="center"/>
          </w:tcPr>
          <w:p>
            <w:pPr>
              <w:spacing w:line="42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查阅指引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hint="eastAsia" w:ascii="宋体" w:hAnsi="宋体" w:eastAsia="宋体" w:cs="宋体"/>
                <w:sz w:val="18"/>
                <w:szCs w:val="18"/>
                <w:highlight w:val="none"/>
              </w:rPr>
            </w:pPr>
          </w:p>
        </w:tc>
        <w:tc>
          <w:tcPr>
            <w:tcW w:w="5144" w:type="dxa"/>
            <w:vAlign w:val="center"/>
          </w:tcPr>
          <w:p>
            <w:pPr>
              <w:spacing w:line="420" w:lineRule="exact"/>
              <w:jc w:val="center"/>
              <w:rPr>
                <w:rFonts w:hint="eastAsia" w:ascii="宋体" w:hAnsi="宋体" w:eastAsia="宋体" w:cs="宋体"/>
                <w:sz w:val="18"/>
                <w:szCs w:val="18"/>
                <w:highlight w:val="none"/>
              </w:rPr>
            </w:pPr>
          </w:p>
        </w:tc>
        <w:tc>
          <w:tcPr>
            <w:tcW w:w="2690" w:type="dxa"/>
            <w:vAlign w:val="center"/>
          </w:tcPr>
          <w:p>
            <w:pPr>
              <w:spacing w:line="42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hint="eastAsia" w:ascii="宋体" w:hAnsi="宋体" w:eastAsia="宋体" w:cs="宋体"/>
                <w:sz w:val="18"/>
                <w:szCs w:val="18"/>
                <w:highlight w:val="none"/>
              </w:rPr>
            </w:pPr>
          </w:p>
        </w:tc>
        <w:tc>
          <w:tcPr>
            <w:tcW w:w="5144" w:type="dxa"/>
            <w:vAlign w:val="center"/>
          </w:tcPr>
          <w:p>
            <w:pPr>
              <w:spacing w:line="420" w:lineRule="exact"/>
              <w:jc w:val="center"/>
              <w:rPr>
                <w:rFonts w:hint="eastAsia" w:ascii="宋体" w:hAnsi="宋体" w:eastAsia="宋体" w:cs="宋体"/>
                <w:sz w:val="18"/>
                <w:szCs w:val="18"/>
                <w:highlight w:val="none"/>
              </w:rPr>
            </w:pPr>
          </w:p>
        </w:tc>
        <w:tc>
          <w:tcPr>
            <w:tcW w:w="2690"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hint="eastAsia" w:ascii="宋体" w:hAnsi="宋体" w:eastAsia="宋体" w:cs="宋体"/>
                <w:sz w:val="18"/>
                <w:szCs w:val="18"/>
                <w:highlight w:val="none"/>
              </w:rPr>
            </w:pPr>
          </w:p>
        </w:tc>
        <w:tc>
          <w:tcPr>
            <w:tcW w:w="5144" w:type="dxa"/>
            <w:vAlign w:val="center"/>
          </w:tcPr>
          <w:p>
            <w:pPr>
              <w:spacing w:line="420" w:lineRule="exact"/>
              <w:jc w:val="center"/>
              <w:rPr>
                <w:rFonts w:hint="eastAsia" w:ascii="宋体" w:hAnsi="宋体" w:eastAsia="宋体" w:cs="宋体"/>
                <w:sz w:val="18"/>
                <w:szCs w:val="18"/>
                <w:highlight w:val="none"/>
              </w:rPr>
            </w:pPr>
          </w:p>
        </w:tc>
        <w:tc>
          <w:tcPr>
            <w:tcW w:w="2690"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hint="eastAsia" w:ascii="宋体" w:hAnsi="宋体" w:eastAsia="宋体" w:cs="宋体"/>
                <w:sz w:val="18"/>
                <w:szCs w:val="18"/>
                <w:highlight w:val="none"/>
              </w:rPr>
            </w:pPr>
          </w:p>
        </w:tc>
        <w:tc>
          <w:tcPr>
            <w:tcW w:w="5144" w:type="dxa"/>
            <w:vAlign w:val="center"/>
          </w:tcPr>
          <w:p>
            <w:pPr>
              <w:spacing w:line="420" w:lineRule="exact"/>
              <w:jc w:val="center"/>
              <w:rPr>
                <w:rFonts w:hint="eastAsia" w:ascii="宋体" w:hAnsi="宋体" w:eastAsia="宋体" w:cs="宋体"/>
                <w:sz w:val="18"/>
                <w:szCs w:val="18"/>
                <w:highlight w:val="none"/>
              </w:rPr>
            </w:pPr>
          </w:p>
        </w:tc>
        <w:tc>
          <w:tcPr>
            <w:tcW w:w="2690"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hint="eastAsia" w:ascii="宋体" w:hAnsi="宋体" w:eastAsia="宋体" w:cs="宋体"/>
                <w:sz w:val="18"/>
                <w:szCs w:val="18"/>
                <w:highlight w:val="none"/>
              </w:rPr>
            </w:pPr>
          </w:p>
        </w:tc>
        <w:tc>
          <w:tcPr>
            <w:tcW w:w="5144" w:type="dxa"/>
            <w:vAlign w:val="center"/>
          </w:tcPr>
          <w:p>
            <w:pPr>
              <w:spacing w:line="420" w:lineRule="exact"/>
              <w:jc w:val="center"/>
              <w:rPr>
                <w:rFonts w:hint="eastAsia" w:ascii="宋体" w:hAnsi="宋体" w:eastAsia="宋体" w:cs="宋体"/>
                <w:sz w:val="18"/>
                <w:szCs w:val="18"/>
                <w:highlight w:val="none"/>
              </w:rPr>
            </w:pPr>
          </w:p>
        </w:tc>
        <w:tc>
          <w:tcPr>
            <w:tcW w:w="2690"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hint="eastAsia" w:ascii="宋体" w:hAnsi="宋体" w:eastAsia="宋体" w:cs="宋体"/>
                <w:sz w:val="18"/>
                <w:szCs w:val="18"/>
                <w:highlight w:val="none"/>
              </w:rPr>
            </w:pPr>
          </w:p>
        </w:tc>
        <w:tc>
          <w:tcPr>
            <w:tcW w:w="5144" w:type="dxa"/>
            <w:vAlign w:val="center"/>
          </w:tcPr>
          <w:p>
            <w:pPr>
              <w:spacing w:line="420" w:lineRule="exact"/>
              <w:jc w:val="center"/>
              <w:rPr>
                <w:rFonts w:hint="eastAsia" w:ascii="宋体" w:hAnsi="宋体" w:eastAsia="宋体" w:cs="宋体"/>
                <w:sz w:val="18"/>
                <w:szCs w:val="18"/>
                <w:highlight w:val="none"/>
              </w:rPr>
            </w:pPr>
          </w:p>
        </w:tc>
        <w:tc>
          <w:tcPr>
            <w:tcW w:w="2690"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hint="eastAsia" w:ascii="宋体" w:hAnsi="宋体" w:eastAsia="宋体" w:cs="宋体"/>
                <w:sz w:val="18"/>
                <w:szCs w:val="18"/>
                <w:highlight w:val="none"/>
              </w:rPr>
            </w:pPr>
          </w:p>
        </w:tc>
        <w:tc>
          <w:tcPr>
            <w:tcW w:w="5144" w:type="dxa"/>
            <w:vAlign w:val="center"/>
          </w:tcPr>
          <w:p>
            <w:pPr>
              <w:spacing w:line="420" w:lineRule="exact"/>
              <w:jc w:val="center"/>
              <w:rPr>
                <w:rFonts w:hint="eastAsia" w:ascii="宋体" w:hAnsi="宋体" w:eastAsia="宋体" w:cs="宋体"/>
                <w:sz w:val="18"/>
                <w:szCs w:val="18"/>
                <w:highlight w:val="none"/>
              </w:rPr>
            </w:pPr>
          </w:p>
        </w:tc>
        <w:tc>
          <w:tcPr>
            <w:tcW w:w="2690"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bl>
    <w:p>
      <w:pPr>
        <w:spacing w:line="420" w:lineRule="exact"/>
        <w:ind w:firstLine="360" w:firstLineChars="150"/>
        <w:rPr>
          <w:rFonts w:hint="eastAsia" w:ascii="宋体" w:hAnsi="宋体" w:eastAsia="宋体" w:cs="宋体"/>
          <w:sz w:val="24"/>
          <w:highlight w:val="none"/>
        </w:rPr>
      </w:pPr>
      <w:r>
        <w:rPr>
          <w:rFonts w:hint="eastAsia" w:ascii="宋体" w:hAnsi="宋体" w:eastAsia="宋体" w:cs="宋体"/>
          <w:sz w:val="24"/>
          <w:highlight w:val="none"/>
        </w:rPr>
        <w:t>说明：</w:t>
      </w:r>
    </w:p>
    <w:p>
      <w:pPr>
        <w:pStyle w:val="54"/>
        <w:numPr>
          <w:ilvl w:val="0"/>
          <w:numId w:val="25"/>
        </w:numPr>
        <w:spacing w:line="420" w:lineRule="exact"/>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建议此表放在技术资信标封面后第一页，方便评委打分。</w:t>
      </w:r>
    </w:p>
    <w:p>
      <w:pPr>
        <w:pStyle w:val="54"/>
        <w:numPr>
          <w:ilvl w:val="0"/>
          <w:numId w:val="25"/>
        </w:numPr>
        <w:spacing w:line="420" w:lineRule="exact"/>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格式可自拟。</w:t>
      </w:r>
    </w:p>
    <w:p>
      <w:pPr>
        <w:pStyle w:val="10"/>
        <w:ind w:firstLine="210"/>
        <w:rPr>
          <w:rFonts w:hint="eastAsia" w:ascii="宋体" w:hAnsi="宋体" w:eastAsia="宋体" w:cs="宋体"/>
          <w:highlight w:val="none"/>
        </w:rPr>
      </w:pPr>
    </w:p>
    <w:p>
      <w:pPr>
        <w:overflowPunct w:val="0"/>
        <w:spacing w:line="460" w:lineRule="exact"/>
        <w:rPr>
          <w:rFonts w:hint="eastAsia" w:ascii="宋体" w:hAnsi="宋体" w:eastAsia="宋体" w:cs="宋体"/>
          <w:b/>
          <w:bCs/>
          <w:sz w:val="22"/>
          <w:highlight w:val="none"/>
        </w:rPr>
      </w:pPr>
      <w:r>
        <w:rPr>
          <w:rFonts w:hint="eastAsia" w:ascii="宋体" w:hAnsi="宋体" w:eastAsia="宋体" w:cs="宋体"/>
          <w:b/>
          <w:bCs/>
          <w:sz w:val="22"/>
          <w:highlight w:val="none"/>
        </w:rPr>
        <w:br w:type="page"/>
      </w:r>
      <w:r>
        <w:rPr>
          <w:rFonts w:hint="eastAsia" w:ascii="宋体" w:hAnsi="宋体" w:eastAsia="宋体" w:cs="宋体"/>
          <w:b/>
          <w:bCs/>
          <w:sz w:val="22"/>
          <w:highlight w:val="none"/>
        </w:rPr>
        <w:t>附件一</w:t>
      </w:r>
    </w:p>
    <w:p>
      <w:pPr>
        <w:overflowPunct w:val="0"/>
        <w:spacing w:line="46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投 标 函</w:t>
      </w:r>
    </w:p>
    <w:p>
      <w:pPr>
        <w:overflowPunct w:val="0"/>
        <w:spacing w:line="420" w:lineRule="exact"/>
        <w:rPr>
          <w:rFonts w:hint="eastAsia" w:ascii="宋体" w:hAnsi="宋体" w:eastAsia="宋体" w:cs="宋体"/>
          <w:sz w:val="22"/>
          <w:highlight w:val="none"/>
        </w:rPr>
      </w:pPr>
      <w:r>
        <w:rPr>
          <w:rFonts w:hint="eastAsia" w:ascii="宋体" w:hAnsi="宋体" w:eastAsia="宋体" w:cs="宋体"/>
          <w:sz w:val="22"/>
          <w:highlight w:val="none"/>
          <w:lang w:eastAsia="zh-CN"/>
        </w:rPr>
        <w:t>温州市高速公路资产经营有限公司</w:t>
      </w:r>
      <w:r>
        <w:rPr>
          <w:rFonts w:hint="eastAsia" w:ascii="宋体" w:hAnsi="宋体" w:eastAsia="宋体" w:cs="宋体"/>
          <w:sz w:val="22"/>
          <w:highlight w:val="none"/>
        </w:rPr>
        <w:t>：</w:t>
      </w:r>
    </w:p>
    <w:p>
      <w:pPr>
        <w:overflowPunct w:val="0"/>
        <w:spacing w:line="4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根据贵方为</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项目（采购编号：</w:t>
      </w:r>
      <w:r>
        <w:rPr>
          <w:rFonts w:hint="eastAsia" w:ascii="宋体" w:hAnsi="宋体" w:eastAsia="宋体" w:cs="宋体"/>
          <w:b/>
          <w:sz w:val="22"/>
          <w:highlight w:val="none"/>
          <w:u w:val="single"/>
        </w:rPr>
        <w:t xml:space="preserve">             </w:t>
      </w:r>
      <w:r>
        <w:rPr>
          <w:rFonts w:hint="eastAsia" w:ascii="宋体" w:hAnsi="宋体" w:eastAsia="宋体" w:cs="宋体"/>
          <w:b/>
          <w:sz w:val="22"/>
          <w:highlight w:val="none"/>
        </w:rPr>
        <w:t xml:space="preserve"> </w:t>
      </w:r>
      <w:r>
        <w:rPr>
          <w:rFonts w:hint="eastAsia" w:ascii="宋体" w:hAnsi="宋体" w:eastAsia="宋体" w:cs="宋体"/>
          <w:sz w:val="22"/>
          <w:highlight w:val="none"/>
        </w:rPr>
        <w:t>）的投标邀请，我方</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（投标供应商名称）作为投标供应商正式授权</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（授权代表全名，职务）代表我方处理有关本投标的一切事宜。</w:t>
      </w:r>
    </w:p>
    <w:p>
      <w:pPr>
        <w:overflowPunct w:val="0"/>
        <w:adjustRightInd w:val="0"/>
        <w:spacing w:line="420" w:lineRule="exact"/>
        <w:ind w:firstLine="440"/>
        <w:textAlignment w:val="baseline"/>
        <w:rPr>
          <w:rFonts w:hint="eastAsia" w:ascii="宋体" w:hAnsi="宋体" w:eastAsia="宋体" w:cs="宋体"/>
          <w:kern w:val="0"/>
          <w:sz w:val="22"/>
          <w:szCs w:val="20"/>
          <w:highlight w:val="none"/>
        </w:rPr>
      </w:pPr>
      <w:r>
        <w:rPr>
          <w:rFonts w:hint="eastAsia" w:ascii="宋体" w:hAnsi="宋体" w:eastAsia="宋体" w:cs="宋体"/>
          <w:kern w:val="0"/>
          <w:sz w:val="22"/>
          <w:highlight w:val="none"/>
        </w:rPr>
        <w:t>在此提交的投标文件中，包括如下内</w:t>
      </w:r>
      <w:r>
        <w:rPr>
          <w:rFonts w:hint="eastAsia" w:ascii="宋体" w:hAnsi="宋体" w:eastAsia="宋体" w:cs="宋体"/>
          <w:kern w:val="0"/>
          <w:sz w:val="22"/>
          <w:szCs w:val="20"/>
          <w:highlight w:val="none"/>
        </w:rPr>
        <w:t>容，并已分别单独密封装袋：</w:t>
      </w:r>
    </w:p>
    <w:p>
      <w:pPr>
        <w:overflowPunct w:val="0"/>
        <w:spacing w:line="420" w:lineRule="exact"/>
        <w:ind w:firstLine="330" w:firstLineChars="150"/>
        <w:rPr>
          <w:rFonts w:hint="eastAsia" w:ascii="宋体" w:hAnsi="宋体" w:eastAsia="宋体" w:cs="宋体"/>
          <w:sz w:val="22"/>
          <w:szCs w:val="24"/>
          <w:highlight w:val="none"/>
        </w:rPr>
      </w:pPr>
      <w:r>
        <w:rPr>
          <w:rFonts w:hint="eastAsia" w:ascii="宋体" w:hAnsi="宋体" w:eastAsia="宋体" w:cs="宋体"/>
          <w:sz w:val="22"/>
          <w:szCs w:val="24"/>
          <w:highlight w:val="none"/>
        </w:rPr>
        <w:t>（—）按“投标供应商须知”要求编制的投标文件技术标【正本一份，副本</w:t>
      </w:r>
      <w:r>
        <w:rPr>
          <w:rFonts w:hint="eastAsia" w:ascii="宋体" w:hAnsi="宋体" w:eastAsia="宋体" w:cs="宋体"/>
          <w:sz w:val="22"/>
          <w:szCs w:val="24"/>
          <w:highlight w:val="none"/>
          <w:lang w:val="en-US" w:eastAsia="zh-CN"/>
        </w:rPr>
        <w:t>四</w:t>
      </w:r>
      <w:r>
        <w:rPr>
          <w:rFonts w:hint="eastAsia" w:ascii="宋体" w:hAnsi="宋体" w:eastAsia="宋体" w:cs="宋体"/>
          <w:sz w:val="22"/>
          <w:szCs w:val="24"/>
          <w:highlight w:val="none"/>
        </w:rPr>
        <w:t>份】；</w:t>
      </w:r>
    </w:p>
    <w:p>
      <w:pPr>
        <w:overflowPunct w:val="0"/>
        <w:spacing w:line="420" w:lineRule="exact"/>
        <w:ind w:firstLine="330" w:firstLineChars="150"/>
        <w:rPr>
          <w:rFonts w:hint="eastAsia" w:ascii="宋体" w:hAnsi="宋体" w:eastAsia="宋体" w:cs="宋体"/>
          <w:sz w:val="22"/>
          <w:szCs w:val="24"/>
          <w:highlight w:val="none"/>
        </w:rPr>
      </w:pPr>
      <w:r>
        <w:rPr>
          <w:rFonts w:hint="eastAsia" w:ascii="宋体" w:hAnsi="宋体" w:eastAsia="宋体" w:cs="宋体"/>
          <w:sz w:val="22"/>
          <w:szCs w:val="24"/>
          <w:highlight w:val="none"/>
        </w:rPr>
        <w:t>（二）按“投标供应商须知”要求编制的投标文件商务（报价）标【正本一份，副本</w:t>
      </w:r>
      <w:r>
        <w:rPr>
          <w:rFonts w:hint="eastAsia" w:ascii="宋体" w:hAnsi="宋体" w:eastAsia="宋体" w:cs="宋体"/>
          <w:sz w:val="22"/>
          <w:szCs w:val="24"/>
          <w:highlight w:val="none"/>
          <w:lang w:val="en-US" w:eastAsia="zh-CN"/>
        </w:rPr>
        <w:t>四</w:t>
      </w:r>
      <w:r>
        <w:rPr>
          <w:rFonts w:hint="eastAsia" w:ascii="宋体" w:hAnsi="宋体" w:eastAsia="宋体" w:cs="宋体"/>
          <w:sz w:val="22"/>
          <w:szCs w:val="24"/>
          <w:highlight w:val="none"/>
        </w:rPr>
        <w:t>份】</w:t>
      </w:r>
    </w:p>
    <w:p>
      <w:pPr>
        <w:overflowPunct w:val="0"/>
        <w:spacing w:line="420" w:lineRule="exact"/>
        <w:ind w:firstLine="330" w:firstLineChars="150"/>
        <w:rPr>
          <w:rFonts w:hint="eastAsia" w:ascii="宋体" w:hAnsi="宋体" w:eastAsia="宋体" w:cs="宋体"/>
          <w:sz w:val="22"/>
          <w:szCs w:val="24"/>
          <w:highlight w:val="none"/>
        </w:rPr>
      </w:pPr>
      <w:r>
        <w:rPr>
          <w:rFonts w:hint="eastAsia" w:ascii="宋体" w:hAnsi="宋体" w:eastAsia="宋体" w:cs="宋体"/>
          <w:sz w:val="22"/>
          <w:szCs w:val="24"/>
          <w:highlight w:val="none"/>
        </w:rPr>
        <w:t>我方己完全明白采购文件的所有条款要求，并重申以下几点：</w:t>
      </w:r>
    </w:p>
    <w:p>
      <w:pPr>
        <w:overflowPunct w:val="0"/>
        <w:spacing w:line="420" w:lineRule="exact"/>
        <w:ind w:left="1019" w:leftChars="171" w:hanging="660" w:hangingChars="300"/>
        <w:rPr>
          <w:rFonts w:hint="eastAsia" w:ascii="宋体" w:hAnsi="宋体" w:eastAsia="宋体" w:cs="宋体"/>
          <w:sz w:val="22"/>
          <w:szCs w:val="24"/>
          <w:highlight w:val="none"/>
        </w:rPr>
      </w:pPr>
      <w:r>
        <w:rPr>
          <w:rFonts w:hint="eastAsia" w:ascii="宋体" w:hAnsi="宋体" w:eastAsia="宋体" w:cs="宋体"/>
          <w:sz w:val="22"/>
          <w:szCs w:val="24"/>
          <w:highlight w:val="none"/>
        </w:rPr>
        <w:t>（一）本投标文件的有效期自投标截止日起</w:t>
      </w:r>
      <w:r>
        <w:rPr>
          <w:rFonts w:hint="eastAsia" w:ascii="宋体" w:hAnsi="宋体" w:eastAsia="宋体" w:cs="宋体"/>
          <w:b/>
          <w:sz w:val="22"/>
          <w:szCs w:val="24"/>
          <w:highlight w:val="none"/>
          <w:u w:val="single"/>
        </w:rPr>
        <w:t xml:space="preserve"> 90 </w:t>
      </w:r>
      <w:r>
        <w:rPr>
          <w:rFonts w:hint="eastAsia" w:ascii="宋体" w:hAnsi="宋体" w:eastAsia="宋体" w:cs="宋体"/>
          <w:b/>
          <w:sz w:val="22"/>
          <w:szCs w:val="24"/>
          <w:highlight w:val="none"/>
        </w:rPr>
        <w:t>天内</w:t>
      </w:r>
      <w:r>
        <w:rPr>
          <w:rFonts w:hint="eastAsia" w:ascii="宋体" w:hAnsi="宋体" w:eastAsia="宋体" w:cs="宋体"/>
          <w:sz w:val="22"/>
          <w:szCs w:val="24"/>
          <w:highlight w:val="none"/>
        </w:rPr>
        <w:t>有效，如中标，有效期将延至合同终止日为止；</w:t>
      </w:r>
    </w:p>
    <w:p>
      <w:pPr>
        <w:overflowPunct w:val="0"/>
        <w:spacing w:line="420" w:lineRule="exact"/>
        <w:ind w:left="1019" w:leftChars="171" w:hanging="660" w:hangingChars="300"/>
        <w:rPr>
          <w:rFonts w:hint="eastAsia" w:ascii="宋体" w:hAnsi="宋体" w:eastAsia="宋体" w:cs="宋体"/>
          <w:sz w:val="22"/>
          <w:szCs w:val="24"/>
          <w:highlight w:val="none"/>
        </w:rPr>
      </w:pPr>
      <w:r>
        <w:rPr>
          <w:rFonts w:hint="eastAsia" w:ascii="宋体" w:hAnsi="宋体" w:eastAsia="宋体" w:cs="宋体"/>
          <w:sz w:val="22"/>
          <w:szCs w:val="24"/>
          <w:highlight w:val="none"/>
        </w:rPr>
        <w:t>（二）我方已详细研究了采购文件的所有内容包括修改书（如有）和所有已提供的参考资料以及有关附件，我方完全理解并同意放弃在此方面提出含糊意见或误解的一切权力；</w:t>
      </w:r>
    </w:p>
    <w:p>
      <w:pPr>
        <w:overflowPunct w:val="0"/>
        <w:spacing w:line="420" w:lineRule="exact"/>
        <w:ind w:left="1019" w:leftChars="171" w:hanging="660" w:hangingChars="300"/>
        <w:rPr>
          <w:rFonts w:hint="eastAsia" w:ascii="宋体" w:hAnsi="宋体" w:eastAsia="宋体" w:cs="宋体"/>
          <w:sz w:val="22"/>
          <w:szCs w:val="24"/>
          <w:highlight w:val="none"/>
        </w:rPr>
      </w:pPr>
      <w:r>
        <w:rPr>
          <w:rFonts w:hint="eastAsia" w:ascii="宋体" w:hAnsi="宋体" w:eastAsia="宋体" w:cs="宋体"/>
          <w:sz w:val="22"/>
          <w:szCs w:val="24"/>
          <w:highlight w:val="none"/>
        </w:rPr>
        <w:t>（三）我方明白并愿意在规定的开标时间之后，</w:t>
      </w:r>
      <w:r>
        <w:rPr>
          <w:rFonts w:hint="eastAsia" w:ascii="宋体" w:hAnsi="宋体" w:eastAsia="宋体" w:cs="宋体"/>
          <w:sz w:val="22"/>
          <w:szCs w:val="24"/>
          <w:highlight w:val="none"/>
          <w:lang w:val="en-US" w:eastAsia="zh-CN"/>
        </w:rPr>
        <w:t>如我方出现投标人须知第三条第13.4款规定的情况之一的，我方</w:t>
      </w:r>
      <w:r>
        <w:rPr>
          <w:rFonts w:hint="eastAsia" w:ascii="宋体" w:hAnsi="宋体" w:eastAsia="宋体" w:cs="宋体"/>
          <w:sz w:val="22"/>
          <w:szCs w:val="24"/>
          <w:highlight w:val="none"/>
        </w:rPr>
        <w:t>投标保证金将被贵方没收；</w:t>
      </w:r>
    </w:p>
    <w:p>
      <w:pPr>
        <w:overflowPunct w:val="0"/>
        <w:spacing w:line="420" w:lineRule="exact"/>
        <w:ind w:left="359" w:leftChars="171"/>
        <w:rPr>
          <w:rFonts w:hint="eastAsia" w:ascii="宋体" w:hAnsi="宋体" w:eastAsia="宋体" w:cs="宋体"/>
          <w:sz w:val="22"/>
          <w:szCs w:val="24"/>
          <w:highlight w:val="none"/>
        </w:rPr>
      </w:pPr>
      <w:r>
        <w:rPr>
          <w:rFonts w:hint="eastAsia" w:ascii="宋体" w:hAnsi="宋体" w:eastAsia="宋体" w:cs="宋体"/>
          <w:sz w:val="22"/>
          <w:szCs w:val="24"/>
          <w:highlight w:val="none"/>
        </w:rPr>
        <w:t>（</w:t>
      </w:r>
      <w:r>
        <w:rPr>
          <w:rFonts w:hint="eastAsia" w:ascii="宋体" w:hAnsi="宋体" w:eastAsia="宋体" w:cs="宋体"/>
          <w:sz w:val="22"/>
          <w:szCs w:val="24"/>
          <w:highlight w:val="none"/>
          <w:lang w:val="en-US" w:eastAsia="zh-CN"/>
        </w:rPr>
        <w:t>四</w:t>
      </w:r>
      <w:r>
        <w:rPr>
          <w:rFonts w:hint="eastAsia" w:ascii="宋体" w:hAnsi="宋体" w:eastAsia="宋体" w:cs="宋体"/>
          <w:sz w:val="22"/>
          <w:szCs w:val="24"/>
          <w:highlight w:val="none"/>
        </w:rPr>
        <w:t>）我方同意提供按照贵方可能要求的与投标有关的一切数据或资料；</w:t>
      </w:r>
    </w:p>
    <w:p>
      <w:pPr>
        <w:overflowPunct w:val="0"/>
        <w:spacing w:line="420" w:lineRule="exact"/>
        <w:ind w:left="359" w:leftChars="171"/>
        <w:rPr>
          <w:rFonts w:hint="eastAsia" w:ascii="宋体" w:hAnsi="宋体" w:eastAsia="宋体" w:cs="宋体"/>
          <w:sz w:val="22"/>
          <w:szCs w:val="24"/>
          <w:highlight w:val="none"/>
        </w:rPr>
      </w:pPr>
      <w:r>
        <w:rPr>
          <w:rFonts w:hint="eastAsia" w:ascii="宋体" w:hAnsi="宋体" w:eastAsia="宋体" w:cs="宋体"/>
          <w:sz w:val="22"/>
          <w:szCs w:val="24"/>
          <w:highlight w:val="none"/>
        </w:rPr>
        <w:t>（</w:t>
      </w:r>
      <w:r>
        <w:rPr>
          <w:rFonts w:hint="eastAsia" w:ascii="宋体" w:hAnsi="宋体" w:eastAsia="宋体" w:cs="宋体"/>
          <w:sz w:val="22"/>
          <w:szCs w:val="24"/>
          <w:highlight w:val="none"/>
          <w:lang w:val="en-US" w:eastAsia="zh-CN"/>
        </w:rPr>
        <w:t>五</w:t>
      </w:r>
      <w:r>
        <w:rPr>
          <w:rFonts w:hint="eastAsia" w:ascii="宋体" w:hAnsi="宋体" w:eastAsia="宋体" w:cs="宋体"/>
          <w:sz w:val="22"/>
          <w:szCs w:val="24"/>
          <w:highlight w:val="none"/>
        </w:rPr>
        <w:t>）我方理解贵方不一定接受最低报价。</w:t>
      </w:r>
    </w:p>
    <w:p>
      <w:pPr>
        <w:overflowPunct w:val="0"/>
        <w:spacing w:line="420" w:lineRule="exact"/>
        <w:ind w:left="1019" w:leftChars="171" w:hanging="660" w:hangingChars="300"/>
        <w:rPr>
          <w:rFonts w:hint="eastAsia" w:ascii="宋体" w:hAnsi="宋体" w:eastAsia="宋体" w:cs="宋体"/>
          <w:sz w:val="22"/>
          <w:szCs w:val="24"/>
          <w:highlight w:val="none"/>
        </w:rPr>
      </w:pPr>
      <w:r>
        <w:rPr>
          <w:rFonts w:hint="eastAsia" w:ascii="宋体" w:hAnsi="宋体" w:eastAsia="宋体" w:cs="宋体"/>
          <w:sz w:val="22"/>
          <w:szCs w:val="24"/>
          <w:highlight w:val="none"/>
        </w:rPr>
        <w:t>（</w:t>
      </w:r>
      <w:r>
        <w:rPr>
          <w:rFonts w:hint="eastAsia" w:ascii="宋体" w:hAnsi="宋体" w:eastAsia="宋体" w:cs="宋体"/>
          <w:sz w:val="22"/>
          <w:szCs w:val="24"/>
          <w:highlight w:val="none"/>
          <w:lang w:val="en-US" w:eastAsia="zh-CN"/>
        </w:rPr>
        <w:t>六</w:t>
      </w:r>
      <w:r>
        <w:rPr>
          <w:rFonts w:hint="eastAsia" w:ascii="宋体" w:hAnsi="宋体" w:eastAsia="宋体" w:cs="宋体"/>
          <w:sz w:val="22"/>
          <w:szCs w:val="24"/>
          <w:highlight w:val="none"/>
        </w:rPr>
        <w:t>）我方如果中标，将保证履行采购文件以及采购文件修改书（如有）中的全部责任和义务，按质、按量、按期完成《合同书》中的全部任务。</w:t>
      </w:r>
    </w:p>
    <w:p>
      <w:pPr>
        <w:overflowPunct w:val="0"/>
        <w:spacing w:line="420" w:lineRule="exact"/>
        <w:ind w:left="315"/>
        <w:rPr>
          <w:rFonts w:hint="eastAsia" w:ascii="宋体" w:hAnsi="宋体" w:eastAsia="宋体" w:cs="宋体"/>
          <w:sz w:val="22"/>
          <w:highlight w:val="none"/>
        </w:rPr>
      </w:pPr>
      <w:r>
        <w:rPr>
          <w:rFonts w:hint="eastAsia" w:ascii="宋体" w:hAnsi="宋体" w:eastAsia="宋体" w:cs="宋体"/>
          <w:sz w:val="22"/>
          <w:szCs w:val="24"/>
          <w:highlight w:val="none"/>
        </w:rPr>
        <w:t>（</w:t>
      </w:r>
      <w:r>
        <w:rPr>
          <w:rFonts w:hint="eastAsia" w:ascii="宋体" w:hAnsi="宋体" w:eastAsia="宋体" w:cs="宋体"/>
          <w:sz w:val="22"/>
          <w:szCs w:val="24"/>
          <w:highlight w:val="none"/>
          <w:lang w:val="en-US" w:eastAsia="zh-CN"/>
        </w:rPr>
        <w:t>七</w:t>
      </w:r>
      <w:r>
        <w:rPr>
          <w:rFonts w:hint="eastAsia" w:ascii="宋体" w:hAnsi="宋体" w:eastAsia="宋体" w:cs="宋体"/>
          <w:sz w:val="22"/>
          <w:szCs w:val="24"/>
          <w:highlight w:val="none"/>
        </w:rPr>
        <w:t>）所有与本投标有关的函件请发往下列地址：</w:t>
      </w:r>
    </w:p>
    <w:p>
      <w:pPr>
        <w:overflowPunct w:val="0"/>
        <w:spacing w:line="420" w:lineRule="exact"/>
        <w:ind w:firstLine="435"/>
        <w:rPr>
          <w:rFonts w:hint="eastAsia" w:ascii="宋体" w:hAnsi="宋体" w:eastAsia="宋体" w:cs="宋体"/>
          <w:sz w:val="22"/>
          <w:highlight w:val="none"/>
        </w:rPr>
      </w:pPr>
      <w:r>
        <w:rPr>
          <w:rFonts w:hint="eastAsia" w:ascii="宋体" w:hAnsi="宋体" w:eastAsia="宋体" w:cs="宋体"/>
          <w:sz w:val="22"/>
          <w:highlight w:val="none"/>
        </w:rPr>
        <w:t xml:space="preserve">   地址</w:t>
      </w:r>
      <w:r>
        <w:rPr>
          <w:rFonts w:hint="eastAsia" w:ascii="宋体" w:hAnsi="宋体" w:eastAsia="宋体" w:cs="宋体"/>
          <w:sz w:val="22"/>
          <w:highlight w:val="none"/>
          <w:u w:val="single"/>
        </w:rPr>
        <w:t xml:space="preserve">                           </w:t>
      </w:r>
    </w:p>
    <w:p>
      <w:pPr>
        <w:overflowPunct w:val="0"/>
        <w:spacing w:line="420" w:lineRule="exact"/>
        <w:ind w:firstLine="435"/>
        <w:rPr>
          <w:rFonts w:hint="eastAsia" w:ascii="宋体" w:hAnsi="宋体" w:eastAsia="宋体" w:cs="宋体"/>
          <w:sz w:val="22"/>
          <w:highlight w:val="none"/>
        </w:rPr>
      </w:pPr>
      <w:r>
        <w:rPr>
          <w:rFonts w:hint="eastAsia" w:ascii="宋体" w:hAnsi="宋体" w:eastAsia="宋体" w:cs="宋体"/>
          <w:sz w:val="22"/>
          <w:highlight w:val="none"/>
        </w:rPr>
        <w:t xml:space="preserve">   电话</w:t>
      </w:r>
      <w:r>
        <w:rPr>
          <w:rFonts w:hint="eastAsia" w:ascii="宋体" w:hAnsi="宋体" w:eastAsia="宋体" w:cs="宋体"/>
          <w:sz w:val="22"/>
          <w:highlight w:val="none"/>
          <w:u w:val="single"/>
        </w:rPr>
        <w:t xml:space="preserve">                           </w:t>
      </w:r>
    </w:p>
    <w:p>
      <w:pPr>
        <w:overflowPunct w:val="0"/>
        <w:spacing w:line="420" w:lineRule="exact"/>
        <w:ind w:firstLine="435"/>
        <w:rPr>
          <w:rFonts w:hint="eastAsia" w:ascii="宋体" w:hAnsi="宋体" w:eastAsia="宋体" w:cs="宋体"/>
          <w:sz w:val="22"/>
          <w:highlight w:val="none"/>
          <w:u w:val="single"/>
        </w:rPr>
      </w:pPr>
      <w:r>
        <w:rPr>
          <w:rFonts w:hint="eastAsia" w:ascii="宋体" w:hAnsi="宋体" w:eastAsia="宋体" w:cs="宋体"/>
          <w:sz w:val="22"/>
          <w:highlight w:val="none"/>
        </w:rPr>
        <w:t xml:space="preserve">   传真</w:t>
      </w:r>
      <w:r>
        <w:rPr>
          <w:rFonts w:hint="eastAsia" w:ascii="宋体" w:hAnsi="宋体" w:eastAsia="宋体" w:cs="宋体"/>
          <w:sz w:val="22"/>
          <w:highlight w:val="none"/>
          <w:u w:val="single"/>
        </w:rPr>
        <w:t xml:space="preserve">                           </w:t>
      </w:r>
    </w:p>
    <w:p>
      <w:pPr>
        <w:overflowPunct w:val="0"/>
        <w:spacing w:line="420" w:lineRule="exact"/>
        <w:ind w:firstLine="770" w:firstLineChars="350"/>
        <w:rPr>
          <w:rFonts w:hint="eastAsia" w:ascii="宋体" w:hAnsi="宋体" w:eastAsia="宋体" w:cs="宋体"/>
          <w:sz w:val="22"/>
          <w:highlight w:val="none"/>
          <w:u w:val="single"/>
        </w:rPr>
      </w:pPr>
      <w:r>
        <w:rPr>
          <w:rFonts w:hint="eastAsia" w:ascii="宋体" w:hAnsi="宋体" w:eastAsia="宋体" w:cs="宋体"/>
          <w:sz w:val="22"/>
          <w:highlight w:val="none"/>
        </w:rPr>
        <w:t>电子邮件</w:t>
      </w:r>
      <w:r>
        <w:rPr>
          <w:rFonts w:hint="eastAsia" w:ascii="宋体" w:hAnsi="宋体" w:eastAsia="宋体" w:cs="宋体"/>
          <w:sz w:val="22"/>
          <w:highlight w:val="none"/>
          <w:u w:val="single"/>
        </w:rPr>
        <w:t xml:space="preserve">                       </w:t>
      </w:r>
    </w:p>
    <w:p>
      <w:pPr>
        <w:spacing w:line="360" w:lineRule="auto"/>
        <w:rPr>
          <w:rFonts w:hint="eastAsia" w:ascii="宋体" w:hAnsi="宋体" w:eastAsia="宋体" w:cs="宋体"/>
          <w:bCs/>
          <w:sz w:val="22"/>
          <w:highlight w:val="none"/>
        </w:rPr>
      </w:pPr>
    </w:p>
    <w:p>
      <w:pPr>
        <w:spacing w:line="360" w:lineRule="auto"/>
        <w:rPr>
          <w:rFonts w:hint="eastAsia" w:ascii="宋体" w:hAnsi="宋体" w:eastAsia="宋体" w:cs="宋体"/>
          <w:bCs/>
          <w:sz w:val="22"/>
          <w:highlight w:val="none"/>
        </w:rPr>
      </w:pPr>
      <w:r>
        <w:rPr>
          <w:rFonts w:hint="eastAsia" w:ascii="宋体" w:hAnsi="宋体" w:eastAsia="宋体" w:cs="宋体"/>
          <w:bCs/>
          <w:sz w:val="22"/>
          <w:highlight w:val="none"/>
        </w:rPr>
        <w:t>投标人全称（盖公章）：</w:t>
      </w:r>
    </w:p>
    <w:p>
      <w:pPr>
        <w:spacing w:line="360" w:lineRule="auto"/>
        <w:rPr>
          <w:rFonts w:hint="eastAsia" w:ascii="宋体" w:hAnsi="宋体" w:eastAsia="宋体" w:cs="宋体"/>
          <w:bCs/>
          <w:sz w:val="22"/>
          <w:highlight w:val="none"/>
        </w:rPr>
      </w:pP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或授权代表</w:t>
      </w:r>
      <w:r>
        <w:rPr>
          <w:rFonts w:hint="eastAsia" w:ascii="宋体" w:hAnsi="宋体" w:eastAsia="宋体" w:cs="宋体"/>
          <w:bCs/>
          <w:sz w:val="22"/>
          <w:highlight w:val="none"/>
        </w:rPr>
        <w:t>（签字</w:t>
      </w:r>
      <w:r>
        <w:rPr>
          <w:rFonts w:hint="eastAsia" w:ascii="宋体" w:hAnsi="宋体" w:eastAsia="宋体" w:cs="宋体"/>
          <w:sz w:val="22"/>
          <w:highlight w:val="none"/>
        </w:rPr>
        <w:t>或盖章</w:t>
      </w:r>
      <w:r>
        <w:rPr>
          <w:rFonts w:hint="eastAsia" w:ascii="宋体" w:hAnsi="宋体" w:eastAsia="宋体" w:cs="宋体"/>
          <w:bCs/>
          <w:sz w:val="22"/>
          <w:highlight w:val="none"/>
        </w:rPr>
        <w:t>）：</w:t>
      </w:r>
    </w:p>
    <w:p>
      <w:pPr>
        <w:spacing w:line="380" w:lineRule="exact"/>
        <w:rPr>
          <w:rFonts w:hint="eastAsia" w:ascii="宋体" w:hAnsi="宋体" w:eastAsia="宋体" w:cs="宋体"/>
          <w:bCs/>
          <w:sz w:val="22"/>
          <w:highlight w:val="none"/>
        </w:rPr>
      </w:pPr>
      <w:r>
        <w:rPr>
          <w:rFonts w:hint="eastAsia" w:ascii="宋体" w:hAnsi="宋体" w:eastAsia="宋体" w:cs="宋体"/>
          <w:bCs/>
          <w:sz w:val="22"/>
          <w:highlight w:val="none"/>
        </w:rPr>
        <w:t>日  期：</w:t>
      </w:r>
    </w:p>
    <w:p>
      <w:pPr>
        <w:spacing w:line="380" w:lineRule="exact"/>
        <w:rPr>
          <w:rFonts w:hint="eastAsia" w:ascii="宋体" w:hAnsi="宋体" w:eastAsia="宋体" w:cs="宋体"/>
          <w:sz w:val="22"/>
          <w:highlight w:val="none"/>
        </w:rPr>
      </w:pPr>
      <w:r>
        <w:rPr>
          <w:rFonts w:hint="eastAsia" w:ascii="宋体" w:hAnsi="宋体" w:eastAsia="宋体" w:cs="宋体"/>
          <w:b/>
          <w:sz w:val="22"/>
          <w:highlight w:val="none"/>
          <w:u w:val="single"/>
        </w:rPr>
        <w:t>▲不提供投标函的投标文件将被视为未实质性响应采购文件。</w:t>
      </w:r>
    </w:p>
    <w:p>
      <w:pP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pPr>
        <w:tabs>
          <w:tab w:val="left" w:pos="900"/>
        </w:tabs>
        <w:rPr>
          <w:rFonts w:hint="eastAsia" w:ascii="宋体" w:hAnsi="宋体" w:eastAsia="宋体" w:cs="宋体"/>
          <w:sz w:val="22"/>
          <w:highlight w:val="none"/>
        </w:rPr>
      </w:pPr>
      <w:r>
        <w:rPr>
          <w:rFonts w:hint="eastAsia" w:ascii="宋体" w:hAnsi="宋体" w:eastAsia="宋体" w:cs="宋体"/>
          <w:b/>
          <w:sz w:val="24"/>
          <w:szCs w:val="24"/>
          <w:highlight w:val="none"/>
        </w:rPr>
        <w:t>附件二</w:t>
      </w:r>
    </w:p>
    <w:p>
      <w:pPr>
        <w:spacing w:line="460" w:lineRule="exact"/>
        <w:ind w:firstLine="437"/>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技术规格、商务条款偏离表</w:t>
      </w:r>
    </w:p>
    <w:p>
      <w:pPr>
        <w:spacing w:line="380" w:lineRule="exact"/>
        <w:rPr>
          <w:rFonts w:hint="eastAsia" w:ascii="宋体" w:hAnsi="宋体" w:eastAsia="宋体" w:cs="宋体"/>
          <w:b/>
          <w:bCs/>
          <w:sz w:val="22"/>
          <w:highlight w:val="none"/>
        </w:rPr>
      </w:pPr>
      <w:r>
        <w:rPr>
          <w:rFonts w:hint="eastAsia" w:ascii="宋体" w:hAnsi="宋体" w:eastAsia="宋体" w:cs="宋体"/>
          <w:b/>
          <w:bCs/>
          <w:sz w:val="22"/>
          <w:highlight w:val="none"/>
        </w:rPr>
        <w:t xml:space="preserve">项目名称：                          采购编号：                  </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9"/>
        <w:gridCol w:w="1115"/>
        <w:gridCol w:w="2634"/>
        <w:gridCol w:w="1196"/>
        <w:gridCol w:w="14"/>
        <w:gridCol w:w="2323"/>
        <w:gridCol w:w="114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3" w:hRule="atLeast"/>
          <w:jc w:val="center"/>
        </w:trPr>
        <w:tc>
          <w:tcPr>
            <w:tcW w:w="679" w:type="dxa"/>
            <w:vMerge w:val="restart"/>
            <w:vAlign w:val="center"/>
          </w:tcPr>
          <w:p>
            <w:pPr>
              <w:jc w:val="center"/>
              <w:rPr>
                <w:rFonts w:hint="eastAsia" w:ascii="宋体" w:hAnsi="宋体" w:eastAsia="宋体" w:cs="宋体"/>
                <w:sz w:val="22"/>
                <w:highlight w:val="none"/>
              </w:rPr>
            </w:pPr>
            <w:r>
              <w:rPr>
                <w:rFonts w:hint="eastAsia" w:ascii="宋体" w:hAnsi="宋体" w:eastAsia="宋体" w:cs="宋体"/>
                <w:sz w:val="22"/>
                <w:highlight w:val="none"/>
              </w:rPr>
              <w:t>内容</w:t>
            </w:r>
          </w:p>
        </w:tc>
        <w:tc>
          <w:tcPr>
            <w:tcW w:w="3749" w:type="dxa"/>
            <w:gridSpan w:val="2"/>
            <w:vAlign w:val="center"/>
          </w:tcPr>
          <w:p>
            <w:pPr>
              <w:jc w:val="center"/>
              <w:rPr>
                <w:rFonts w:hint="eastAsia" w:ascii="宋体" w:hAnsi="宋体" w:eastAsia="宋体" w:cs="宋体"/>
                <w:sz w:val="22"/>
                <w:highlight w:val="none"/>
              </w:rPr>
            </w:pPr>
            <w:r>
              <w:rPr>
                <w:rFonts w:hint="eastAsia" w:ascii="宋体" w:hAnsi="宋体" w:eastAsia="宋体" w:cs="宋体"/>
                <w:sz w:val="22"/>
                <w:highlight w:val="none"/>
              </w:rPr>
              <w:t>采购文件要求</w:t>
            </w:r>
          </w:p>
        </w:tc>
        <w:tc>
          <w:tcPr>
            <w:tcW w:w="3533" w:type="dxa"/>
            <w:gridSpan w:val="3"/>
            <w:vAlign w:val="center"/>
          </w:tcPr>
          <w:p>
            <w:pPr>
              <w:jc w:val="center"/>
              <w:rPr>
                <w:rFonts w:hint="eastAsia" w:ascii="宋体" w:hAnsi="宋体" w:eastAsia="宋体" w:cs="宋体"/>
                <w:sz w:val="22"/>
                <w:highlight w:val="none"/>
              </w:rPr>
            </w:pPr>
            <w:r>
              <w:rPr>
                <w:rFonts w:hint="eastAsia" w:ascii="宋体" w:hAnsi="宋体" w:eastAsia="宋体" w:cs="宋体"/>
                <w:sz w:val="22"/>
                <w:highlight w:val="none"/>
              </w:rPr>
              <w:t>投标文件内容</w:t>
            </w:r>
          </w:p>
        </w:tc>
        <w:tc>
          <w:tcPr>
            <w:tcW w:w="1147" w:type="dxa"/>
            <w:vMerge w:val="restart"/>
            <w:vAlign w:val="center"/>
          </w:tcPr>
          <w:p>
            <w:pPr>
              <w:jc w:val="center"/>
              <w:rPr>
                <w:rFonts w:hint="eastAsia" w:ascii="宋体" w:hAnsi="宋体" w:eastAsia="宋体" w:cs="宋体"/>
                <w:sz w:val="22"/>
                <w:highlight w:val="none"/>
              </w:rPr>
            </w:pPr>
            <w:r>
              <w:rPr>
                <w:rFonts w:hint="eastAsia" w:ascii="宋体" w:hAnsi="宋体" w:eastAsia="宋体" w:cs="宋体"/>
                <w:sz w:val="22"/>
                <w:highlight w:val="none"/>
              </w:rPr>
              <w:t>正偏离或负偏离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10" w:hRule="atLeast"/>
          <w:jc w:val="center"/>
        </w:trPr>
        <w:tc>
          <w:tcPr>
            <w:tcW w:w="679" w:type="dxa"/>
            <w:vMerge w:val="continue"/>
            <w:vAlign w:val="center"/>
          </w:tcPr>
          <w:p>
            <w:pPr>
              <w:jc w:val="center"/>
              <w:rPr>
                <w:rFonts w:hint="eastAsia" w:ascii="宋体" w:hAnsi="宋体" w:eastAsia="宋体" w:cs="宋体"/>
                <w:sz w:val="22"/>
                <w:highlight w:val="none"/>
              </w:rPr>
            </w:pPr>
          </w:p>
        </w:tc>
        <w:tc>
          <w:tcPr>
            <w:tcW w:w="1115" w:type="dxa"/>
            <w:vAlign w:val="center"/>
          </w:tcPr>
          <w:p>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条款号</w:t>
            </w:r>
          </w:p>
        </w:tc>
        <w:tc>
          <w:tcPr>
            <w:tcW w:w="2634" w:type="dxa"/>
            <w:vAlign w:val="center"/>
          </w:tcPr>
          <w:p>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简要内容</w:t>
            </w:r>
          </w:p>
        </w:tc>
        <w:tc>
          <w:tcPr>
            <w:tcW w:w="1210" w:type="dxa"/>
            <w:gridSpan w:val="2"/>
            <w:vAlign w:val="center"/>
          </w:tcPr>
          <w:p>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条款号</w:t>
            </w:r>
          </w:p>
        </w:tc>
        <w:tc>
          <w:tcPr>
            <w:tcW w:w="2323" w:type="dxa"/>
            <w:vAlign w:val="center"/>
          </w:tcPr>
          <w:p>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实际响应的具体内容</w:t>
            </w:r>
          </w:p>
        </w:tc>
        <w:tc>
          <w:tcPr>
            <w:tcW w:w="1147" w:type="dxa"/>
            <w:vMerge w:val="continue"/>
            <w:vAlign w:val="center"/>
          </w:tcPr>
          <w:p>
            <w:pPr>
              <w:autoSpaceDE w:val="0"/>
              <w:autoSpaceDN w:val="0"/>
              <w:adjustRightInd w:val="0"/>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restart"/>
            <w:textDirection w:val="tbRlV"/>
            <w:vAlign w:val="center"/>
          </w:tcPr>
          <w:p>
            <w:pPr>
              <w:ind w:right="113" w:firstLine="550" w:firstLineChars="250"/>
              <w:rPr>
                <w:rFonts w:hint="eastAsia" w:ascii="宋体" w:hAnsi="宋体" w:eastAsia="宋体" w:cs="宋体"/>
                <w:sz w:val="22"/>
                <w:highlight w:val="none"/>
              </w:rPr>
            </w:pPr>
            <w:r>
              <w:rPr>
                <w:rFonts w:hint="eastAsia" w:ascii="宋体" w:hAnsi="宋体" w:eastAsia="宋体" w:cs="宋体"/>
                <w:sz w:val="22"/>
                <w:highlight w:val="none"/>
              </w:rPr>
              <w:t xml:space="preserve">     技  术  偏  离</w:t>
            </w: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210" w:type="dxa"/>
            <w:gridSpan w:val="2"/>
            <w:vAlign w:val="center"/>
          </w:tcPr>
          <w:p>
            <w:pPr>
              <w:jc w:val="center"/>
              <w:rPr>
                <w:rFonts w:hint="eastAsia" w:ascii="宋体" w:hAnsi="宋体" w:eastAsia="宋体" w:cs="宋体"/>
                <w:sz w:val="22"/>
                <w:highlight w:val="none"/>
              </w:rPr>
            </w:pPr>
          </w:p>
        </w:tc>
        <w:tc>
          <w:tcPr>
            <w:tcW w:w="2323" w:type="dxa"/>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highlight w:val="none"/>
              </w:rPr>
            </w:pP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210" w:type="dxa"/>
            <w:gridSpan w:val="2"/>
            <w:vAlign w:val="center"/>
          </w:tcPr>
          <w:p>
            <w:pPr>
              <w:jc w:val="center"/>
              <w:rPr>
                <w:rFonts w:hint="eastAsia" w:ascii="宋体" w:hAnsi="宋体" w:eastAsia="宋体" w:cs="宋体"/>
                <w:sz w:val="22"/>
                <w:highlight w:val="none"/>
              </w:rPr>
            </w:pPr>
          </w:p>
        </w:tc>
        <w:tc>
          <w:tcPr>
            <w:tcW w:w="2323" w:type="dxa"/>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highlight w:val="none"/>
              </w:rPr>
            </w:pP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210" w:type="dxa"/>
            <w:gridSpan w:val="2"/>
            <w:vAlign w:val="center"/>
          </w:tcPr>
          <w:p>
            <w:pPr>
              <w:jc w:val="center"/>
              <w:rPr>
                <w:rFonts w:hint="eastAsia" w:ascii="宋体" w:hAnsi="宋体" w:eastAsia="宋体" w:cs="宋体"/>
                <w:sz w:val="22"/>
                <w:highlight w:val="none"/>
              </w:rPr>
            </w:pPr>
          </w:p>
        </w:tc>
        <w:tc>
          <w:tcPr>
            <w:tcW w:w="2323" w:type="dxa"/>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highlight w:val="none"/>
              </w:rPr>
            </w:pP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210" w:type="dxa"/>
            <w:gridSpan w:val="2"/>
            <w:vAlign w:val="center"/>
          </w:tcPr>
          <w:p>
            <w:pPr>
              <w:jc w:val="center"/>
              <w:rPr>
                <w:rFonts w:hint="eastAsia" w:ascii="宋体" w:hAnsi="宋体" w:eastAsia="宋体" w:cs="宋体"/>
                <w:sz w:val="22"/>
                <w:highlight w:val="none"/>
              </w:rPr>
            </w:pPr>
          </w:p>
        </w:tc>
        <w:tc>
          <w:tcPr>
            <w:tcW w:w="2323" w:type="dxa"/>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highlight w:val="none"/>
              </w:rPr>
            </w:pP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210" w:type="dxa"/>
            <w:gridSpan w:val="2"/>
            <w:vAlign w:val="center"/>
          </w:tcPr>
          <w:p>
            <w:pPr>
              <w:jc w:val="center"/>
              <w:rPr>
                <w:rFonts w:hint="eastAsia" w:ascii="宋体" w:hAnsi="宋体" w:eastAsia="宋体" w:cs="宋体"/>
                <w:sz w:val="22"/>
                <w:highlight w:val="none"/>
              </w:rPr>
            </w:pPr>
          </w:p>
        </w:tc>
        <w:tc>
          <w:tcPr>
            <w:tcW w:w="2323" w:type="dxa"/>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highlight w:val="none"/>
              </w:rPr>
            </w:pP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210" w:type="dxa"/>
            <w:gridSpan w:val="2"/>
            <w:vAlign w:val="center"/>
          </w:tcPr>
          <w:p>
            <w:pPr>
              <w:jc w:val="center"/>
              <w:rPr>
                <w:rFonts w:hint="eastAsia" w:ascii="宋体" w:hAnsi="宋体" w:eastAsia="宋体" w:cs="宋体"/>
                <w:sz w:val="22"/>
                <w:highlight w:val="none"/>
              </w:rPr>
            </w:pPr>
          </w:p>
        </w:tc>
        <w:tc>
          <w:tcPr>
            <w:tcW w:w="2323" w:type="dxa"/>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679" w:type="dxa"/>
            <w:vAlign w:val="center"/>
          </w:tcPr>
          <w:p>
            <w:pPr>
              <w:jc w:val="center"/>
              <w:rPr>
                <w:rFonts w:hint="eastAsia" w:ascii="宋体" w:hAnsi="宋体" w:eastAsia="宋体" w:cs="宋体"/>
                <w:sz w:val="22"/>
                <w:highlight w:val="none"/>
              </w:rPr>
            </w:pP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210" w:type="dxa"/>
            <w:gridSpan w:val="2"/>
            <w:vAlign w:val="center"/>
          </w:tcPr>
          <w:p>
            <w:pPr>
              <w:jc w:val="center"/>
              <w:rPr>
                <w:rFonts w:hint="eastAsia" w:ascii="宋体" w:hAnsi="宋体" w:eastAsia="宋体" w:cs="宋体"/>
                <w:sz w:val="22"/>
                <w:highlight w:val="none"/>
              </w:rPr>
            </w:pPr>
          </w:p>
        </w:tc>
        <w:tc>
          <w:tcPr>
            <w:tcW w:w="2323" w:type="dxa"/>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4" w:hRule="atLeast"/>
          <w:jc w:val="center"/>
        </w:trPr>
        <w:tc>
          <w:tcPr>
            <w:tcW w:w="679" w:type="dxa"/>
            <w:vMerge w:val="restart"/>
            <w:vAlign w:val="center"/>
          </w:tcPr>
          <w:p>
            <w:pPr>
              <w:jc w:val="center"/>
              <w:rPr>
                <w:rFonts w:hint="eastAsia" w:ascii="宋体" w:hAnsi="宋体" w:eastAsia="宋体" w:cs="宋体"/>
                <w:sz w:val="22"/>
                <w:highlight w:val="none"/>
              </w:rPr>
            </w:pPr>
            <w:r>
              <w:rPr>
                <w:rFonts w:hint="eastAsia" w:ascii="宋体" w:hAnsi="宋体" w:eastAsia="宋体" w:cs="宋体"/>
                <w:sz w:val="22"/>
                <w:highlight w:val="none"/>
              </w:rPr>
              <w:t>内容</w:t>
            </w:r>
          </w:p>
        </w:tc>
        <w:tc>
          <w:tcPr>
            <w:tcW w:w="3749" w:type="dxa"/>
            <w:gridSpan w:val="2"/>
            <w:vAlign w:val="center"/>
          </w:tcPr>
          <w:p>
            <w:pPr>
              <w:jc w:val="center"/>
              <w:rPr>
                <w:rFonts w:hint="eastAsia" w:ascii="宋体" w:hAnsi="宋体" w:eastAsia="宋体" w:cs="宋体"/>
                <w:sz w:val="22"/>
                <w:highlight w:val="none"/>
              </w:rPr>
            </w:pPr>
            <w:r>
              <w:rPr>
                <w:rFonts w:hint="eastAsia" w:ascii="宋体" w:hAnsi="宋体" w:eastAsia="宋体" w:cs="宋体"/>
                <w:sz w:val="22"/>
                <w:highlight w:val="none"/>
              </w:rPr>
              <w:t>采购文件要求</w:t>
            </w:r>
          </w:p>
        </w:tc>
        <w:tc>
          <w:tcPr>
            <w:tcW w:w="3533" w:type="dxa"/>
            <w:gridSpan w:val="3"/>
            <w:vAlign w:val="center"/>
          </w:tcPr>
          <w:p>
            <w:pPr>
              <w:jc w:val="center"/>
              <w:rPr>
                <w:rFonts w:hint="eastAsia" w:ascii="宋体" w:hAnsi="宋体" w:eastAsia="宋体" w:cs="宋体"/>
                <w:sz w:val="22"/>
                <w:highlight w:val="none"/>
              </w:rPr>
            </w:pPr>
            <w:r>
              <w:rPr>
                <w:rFonts w:hint="eastAsia" w:ascii="宋体" w:hAnsi="宋体" w:eastAsia="宋体" w:cs="宋体"/>
                <w:sz w:val="22"/>
                <w:highlight w:val="none"/>
              </w:rPr>
              <w:t>投标文件内容</w:t>
            </w: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8" w:hRule="atLeast"/>
          <w:jc w:val="center"/>
        </w:trPr>
        <w:tc>
          <w:tcPr>
            <w:tcW w:w="679" w:type="dxa"/>
            <w:vMerge w:val="continue"/>
            <w:vAlign w:val="center"/>
          </w:tcPr>
          <w:p>
            <w:pPr>
              <w:jc w:val="center"/>
              <w:rPr>
                <w:rFonts w:hint="eastAsia" w:ascii="宋体" w:hAnsi="宋体" w:eastAsia="宋体" w:cs="宋体"/>
                <w:sz w:val="22"/>
                <w:highlight w:val="none"/>
              </w:rPr>
            </w:pPr>
          </w:p>
        </w:tc>
        <w:tc>
          <w:tcPr>
            <w:tcW w:w="1115" w:type="dxa"/>
            <w:vAlign w:val="center"/>
          </w:tcPr>
          <w:p>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条款号</w:t>
            </w:r>
          </w:p>
        </w:tc>
        <w:tc>
          <w:tcPr>
            <w:tcW w:w="2634" w:type="dxa"/>
            <w:vAlign w:val="center"/>
          </w:tcPr>
          <w:p>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简要内容</w:t>
            </w:r>
          </w:p>
        </w:tc>
        <w:tc>
          <w:tcPr>
            <w:tcW w:w="1196" w:type="dxa"/>
            <w:vAlign w:val="center"/>
          </w:tcPr>
          <w:p>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条款号</w:t>
            </w:r>
          </w:p>
        </w:tc>
        <w:tc>
          <w:tcPr>
            <w:tcW w:w="2337" w:type="dxa"/>
            <w:gridSpan w:val="2"/>
            <w:vAlign w:val="center"/>
          </w:tcPr>
          <w:p>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简要内容</w:t>
            </w:r>
          </w:p>
        </w:tc>
        <w:tc>
          <w:tcPr>
            <w:tcW w:w="1147" w:type="dxa"/>
            <w:vAlign w:val="center"/>
          </w:tcPr>
          <w:p>
            <w:pPr>
              <w:autoSpaceDE w:val="0"/>
              <w:autoSpaceDN w:val="0"/>
              <w:adjustRightInd w:val="0"/>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restart"/>
            <w:textDirection w:val="tbRlV"/>
            <w:vAlign w:val="center"/>
          </w:tcPr>
          <w:p>
            <w:pPr>
              <w:ind w:right="113" w:firstLine="550" w:firstLineChars="250"/>
              <w:rPr>
                <w:rFonts w:hint="eastAsia" w:ascii="宋体" w:hAnsi="宋体" w:eastAsia="宋体" w:cs="宋体"/>
                <w:sz w:val="22"/>
                <w:highlight w:val="none"/>
              </w:rPr>
            </w:pPr>
            <w:r>
              <w:rPr>
                <w:rFonts w:hint="eastAsia" w:ascii="宋体" w:hAnsi="宋体" w:eastAsia="宋体" w:cs="宋体"/>
                <w:sz w:val="22"/>
                <w:highlight w:val="none"/>
              </w:rPr>
              <w:t xml:space="preserve">     商  务  偏  离</w:t>
            </w: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196" w:type="dxa"/>
            <w:vAlign w:val="center"/>
          </w:tcPr>
          <w:p>
            <w:pPr>
              <w:jc w:val="center"/>
              <w:rPr>
                <w:rFonts w:hint="eastAsia" w:ascii="宋体" w:hAnsi="宋体" w:eastAsia="宋体" w:cs="宋体"/>
                <w:sz w:val="22"/>
                <w:highlight w:val="none"/>
              </w:rPr>
            </w:pPr>
          </w:p>
        </w:tc>
        <w:tc>
          <w:tcPr>
            <w:tcW w:w="2337" w:type="dxa"/>
            <w:gridSpan w:val="2"/>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highlight w:val="none"/>
              </w:rPr>
            </w:pP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196" w:type="dxa"/>
            <w:vAlign w:val="center"/>
          </w:tcPr>
          <w:p>
            <w:pPr>
              <w:jc w:val="center"/>
              <w:rPr>
                <w:rFonts w:hint="eastAsia" w:ascii="宋体" w:hAnsi="宋体" w:eastAsia="宋体" w:cs="宋体"/>
                <w:sz w:val="22"/>
                <w:highlight w:val="none"/>
              </w:rPr>
            </w:pPr>
          </w:p>
        </w:tc>
        <w:tc>
          <w:tcPr>
            <w:tcW w:w="2337" w:type="dxa"/>
            <w:gridSpan w:val="2"/>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highlight w:val="none"/>
              </w:rPr>
            </w:pP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196" w:type="dxa"/>
            <w:vAlign w:val="center"/>
          </w:tcPr>
          <w:p>
            <w:pPr>
              <w:jc w:val="center"/>
              <w:rPr>
                <w:rFonts w:hint="eastAsia" w:ascii="宋体" w:hAnsi="宋体" w:eastAsia="宋体" w:cs="宋体"/>
                <w:sz w:val="22"/>
                <w:highlight w:val="none"/>
              </w:rPr>
            </w:pPr>
          </w:p>
        </w:tc>
        <w:tc>
          <w:tcPr>
            <w:tcW w:w="2337" w:type="dxa"/>
            <w:gridSpan w:val="2"/>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highlight w:val="none"/>
              </w:rPr>
            </w:pP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196" w:type="dxa"/>
            <w:vAlign w:val="center"/>
          </w:tcPr>
          <w:p>
            <w:pPr>
              <w:jc w:val="center"/>
              <w:rPr>
                <w:rFonts w:hint="eastAsia" w:ascii="宋体" w:hAnsi="宋体" w:eastAsia="宋体" w:cs="宋体"/>
                <w:sz w:val="22"/>
                <w:highlight w:val="none"/>
              </w:rPr>
            </w:pPr>
          </w:p>
        </w:tc>
        <w:tc>
          <w:tcPr>
            <w:tcW w:w="2337" w:type="dxa"/>
            <w:gridSpan w:val="2"/>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highlight w:val="none"/>
              </w:rPr>
            </w:pP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196" w:type="dxa"/>
            <w:vAlign w:val="center"/>
          </w:tcPr>
          <w:p>
            <w:pPr>
              <w:jc w:val="center"/>
              <w:rPr>
                <w:rFonts w:hint="eastAsia" w:ascii="宋体" w:hAnsi="宋体" w:eastAsia="宋体" w:cs="宋体"/>
                <w:sz w:val="22"/>
                <w:highlight w:val="none"/>
              </w:rPr>
            </w:pPr>
          </w:p>
        </w:tc>
        <w:tc>
          <w:tcPr>
            <w:tcW w:w="2337" w:type="dxa"/>
            <w:gridSpan w:val="2"/>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highlight w:val="none"/>
              </w:rPr>
            </w:pP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196" w:type="dxa"/>
            <w:vAlign w:val="center"/>
          </w:tcPr>
          <w:p>
            <w:pPr>
              <w:jc w:val="center"/>
              <w:rPr>
                <w:rFonts w:hint="eastAsia" w:ascii="宋体" w:hAnsi="宋体" w:eastAsia="宋体" w:cs="宋体"/>
                <w:sz w:val="22"/>
                <w:highlight w:val="none"/>
              </w:rPr>
            </w:pPr>
          </w:p>
        </w:tc>
        <w:tc>
          <w:tcPr>
            <w:tcW w:w="2337" w:type="dxa"/>
            <w:gridSpan w:val="2"/>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679" w:type="dxa"/>
            <w:vAlign w:val="center"/>
          </w:tcPr>
          <w:p>
            <w:pPr>
              <w:jc w:val="center"/>
              <w:rPr>
                <w:rFonts w:hint="eastAsia" w:ascii="宋体" w:hAnsi="宋体" w:eastAsia="宋体" w:cs="宋体"/>
                <w:sz w:val="22"/>
                <w:highlight w:val="none"/>
              </w:rPr>
            </w:pP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196" w:type="dxa"/>
            <w:vAlign w:val="center"/>
          </w:tcPr>
          <w:p>
            <w:pPr>
              <w:jc w:val="center"/>
              <w:rPr>
                <w:rFonts w:hint="eastAsia" w:ascii="宋体" w:hAnsi="宋体" w:eastAsia="宋体" w:cs="宋体"/>
                <w:sz w:val="22"/>
                <w:highlight w:val="none"/>
              </w:rPr>
            </w:pPr>
          </w:p>
        </w:tc>
        <w:tc>
          <w:tcPr>
            <w:tcW w:w="2337" w:type="dxa"/>
            <w:gridSpan w:val="2"/>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bl>
    <w:p>
      <w:pPr>
        <w:rPr>
          <w:rFonts w:hint="eastAsia" w:ascii="宋体" w:hAnsi="宋体" w:eastAsia="宋体" w:cs="宋体"/>
          <w:szCs w:val="21"/>
          <w:highlight w:val="none"/>
        </w:rPr>
      </w:pPr>
      <w:r>
        <w:rPr>
          <w:rFonts w:hint="eastAsia" w:ascii="宋体" w:hAnsi="宋体" w:eastAsia="宋体" w:cs="宋体"/>
          <w:szCs w:val="21"/>
          <w:highlight w:val="none"/>
        </w:rPr>
        <w:t>注：1、此表可扩展使用。</w:t>
      </w:r>
    </w:p>
    <w:p>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2、不填写此表视为完全响应采购文件内容。</w:t>
      </w:r>
    </w:p>
    <w:p>
      <w:pPr>
        <w:ind w:firstLine="422" w:firstLineChars="200"/>
        <w:rPr>
          <w:rFonts w:hint="eastAsia" w:ascii="宋体" w:hAnsi="宋体" w:eastAsia="宋体" w:cs="宋体"/>
          <w:b/>
          <w:szCs w:val="21"/>
          <w:highlight w:val="none"/>
          <w:u w:val="single"/>
        </w:rPr>
      </w:pPr>
      <w:r>
        <w:rPr>
          <w:rFonts w:hint="eastAsia" w:ascii="宋体" w:hAnsi="宋体" w:eastAsia="宋体" w:cs="宋体"/>
          <w:b/>
          <w:szCs w:val="21"/>
          <w:highlight w:val="none"/>
          <w:u w:val="single"/>
        </w:rPr>
        <w:t>3、▲不提供“技术规格、商务条款偏离表”的投标文件将被视为未实质性响应采购文件。</w:t>
      </w:r>
    </w:p>
    <w:p>
      <w:pPr>
        <w:spacing w:line="380" w:lineRule="exact"/>
        <w:ind w:firstLine="4417" w:firstLineChars="2000"/>
        <w:rPr>
          <w:rFonts w:hint="eastAsia" w:ascii="宋体" w:hAnsi="宋体" w:eastAsia="宋体" w:cs="宋体"/>
          <w:b/>
          <w:sz w:val="22"/>
          <w:highlight w:val="none"/>
        </w:rPr>
      </w:pPr>
    </w:p>
    <w:p>
      <w:pPr>
        <w:spacing w:line="480" w:lineRule="auto"/>
        <w:rPr>
          <w:rFonts w:hint="eastAsia" w:ascii="宋体" w:hAnsi="宋体" w:eastAsia="宋体" w:cs="宋体"/>
          <w:sz w:val="22"/>
          <w:highlight w:val="none"/>
        </w:rPr>
      </w:pPr>
      <w:r>
        <w:rPr>
          <w:rFonts w:hint="eastAsia" w:ascii="宋体" w:hAnsi="宋体" w:eastAsia="宋体" w:cs="宋体"/>
          <w:sz w:val="22"/>
          <w:highlight w:val="none"/>
        </w:rPr>
        <w:t>投标人全称（盖公章）：</w:t>
      </w:r>
    </w:p>
    <w:p>
      <w:pPr>
        <w:spacing w:line="480" w:lineRule="auto"/>
        <w:rPr>
          <w:rFonts w:hint="eastAsia" w:ascii="宋体" w:hAnsi="宋体" w:eastAsia="宋体" w:cs="宋体"/>
          <w:sz w:val="22"/>
          <w:highlight w:val="none"/>
        </w:rPr>
      </w:pP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或授权代表（签字或盖章）：</w:t>
      </w:r>
    </w:p>
    <w:p>
      <w:pPr>
        <w:spacing w:line="480" w:lineRule="auto"/>
        <w:rPr>
          <w:rFonts w:hint="eastAsia" w:ascii="宋体" w:hAnsi="宋体" w:eastAsia="宋体" w:cs="宋体"/>
          <w:sz w:val="22"/>
          <w:highlight w:val="none"/>
        </w:rPr>
      </w:pPr>
      <w:r>
        <w:rPr>
          <w:rFonts w:hint="eastAsia" w:ascii="宋体" w:hAnsi="宋体" w:eastAsia="宋体" w:cs="宋体"/>
          <w:sz w:val="22"/>
          <w:highlight w:val="none"/>
        </w:rPr>
        <w:t>日  期：</w:t>
      </w:r>
    </w:p>
    <w:p>
      <w:pPr>
        <w:spacing w:line="380" w:lineRule="exact"/>
        <w:rPr>
          <w:rFonts w:hint="eastAsia" w:ascii="宋体" w:hAnsi="宋体" w:eastAsia="宋体" w:cs="宋体"/>
          <w:b/>
          <w:bCs/>
          <w:sz w:val="22"/>
          <w:highlight w:val="none"/>
        </w:rPr>
      </w:pPr>
      <w:r>
        <w:rPr>
          <w:rFonts w:hint="eastAsia" w:ascii="宋体" w:hAnsi="宋体" w:eastAsia="宋体" w:cs="宋体"/>
          <w:sz w:val="22"/>
          <w:highlight w:val="none"/>
        </w:rPr>
        <w:br w:type="page"/>
      </w:r>
      <w:r>
        <w:rPr>
          <w:rFonts w:hint="eastAsia" w:ascii="宋体" w:hAnsi="宋体" w:eastAsia="宋体" w:cs="宋体"/>
          <w:b/>
          <w:bCs/>
          <w:sz w:val="22"/>
          <w:highlight w:val="none"/>
        </w:rPr>
        <w:t>附件三</w:t>
      </w:r>
    </w:p>
    <w:p>
      <w:pPr>
        <w:spacing w:line="460" w:lineRule="exact"/>
        <w:jc w:val="center"/>
        <w:rPr>
          <w:rFonts w:hint="eastAsia" w:ascii="宋体" w:hAnsi="宋体" w:eastAsia="宋体" w:cs="宋体"/>
          <w:b/>
          <w:sz w:val="28"/>
          <w:szCs w:val="28"/>
          <w:highlight w:val="none"/>
        </w:rPr>
      </w:pPr>
      <w:r>
        <w:rPr>
          <w:rFonts w:hint="eastAsia" w:ascii="宋体" w:hAnsi="宋体" w:eastAsia="宋体" w:cs="宋体"/>
          <w:b/>
          <w:bCs/>
          <w:sz w:val="28"/>
          <w:szCs w:val="28"/>
          <w:highlight w:val="none"/>
        </w:rPr>
        <w:t>资格证明文件</w:t>
      </w:r>
    </w:p>
    <w:p>
      <w:pPr>
        <w:tabs>
          <w:tab w:val="left" w:pos="0"/>
          <w:tab w:val="left" w:pos="420"/>
        </w:tabs>
        <w:spacing w:line="4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eastAsia="zh-CN"/>
        </w:rPr>
        <w:t>法定代表人</w:t>
      </w:r>
      <w:r>
        <w:rPr>
          <w:rFonts w:hint="eastAsia" w:ascii="宋体" w:hAnsi="宋体" w:eastAsia="宋体" w:cs="宋体"/>
          <w:sz w:val="28"/>
          <w:szCs w:val="28"/>
          <w:highlight w:val="none"/>
        </w:rPr>
        <w:t>授权书</w:t>
      </w:r>
    </w:p>
    <w:p>
      <w:pPr>
        <w:spacing w:line="420" w:lineRule="exact"/>
        <w:jc w:val="center"/>
        <w:rPr>
          <w:rFonts w:hint="eastAsia" w:ascii="宋体" w:hAnsi="宋体" w:eastAsia="宋体" w:cs="宋体"/>
          <w:sz w:val="22"/>
          <w:highlight w:val="none"/>
        </w:rPr>
      </w:pPr>
      <w:r>
        <w:rPr>
          <w:rFonts w:hint="eastAsia" w:ascii="宋体" w:hAnsi="宋体" w:eastAsia="宋体" w:cs="宋体"/>
          <w:sz w:val="22"/>
          <w:highlight w:val="none"/>
        </w:rPr>
        <w:t>（授权代表参加投标时提供）</w:t>
      </w:r>
    </w:p>
    <w:p>
      <w:pPr>
        <w:spacing w:line="420" w:lineRule="exact"/>
        <w:rPr>
          <w:rFonts w:hint="eastAsia" w:ascii="宋体" w:hAnsi="宋体" w:eastAsia="宋体" w:cs="宋体"/>
          <w:sz w:val="22"/>
          <w:highlight w:val="none"/>
          <w:lang w:eastAsia="zh-CN"/>
        </w:rPr>
      </w:pPr>
    </w:p>
    <w:p>
      <w:pPr>
        <w:spacing w:line="420" w:lineRule="exact"/>
        <w:rPr>
          <w:rFonts w:hint="eastAsia" w:ascii="宋体" w:hAnsi="宋体" w:eastAsia="宋体" w:cs="宋体"/>
          <w:sz w:val="22"/>
          <w:highlight w:val="none"/>
        </w:rPr>
      </w:pPr>
      <w:r>
        <w:rPr>
          <w:rFonts w:hint="eastAsia" w:ascii="宋体" w:hAnsi="宋体" w:eastAsia="宋体" w:cs="宋体"/>
          <w:sz w:val="22"/>
          <w:highlight w:val="none"/>
          <w:lang w:eastAsia="zh-CN"/>
        </w:rPr>
        <w:t>温州市高速公路资产经营有限公司</w:t>
      </w:r>
      <w:r>
        <w:rPr>
          <w:rFonts w:hint="eastAsia" w:ascii="宋体" w:hAnsi="宋体" w:eastAsia="宋体" w:cs="宋体"/>
          <w:sz w:val="22"/>
          <w:highlight w:val="none"/>
        </w:rPr>
        <w:t>：</w:t>
      </w:r>
    </w:p>
    <w:p>
      <w:pPr>
        <w:spacing w:line="460" w:lineRule="exact"/>
        <w:rPr>
          <w:rFonts w:hint="eastAsia" w:ascii="宋体" w:hAnsi="宋体" w:eastAsia="宋体" w:cs="宋体"/>
          <w:sz w:val="22"/>
          <w:highlight w:val="none"/>
        </w:rPr>
      </w:pPr>
    </w:p>
    <w:p>
      <w:pPr>
        <w:spacing w:line="460" w:lineRule="exact"/>
        <w:ind w:firstLine="550" w:firstLineChars="250"/>
        <w:rPr>
          <w:rFonts w:hint="eastAsia" w:ascii="宋体" w:hAnsi="宋体" w:eastAsia="宋体" w:cs="宋体"/>
          <w:sz w:val="22"/>
          <w:highlight w:val="none"/>
        </w:rPr>
      </w:pP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（投标人全称）</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授权</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（全权代表姓名）为全权代表，参加贵处组织的（采购项目名称、编号）的采购活动，全权代表我方处理采购活动中的一切事宜。</w:t>
      </w:r>
    </w:p>
    <w:p>
      <w:pPr>
        <w:spacing w:line="460" w:lineRule="exact"/>
        <w:ind w:firstLine="2955"/>
        <w:rPr>
          <w:rFonts w:hint="eastAsia" w:ascii="宋体" w:hAnsi="宋体" w:eastAsia="宋体" w:cs="宋体"/>
          <w:sz w:val="22"/>
          <w:highlight w:val="none"/>
        </w:rPr>
      </w:pPr>
    </w:p>
    <w:p>
      <w:pPr>
        <w:spacing w:line="480" w:lineRule="auto"/>
        <w:rPr>
          <w:rFonts w:hint="eastAsia" w:ascii="宋体" w:hAnsi="宋体" w:eastAsia="宋体" w:cs="宋体"/>
          <w:sz w:val="22"/>
          <w:highlight w:val="none"/>
        </w:rPr>
      </w:pP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 xml:space="preserve"> (签字或盖章)：</w:t>
      </w:r>
    </w:p>
    <w:p>
      <w:pPr>
        <w:spacing w:line="480" w:lineRule="auto"/>
        <w:rPr>
          <w:rFonts w:hint="eastAsia" w:ascii="宋体" w:hAnsi="宋体" w:eastAsia="宋体" w:cs="宋体"/>
          <w:sz w:val="22"/>
          <w:highlight w:val="none"/>
        </w:rPr>
      </w:pPr>
      <w:r>
        <w:rPr>
          <w:rFonts w:hint="eastAsia" w:ascii="宋体" w:hAnsi="宋体" w:eastAsia="宋体" w:cs="宋体"/>
          <w:sz w:val="22"/>
          <w:highlight w:val="none"/>
        </w:rPr>
        <w:t>投标人全称（公章）：</w:t>
      </w:r>
    </w:p>
    <w:p>
      <w:pPr>
        <w:spacing w:line="480" w:lineRule="auto"/>
        <w:rPr>
          <w:rFonts w:hint="eastAsia" w:ascii="宋体" w:hAnsi="宋体" w:eastAsia="宋体" w:cs="宋体"/>
          <w:sz w:val="22"/>
          <w:highlight w:val="none"/>
        </w:rPr>
      </w:pPr>
      <w:r>
        <w:rPr>
          <w:rFonts w:hint="eastAsia" w:ascii="宋体" w:hAnsi="宋体" w:eastAsia="宋体" w:cs="宋体"/>
          <w:sz w:val="22"/>
          <w:highlight w:val="none"/>
        </w:rPr>
        <w:t>日  期：     年    月   日</w:t>
      </w:r>
    </w:p>
    <w:p>
      <w:pPr>
        <w:spacing w:line="460" w:lineRule="exact"/>
        <w:rPr>
          <w:rFonts w:hint="eastAsia" w:ascii="宋体" w:hAnsi="宋体" w:eastAsia="宋体" w:cs="宋体"/>
          <w:sz w:val="22"/>
          <w:highlight w:val="none"/>
        </w:rPr>
      </w:pPr>
      <w:r>
        <w:rPr>
          <w:rFonts w:hint="eastAsia" w:ascii="宋体" w:hAnsi="宋体" w:eastAsia="宋体" w:cs="宋体"/>
          <w:sz w:val="22"/>
          <w:highlight w:val="none"/>
        </w:rPr>
        <w:t>附：</w:t>
      </w:r>
    </w:p>
    <w:p>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授权代表姓名：</w:t>
      </w:r>
    </w:p>
    <w:p>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职务：</w:t>
      </w:r>
    </w:p>
    <w:p>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详细通讯地址：</w:t>
      </w:r>
    </w:p>
    <w:p>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电话：</w:t>
      </w:r>
    </w:p>
    <w:p>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传真：</w:t>
      </w:r>
    </w:p>
    <w:p>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邮政编码:</w:t>
      </w:r>
    </w:p>
    <w:p>
      <w:pPr>
        <w:spacing w:line="460" w:lineRule="exact"/>
        <w:rPr>
          <w:rFonts w:hint="eastAsia" w:ascii="宋体" w:hAnsi="宋体" w:eastAsia="宋体" w:cs="宋体"/>
          <w:bCs/>
          <w:sz w:val="22"/>
          <w:highlight w:val="none"/>
        </w:rPr>
      </w:pPr>
    </w:p>
    <w:tbl>
      <w:tblPr>
        <w:tblStyle w:val="24"/>
        <w:tblW w:w="0" w:type="auto"/>
        <w:tblInd w:w="4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7" w:hRule="atLeast"/>
        </w:trPr>
        <w:tc>
          <w:tcPr>
            <w:tcW w:w="4280" w:type="dxa"/>
            <w:vAlign w:val="center"/>
          </w:tcPr>
          <w:p>
            <w:pPr>
              <w:spacing w:line="38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投标人代表身份证复印件</w:t>
            </w:r>
          </w:p>
          <w:p>
            <w:pPr>
              <w:spacing w:line="380" w:lineRule="exact"/>
              <w:jc w:val="center"/>
              <w:rPr>
                <w:rFonts w:hint="eastAsia" w:ascii="宋体" w:hAnsi="宋体" w:eastAsia="宋体" w:cs="宋体"/>
                <w:bCs/>
                <w:sz w:val="28"/>
                <w:szCs w:val="24"/>
                <w:highlight w:val="none"/>
              </w:rPr>
            </w:pPr>
          </w:p>
        </w:tc>
      </w:tr>
    </w:tbl>
    <w:p>
      <w:pPr>
        <w:spacing w:line="400" w:lineRule="exact"/>
        <w:ind w:firstLine="140" w:firstLineChars="64"/>
        <w:rPr>
          <w:rFonts w:hint="eastAsia" w:ascii="宋体" w:hAnsi="宋体" w:eastAsia="宋体" w:cs="宋体"/>
          <w:sz w:val="22"/>
          <w:szCs w:val="24"/>
          <w:highlight w:val="none"/>
        </w:rPr>
      </w:pPr>
    </w:p>
    <w:p>
      <w:pPr>
        <w:widowControl/>
        <w:spacing w:line="480" w:lineRule="atLeast"/>
        <w:jc w:val="center"/>
        <w:rPr>
          <w:rFonts w:hint="eastAsia" w:ascii="宋体" w:hAnsi="宋体" w:eastAsia="宋体" w:cs="宋体"/>
          <w:bCs/>
          <w:kern w:val="0"/>
          <w:sz w:val="32"/>
          <w:szCs w:val="32"/>
          <w:highlight w:val="none"/>
        </w:rPr>
      </w:pPr>
      <w:r>
        <w:rPr>
          <w:rFonts w:hint="eastAsia" w:ascii="宋体" w:hAnsi="宋体" w:eastAsia="宋体" w:cs="宋体"/>
          <w:sz w:val="22"/>
          <w:szCs w:val="24"/>
          <w:highlight w:val="none"/>
        </w:rPr>
        <w:br w:type="page"/>
      </w:r>
      <w:r>
        <w:rPr>
          <w:rFonts w:hint="eastAsia" w:ascii="宋体" w:hAnsi="宋体" w:eastAsia="宋体" w:cs="宋体"/>
          <w:bCs/>
          <w:kern w:val="0"/>
          <w:sz w:val="32"/>
          <w:szCs w:val="32"/>
          <w:highlight w:val="none"/>
          <w:lang w:eastAsia="zh-CN"/>
        </w:rPr>
        <w:t>法定代表人</w:t>
      </w:r>
      <w:r>
        <w:rPr>
          <w:rFonts w:hint="eastAsia" w:ascii="宋体" w:hAnsi="宋体" w:eastAsia="宋体" w:cs="宋体"/>
          <w:bCs/>
          <w:kern w:val="0"/>
          <w:sz w:val="32"/>
          <w:szCs w:val="32"/>
          <w:highlight w:val="none"/>
        </w:rPr>
        <w:t>资格证明书</w:t>
      </w:r>
    </w:p>
    <w:p>
      <w:pPr>
        <w:widowControl/>
        <w:spacing w:line="480" w:lineRule="atLeast"/>
        <w:jc w:val="center"/>
        <w:rPr>
          <w:rFonts w:hint="eastAsia" w:ascii="宋体" w:hAnsi="宋体" w:eastAsia="宋体" w:cs="宋体"/>
          <w:bCs/>
          <w:kern w:val="0"/>
          <w:sz w:val="28"/>
          <w:szCs w:val="28"/>
          <w:highlight w:val="none"/>
        </w:rPr>
      </w:pPr>
      <w:r>
        <w:rPr>
          <w:rFonts w:hint="eastAsia" w:ascii="宋体" w:hAnsi="宋体" w:eastAsia="宋体" w:cs="宋体"/>
          <w:bCs/>
          <w:kern w:val="0"/>
          <w:sz w:val="28"/>
          <w:szCs w:val="28"/>
          <w:highlight w:val="none"/>
        </w:rPr>
        <w:t>（如</w:t>
      </w:r>
      <w:r>
        <w:rPr>
          <w:rFonts w:hint="eastAsia" w:ascii="宋体" w:hAnsi="宋体" w:eastAsia="宋体" w:cs="宋体"/>
          <w:bCs/>
          <w:kern w:val="0"/>
          <w:sz w:val="28"/>
          <w:szCs w:val="28"/>
          <w:highlight w:val="none"/>
          <w:lang w:eastAsia="zh-CN"/>
        </w:rPr>
        <w:t>法定代表人</w:t>
      </w:r>
      <w:r>
        <w:rPr>
          <w:rFonts w:hint="eastAsia" w:ascii="宋体" w:hAnsi="宋体" w:eastAsia="宋体" w:cs="宋体"/>
          <w:bCs/>
          <w:kern w:val="0"/>
          <w:sz w:val="28"/>
          <w:szCs w:val="28"/>
          <w:highlight w:val="none"/>
        </w:rPr>
        <w:t>参加投标时提供）</w:t>
      </w:r>
    </w:p>
    <w:p>
      <w:pPr>
        <w:widowControl/>
        <w:spacing w:line="360" w:lineRule="auto"/>
        <w:rPr>
          <w:rFonts w:hint="eastAsia" w:ascii="宋体" w:hAnsi="宋体" w:eastAsia="宋体" w:cs="宋体"/>
          <w:sz w:val="24"/>
          <w:szCs w:val="24"/>
          <w:highlight w:val="none"/>
          <w:u w:val="single"/>
        </w:rPr>
      </w:pPr>
    </w:p>
    <w:p>
      <w:pPr>
        <w:spacing w:line="420" w:lineRule="exact"/>
        <w:rPr>
          <w:rFonts w:hint="eastAsia" w:ascii="宋体" w:hAnsi="宋体" w:eastAsia="宋体" w:cs="宋体"/>
          <w:sz w:val="22"/>
          <w:highlight w:val="none"/>
        </w:rPr>
      </w:pPr>
      <w:r>
        <w:rPr>
          <w:rFonts w:hint="eastAsia" w:ascii="宋体" w:hAnsi="宋体" w:eastAsia="宋体" w:cs="宋体"/>
          <w:sz w:val="22"/>
          <w:highlight w:val="none"/>
          <w:lang w:eastAsia="zh-CN"/>
        </w:rPr>
        <w:t>温州市高速公路资产经营有限公司</w:t>
      </w:r>
      <w:r>
        <w:rPr>
          <w:rFonts w:hint="eastAsia" w:ascii="宋体" w:hAnsi="宋体" w:eastAsia="宋体" w:cs="宋体"/>
          <w:sz w:val="22"/>
          <w:highlight w:val="none"/>
        </w:rPr>
        <w:t>：</w:t>
      </w:r>
    </w:p>
    <w:p>
      <w:pPr>
        <w:widowControl/>
        <w:spacing w:line="360" w:lineRule="auto"/>
        <w:ind w:left="420" w:firstLine="473"/>
        <w:jc w:val="left"/>
        <w:rPr>
          <w:rFonts w:hint="eastAsia" w:ascii="宋体" w:hAnsi="宋体" w:eastAsia="宋体" w:cs="宋体"/>
          <w:kern w:val="0"/>
          <w:sz w:val="24"/>
          <w:szCs w:val="24"/>
          <w:highlight w:val="none"/>
        </w:rPr>
      </w:pPr>
    </w:p>
    <w:p>
      <w:pPr>
        <w:widowControl/>
        <w:spacing w:line="360" w:lineRule="auto"/>
        <w:ind w:left="420" w:firstLine="47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单位名称：</w:t>
      </w:r>
    </w:p>
    <w:p>
      <w:pPr>
        <w:widowControl/>
        <w:spacing w:line="360" w:lineRule="auto"/>
        <w:ind w:left="420" w:firstLine="47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地址：</w:t>
      </w:r>
    </w:p>
    <w:p>
      <w:pPr>
        <w:widowControl/>
        <w:spacing w:line="360" w:lineRule="auto"/>
        <w:ind w:left="420" w:firstLine="47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姓名：          性别：           年龄：            职务：        </w:t>
      </w:r>
    </w:p>
    <w:p>
      <w:pPr>
        <w:widowControl/>
        <w:spacing w:line="360" w:lineRule="auto"/>
        <w:ind w:left="420" w:firstLine="47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本人系</w:t>
      </w:r>
      <w:r>
        <w:rPr>
          <w:rFonts w:hint="eastAsia" w:ascii="宋体" w:hAnsi="宋体" w:eastAsia="宋体" w:cs="宋体"/>
          <w:kern w:val="0"/>
          <w:sz w:val="24"/>
          <w:szCs w:val="24"/>
          <w:highlight w:val="none"/>
          <w:u w:val="single"/>
        </w:rPr>
        <w:t xml:space="preserve">       &lt;投标人名称&gt;      </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lang w:eastAsia="zh-CN"/>
        </w:rPr>
        <w:t>法定代表人</w:t>
      </w:r>
      <w:r>
        <w:rPr>
          <w:rFonts w:hint="eastAsia" w:ascii="宋体" w:hAnsi="宋体" w:eastAsia="宋体" w:cs="宋体"/>
          <w:kern w:val="0"/>
          <w:sz w:val="24"/>
          <w:szCs w:val="24"/>
          <w:highlight w:val="none"/>
        </w:rPr>
        <w:t>。为你单位组织的采购编号为</w:t>
      </w:r>
      <w:r>
        <w:rPr>
          <w:rFonts w:hint="eastAsia" w:ascii="宋体" w:hAnsi="宋体" w:eastAsia="宋体" w:cs="宋体"/>
          <w:b/>
          <w:bCs/>
          <w:spacing w:val="20"/>
          <w:kern w:val="0"/>
          <w:sz w:val="24"/>
          <w:szCs w:val="24"/>
          <w:highlight w:val="none"/>
          <w:u w:val="single"/>
        </w:rPr>
        <w:t xml:space="preserve">    </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采购项目，签署上述项目的投标文件、进行合同谈判、签署合同和处理与之有关的一切事务。</w:t>
      </w:r>
    </w:p>
    <w:p>
      <w:pPr>
        <w:widowControl/>
        <w:spacing w:line="360" w:lineRule="auto"/>
        <w:ind w:left="420" w:firstLine="47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特此证明。</w:t>
      </w:r>
    </w:p>
    <w:p>
      <w:pPr>
        <w:widowControl/>
        <w:spacing w:line="360" w:lineRule="auto"/>
        <w:ind w:left="-540" w:firstLine="540"/>
        <w:jc w:val="center"/>
        <w:rPr>
          <w:rFonts w:hint="eastAsia" w:ascii="宋体" w:hAnsi="宋体" w:eastAsia="宋体" w:cs="宋体"/>
          <w:b/>
          <w:bCs/>
          <w:kern w:val="0"/>
          <w:sz w:val="24"/>
          <w:szCs w:val="24"/>
          <w:highlight w:val="none"/>
        </w:rPr>
      </w:pPr>
    </w:p>
    <w:p>
      <w:pPr>
        <w:widowControl/>
        <w:spacing w:line="360" w:lineRule="auto"/>
        <w:ind w:left="-540" w:firstLine="540"/>
        <w:jc w:val="center"/>
        <w:rPr>
          <w:rFonts w:hint="eastAsia" w:ascii="宋体" w:hAnsi="宋体" w:eastAsia="宋体" w:cs="宋体"/>
          <w:b/>
          <w:bCs/>
          <w:kern w:val="0"/>
          <w:sz w:val="24"/>
          <w:szCs w:val="24"/>
          <w:highlight w:val="none"/>
        </w:rPr>
      </w:pPr>
    </w:p>
    <w:p>
      <w:pPr>
        <w:widowControl/>
        <w:spacing w:line="360" w:lineRule="auto"/>
        <w:ind w:left="-540" w:firstLine="540"/>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（※此处请粘贴</w:t>
      </w:r>
      <w:r>
        <w:rPr>
          <w:rFonts w:hint="eastAsia" w:ascii="宋体" w:hAnsi="宋体" w:eastAsia="宋体" w:cs="宋体"/>
          <w:b/>
          <w:bCs/>
          <w:kern w:val="0"/>
          <w:sz w:val="24"/>
          <w:szCs w:val="24"/>
          <w:highlight w:val="none"/>
          <w:lang w:eastAsia="zh-CN"/>
        </w:rPr>
        <w:t>法定代表人</w:t>
      </w:r>
      <w:r>
        <w:rPr>
          <w:rFonts w:hint="eastAsia" w:ascii="宋体" w:hAnsi="宋体" w:eastAsia="宋体" w:cs="宋体"/>
          <w:b/>
          <w:bCs/>
          <w:kern w:val="0"/>
          <w:sz w:val="24"/>
          <w:szCs w:val="24"/>
          <w:highlight w:val="none"/>
        </w:rPr>
        <w:t>身份证复印件※）</w:t>
      </w:r>
    </w:p>
    <w:p>
      <w:pPr>
        <w:widowControl/>
        <w:spacing w:line="480" w:lineRule="auto"/>
        <w:ind w:left="420" w:firstLine="473"/>
        <w:jc w:val="left"/>
        <w:rPr>
          <w:rFonts w:hint="eastAsia" w:ascii="宋体" w:hAnsi="宋体" w:eastAsia="宋体" w:cs="宋体"/>
          <w:kern w:val="0"/>
          <w:sz w:val="24"/>
          <w:szCs w:val="24"/>
          <w:highlight w:val="none"/>
        </w:rPr>
      </w:pPr>
    </w:p>
    <w:p>
      <w:pPr>
        <w:widowControl/>
        <w:spacing w:line="480" w:lineRule="auto"/>
        <w:ind w:firstLine="189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投标人名称（加盖公章）：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w:t>
      </w:r>
    </w:p>
    <w:p>
      <w:pPr>
        <w:widowControl/>
        <w:spacing w:line="480" w:lineRule="auto"/>
        <w:ind w:firstLine="189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法定代表人</w:t>
      </w:r>
      <w:r>
        <w:rPr>
          <w:rFonts w:hint="eastAsia" w:ascii="宋体" w:hAnsi="宋体" w:eastAsia="宋体" w:cs="宋体"/>
          <w:kern w:val="0"/>
          <w:sz w:val="24"/>
          <w:szCs w:val="24"/>
          <w:highlight w:val="none"/>
        </w:rPr>
        <w:t>（签字</w:t>
      </w:r>
      <w:r>
        <w:rPr>
          <w:rFonts w:hint="eastAsia" w:ascii="宋体" w:hAnsi="宋体" w:eastAsia="宋体" w:cs="宋体"/>
          <w:sz w:val="22"/>
          <w:highlight w:val="none"/>
        </w:rPr>
        <w:t>或盖章</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u w:val="single"/>
        </w:rPr>
        <w:t xml:space="preserve">                          </w:t>
      </w:r>
    </w:p>
    <w:p>
      <w:pPr>
        <w:widowControl/>
        <w:snapToGrid w:val="0"/>
        <w:spacing w:before="60" w:line="480" w:lineRule="auto"/>
        <w:ind w:firstLine="189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签署日期：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年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月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日</w:t>
      </w:r>
    </w:p>
    <w:p>
      <w:pPr>
        <w:widowControl/>
        <w:rPr>
          <w:rFonts w:hint="eastAsia" w:ascii="宋体" w:hAnsi="宋体" w:eastAsia="宋体" w:cs="宋体"/>
          <w:kern w:val="0"/>
          <w:szCs w:val="21"/>
          <w:highlight w:val="none"/>
        </w:rPr>
      </w:pPr>
    </w:p>
    <w:p>
      <w:pPr>
        <w:widowControl/>
        <w:rPr>
          <w:rFonts w:hint="eastAsia" w:ascii="宋体" w:hAnsi="宋体" w:eastAsia="宋体" w:cs="宋体"/>
          <w:kern w:val="0"/>
          <w:szCs w:val="21"/>
          <w:highlight w:val="none"/>
        </w:rPr>
      </w:pPr>
    </w:p>
    <w:p>
      <w:pPr>
        <w:widowControl/>
        <w:spacing w:line="480" w:lineRule="atLeast"/>
        <w:jc w:val="center"/>
        <w:rPr>
          <w:rFonts w:hint="eastAsia" w:ascii="宋体" w:hAnsi="宋体" w:eastAsia="宋体" w:cs="宋体"/>
          <w:b/>
          <w:bCs/>
          <w:kern w:val="0"/>
          <w:sz w:val="24"/>
          <w:szCs w:val="24"/>
          <w:highlight w:val="none"/>
        </w:rPr>
      </w:pPr>
    </w:p>
    <w:p>
      <w:pPr>
        <w:spacing w:line="460" w:lineRule="exact"/>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说明：</w:t>
      </w:r>
      <w:r>
        <w:rPr>
          <w:rFonts w:hint="eastAsia" w:ascii="宋体" w:hAnsi="宋体" w:eastAsia="宋体" w:cs="宋体"/>
          <w:b/>
          <w:bCs/>
          <w:kern w:val="0"/>
          <w:sz w:val="24"/>
          <w:szCs w:val="24"/>
          <w:highlight w:val="none"/>
          <w:lang w:eastAsia="zh-CN"/>
        </w:rPr>
        <w:t>法定代表人</w:t>
      </w:r>
      <w:r>
        <w:rPr>
          <w:rFonts w:hint="eastAsia" w:ascii="宋体" w:hAnsi="宋体" w:eastAsia="宋体" w:cs="宋体"/>
          <w:b/>
          <w:bCs/>
          <w:kern w:val="0"/>
          <w:sz w:val="24"/>
          <w:szCs w:val="24"/>
          <w:highlight w:val="none"/>
        </w:rPr>
        <w:t>参加本采购项目投标的，仅须提供此证明书。</w:t>
      </w:r>
    </w:p>
    <w:p>
      <w:pPr>
        <w:spacing w:line="460" w:lineRule="exact"/>
        <w:jc w:val="center"/>
        <w:rPr>
          <w:rFonts w:hint="eastAsia" w:ascii="宋体" w:hAnsi="宋体" w:eastAsia="宋体" w:cs="宋体"/>
          <w:b/>
          <w:bCs/>
          <w:kern w:val="0"/>
          <w:sz w:val="24"/>
          <w:szCs w:val="24"/>
          <w:highlight w:val="none"/>
        </w:rPr>
      </w:pPr>
    </w:p>
    <w:p>
      <w:pPr>
        <w:spacing w:line="460" w:lineRule="exact"/>
        <w:jc w:val="center"/>
        <w:rPr>
          <w:rFonts w:hint="eastAsia" w:ascii="宋体" w:hAnsi="宋体" w:eastAsia="宋体" w:cs="宋体"/>
          <w:b/>
          <w:bCs/>
          <w:kern w:val="0"/>
          <w:sz w:val="24"/>
          <w:szCs w:val="24"/>
          <w:highlight w:val="none"/>
        </w:rPr>
      </w:pPr>
    </w:p>
    <w:p>
      <w:pPr>
        <w:rPr>
          <w:rFonts w:hint="eastAsia" w:ascii="宋体" w:hAnsi="宋体" w:eastAsia="宋体" w:cs="宋体"/>
          <w:b/>
          <w:bCs/>
          <w:sz w:val="24"/>
          <w:szCs w:val="24"/>
          <w:highlight w:val="none"/>
        </w:rPr>
      </w:pPr>
      <w:r>
        <w:rPr>
          <w:rFonts w:hint="eastAsia" w:ascii="宋体" w:hAnsi="宋体" w:eastAsia="宋体" w:cs="宋体"/>
          <w:b/>
          <w:bCs/>
          <w:sz w:val="28"/>
          <w:szCs w:val="28"/>
          <w:highlight w:val="none"/>
        </w:rPr>
        <w:br w:type="page"/>
      </w:r>
      <w:r>
        <w:rPr>
          <w:rFonts w:hint="eastAsia" w:ascii="宋体" w:hAnsi="宋体" w:eastAsia="宋体" w:cs="宋体"/>
          <w:b/>
          <w:bCs/>
          <w:sz w:val="24"/>
          <w:szCs w:val="24"/>
          <w:highlight w:val="none"/>
        </w:rPr>
        <w:t>（2）投标供应商企业法人有效营业执照（或法人登记证书）复印件加盖单位公章</w:t>
      </w:r>
    </w:p>
    <w:p>
      <w:pPr>
        <w:rPr>
          <w:rFonts w:hint="eastAsia" w:ascii="宋体" w:hAnsi="宋体" w:eastAsia="宋体" w:cs="宋体"/>
          <w:b/>
          <w:bCs/>
          <w:sz w:val="24"/>
          <w:szCs w:val="24"/>
          <w:highlight w:val="none"/>
        </w:rPr>
      </w:pPr>
    </w:p>
    <w:p>
      <w:pPr>
        <w:snapToGrid w:val="0"/>
        <w:spacing w:before="50" w:after="120" w:afterLines="50"/>
        <w:jc w:val="left"/>
        <w:rPr>
          <w:rFonts w:hint="eastAsia" w:ascii="宋体" w:hAnsi="宋体" w:eastAsia="宋体" w:cs="宋体"/>
          <w:b/>
          <w:sz w:val="24"/>
          <w:szCs w:val="24"/>
          <w:highlight w:val="none"/>
        </w:rPr>
      </w:pPr>
    </w:p>
    <w:p>
      <w:pPr>
        <w:snapToGrid w:val="0"/>
        <w:spacing w:before="50" w:after="120" w:afterLines="5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以上证书若为复印件，须加盖投标人单位公章</w:t>
      </w:r>
      <w:r>
        <w:rPr>
          <w:rFonts w:hint="eastAsia" w:ascii="宋体" w:hAnsi="宋体" w:eastAsia="宋体" w:cs="宋体"/>
          <w:b/>
          <w:sz w:val="24"/>
          <w:szCs w:val="24"/>
          <w:highlight w:val="none"/>
        </w:rPr>
        <w:br w:type="page"/>
      </w:r>
      <w:r>
        <w:rPr>
          <w:rFonts w:hint="eastAsia" w:ascii="宋体" w:hAnsi="宋体" w:eastAsia="宋体" w:cs="宋体"/>
          <w:b/>
          <w:sz w:val="24"/>
          <w:szCs w:val="24"/>
          <w:highlight w:val="none"/>
        </w:rPr>
        <w:t>附件四</w:t>
      </w:r>
    </w:p>
    <w:p>
      <w:pPr>
        <w:snapToGrid w:val="0"/>
        <w:spacing w:before="120" w:beforeLines="50" w:after="50"/>
        <w:jc w:val="center"/>
        <w:rPr>
          <w:rFonts w:hint="eastAsia" w:ascii="宋体" w:hAnsi="宋体" w:eastAsia="宋体" w:cs="宋体"/>
          <w:b/>
          <w:sz w:val="30"/>
          <w:szCs w:val="24"/>
          <w:highlight w:val="none"/>
        </w:rPr>
      </w:pPr>
    </w:p>
    <w:p>
      <w:pPr>
        <w:snapToGrid w:val="0"/>
        <w:spacing w:before="120" w:beforeLines="50" w:after="50"/>
        <w:jc w:val="center"/>
        <w:rPr>
          <w:rFonts w:hint="eastAsia" w:ascii="宋体" w:hAnsi="宋体" w:eastAsia="宋体" w:cs="宋体"/>
          <w:b/>
          <w:sz w:val="24"/>
          <w:szCs w:val="20"/>
          <w:highlight w:val="none"/>
        </w:rPr>
      </w:pPr>
      <w:r>
        <w:rPr>
          <w:rFonts w:hint="eastAsia" w:ascii="宋体" w:hAnsi="宋体" w:eastAsia="宋体" w:cs="宋体"/>
          <w:b/>
          <w:sz w:val="30"/>
          <w:szCs w:val="24"/>
          <w:highlight w:val="none"/>
        </w:rPr>
        <w:t>（</w:t>
      </w:r>
      <w:r>
        <w:rPr>
          <w:rFonts w:hint="eastAsia" w:ascii="宋体" w:hAnsi="宋体" w:eastAsia="宋体" w:cs="宋体"/>
          <w:b/>
          <w:sz w:val="30"/>
          <w:szCs w:val="24"/>
          <w:highlight w:val="none"/>
          <w:lang w:val="en-US" w:eastAsia="zh-CN"/>
        </w:rPr>
        <w:t>3</w:t>
      </w:r>
      <w:r>
        <w:rPr>
          <w:rFonts w:hint="eastAsia" w:ascii="宋体" w:hAnsi="宋体" w:eastAsia="宋体" w:cs="宋体"/>
          <w:b/>
          <w:sz w:val="30"/>
          <w:szCs w:val="24"/>
          <w:highlight w:val="none"/>
        </w:rPr>
        <w:t>）投标声明书</w:t>
      </w:r>
    </w:p>
    <w:p>
      <w:pPr>
        <w:snapToGrid w:val="0"/>
        <w:spacing w:before="120" w:beforeLines="50" w:after="50"/>
        <w:rPr>
          <w:rFonts w:hint="eastAsia" w:ascii="宋体" w:hAnsi="宋体" w:eastAsia="宋体" w:cs="宋体"/>
          <w:sz w:val="22"/>
          <w:highlight w:val="none"/>
        </w:rPr>
      </w:pPr>
    </w:p>
    <w:p>
      <w:pPr>
        <w:snapToGrid w:val="0"/>
        <w:spacing w:before="120" w:beforeLines="50" w:after="50"/>
        <w:rPr>
          <w:rFonts w:hint="eastAsia" w:ascii="宋体" w:hAnsi="宋体" w:eastAsia="宋体" w:cs="宋体"/>
          <w:sz w:val="22"/>
          <w:highlight w:val="none"/>
        </w:rPr>
      </w:pPr>
      <w:r>
        <w:rPr>
          <w:rFonts w:hint="eastAsia" w:ascii="宋体" w:hAnsi="宋体" w:eastAsia="宋体" w:cs="宋体"/>
          <w:sz w:val="22"/>
          <w:highlight w:val="none"/>
        </w:rPr>
        <w:t>致：温州市高速公路资产经营有限公司：</w:t>
      </w:r>
    </w:p>
    <w:p>
      <w:pPr>
        <w:snapToGrid w:val="0"/>
        <w:spacing w:before="120" w:after="5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（投标人名称）系中华人民共和国合法企业/单位，经营地址</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w:t>
      </w:r>
    </w:p>
    <w:p>
      <w:pPr>
        <w:snapToGrid w:val="0"/>
        <w:spacing w:before="120" w:after="5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我</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（姓名）系</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（投标人名称）的</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，我方愿意参加贵方组织的</w:t>
      </w:r>
      <w:r>
        <w:rPr>
          <w:rFonts w:hint="eastAsia" w:ascii="宋体" w:hAnsi="宋体" w:eastAsia="宋体" w:cs="宋体"/>
          <w:sz w:val="22"/>
          <w:highlight w:val="none"/>
          <w:u w:val="single"/>
        </w:rPr>
        <w:t xml:space="preserve">   （项目名称名称、项目编号）     </w:t>
      </w:r>
      <w:r>
        <w:rPr>
          <w:rFonts w:hint="eastAsia" w:ascii="宋体" w:hAnsi="宋体" w:eastAsia="宋体" w:cs="宋体"/>
          <w:sz w:val="22"/>
          <w:highlight w:val="none"/>
        </w:rPr>
        <w:t>项目的投标，为便于贵方公正、择优地确定中标人及其投标服务，我方就参加本次投标有关事项郑重声明如下：</w:t>
      </w:r>
    </w:p>
    <w:p>
      <w:pPr>
        <w:snapToGrid w:val="0"/>
        <w:spacing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1.本投标有效期自开标日起 ______日。</w:t>
      </w:r>
    </w:p>
    <w:p>
      <w:pPr>
        <w:snapToGrid w:val="0"/>
        <w:spacing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2.我方向贵方提交的所有投标文件、资料都是准确的和真实的。</w:t>
      </w:r>
    </w:p>
    <w:p>
      <w:pPr>
        <w:snapToGrid w:val="0"/>
        <w:spacing w:before="120" w:line="320" w:lineRule="exact"/>
        <w:ind w:firstLine="440" w:firstLineChars="200"/>
        <w:rPr>
          <w:rFonts w:hint="eastAsia" w:ascii="宋体" w:hAnsi="宋体" w:eastAsia="宋体" w:cs="宋体"/>
          <w:sz w:val="22"/>
          <w:highlight w:val="none"/>
          <w:lang w:eastAsia="zh-CN"/>
        </w:rPr>
      </w:pPr>
      <w:r>
        <w:rPr>
          <w:rFonts w:hint="eastAsia" w:ascii="宋体" w:hAnsi="宋体" w:eastAsia="宋体" w:cs="宋体"/>
          <w:sz w:val="22"/>
          <w:highlight w:val="none"/>
        </w:rPr>
        <w:t>3.我方不是采购人的附属机构</w:t>
      </w:r>
      <w:r>
        <w:rPr>
          <w:rFonts w:hint="eastAsia" w:ascii="宋体" w:hAnsi="宋体" w:eastAsia="宋体" w:cs="宋体"/>
          <w:sz w:val="22"/>
          <w:highlight w:val="none"/>
          <w:lang w:eastAsia="zh-CN"/>
        </w:rPr>
        <w:t>。</w:t>
      </w:r>
    </w:p>
    <w:p>
      <w:pPr>
        <w:snapToGrid w:val="0"/>
        <w:spacing w:before="120" w:line="320" w:lineRule="exact"/>
        <w:ind w:firstLine="440" w:firstLineChars="200"/>
        <w:rPr>
          <w:rFonts w:hint="eastAsia" w:ascii="宋体" w:hAnsi="宋体" w:eastAsia="宋体" w:cs="宋体"/>
          <w:sz w:val="22"/>
          <w:highlight w:val="none"/>
          <w:u w:val="single"/>
        </w:rPr>
      </w:pPr>
      <w:r>
        <w:rPr>
          <w:rFonts w:hint="eastAsia" w:ascii="宋体" w:hAnsi="宋体" w:eastAsia="宋体" w:cs="宋体"/>
          <w:sz w:val="22"/>
          <w:highlight w:val="none"/>
        </w:rPr>
        <w:t>4.我方</w:t>
      </w:r>
      <w:r>
        <w:rPr>
          <w:rFonts w:hint="eastAsia" w:ascii="宋体" w:hAnsi="宋体" w:eastAsia="宋体" w:cs="宋体"/>
          <w:sz w:val="22"/>
          <w:highlight w:val="none"/>
          <w:lang w:val="en-US" w:eastAsia="zh-CN"/>
        </w:rPr>
        <w:t>未</w:t>
      </w:r>
      <w:r>
        <w:rPr>
          <w:rFonts w:hint="eastAsia" w:ascii="宋体" w:hAnsi="宋体" w:eastAsia="宋体" w:cs="宋体"/>
          <w:sz w:val="22"/>
          <w:highlight w:val="none"/>
        </w:rPr>
        <w:t>参加</w:t>
      </w:r>
      <w:r>
        <w:rPr>
          <w:rFonts w:hint="eastAsia" w:ascii="宋体" w:hAnsi="宋体" w:eastAsia="宋体" w:cs="宋体"/>
          <w:sz w:val="22"/>
          <w:highlight w:val="none"/>
          <w:lang w:val="en-US" w:eastAsia="zh-CN"/>
        </w:rPr>
        <w:t>过</w:t>
      </w:r>
      <w:r>
        <w:rPr>
          <w:rFonts w:hint="eastAsia" w:ascii="宋体" w:hAnsi="宋体" w:eastAsia="宋体" w:cs="宋体"/>
          <w:sz w:val="22"/>
          <w:highlight w:val="none"/>
        </w:rPr>
        <w:t>本采购项目的整体设计、规范编制或者项目管理、监理、检测等服务</w:t>
      </w:r>
      <w:r>
        <w:rPr>
          <w:rFonts w:hint="eastAsia" w:ascii="宋体" w:hAnsi="宋体" w:eastAsia="宋体" w:cs="宋体"/>
          <w:sz w:val="22"/>
          <w:highlight w:val="none"/>
          <w:lang w:val="en-US" w:eastAsia="zh-CN"/>
        </w:rPr>
        <w:t>工作。</w:t>
      </w:r>
    </w:p>
    <w:p>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5.我</w:t>
      </w:r>
      <w:r>
        <w:rPr>
          <w:rFonts w:hint="eastAsia" w:ascii="宋体" w:hAnsi="宋体" w:eastAsia="宋体" w:cs="宋体"/>
          <w:kern w:val="0"/>
          <w:sz w:val="22"/>
          <w:highlight w:val="none"/>
        </w:rPr>
        <w:t>方</w:t>
      </w:r>
      <w:r>
        <w:rPr>
          <w:rFonts w:hint="eastAsia" w:ascii="宋体" w:hAnsi="宋体" w:eastAsia="宋体" w:cs="宋体"/>
          <w:sz w:val="22"/>
          <w:highlight w:val="none"/>
        </w:rPr>
        <w:t>单位</w:t>
      </w:r>
      <w:r>
        <w:rPr>
          <w:rFonts w:hint="eastAsia" w:ascii="宋体" w:hAnsi="宋体" w:eastAsia="宋体" w:cs="宋体"/>
          <w:kern w:val="0"/>
          <w:sz w:val="22"/>
          <w:highlight w:val="none"/>
        </w:rPr>
        <w:t>负责人同时为下列单位的负责人：</w:t>
      </w:r>
    </w:p>
    <w:p>
      <w:pPr>
        <w:snapToGrid w:val="0"/>
        <w:spacing w:before="120" w:line="320" w:lineRule="exact"/>
        <w:ind w:firstLine="440" w:firstLineChars="200"/>
        <w:rPr>
          <w:rFonts w:hint="eastAsia" w:ascii="宋体" w:hAnsi="宋体" w:eastAsia="宋体" w:cs="宋体"/>
          <w:sz w:val="22"/>
          <w:highlight w:val="none"/>
          <w:u w:val="single"/>
        </w:rPr>
      </w:pPr>
      <w:r>
        <w:rPr>
          <w:rFonts w:hint="eastAsia" w:ascii="宋体" w:hAnsi="宋体" w:eastAsia="宋体" w:cs="宋体"/>
          <w:sz w:val="22"/>
          <w:highlight w:val="none"/>
          <w:u w:val="single"/>
        </w:rPr>
        <w:t>　　　　　　　　　　　　　　　　　　　　　　　　　　　</w:t>
      </w:r>
    </w:p>
    <w:p>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u w:val="single"/>
        </w:rPr>
        <w:t>　　　　　　　　　　　　　　　　　　　　　　　　　　　</w:t>
      </w:r>
    </w:p>
    <w:p>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kern w:val="0"/>
          <w:sz w:val="22"/>
          <w:highlight w:val="none"/>
        </w:rPr>
        <w:t>6</w:t>
      </w:r>
      <w:r>
        <w:rPr>
          <w:rFonts w:hint="eastAsia" w:ascii="宋体" w:hAnsi="宋体" w:eastAsia="宋体" w:cs="宋体"/>
          <w:sz w:val="22"/>
          <w:highlight w:val="none"/>
        </w:rPr>
        <w:t>.</w:t>
      </w:r>
      <w:r>
        <w:rPr>
          <w:rFonts w:hint="eastAsia" w:ascii="宋体" w:hAnsi="宋体" w:eastAsia="宋体" w:cs="宋体"/>
          <w:kern w:val="0"/>
          <w:sz w:val="22"/>
          <w:highlight w:val="none"/>
        </w:rPr>
        <w:t>我方直接控股的单位、由我方管理的单位，没有同时参加本</w:t>
      </w:r>
      <w:r>
        <w:rPr>
          <w:rFonts w:hint="eastAsia" w:ascii="宋体" w:hAnsi="宋体" w:eastAsia="宋体" w:cs="宋体"/>
          <w:sz w:val="22"/>
          <w:highlight w:val="none"/>
        </w:rPr>
        <w:t>合同项下</w:t>
      </w:r>
      <w:r>
        <w:rPr>
          <w:rFonts w:hint="eastAsia" w:ascii="宋体" w:hAnsi="宋体" w:eastAsia="宋体" w:cs="宋体"/>
          <w:kern w:val="0"/>
          <w:sz w:val="22"/>
          <w:highlight w:val="none"/>
        </w:rPr>
        <w:t>的投标。</w:t>
      </w:r>
    </w:p>
    <w:p>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7.我方委托授权人</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（姓名）为我单位的正式在职职工，以我方的名义参加</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本项目的投标活动，</w:t>
      </w:r>
    </w:p>
    <w:p>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8.我方此次向贵方提供的服务名称为：</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w:t>
      </w:r>
    </w:p>
    <w:p>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9.我方</w:t>
      </w:r>
      <w:r>
        <w:rPr>
          <w:rFonts w:hint="eastAsia" w:ascii="宋体" w:hAnsi="宋体" w:eastAsia="宋体" w:cs="宋体"/>
          <w:kern w:val="0"/>
          <w:sz w:val="22"/>
          <w:highlight w:val="none"/>
        </w:rPr>
        <w:t>参加本次国企采购活动前三年内，在经营活动中的重大违法记录</w:t>
      </w:r>
      <w:r>
        <w:rPr>
          <w:rFonts w:hint="eastAsia" w:ascii="宋体" w:hAnsi="宋体" w:eastAsia="宋体" w:cs="宋体"/>
          <w:sz w:val="22"/>
          <w:highlight w:val="none"/>
        </w:rPr>
        <w:t>有：</w:t>
      </w:r>
    </w:p>
    <w:p>
      <w:pPr>
        <w:snapToGrid w:val="0"/>
        <w:spacing w:before="120" w:line="320" w:lineRule="exact"/>
        <w:ind w:firstLine="440" w:firstLineChars="200"/>
        <w:rPr>
          <w:rFonts w:hint="eastAsia" w:ascii="宋体" w:hAnsi="宋体" w:eastAsia="宋体" w:cs="宋体"/>
          <w:sz w:val="22"/>
          <w:highlight w:val="none"/>
          <w:u w:val="single"/>
        </w:rPr>
      </w:pPr>
      <w:r>
        <w:rPr>
          <w:rFonts w:hint="eastAsia" w:ascii="宋体" w:hAnsi="宋体" w:eastAsia="宋体" w:cs="宋体"/>
          <w:sz w:val="22"/>
          <w:highlight w:val="none"/>
          <w:u w:val="single"/>
        </w:rPr>
        <w:t>　　　　　　　　　　　　　　　　　　　　　　　　　　　</w:t>
      </w:r>
    </w:p>
    <w:p>
      <w:pPr>
        <w:snapToGrid w:val="0"/>
        <w:spacing w:before="120" w:beforeLines="50"/>
        <w:ind w:firstLine="440" w:firstLineChars="200"/>
        <w:rPr>
          <w:rFonts w:hint="eastAsia" w:ascii="宋体" w:hAnsi="宋体" w:eastAsia="宋体" w:cs="宋体"/>
          <w:sz w:val="22"/>
          <w:highlight w:val="none"/>
        </w:rPr>
      </w:pPr>
      <w:r>
        <w:rPr>
          <w:rFonts w:hint="eastAsia" w:ascii="宋体" w:hAnsi="宋体" w:eastAsia="宋体" w:cs="宋体"/>
          <w:sz w:val="22"/>
          <w:highlight w:val="none"/>
        </w:rPr>
        <w:t>至本项目投标截止前，我方被列入“信用中国”网站(www.creditchina.gov.cn)“记录失信被执行人或重大税收违法案件当事人名单”记录名单情况：</w:t>
      </w:r>
    </w:p>
    <w:p>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u w:val="single"/>
        </w:rPr>
        <w:t>　　　　　　　　　　　　　　　　　　　　　　　　　　　</w:t>
      </w:r>
    </w:p>
    <w:p>
      <w:pPr>
        <w:snapToGrid w:val="0"/>
        <w:spacing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10.我方承诺具有履行合同所必需的所必需的场地、设备</w:t>
      </w:r>
      <w:r>
        <w:rPr>
          <w:rFonts w:hint="eastAsia" w:ascii="宋体" w:hAnsi="宋体" w:eastAsia="宋体" w:cs="宋体"/>
          <w:sz w:val="22"/>
          <w:highlight w:val="none"/>
          <w:lang w:eastAsia="zh-CN"/>
        </w:rPr>
        <w:t>、</w:t>
      </w:r>
      <w:r>
        <w:rPr>
          <w:rFonts w:hint="eastAsia" w:ascii="宋体" w:hAnsi="宋体" w:eastAsia="宋体" w:cs="宋体"/>
          <w:sz w:val="22"/>
          <w:highlight w:val="none"/>
        </w:rPr>
        <w:t>专业技术</w:t>
      </w:r>
      <w:r>
        <w:rPr>
          <w:rFonts w:hint="eastAsia" w:ascii="宋体" w:hAnsi="宋体" w:eastAsia="宋体" w:cs="宋体"/>
          <w:sz w:val="22"/>
          <w:highlight w:val="none"/>
          <w:lang w:val="en-US" w:eastAsia="zh-CN"/>
        </w:rPr>
        <w:t>和</w:t>
      </w:r>
      <w:r>
        <w:rPr>
          <w:rFonts w:hint="eastAsia" w:ascii="宋体" w:hAnsi="宋体" w:eastAsia="宋体" w:cs="宋体"/>
          <w:sz w:val="22"/>
          <w:highlight w:val="none"/>
        </w:rPr>
        <w:t>售后保障等能力。如有虚假，采购人可取消我方任何资格（投标/中标/签订合同），我方对此无任何异议。</w:t>
      </w:r>
    </w:p>
    <w:p>
      <w:pPr>
        <w:snapToGrid w:val="0"/>
        <w:ind w:firstLine="440" w:firstLineChars="200"/>
        <w:rPr>
          <w:rFonts w:hint="eastAsia" w:ascii="宋体" w:hAnsi="宋体" w:eastAsia="宋体" w:cs="宋体"/>
          <w:sz w:val="22"/>
          <w:highlight w:val="none"/>
        </w:rPr>
      </w:pPr>
      <w:r>
        <w:rPr>
          <w:rFonts w:hint="eastAsia" w:ascii="宋体" w:hAnsi="宋体" w:eastAsia="宋体" w:cs="宋体"/>
          <w:sz w:val="22"/>
          <w:highlight w:val="none"/>
        </w:rPr>
        <w:t>11.以上事项如有虚假或隐瞒，我方愿意承担一切后果，并不再寻求任何旨在减轻或免除法律责任的辩解。</w:t>
      </w:r>
    </w:p>
    <w:p>
      <w:pPr>
        <w:snapToGrid w:val="0"/>
        <w:spacing w:before="120" w:beforeLines="50"/>
        <w:ind w:firstLine="200"/>
        <w:rPr>
          <w:rFonts w:hint="eastAsia" w:ascii="宋体" w:hAnsi="宋体" w:eastAsia="宋体" w:cs="宋体"/>
          <w:sz w:val="18"/>
          <w:szCs w:val="18"/>
          <w:highlight w:val="none"/>
        </w:rPr>
      </w:pPr>
    </w:p>
    <w:p>
      <w:pPr>
        <w:snapToGrid w:val="0"/>
        <w:spacing w:before="120" w:beforeLines="50" w:line="360" w:lineRule="auto"/>
        <w:ind w:firstLine="200"/>
        <w:rPr>
          <w:rFonts w:hint="eastAsia" w:ascii="宋体" w:hAnsi="宋体" w:eastAsia="宋体" w:cs="宋体"/>
          <w:sz w:val="22"/>
          <w:highlight w:val="none"/>
          <w:u w:val="single"/>
        </w:rPr>
      </w:pPr>
      <w:r>
        <w:rPr>
          <w:rFonts w:hint="eastAsia" w:ascii="宋体" w:hAnsi="宋体" w:eastAsia="宋体" w:cs="宋体"/>
          <w:sz w:val="22"/>
          <w:highlight w:val="none"/>
        </w:rPr>
        <w:t>法定代表人或授权委托人：</w:t>
      </w:r>
      <w:r>
        <w:rPr>
          <w:rFonts w:hint="eastAsia" w:ascii="宋体" w:hAnsi="宋体" w:eastAsia="宋体" w:cs="宋体"/>
          <w:sz w:val="22"/>
          <w:highlight w:val="none"/>
          <w:u w:val="single"/>
        </w:rPr>
        <w:t xml:space="preserve">     （签字或盖章） </w:t>
      </w:r>
    </w:p>
    <w:p>
      <w:pPr>
        <w:snapToGrid w:val="0"/>
        <w:spacing w:before="50" w:after="50" w:line="360" w:lineRule="auto"/>
        <w:ind w:firstLine="220" w:firstLineChars="100"/>
        <w:rPr>
          <w:rFonts w:hint="eastAsia" w:ascii="宋体" w:hAnsi="宋体" w:eastAsia="宋体" w:cs="宋体"/>
          <w:sz w:val="22"/>
          <w:highlight w:val="none"/>
          <w:u w:val="single"/>
        </w:rPr>
      </w:pPr>
      <w:r>
        <w:rPr>
          <w:rFonts w:hint="eastAsia" w:ascii="宋体" w:hAnsi="宋体" w:eastAsia="宋体" w:cs="宋体"/>
          <w:sz w:val="22"/>
          <w:highlight w:val="none"/>
        </w:rPr>
        <w:t>投标人全称：</w:t>
      </w:r>
      <w:r>
        <w:rPr>
          <w:rFonts w:hint="eastAsia" w:ascii="宋体" w:hAnsi="宋体" w:eastAsia="宋体" w:cs="宋体"/>
          <w:sz w:val="22"/>
          <w:highlight w:val="none"/>
          <w:u w:val="single"/>
        </w:rPr>
        <w:t xml:space="preserve">       （盖公章）           </w:t>
      </w:r>
    </w:p>
    <w:p>
      <w:pPr>
        <w:snapToGrid w:val="0"/>
        <w:spacing w:before="50" w:after="50" w:line="360" w:lineRule="auto"/>
        <w:ind w:firstLine="220" w:firstLineChars="100"/>
        <w:rPr>
          <w:rFonts w:hint="eastAsia" w:ascii="宋体" w:hAnsi="宋体" w:eastAsia="宋体" w:cs="宋体"/>
          <w:sz w:val="22"/>
          <w:szCs w:val="24"/>
          <w:highlight w:val="none"/>
        </w:rPr>
      </w:pPr>
      <w:r>
        <w:rPr>
          <w:rFonts w:hint="eastAsia" w:ascii="宋体" w:hAnsi="宋体" w:eastAsia="宋体" w:cs="宋体"/>
          <w:sz w:val="22"/>
          <w:highlight w:val="none"/>
        </w:rPr>
        <w:t>年    月    日</w:t>
      </w:r>
    </w:p>
    <w:p>
      <w:pPr>
        <w:ind w:left="826" w:hanging="826" w:hangingChars="294"/>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pPr>
        <w:pStyle w:val="23"/>
        <w:ind w:left="0" w:firstLine="0" w:firstLineChars="0"/>
        <w:rPr>
          <w:rFonts w:hint="eastAsia" w:ascii="宋体" w:hAnsi="宋体" w:eastAsia="宋体" w:cs="宋体"/>
          <w:sz w:val="22"/>
          <w:highlight w:val="none"/>
        </w:rPr>
      </w:pPr>
      <w:r>
        <w:rPr>
          <w:rFonts w:hint="eastAsia" w:ascii="宋体" w:hAnsi="宋体" w:eastAsia="宋体" w:cs="宋体"/>
          <w:sz w:val="22"/>
          <w:highlight w:val="none"/>
        </w:rPr>
        <w:t>附件五</w:t>
      </w:r>
    </w:p>
    <w:p>
      <w:pPr>
        <w:pStyle w:val="10"/>
        <w:ind w:firstLine="0" w:firstLineChars="0"/>
        <w:rPr>
          <w:rFonts w:hint="eastAsia" w:ascii="宋体" w:hAnsi="宋体" w:eastAsia="宋体" w:cs="宋体"/>
          <w:b/>
          <w:bCs/>
          <w:sz w:val="28"/>
          <w:szCs w:val="28"/>
          <w:highlight w:val="none"/>
        </w:rPr>
      </w:pPr>
    </w:p>
    <w:p>
      <w:pPr>
        <w:spacing w:line="400" w:lineRule="exact"/>
        <w:jc w:val="center"/>
        <w:rPr>
          <w:rFonts w:hint="eastAsia" w:ascii="宋体" w:hAnsi="宋体" w:eastAsia="宋体" w:cs="宋体"/>
          <w:b/>
          <w:color w:val="auto"/>
          <w:sz w:val="24"/>
          <w:highlight w:val="none"/>
          <w:lang w:val="en-US" w:eastAsia="zh-CN"/>
        </w:rPr>
      </w:pPr>
      <w:bookmarkStart w:id="192" w:name="_Toc480556784"/>
      <w:r>
        <w:rPr>
          <w:rFonts w:hint="eastAsia" w:ascii="宋体" w:hAnsi="宋体" w:eastAsia="宋体" w:cs="宋体"/>
          <w:b/>
          <w:color w:val="auto"/>
          <w:sz w:val="24"/>
          <w:highlight w:val="none"/>
          <w:lang w:val="en-US" w:eastAsia="zh-CN"/>
        </w:rPr>
        <w:t>供应商简介</w:t>
      </w:r>
    </w:p>
    <w:p>
      <w:pPr>
        <w:pStyle w:val="9"/>
        <w:adjustRightInd w:val="0"/>
        <w:snapToGrid w:val="0"/>
        <w:spacing w:line="44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   名称及概况：</w:t>
      </w:r>
    </w:p>
    <w:p>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（1）投标人名称：</w:t>
      </w:r>
      <w:r>
        <w:rPr>
          <w:rFonts w:hint="eastAsia" w:ascii="宋体" w:hAnsi="宋体" w:eastAsia="宋体" w:cs="宋体"/>
          <w:color w:val="auto"/>
          <w:sz w:val="22"/>
          <w:szCs w:val="22"/>
          <w:highlight w:val="none"/>
          <w:u w:val="single"/>
        </w:rPr>
        <w:t xml:space="preserve">                             </w:t>
      </w:r>
    </w:p>
    <w:p>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（2）地址：</w:t>
      </w:r>
      <w:r>
        <w:rPr>
          <w:rFonts w:hint="eastAsia" w:ascii="宋体" w:hAnsi="宋体" w:eastAsia="宋体" w:cs="宋体"/>
          <w:color w:val="auto"/>
          <w:sz w:val="22"/>
          <w:szCs w:val="22"/>
          <w:highlight w:val="none"/>
          <w:u w:val="single"/>
        </w:rPr>
        <w:t xml:space="preserve">                                   </w:t>
      </w:r>
    </w:p>
    <w:p>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传真/电话号码：</w:t>
      </w:r>
      <w:r>
        <w:rPr>
          <w:rFonts w:hint="eastAsia" w:ascii="宋体" w:hAnsi="宋体" w:eastAsia="宋体" w:cs="宋体"/>
          <w:color w:val="auto"/>
          <w:sz w:val="22"/>
          <w:szCs w:val="22"/>
          <w:highlight w:val="none"/>
          <w:u w:val="single"/>
        </w:rPr>
        <w:t xml:space="preserve">                          </w:t>
      </w:r>
    </w:p>
    <w:p>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（3）成立和/或注册日期：</w:t>
      </w:r>
      <w:r>
        <w:rPr>
          <w:rFonts w:hint="eastAsia" w:ascii="宋体" w:hAnsi="宋体" w:eastAsia="宋体" w:cs="宋体"/>
          <w:color w:val="auto"/>
          <w:sz w:val="22"/>
          <w:szCs w:val="22"/>
          <w:highlight w:val="none"/>
          <w:u w:val="single"/>
        </w:rPr>
        <w:t xml:space="preserve">                      </w:t>
      </w:r>
    </w:p>
    <w:p>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（4）实收资本：</w:t>
      </w:r>
      <w:r>
        <w:rPr>
          <w:rFonts w:hint="eastAsia" w:ascii="宋体" w:hAnsi="宋体" w:eastAsia="宋体" w:cs="宋体"/>
          <w:color w:val="auto"/>
          <w:sz w:val="22"/>
          <w:szCs w:val="22"/>
          <w:highlight w:val="none"/>
          <w:u w:val="single"/>
        </w:rPr>
        <w:t xml:space="preserve">                               </w:t>
      </w:r>
    </w:p>
    <w:p>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（5）近期资产负债表（截止</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p>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a）固定资产：</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b）流动资产：</w:t>
      </w:r>
      <w:r>
        <w:rPr>
          <w:rFonts w:hint="eastAsia" w:ascii="宋体" w:hAnsi="宋体" w:eastAsia="宋体" w:cs="宋体"/>
          <w:color w:val="auto"/>
          <w:sz w:val="22"/>
          <w:szCs w:val="22"/>
          <w:highlight w:val="none"/>
          <w:u w:val="single"/>
        </w:rPr>
        <w:t xml:space="preserve">                 </w:t>
      </w:r>
    </w:p>
    <w:p>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c）长期负债：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d）流动负债：</w:t>
      </w:r>
      <w:r>
        <w:rPr>
          <w:rFonts w:hint="eastAsia" w:ascii="宋体" w:hAnsi="宋体" w:eastAsia="宋体" w:cs="宋体"/>
          <w:color w:val="auto"/>
          <w:sz w:val="22"/>
          <w:szCs w:val="22"/>
          <w:highlight w:val="none"/>
          <w:u w:val="single"/>
        </w:rPr>
        <w:t xml:space="preserve">                 </w:t>
      </w:r>
    </w:p>
    <w:p>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e）净值：</w:t>
      </w:r>
      <w:r>
        <w:rPr>
          <w:rFonts w:hint="eastAsia" w:ascii="宋体" w:hAnsi="宋体" w:eastAsia="宋体" w:cs="宋体"/>
          <w:color w:val="auto"/>
          <w:sz w:val="22"/>
          <w:szCs w:val="22"/>
          <w:highlight w:val="none"/>
          <w:u w:val="single"/>
        </w:rPr>
        <w:t xml:space="preserve">                     </w:t>
      </w:r>
    </w:p>
    <w:p>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（6）主要负责人姓名：</w:t>
      </w:r>
      <w:r>
        <w:rPr>
          <w:rFonts w:hint="eastAsia" w:ascii="宋体" w:hAnsi="宋体" w:eastAsia="宋体" w:cs="宋体"/>
          <w:color w:val="auto"/>
          <w:sz w:val="22"/>
          <w:szCs w:val="22"/>
          <w:highlight w:val="none"/>
          <w:u w:val="single"/>
        </w:rPr>
        <w:t xml:space="preserve">                         </w:t>
      </w:r>
    </w:p>
    <w:p>
      <w:pPr>
        <w:spacing w:line="360" w:lineRule="exact"/>
        <w:ind w:left="663" w:hanging="663" w:hangingChars="300"/>
        <w:jc w:val="left"/>
        <w:rPr>
          <w:rFonts w:hint="eastAsia" w:ascii="宋体" w:hAnsi="宋体" w:eastAsia="宋体" w:cs="宋体"/>
          <w:b/>
          <w:color w:val="auto"/>
          <w:sz w:val="22"/>
          <w:highlight w:val="none"/>
        </w:rPr>
      </w:pPr>
      <w:r>
        <w:rPr>
          <w:rFonts w:hint="eastAsia" w:ascii="宋体" w:hAnsi="宋体" w:eastAsia="宋体" w:cs="宋体"/>
          <w:b/>
          <w:color w:val="auto"/>
          <w:sz w:val="22"/>
          <w:highlight w:val="none"/>
        </w:rPr>
        <w:t>2. 设施及其它情况：</w:t>
      </w:r>
    </w:p>
    <w:p>
      <w:pPr>
        <w:spacing w:line="400" w:lineRule="exact"/>
        <w:rPr>
          <w:rFonts w:hint="eastAsia" w:ascii="宋体" w:hAnsi="宋体" w:eastAsia="宋体" w:cs="宋体"/>
          <w:color w:val="auto"/>
          <w:sz w:val="22"/>
          <w:highlight w:val="none"/>
        </w:rPr>
      </w:pPr>
    </w:p>
    <w:p>
      <w:pPr>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拥有的服务设备</w:t>
      </w:r>
      <w:r>
        <w:rPr>
          <w:rFonts w:hint="eastAsia" w:ascii="宋体" w:hAnsi="宋体" w:eastAsia="宋体" w:cs="宋体"/>
          <w:color w:val="auto"/>
          <w:sz w:val="22"/>
          <w:highlight w:val="none"/>
        </w:rPr>
        <w:t xml:space="preserve">设施 </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u w:val="single"/>
          <w:lang w:val="en-US" w:eastAsia="zh-CN"/>
        </w:rPr>
        <w:t xml:space="preserve">            </w:t>
      </w:r>
      <w:r>
        <w:rPr>
          <w:rFonts w:hint="eastAsia" w:ascii="宋体" w:hAnsi="宋体" w:eastAsia="宋体" w:cs="宋体"/>
          <w:color w:val="auto"/>
          <w:sz w:val="22"/>
          <w:highlight w:val="none"/>
          <w:u w:val="single"/>
        </w:rPr>
        <w:t xml:space="preserve">   </w:t>
      </w:r>
    </w:p>
    <w:p>
      <w:pPr>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职工（在职）人数</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人，其中持证上岗的人数</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人，</w:t>
      </w:r>
    </w:p>
    <w:p>
      <w:pPr>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专业人员构成</w:t>
      </w:r>
      <w:r>
        <w:rPr>
          <w:rFonts w:hint="eastAsia" w:ascii="宋体" w:hAnsi="宋体" w:eastAsia="宋体" w:cs="宋体"/>
          <w:color w:val="auto"/>
          <w:sz w:val="22"/>
          <w:highlight w:val="none"/>
          <w:u w:val="single"/>
        </w:rPr>
        <w:t xml:space="preserve">                                            </w:t>
      </w:r>
    </w:p>
    <w:p>
      <w:pPr>
        <w:spacing w:line="400" w:lineRule="exact"/>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rPr>
        <w:t>通过有关认证</w:t>
      </w:r>
      <w:r>
        <w:rPr>
          <w:rFonts w:hint="eastAsia" w:ascii="宋体" w:hAnsi="宋体" w:eastAsia="宋体" w:cs="宋体"/>
          <w:color w:val="auto"/>
          <w:sz w:val="22"/>
          <w:highlight w:val="none"/>
          <w:u w:val="single"/>
        </w:rPr>
        <w:t xml:space="preserve">                                                </w:t>
      </w:r>
    </w:p>
    <w:p>
      <w:pPr>
        <w:spacing w:line="360" w:lineRule="exact"/>
        <w:ind w:left="663" w:hanging="663" w:hangingChars="300"/>
        <w:jc w:val="left"/>
        <w:rPr>
          <w:rFonts w:hint="eastAsia" w:ascii="宋体" w:hAnsi="宋体" w:eastAsia="宋体" w:cs="宋体"/>
          <w:b/>
          <w:color w:val="auto"/>
          <w:sz w:val="22"/>
          <w:highlight w:val="none"/>
        </w:rPr>
      </w:pPr>
    </w:p>
    <w:p>
      <w:pPr>
        <w:spacing w:line="360" w:lineRule="exact"/>
        <w:ind w:left="663" w:hanging="663" w:hangingChars="300"/>
        <w:jc w:val="left"/>
        <w:rPr>
          <w:rFonts w:hint="eastAsia" w:ascii="宋体" w:hAnsi="宋体" w:eastAsia="宋体" w:cs="宋体"/>
          <w:color w:val="auto"/>
          <w:sz w:val="22"/>
          <w:highlight w:val="none"/>
        </w:rPr>
      </w:pPr>
      <w:r>
        <w:rPr>
          <w:rFonts w:hint="eastAsia" w:ascii="宋体" w:hAnsi="宋体" w:eastAsia="宋体" w:cs="宋体"/>
          <w:b/>
          <w:color w:val="auto"/>
          <w:sz w:val="22"/>
          <w:highlight w:val="none"/>
        </w:rPr>
        <w:t>3. 近三年的年营业总额</w:t>
      </w:r>
      <w:r>
        <w:rPr>
          <w:rFonts w:hint="eastAsia" w:ascii="宋体" w:hAnsi="宋体" w:eastAsia="宋体" w:cs="宋体"/>
          <w:b/>
          <w:color w:val="auto"/>
          <w:sz w:val="22"/>
          <w:highlight w:val="none"/>
          <w:u w:val="single"/>
        </w:rPr>
        <w:t xml:space="preserve">                       </w:t>
      </w:r>
    </w:p>
    <w:p>
      <w:pPr>
        <w:spacing w:line="400" w:lineRule="exact"/>
        <w:rPr>
          <w:rFonts w:hint="eastAsia" w:ascii="宋体" w:hAnsi="宋体" w:eastAsia="宋体" w:cs="宋体"/>
          <w:color w:val="auto"/>
          <w:sz w:val="22"/>
          <w:highlight w:val="none"/>
        </w:rPr>
      </w:pPr>
    </w:p>
    <w:p>
      <w:pPr>
        <w:spacing w:line="400" w:lineRule="exact"/>
        <w:ind w:firstLine="220" w:firstLineChars="100"/>
        <w:rPr>
          <w:rFonts w:hint="eastAsia" w:ascii="宋体" w:hAnsi="宋体" w:eastAsia="宋体" w:cs="宋体"/>
          <w:color w:val="auto"/>
          <w:sz w:val="22"/>
          <w:highlight w:val="none"/>
        </w:rPr>
      </w:pPr>
      <w:r>
        <w:rPr>
          <w:rFonts w:hint="eastAsia" w:ascii="宋体" w:hAnsi="宋体" w:eastAsia="宋体" w:cs="宋体"/>
          <w:color w:val="auto"/>
          <w:sz w:val="22"/>
          <w:highlight w:val="none"/>
        </w:rPr>
        <w:t>兹证明上述声明是真实、正确的、并提供了全部能提供的资料和数据，我们同意遵照贵方要求出示有关证明文件。</w:t>
      </w:r>
    </w:p>
    <w:p>
      <w:pPr>
        <w:spacing w:line="400" w:lineRule="exact"/>
        <w:rPr>
          <w:rFonts w:hint="eastAsia" w:ascii="宋体" w:hAnsi="宋体" w:eastAsia="宋体" w:cs="宋体"/>
          <w:color w:val="auto"/>
          <w:sz w:val="22"/>
          <w:highlight w:val="none"/>
        </w:rPr>
      </w:pPr>
    </w:p>
    <w:bookmarkEnd w:id="192"/>
    <w:p>
      <w:pPr>
        <w:spacing w:line="480" w:lineRule="auto"/>
        <w:rPr>
          <w:rFonts w:hint="eastAsia" w:ascii="宋体" w:hAnsi="宋体" w:eastAsia="宋体" w:cs="宋体"/>
          <w:sz w:val="22"/>
          <w:highlight w:val="none"/>
        </w:rPr>
      </w:pPr>
      <w:r>
        <w:rPr>
          <w:rFonts w:hint="eastAsia" w:ascii="宋体" w:hAnsi="宋体" w:eastAsia="宋体" w:cs="宋体"/>
          <w:sz w:val="22"/>
          <w:highlight w:val="none"/>
        </w:rPr>
        <w:t>投标人全称（盖公章）：</w:t>
      </w:r>
    </w:p>
    <w:p>
      <w:pPr>
        <w:spacing w:line="480" w:lineRule="auto"/>
        <w:rPr>
          <w:rFonts w:hint="eastAsia" w:ascii="宋体" w:hAnsi="宋体" w:eastAsia="宋体" w:cs="宋体"/>
          <w:sz w:val="22"/>
          <w:highlight w:val="none"/>
        </w:rPr>
      </w:pP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或授权代表（签字或盖章）：</w:t>
      </w:r>
    </w:p>
    <w:p>
      <w:pPr>
        <w:spacing w:line="360" w:lineRule="auto"/>
        <w:rPr>
          <w:rFonts w:hint="eastAsia" w:ascii="宋体" w:hAnsi="宋体" w:eastAsia="宋体" w:cs="宋体"/>
          <w:sz w:val="22"/>
          <w:highlight w:val="none"/>
          <w:lang w:val="en-US" w:eastAsia="zh-CN"/>
        </w:rPr>
      </w:pPr>
      <w:r>
        <w:rPr>
          <w:rFonts w:hint="eastAsia" w:ascii="宋体" w:hAnsi="宋体" w:eastAsia="宋体" w:cs="宋体"/>
          <w:sz w:val="22"/>
          <w:highlight w:val="none"/>
        </w:rPr>
        <w:t>日  期：</w:t>
      </w:r>
      <w:r>
        <w:rPr>
          <w:rFonts w:hint="eastAsia" w:ascii="宋体" w:hAnsi="宋体" w:eastAsia="宋体" w:cs="宋体"/>
          <w:sz w:val="22"/>
          <w:highlight w:val="none"/>
          <w:lang w:val="en-US" w:eastAsia="zh-CN"/>
        </w:rPr>
        <w:t xml:space="preserve"> </w:t>
      </w:r>
    </w:p>
    <w:p>
      <w:pPr>
        <w:rPr>
          <w:rFonts w:hint="eastAsia" w:ascii="宋体" w:hAnsi="宋体" w:eastAsia="宋体" w:cs="宋体"/>
          <w:sz w:val="22"/>
          <w:highlight w:val="none"/>
        </w:rPr>
      </w:pPr>
      <w:r>
        <w:rPr>
          <w:rFonts w:hint="eastAsia" w:ascii="宋体" w:hAnsi="宋体" w:eastAsia="宋体" w:cs="宋体"/>
          <w:sz w:val="22"/>
          <w:highlight w:val="none"/>
        </w:rPr>
        <w:br w:type="page"/>
      </w:r>
    </w:p>
    <w:p>
      <w:pPr>
        <w:pStyle w:val="3"/>
        <w:adjustRightInd/>
        <w:snapToGrid/>
        <w:spacing w:before="120" w:after="120"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附件六  </w:t>
      </w:r>
    </w:p>
    <w:p>
      <w:pPr>
        <w:spacing w:before="120" w:beforeLines="50" w:after="120" w:afterLines="50"/>
        <w:ind w:right="-10"/>
        <w:jc w:val="center"/>
        <w:rPr>
          <w:rFonts w:hint="eastAsia" w:ascii="宋体" w:hAnsi="宋体" w:eastAsia="宋体" w:cs="宋体"/>
          <w:b/>
          <w:bCs/>
          <w:color w:val="auto"/>
          <w:sz w:val="30"/>
          <w:highlight w:val="none"/>
        </w:rPr>
      </w:pPr>
      <w:r>
        <w:rPr>
          <w:rFonts w:hint="eastAsia" w:ascii="宋体" w:hAnsi="宋体" w:eastAsia="宋体" w:cs="宋体"/>
          <w:b/>
          <w:bCs/>
          <w:color w:val="auto"/>
          <w:sz w:val="30"/>
          <w:highlight w:val="none"/>
        </w:rPr>
        <w:t>拟投入设备、工具、耗材一览表</w:t>
      </w:r>
    </w:p>
    <w:p>
      <w:pPr>
        <w:spacing w:after="120" w:afterLines="50"/>
        <w:rPr>
          <w:rFonts w:hint="eastAsia" w:ascii="宋体" w:hAnsi="宋体" w:eastAsia="宋体" w:cs="宋体"/>
          <w:color w:val="auto"/>
          <w:highlight w:val="none"/>
        </w:rPr>
      </w:pPr>
      <w:r>
        <w:rPr>
          <w:rFonts w:hint="eastAsia" w:ascii="宋体" w:hAnsi="宋体" w:eastAsia="宋体" w:cs="宋体"/>
          <w:snapToGrid w:val="0"/>
          <w:color w:val="auto"/>
          <w:kern w:val="0"/>
          <w:sz w:val="22"/>
          <w:szCs w:val="22"/>
          <w:highlight w:val="none"/>
        </w:rPr>
        <w:t xml:space="preserve">项目名称：                                      </w:t>
      </w:r>
      <w:r>
        <w:rPr>
          <w:rFonts w:hint="eastAsia" w:ascii="宋体" w:hAnsi="宋体" w:eastAsia="宋体" w:cs="宋体"/>
          <w:snapToGrid w:val="0"/>
          <w:color w:val="auto"/>
          <w:kern w:val="0"/>
          <w:sz w:val="22"/>
          <w:szCs w:val="22"/>
          <w:highlight w:val="none"/>
          <w:lang w:eastAsia="zh-CN"/>
        </w:rPr>
        <w:t>采购</w:t>
      </w:r>
      <w:r>
        <w:rPr>
          <w:rFonts w:hint="eastAsia" w:ascii="宋体" w:hAnsi="宋体" w:eastAsia="宋体" w:cs="宋体"/>
          <w:snapToGrid w:val="0"/>
          <w:color w:val="auto"/>
          <w:kern w:val="0"/>
          <w:sz w:val="22"/>
          <w:szCs w:val="22"/>
          <w:highlight w:val="none"/>
        </w:rPr>
        <w:t>编号：</w:t>
      </w:r>
    </w:p>
    <w:tbl>
      <w:tblPr>
        <w:tblStyle w:val="24"/>
        <w:tblW w:w="881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134"/>
        <w:gridCol w:w="1231"/>
        <w:gridCol w:w="1214"/>
        <w:gridCol w:w="1500"/>
        <w:gridCol w:w="1170"/>
        <w:gridCol w:w="7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1809" w:type="dxa"/>
            <w:noWrap w:val="0"/>
            <w:vAlign w:val="center"/>
          </w:tcPr>
          <w:p>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装备、工具、名称</w:t>
            </w:r>
          </w:p>
        </w:tc>
        <w:tc>
          <w:tcPr>
            <w:tcW w:w="1134" w:type="dxa"/>
            <w:noWrap w:val="0"/>
            <w:vAlign w:val="center"/>
          </w:tcPr>
          <w:p>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规格型号</w:t>
            </w:r>
          </w:p>
        </w:tc>
        <w:tc>
          <w:tcPr>
            <w:tcW w:w="1231" w:type="dxa"/>
            <w:noWrap w:val="0"/>
            <w:vAlign w:val="center"/>
          </w:tcPr>
          <w:p>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数量</w:t>
            </w:r>
          </w:p>
        </w:tc>
        <w:tc>
          <w:tcPr>
            <w:tcW w:w="1214" w:type="dxa"/>
            <w:noWrap w:val="0"/>
            <w:vAlign w:val="center"/>
          </w:tcPr>
          <w:p>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产地</w:t>
            </w:r>
          </w:p>
        </w:tc>
        <w:tc>
          <w:tcPr>
            <w:tcW w:w="1500" w:type="dxa"/>
            <w:noWrap w:val="0"/>
            <w:vAlign w:val="center"/>
          </w:tcPr>
          <w:p>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价格</w:t>
            </w:r>
            <w:r>
              <w:rPr>
                <w:rFonts w:hint="eastAsia" w:ascii="宋体" w:hAnsi="宋体" w:eastAsia="宋体" w:cs="宋体"/>
                <w:b/>
                <w:color w:val="auto"/>
                <w:sz w:val="18"/>
                <w:szCs w:val="18"/>
                <w:highlight w:val="none"/>
              </w:rPr>
              <w:t>（元）</w:t>
            </w:r>
          </w:p>
        </w:tc>
        <w:tc>
          <w:tcPr>
            <w:tcW w:w="1170" w:type="dxa"/>
            <w:noWrap w:val="0"/>
            <w:vAlign w:val="center"/>
          </w:tcPr>
          <w:p>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包装形式</w:t>
            </w:r>
          </w:p>
        </w:tc>
        <w:tc>
          <w:tcPr>
            <w:tcW w:w="755" w:type="dxa"/>
            <w:noWrap w:val="0"/>
            <w:vAlign w:val="center"/>
          </w:tcPr>
          <w:p>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pPr>
              <w:ind w:firstLine="592"/>
              <w:jc w:val="center"/>
              <w:rPr>
                <w:rFonts w:hint="eastAsia" w:ascii="宋体" w:hAnsi="宋体" w:eastAsia="宋体" w:cs="宋体"/>
                <w:color w:val="auto"/>
                <w:sz w:val="18"/>
                <w:szCs w:val="18"/>
                <w:highlight w:val="none"/>
              </w:rPr>
            </w:pPr>
          </w:p>
        </w:tc>
        <w:tc>
          <w:tcPr>
            <w:tcW w:w="1134" w:type="dxa"/>
            <w:noWrap w:val="0"/>
            <w:vAlign w:val="center"/>
          </w:tcPr>
          <w:p>
            <w:pPr>
              <w:ind w:firstLine="592"/>
              <w:jc w:val="center"/>
              <w:rPr>
                <w:rFonts w:hint="eastAsia" w:ascii="宋体" w:hAnsi="宋体" w:eastAsia="宋体" w:cs="宋体"/>
                <w:color w:val="auto"/>
                <w:sz w:val="18"/>
                <w:szCs w:val="18"/>
                <w:highlight w:val="none"/>
              </w:rPr>
            </w:pPr>
          </w:p>
        </w:tc>
        <w:tc>
          <w:tcPr>
            <w:tcW w:w="1231" w:type="dxa"/>
            <w:noWrap w:val="0"/>
            <w:vAlign w:val="center"/>
          </w:tcPr>
          <w:p>
            <w:pPr>
              <w:ind w:firstLine="592"/>
              <w:jc w:val="center"/>
              <w:rPr>
                <w:rFonts w:hint="eastAsia" w:ascii="宋体" w:hAnsi="宋体" w:eastAsia="宋体" w:cs="宋体"/>
                <w:color w:val="auto"/>
                <w:sz w:val="18"/>
                <w:szCs w:val="18"/>
                <w:highlight w:val="none"/>
              </w:rPr>
            </w:pPr>
          </w:p>
        </w:tc>
        <w:tc>
          <w:tcPr>
            <w:tcW w:w="1214" w:type="dxa"/>
            <w:noWrap w:val="0"/>
            <w:vAlign w:val="center"/>
          </w:tcPr>
          <w:p>
            <w:pPr>
              <w:ind w:firstLine="592"/>
              <w:jc w:val="center"/>
              <w:rPr>
                <w:rFonts w:hint="eastAsia" w:ascii="宋体" w:hAnsi="宋体" w:eastAsia="宋体" w:cs="宋体"/>
                <w:color w:val="auto"/>
                <w:sz w:val="18"/>
                <w:szCs w:val="18"/>
                <w:highlight w:val="none"/>
              </w:rPr>
            </w:pPr>
          </w:p>
        </w:tc>
        <w:tc>
          <w:tcPr>
            <w:tcW w:w="1500" w:type="dxa"/>
            <w:noWrap w:val="0"/>
            <w:vAlign w:val="center"/>
          </w:tcPr>
          <w:p>
            <w:pPr>
              <w:ind w:firstLine="592"/>
              <w:jc w:val="center"/>
              <w:rPr>
                <w:rFonts w:hint="eastAsia" w:ascii="宋体" w:hAnsi="宋体" w:eastAsia="宋体" w:cs="宋体"/>
                <w:color w:val="auto"/>
                <w:sz w:val="18"/>
                <w:szCs w:val="18"/>
                <w:highlight w:val="none"/>
              </w:rPr>
            </w:pPr>
          </w:p>
        </w:tc>
        <w:tc>
          <w:tcPr>
            <w:tcW w:w="1170" w:type="dxa"/>
            <w:noWrap w:val="0"/>
            <w:vAlign w:val="center"/>
          </w:tcPr>
          <w:p>
            <w:pPr>
              <w:ind w:firstLine="592"/>
              <w:jc w:val="center"/>
              <w:rPr>
                <w:rFonts w:hint="eastAsia" w:ascii="宋体" w:hAnsi="宋体" w:eastAsia="宋体" w:cs="宋体"/>
                <w:color w:val="auto"/>
                <w:sz w:val="18"/>
                <w:szCs w:val="18"/>
                <w:highlight w:val="none"/>
              </w:rPr>
            </w:pPr>
          </w:p>
        </w:tc>
        <w:tc>
          <w:tcPr>
            <w:tcW w:w="755" w:type="dxa"/>
            <w:noWrap w:val="0"/>
            <w:vAlign w:val="center"/>
          </w:tcPr>
          <w:p>
            <w:pPr>
              <w:ind w:firstLine="592"/>
              <w:jc w:val="cente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pPr>
              <w:ind w:firstLine="592"/>
              <w:jc w:val="center"/>
              <w:rPr>
                <w:rFonts w:hint="eastAsia" w:ascii="宋体" w:hAnsi="宋体" w:eastAsia="宋体" w:cs="宋体"/>
                <w:color w:val="auto"/>
                <w:sz w:val="18"/>
                <w:szCs w:val="18"/>
                <w:highlight w:val="none"/>
              </w:rPr>
            </w:pPr>
          </w:p>
        </w:tc>
        <w:tc>
          <w:tcPr>
            <w:tcW w:w="1134" w:type="dxa"/>
            <w:noWrap w:val="0"/>
            <w:vAlign w:val="center"/>
          </w:tcPr>
          <w:p>
            <w:pPr>
              <w:ind w:firstLine="592"/>
              <w:jc w:val="center"/>
              <w:rPr>
                <w:rFonts w:hint="eastAsia" w:ascii="宋体" w:hAnsi="宋体" w:eastAsia="宋体" w:cs="宋体"/>
                <w:color w:val="auto"/>
                <w:sz w:val="18"/>
                <w:szCs w:val="18"/>
                <w:highlight w:val="none"/>
              </w:rPr>
            </w:pPr>
          </w:p>
        </w:tc>
        <w:tc>
          <w:tcPr>
            <w:tcW w:w="1231" w:type="dxa"/>
            <w:noWrap w:val="0"/>
            <w:vAlign w:val="center"/>
          </w:tcPr>
          <w:p>
            <w:pPr>
              <w:ind w:firstLine="592"/>
              <w:jc w:val="center"/>
              <w:rPr>
                <w:rFonts w:hint="eastAsia" w:ascii="宋体" w:hAnsi="宋体" w:eastAsia="宋体" w:cs="宋体"/>
                <w:color w:val="auto"/>
                <w:sz w:val="18"/>
                <w:szCs w:val="18"/>
                <w:highlight w:val="none"/>
              </w:rPr>
            </w:pPr>
          </w:p>
        </w:tc>
        <w:tc>
          <w:tcPr>
            <w:tcW w:w="1214" w:type="dxa"/>
            <w:noWrap w:val="0"/>
            <w:vAlign w:val="center"/>
          </w:tcPr>
          <w:p>
            <w:pPr>
              <w:ind w:firstLine="592"/>
              <w:jc w:val="center"/>
              <w:rPr>
                <w:rFonts w:hint="eastAsia" w:ascii="宋体" w:hAnsi="宋体" w:eastAsia="宋体" w:cs="宋体"/>
                <w:color w:val="auto"/>
                <w:sz w:val="18"/>
                <w:szCs w:val="18"/>
                <w:highlight w:val="none"/>
              </w:rPr>
            </w:pPr>
          </w:p>
        </w:tc>
        <w:tc>
          <w:tcPr>
            <w:tcW w:w="1500" w:type="dxa"/>
            <w:noWrap w:val="0"/>
            <w:vAlign w:val="center"/>
          </w:tcPr>
          <w:p>
            <w:pPr>
              <w:ind w:firstLine="592"/>
              <w:jc w:val="center"/>
              <w:rPr>
                <w:rFonts w:hint="eastAsia" w:ascii="宋体" w:hAnsi="宋体" w:eastAsia="宋体" w:cs="宋体"/>
                <w:color w:val="auto"/>
                <w:sz w:val="18"/>
                <w:szCs w:val="18"/>
                <w:highlight w:val="none"/>
              </w:rPr>
            </w:pPr>
          </w:p>
        </w:tc>
        <w:tc>
          <w:tcPr>
            <w:tcW w:w="1170" w:type="dxa"/>
            <w:noWrap w:val="0"/>
            <w:vAlign w:val="center"/>
          </w:tcPr>
          <w:p>
            <w:pPr>
              <w:ind w:firstLine="592"/>
              <w:jc w:val="center"/>
              <w:rPr>
                <w:rFonts w:hint="eastAsia" w:ascii="宋体" w:hAnsi="宋体" w:eastAsia="宋体" w:cs="宋体"/>
                <w:color w:val="auto"/>
                <w:sz w:val="18"/>
                <w:szCs w:val="18"/>
                <w:highlight w:val="none"/>
              </w:rPr>
            </w:pPr>
          </w:p>
        </w:tc>
        <w:tc>
          <w:tcPr>
            <w:tcW w:w="755" w:type="dxa"/>
            <w:noWrap w:val="0"/>
            <w:vAlign w:val="center"/>
          </w:tcPr>
          <w:p>
            <w:pPr>
              <w:ind w:firstLine="592"/>
              <w:jc w:val="cente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pPr>
              <w:ind w:firstLine="592"/>
              <w:jc w:val="center"/>
              <w:rPr>
                <w:rFonts w:hint="eastAsia" w:ascii="宋体" w:hAnsi="宋体" w:eastAsia="宋体" w:cs="宋体"/>
                <w:color w:val="auto"/>
                <w:sz w:val="18"/>
                <w:szCs w:val="18"/>
                <w:highlight w:val="none"/>
              </w:rPr>
            </w:pPr>
          </w:p>
        </w:tc>
        <w:tc>
          <w:tcPr>
            <w:tcW w:w="1134" w:type="dxa"/>
            <w:noWrap w:val="0"/>
            <w:vAlign w:val="center"/>
          </w:tcPr>
          <w:p>
            <w:pPr>
              <w:ind w:firstLine="592"/>
              <w:jc w:val="center"/>
              <w:rPr>
                <w:rFonts w:hint="eastAsia" w:ascii="宋体" w:hAnsi="宋体" w:eastAsia="宋体" w:cs="宋体"/>
                <w:color w:val="auto"/>
                <w:sz w:val="18"/>
                <w:szCs w:val="18"/>
                <w:highlight w:val="none"/>
              </w:rPr>
            </w:pPr>
          </w:p>
        </w:tc>
        <w:tc>
          <w:tcPr>
            <w:tcW w:w="1231" w:type="dxa"/>
            <w:noWrap w:val="0"/>
            <w:vAlign w:val="center"/>
          </w:tcPr>
          <w:p>
            <w:pPr>
              <w:ind w:firstLine="592"/>
              <w:jc w:val="center"/>
              <w:rPr>
                <w:rFonts w:hint="eastAsia" w:ascii="宋体" w:hAnsi="宋体" w:eastAsia="宋体" w:cs="宋体"/>
                <w:color w:val="auto"/>
                <w:sz w:val="18"/>
                <w:szCs w:val="18"/>
                <w:highlight w:val="none"/>
              </w:rPr>
            </w:pPr>
          </w:p>
        </w:tc>
        <w:tc>
          <w:tcPr>
            <w:tcW w:w="1214" w:type="dxa"/>
            <w:noWrap w:val="0"/>
            <w:vAlign w:val="center"/>
          </w:tcPr>
          <w:p>
            <w:pPr>
              <w:ind w:firstLine="592"/>
              <w:jc w:val="center"/>
              <w:rPr>
                <w:rFonts w:hint="eastAsia" w:ascii="宋体" w:hAnsi="宋体" w:eastAsia="宋体" w:cs="宋体"/>
                <w:color w:val="auto"/>
                <w:sz w:val="18"/>
                <w:szCs w:val="18"/>
                <w:highlight w:val="none"/>
              </w:rPr>
            </w:pPr>
          </w:p>
        </w:tc>
        <w:tc>
          <w:tcPr>
            <w:tcW w:w="1500" w:type="dxa"/>
            <w:noWrap w:val="0"/>
            <w:vAlign w:val="center"/>
          </w:tcPr>
          <w:p>
            <w:pPr>
              <w:ind w:firstLine="592"/>
              <w:jc w:val="center"/>
              <w:rPr>
                <w:rFonts w:hint="eastAsia" w:ascii="宋体" w:hAnsi="宋体" w:eastAsia="宋体" w:cs="宋体"/>
                <w:color w:val="auto"/>
                <w:sz w:val="18"/>
                <w:szCs w:val="18"/>
                <w:highlight w:val="none"/>
              </w:rPr>
            </w:pPr>
          </w:p>
        </w:tc>
        <w:tc>
          <w:tcPr>
            <w:tcW w:w="1170" w:type="dxa"/>
            <w:noWrap w:val="0"/>
            <w:vAlign w:val="center"/>
          </w:tcPr>
          <w:p>
            <w:pPr>
              <w:ind w:firstLine="592"/>
              <w:jc w:val="center"/>
              <w:rPr>
                <w:rFonts w:hint="eastAsia" w:ascii="宋体" w:hAnsi="宋体" w:eastAsia="宋体" w:cs="宋体"/>
                <w:color w:val="auto"/>
                <w:sz w:val="18"/>
                <w:szCs w:val="18"/>
                <w:highlight w:val="none"/>
              </w:rPr>
            </w:pPr>
          </w:p>
        </w:tc>
        <w:tc>
          <w:tcPr>
            <w:tcW w:w="755" w:type="dxa"/>
            <w:noWrap w:val="0"/>
            <w:vAlign w:val="center"/>
          </w:tcPr>
          <w:p>
            <w:pPr>
              <w:ind w:firstLine="592"/>
              <w:jc w:val="cente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pPr>
              <w:ind w:firstLine="592"/>
              <w:jc w:val="center"/>
              <w:rPr>
                <w:rFonts w:hint="eastAsia" w:ascii="宋体" w:hAnsi="宋体" w:eastAsia="宋体" w:cs="宋体"/>
                <w:color w:val="auto"/>
                <w:sz w:val="18"/>
                <w:szCs w:val="18"/>
                <w:highlight w:val="none"/>
              </w:rPr>
            </w:pPr>
          </w:p>
        </w:tc>
        <w:tc>
          <w:tcPr>
            <w:tcW w:w="1134" w:type="dxa"/>
            <w:noWrap w:val="0"/>
            <w:vAlign w:val="center"/>
          </w:tcPr>
          <w:p>
            <w:pPr>
              <w:ind w:firstLine="592"/>
              <w:jc w:val="center"/>
              <w:rPr>
                <w:rFonts w:hint="eastAsia" w:ascii="宋体" w:hAnsi="宋体" w:eastAsia="宋体" w:cs="宋体"/>
                <w:color w:val="auto"/>
                <w:sz w:val="18"/>
                <w:szCs w:val="18"/>
                <w:highlight w:val="none"/>
              </w:rPr>
            </w:pPr>
          </w:p>
        </w:tc>
        <w:tc>
          <w:tcPr>
            <w:tcW w:w="1231" w:type="dxa"/>
            <w:noWrap w:val="0"/>
            <w:vAlign w:val="center"/>
          </w:tcPr>
          <w:p>
            <w:pPr>
              <w:ind w:firstLine="592"/>
              <w:jc w:val="center"/>
              <w:rPr>
                <w:rFonts w:hint="eastAsia" w:ascii="宋体" w:hAnsi="宋体" w:eastAsia="宋体" w:cs="宋体"/>
                <w:color w:val="auto"/>
                <w:sz w:val="18"/>
                <w:szCs w:val="18"/>
                <w:highlight w:val="none"/>
              </w:rPr>
            </w:pPr>
          </w:p>
        </w:tc>
        <w:tc>
          <w:tcPr>
            <w:tcW w:w="1214" w:type="dxa"/>
            <w:noWrap w:val="0"/>
            <w:vAlign w:val="center"/>
          </w:tcPr>
          <w:p>
            <w:pPr>
              <w:ind w:firstLine="592"/>
              <w:jc w:val="center"/>
              <w:rPr>
                <w:rFonts w:hint="eastAsia" w:ascii="宋体" w:hAnsi="宋体" w:eastAsia="宋体" w:cs="宋体"/>
                <w:color w:val="auto"/>
                <w:sz w:val="18"/>
                <w:szCs w:val="18"/>
                <w:highlight w:val="none"/>
              </w:rPr>
            </w:pPr>
          </w:p>
        </w:tc>
        <w:tc>
          <w:tcPr>
            <w:tcW w:w="1500" w:type="dxa"/>
            <w:noWrap w:val="0"/>
            <w:vAlign w:val="center"/>
          </w:tcPr>
          <w:p>
            <w:pPr>
              <w:ind w:firstLine="592"/>
              <w:jc w:val="center"/>
              <w:rPr>
                <w:rFonts w:hint="eastAsia" w:ascii="宋体" w:hAnsi="宋体" w:eastAsia="宋体" w:cs="宋体"/>
                <w:color w:val="auto"/>
                <w:sz w:val="18"/>
                <w:szCs w:val="18"/>
                <w:highlight w:val="none"/>
              </w:rPr>
            </w:pPr>
          </w:p>
        </w:tc>
        <w:tc>
          <w:tcPr>
            <w:tcW w:w="1170" w:type="dxa"/>
            <w:noWrap w:val="0"/>
            <w:vAlign w:val="center"/>
          </w:tcPr>
          <w:p>
            <w:pPr>
              <w:ind w:firstLine="592"/>
              <w:jc w:val="center"/>
              <w:rPr>
                <w:rFonts w:hint="eastAsia" w:ascii="宋体" w:hAnsi="宋体" w:eastAsia="宋体" w:cs="宋体"/>
                <w:color w:val="auto"/>
                <w:sz w:val="18"/>
                <w:szCs w:val="18"/>
                <w:highlight w:val="none"/>
              </w:rPr>
            </w:pPr>
          </w:p>
        </w:tc>
        <w:tc>
          <w:tcPr>
            <w:tcW w:w="755" w:type="dxa"/>
            <w:noWrap w:val="0"/>
            <w:vAlign w:val="center"/>
          </w:tcPr>
          <w:p>
            <w:pPr>
              <w:ind w:firstLine="592"/>
              <w:jc w:val="cente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pPr>
              <w:ind w:firstLine="592"/>
              <w:jc w:val="center"/>
              <w:rPr>
                <w:rFonts w:hint="eastAsia" w:ascii="宋体" w:hAnsi="宋体" w:eastAsia="宋体" w:cs="宋体"/>
                <w:color w:val="auto"/>
                <w:sz w:val="18"/>
                <w:szCs w:val="18"/>
                <w:highlight w:val="none"/>
              </w:rPr>
            </w:pPr>
          </w:p>
        </w:tc>
        <w:tc>
          <w:tcPr>
            <w:tcW w:w="1134" w:type="dxa"/>
            <w:noWrap w:val="0"/>
            <w:vAlign w:val="center"/>
          </w:tcPr>
          <w:p>
            <w:pPr>
              <w:ind w:firstLine="592"/>
              <w:jc w:val="center"/>
              <w:rPr>
                <w:rFonts w:hint="eastAsia" w:ascii="宋体" w:hAnsi="宋体" w:eastAsia="宋体" w:cs="宋体"/>
                <w:color w:val="auto"/>
                <w:sz w:val="18"/>
                <w:szCs w:val="18"/>
                <w:highlight w:val="none"/>
              </w:rPr>
            </w:pPr>
          </w:p>
        </w:tc>
        <w:tc>
          <w:tcPr>
            <w:tcW w:w="1231" w:type="dxa"/>
            <w:noWrap w:val="0"/>
            <w:vAlign w:val="center"/>
          </w:tcPr>
          <w:p>
            <w:pPr>
              <w:ind w:firstLine="592"/>
              <w:jc w:val="center"/>
              <w:rPr>
                <w:rFonts w:hint="eastAsia" w:ascii="宋体" w:hAnsi="宋体" w:eastAsia="宋体" w:cs="宋体"/>
                <w:color w:val="auto"/>
                <w:sz w:val="18"/>
                <w:szCs w:val="18"/>
                <w:highlight w:val="none"/>
              </w:rPr>
            </w:pPr>
          </w:p>
        </w:tc>
        <w:tc>
          <w:tcPr>
            <w:tcW w:w="1214" w:type="dxa"/>
            <w:noWrap w:val="0"/>
            <w:vAlign w:val="center"/>
          </w:tcPr>
          <w:p>
            <w:pPr>
              <w:ind w:firstLine="592"/>
              <w:jc w:val="center"/>
              <w:rPr>
                <w:rFonts w:hint="eastAsia" w:ascii="宋体" w:hAnsi="宋体" w:eastAsia="宋体" w:cs="宋体"/>
                <w:color w:val="auto"/>
                <w:sz w:val="18"/>
                <w:szCs w:val="18"/>
                <w:highlight w:val="none"/>
              </w:rPr>
            </w:pPr>
          </w:p>
        </w:tc>
        <w:tc>
          <w:tcPr>
            <w:tcW w:w="1500" w:type="dxa"/>
            <w:noWrap w:val="0"/>
            <w:vAlign w:val="center"/>
          </w:tcPr>
          <w:p>
            <w:pPr>
              <w:ind w:firstLine="592"/>
              <w:jc w:val="center"/>
              <w:rPr>
                <w:rFonts w:hint="eastAsia" w:ascii="宋体" w:hAnsi="宋体" w:eastAsia="宋体" w:cs="宋体"/>
                <w:color w:val="auto"/>
                <w:sz w:val="18"/>
                <w:szCs w:val="18"/>
                <w:highlight w:val="none"/>
              </w:rPr>
            </w:pPr>
          </w:p>
        </w:tc>
        <w:tc>
          <w:tcPr>
            <w:tcW w:w="1170" w:type="dxa"/>
            <w:noWrap w:val="0"/>
            <w:vAlign w:val="center"/>
          </w:tcPr>
          <w:p>
            <w:pPr>
              <w:ind w:firstLine="592"/>
              <w:jc w:val="center"/>
              <w:rPr>
                <w:rFonts w:hint="eastAsia" w:ascii="宋体" w:hAnsi="宋体" w:eastAsia="宋体" w:cs="宋体"/>
                <w:color w:val="auto"/>
                <w:sz w:val="18"/>
                <w:szCs w:val="18"/>
                <w:highlight w:val="none"/>
              </w:rPr>
            </w:pPr>
          </w:p>
        </w:tc>
        <w:tc>
          <w:tcPr>
            <w:tcW w:w="755" w:type="dxa"/>
            <w:noWrap w:val="0"/>
            <w:vAlign w:val="center"/>
          </w:tcPr>
          <w:p>
            <w:pPr>
              <w:ind w:firstLine="592"/>
              <w:jc w:val="cente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pPr>
              <w:ind w:firstLine="592"/>
              <w:jc w:val="center"/>
              <w:rPr>
                <w:rFonts w:hint="eastAsia" w:ascii="宋体" w:hAnsi="宋体" w:eastAsia="宋体" w:cs="宋体"/>
                <w:color w:val="auto"/>
                <w:sz w:val="18"/>
                <w:szCs w:val="18"/>
                <w:highlight w:val="none"/>
              </w:rPr>
            </w:pPr>
          </w:p>
        </w:tc>
        <w:tc>
          <w:tcPr>
            <w:tcW w:w="1134" w:type="dxa"/>
            <w:noWrap w:val="0"/>
            <w:vAlign w:val="center"/>
          </w:tcPr>
          <w:p>
            <w:pPr>
              <w:ind w:firstLine="592"/>
              <w:jc w:val="center"/>
              <w:rPr>
                <w:rFonts w:hint="eastAsia" w:ascii="宋体" w:hAnsi="宋体" w:eastAsia="宋体" w:cs="宋体"/>
                <w:color w:val="auto"/>
                <w:sz w:val="18"/>
                <w:szCs w:val="18"/>
                <w:highlight w:val="none"/>
              </w:rPr>
            </w:pPr>
          </w:p>
        </w:tc>
        <w:tc>
          <w:tcPr>
            <w:tcW w:w="1231" w:type="dxa"/>
            <w:noWrap w:val="0"/>
            <w:vAlign w:val="center"/>
          </w:tcPr>
          <w:p>
            <w:pPr>
              <w:ind w:firstLine="592"/>
              <w:jc w:val="center"/>
              <w:rPr>
                <w:rFonts w:hint="eastAsia" w:ascii="宋体" w:hAnsi="宋体" w:eastAsia="宋体" w:cs="宋体"/>
                <w:color w:val="auto"/>
                <w:sz w:val="18"/>
                <w:szCs w:val="18"/>
                <w:highlight w:val="none"/>
              </w:rPr>
            </w:pPr>
          </w:p>
        </w:tc>
        <w:tc>
          <w:tcPr>
            <w:tcW w:w="1214" w:type="dxa"/>
            <w:noWrap w:val="0"/>
            <w:vAlign w:val="center"/>
          </w:tcPr>
          <w:p>
            <w:pPr>
              <w:ind w:firstLine="592"/>
              <w:jc w:val="center"/>
              <w:rPr>
                <w:rFonts w:hint="eastAsia" w:ascii="宋体" w:hAnsi="宋体" w:eastAsia="宋体" w:cs="宋体"/>
                <w:color w:val="auto"/>
                <w:sz w:val="18"/>
                <w:szCs w:val="18"/>
                <w:highlight w:val="none"/>
              </w:rPr>
            </w:pPr>
          </w:p>
        </w:tc>
        <w:tc>
          <w:tcPr>
            <w:tcW w:w="1500" w:type="dxa"/>
            <w:noWrap w:val="0"/>
            <w:vAlign w:val="center"/>
          </w:tcPr>
          <w:p>
            <w:pPr>
              <w:ind w:firstLine="592"/>
              <w:jc w:val="center"/>
              <w:rPr>
                <w:rFonts w:hint="eastAsia" w:ascii="宋体" w:hAnsi="宋体" w:eastAsia="宋体" w:cs="宋体"/>
                <w:color w:val="auto"/>
                <w:sz w:val="18"/>
                <w:szCs w:val="18"/>
                <w:highlight w:val="none"/>
              </w:rPr>
            </w:pPr>
          </w:p>
        </w:tc>
        <w:tc>
          <w:tcPr>
            <w:tcW w:w="1170" w:type="dxa"/>
            <w:noWrap w:val="0"/>
            <w:vAlign w:val="center"/>
          </w:tcPr>
          <w:p>
            <w:pPr>
              <w:ind w:firstLine="592"/>
              <w:jc w:val="center"/>
              <w:rPr>
                <w:rFonts w:hint="eastAsia" w:ascii="宋体" w:hAnsi="宋体" w:eastAsia="宋体" w:cs="宋体"/>
                <w:color w:val="auto"/>
                <w:sz w:val="18"/>
                <w:szCs w:val="18"/>
                <w:highlight w:val="none"/>
              </w:rPr>
            </w:pPr>
          </w:p>
        </w:tc>
        <w:tc>
          <w:tcPr>
            <w:tcW w:w="755" w:type="dxa"/>
            <w:noWrap w:val="0"/>
            <w:vAlign w:val="center"/>
          </w:tcPr>
          <w:p>
            <w:pPr>
              <w:ind w:firstLine="592"/>
              <w:jc w:val="cente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pPr>
              <w:ind w:firstLine="592"/>
              <w:jc w:val="center"/>
              <w:rPr>
                <w:rFonts w:hint="eastAsia" w:ascii="宋体" w:hAnsi="宋体" w:eastAsia="宋体" w:cs="宋体"/>
                <w:color w:val="auto"/>
                <w:sz w:val="18"/>
                <w:szCs w:val="18"/>
                <w:highlight w:val="none"/>
              </w:rPr>
            </w:pPr>
          </w:p>
        </w:tc>
        <w:tc>
          <w:tcPr>
            <w:tcW w:w="1134" w:type="dxa"/>
            <w:noWrap w:val="0"/>
            <w:vAlign w:val="center"/>
          </w:tcPr>
          <w:p>
            <w:pPr>
              <w:ind w:firstLine="592"/>
              <w:jc w:val="center"/>
              <w:rPr>
                <w:rFonts w:hint="eastAsia" w:ascii="宋体" w:hAnsi="宋体" w:eastAsia="宋体" w:cs="宋体"/>
                <w:color w:val="auto"/>
                <w:sz w:val="18"/>
                <w:szCs w:val="18"/>
                <w:highlight w:val="none"/>
              </w:rPr>
            </w:pPr>
          </w:p>
        </w:tc>
        <w:tc>
          <w:tcPr>
            <w:tcW w:w="1231" w:type="dxa"/>
            <w:noWrap w:val="0"/>
            <w:vAlign w:val="center"/>
          </w:tcPr>
          <w:p>
            <w:pPr>
              <w:ind w:firstLine="592"/>
              <w:jc w:val="center"/>
              <w:rPr>
                <w:rFonts w:hint="eastAsia" w:ascii="宋体" w:hAnsi="宋体" w:eastAsia="宋体" w:cs="宋体"/>
                <w:color w:val="auto"/>
                <w:sz w:val="18"/>
                <w:szCs w:val="18"/>
                <w:highlight w:val="none"/>
              </w:rPr>
            </w:pPr>
          </w:p>
        </w:tc>
        <w:tc>
          <w:tcPr>
            <w:tcW w:w="1214" w:type="dxa"/>
            <w:noWrap w:val="0"/>
            <w:vAlign w:val="center"/>
          </w:tcPr>
          <w:p>
            <w:pPr>
              <w:ind w:firstLine="592"/>
              <w:jc w:val="center"/>
              <w:rPr>
                <w:rFonts w:hint="eastAsia" w:ascii="宋体" w:hAnsi="宋体" w:eastAsia="宋体" w:cs="宋体"/>
                <w:color w:val="auto"/>
                <w:sz w:val="18"/>
                <w:szCs w:val="18"/>
                <w:highlight w:val="none"/>
              </w:rPr>
            </w:pPr>
          </w:p>
        </w:tc>
        <w:tc>
          <w:tcPr>
            <w:tcW w:w="1500" w:type="dxa"/>
            <w:noWrap w:val="0"/>
            <w:vAlign w:val="center"/>
          </w:tcPr>
          <w:p>
            <w:pPr>
              <w:ind w:firstLine="592"/>
              <w:jc w:val="center"/>
              <w:rPr>
                <w:rFonts w:hint="eastAsia" w:ascii="宋体" w:hAnsi="宋体" w:eastAsia="宋体" w:cs="宋体"/>
                <w:color w:val="auto"/>
                <w:sz w:val="18"/>
                <w:szCs w:val="18"/>
                <w:highlight w:val="none"/>
              </w:rPr>
            </w:pPr>
          </w:p>
        </w:tc>
        <w:tc>
          <w:tcPr>
            <w:tcW w:w="1170" w:type="dxa"/>
            <w:noWrap w:val="0"/>
            <w:vAlign w:val="center"/>
          </w:tcPr>
          <w:p>
            <w:pPr>
              <w:ind w:firstLine="592"/>
              <w:jc w:val="center"/>
              <w:rPr>
                <w:rFonts w:hint="eastAsia" w:ascii="宋体" w:hAnsi="宋体" w:eastAsia="宋体" w:cs="宋体"/>
                <w:color w:val="auto"/>
                <w:sz w:val="18"/>
                <w:szCs w:val="18"/>
                <w:highlight w:val="none"/>
              </w:rPr>
            </w:pPr>
          </w:p>
        </w:tc>
        <w:tc>
          <w:tcPr>
            <w:tcW w:w="755" w:type="dxa"/>
            <w:noWrap w:val="0"/>
            <w:vAlign w:val="center"/>
          </w:tcPr>
          <w:p>
            <w:pPr>
              <w:ind w:firstLine="592"/>
              <w:jc w:val="cente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pPr>
              <w:ind w:firstLine="592"/>
              <w:jc w:val="center"/>
              <w:rPr>
                <w:rFonts w:hint="eastAsia" w:ascii="宋体" w:hAnsi="宋体" w:eastAsia="宋体" w:cs="宋体"/>
                <w:color w:val="auto"/>
                <w:sz w:val="18"/>
                <w:szCs w:val="18"/>
                <w:highlight w:val="none"/>
              </w:rPr>
            </w:pPr>
          </w:p>
        </w:tc>
        <w:tc>
          <w:tcPr>
            <w:tcW w:w="1134" w:type="dxa"/>
            <w:noWrap w:val="0"/>
            <w:vAlign w:val="center"/>
          </w:tcPr>
          <w:p>
            <w:pPr>
              <w:ind w:firstLine="592"/>
              <w:jc w:val="center"/>
              <w:rPr>
                <w:rFonts w:hint="eastAsia" w:ascii="宋体" w:hAnsi="宋体" w:eastAsia="宋体" w:cs="宋体"/>
                <w:color w:val="auto"/>
                <w:sz w:val="18"/>
                <w:szCs w:val="18"/>
                <w:highlight w:val="none"/>
              </w:rPr>
            </w:pPr>
          </w:p>
        </w:tc>
        <w:tc>
          <w:tcPr>
            <w:tcW w:w="1231" w:type="dxa"/>
            <w:noWrap w:val="0"/>
            <w:vAlign w:val="center"/>
          </w:tcPr>
          <w:p>
            <w:pPr>
              <w:ind w:firstLine="592"/>
              <w:jc w:val="center"/>
              <w:rPr>
                <w:rFonts w:hint="eastAsia" w:ascii="宋体" w:hAnsi="宋体" w:eastAsia="宋体" w:cs="宋体"/>
                <w:color w:val="auto"/>
                <w:sz w:val="18"/>
                <w:szCs w:val="18"/>
                <w:highlight w:val="none"/>
              </w:rPr>
            </w:pPr>
          </w:p>
        </w:tc>
        <w:tc>
          <w:tcPr>
            <w:tcW w:w="1214" w:type="dxa"/>
            <w:noWrap w:val="0"/>
            <w:vAlign w:val="center"/>
          </w:tcPr>
          <w:p>
            <w:pPr>
              <w:ind w:firstLine="592"/>
              <w:jc w:val="center"/>
              <w:rPr>
                <w:rFonts w:hint="eastAsia" w:ascii="宋体" w:hAnsi="宋体" w:eastAsia="宋体" w:cs="宋体"/>
                <w:color w:val="auto"/>
                <w:sz w:val="18"/>
                <w:szCs w:val="18"/>
                <w:highlight w:val="none"/>
              </w:rPr>
            </w:pPr>
          </w:p>
        </w:tc>
        <w:tc>
          <w:tcPr>
            <w:tcW w:w="1500" w:type="dxa"/>
            <w:noWrap w:val="0"/>
            <w:vAlign w:val="center"/>
          </w:tcPr>
          <w:p>
            <w:pPr>
              <w:ind w:firstLine="592"/>
              <w:jc w:val="center"/>
              <w:rPr>
                <w:rFonts w:hint="eastAsia" w:ascii="宋体" w:hAnsi="宋体" w:eastAsia="宋体" w:cs="宋体"/>
                <w:color w:val="auto"/>
                <w:sz w:val="18"/>
                <w:szCs w:val="18"/>
                <w:highlight w:val="none"/>
              </w:rPr>
            </w:pPr>
          </w:p>
        </w:tc>
        <w:tc>
          <w:tcPr>
            <w:tcW w:w="1170" w:type="dxa"/>
            <w:noWrap w:val="0"/>
            <w:vAlign w:val="center"/>
          </w:tcPr>
          <w:p>
            <w:pPr>
              <w:ind w:firstLine="592"/>
              <w:jc w:val="center"/>
              <w:rPr>
                <w:rFonts w:hint="eastAsia" w:ascii="宋体" w:hAnsi="宋体" w:eastAsia="宋体" w:cs="宋体"/>
                <w:color w:val="auto"/>
                <w:sz w:val="18"/>
                <w:szCs w:val="18"/>
                <w:highlight w:val="none"/>
              </w:rPr>
            </w:pPr>
          </w:p>
        </w:tc>
        <w:tc>
          <w:tcPr>
            <w:tcW w:w="755" w:type="dxa"/>
            <w:noWrap w:val="0"/>
            <w:vAlign w:val="center"/>
          </w:tcPr>
          <w:p>
            <w:pPr>
              <w:ind w:firstLine="592"/>
              <w:jc w:val="cente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pPr>
              <w:ind w:firstLine="592"/>
              <w:jc w:val="center"/>
              <w:rPr>
                <w:rFonts w:hint="eastAsia" w:ascii="宋体" w:hAnsi="宋体" w:eastAsia="宋体" w:cs="宋体"/>
                <w:color w:val="auto"/>
                <w:sz w:val="18"/>
                <w:szCs w:val="18"/>
                <w:highlight w:val="none"/>
              </w:rPr>
            </w:pPr>
          </w:p>
        </w:tc>
        <w:tc>
          <w:tcPr>
            <w:tcW w:w="1134" w:type="dxa"/>
            <w:noWrap w:val="0"/>
            <w:vAlign w:val="center"/>
          </w:tcPr>
          <w:p>
            <w:pPr>
              <w:ind w:firstLine="592"/>
              <w:jc w:val="center"/>
              <w:rPr>
                <w:rFonts w:hint="eastAsia" w:ascii="宋体" w:hAnsi="宋体" w:eastAsia="宋体" w:cs="宋体"/>
                <w:color w:val="auto"/>
                <w:sz w:val="18"/>
                <w:szCs w:val="18"/>
                <w:highlight w:val="none"/>
              </w:rPr>
            </w:pPr>
          </w:p>
        </w:tc>
        <w:tc>
          <w:tcPr>
            <w:tcW w:w="1231" w:type="dxa"/>
            <w:noWrap w:val="0"/>
            <w:vAlign w:val="center"/>
          </w:tcPr>
          <w:p>
            <w:pPr>
              <w:ind w:firstLine="592"/>
              <w:jc w:val="center"/>
              <w:rPr>
                <w:rFonts w:hint="eastAsia" w:ascii="宋体" w:hAnsi="宋体" w:eastAsia="宋体" w:cs="宋体"/>
                <w:color w:val="auto"/>
                <w:sz w:val="18"/>
                <w:szCs w:val="18"/>
                <w:highlight w:val="none"/>
              </w:rPr>
            </w:pPr>
          </w:p>
        </w:tc>
        <w:tc>
          <w:tcPr>
            <w:tcW w:w="1214" w:type="dxa"/>
            <w:noWrap w:val="0"/>
            <w:vAlign w:val="center"/>
          </w:tcPr>
          <w:p>
            <w:pPr>
              <w:ind w:firstLine="592"/>
              <w:jc w:val="center"/>
              <w:rPr>
                <w:rFonts w:hint="eastAsia" w:ascii="宋体" w:hAnsi="宋体" w:eastAsia="宋体" w:cs="宋体"/>
                <w:color w:val="auto"/>
                <w:sz w:val="18"/>
                <w:szCs w:val="18"/>
                <w:highlight w:val="none"/>
              </w:rPr>
            </w:pPr>
          </w:p>
        </w:tc>
        <w:tc>
          <w:tcPr>
            <w:tcW w:w="1500" w:type="dxa"/>
            <w:noWrap w:val="0"/>
            <w:vAlign w:val="center"/>
          </w:tcPr>
          <w:p>
            <w:pPr>
              <w:ind w:firstLine="592"/>
              <w:jc w:val="center"/>
              <w:rPr>
                <w:rFonts w:hint="eastAsia" w:ascii="宋体" w:hAnsi="宋体" w:eastAsia="宋体" w:cs="宋体"/>
                <w:color w:val="auto"/>
                <w:sz w:val="18"/>
                <w:szCs w:val="18"/>
                <w:highlight w:val="none"/>
              </w:rPr>
            </w:pPr>
          </w:p>
        </w:tc>
        <w:tc>
          <w:tcPr>
            <w:tcW w:w="1170" w:type="dxa"/>
            <w:noWrap w:val="0"/>
            <w:vAlign w:val="center"/>
          </w:tcPr>
          <w:p>
            <w:pPr>
              <w:ind w:firstLine="592"/>
              <w:jc w:val="center"/>
              <w:rPr>
                <w:rFonts w:hint="eastAsia" w:ascii="宋体" w:hAnsi="宋体" w:eastAsia="宋体" w:cs="宋体"/>
                <w:color w:val="auto"/>
                <w:sz w:val="18"/>
                <w:szCs w:val="18"/>
                <w:highlight w:val="none"/>
              </w:rPr>
            </w:pPr>
          </w:p>
        </w:tc>
        <w:tc>
          <w:tcPr>
            <w:tcW w:w="755" w:type="dxa"/>
            <w:noWrap w:val="0"/>
            <w:vAlign w:val="center"/>
          </w:tcPr>
          <w:p>
            <w:pPr>
              <w:ind w:firstLine="592"/>
              <w:jc w:val="cente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pPr>
              <w:ind w:firstLine="592"/>
              <w:jc w:val="center"/>
              <w:rPr>
                <w:rFonts w:hint="eastAsia" w:ascii="宋体" w:hAnsi="宋体" w:eastAsia="宋体" w:cs="宋体"/>
                <w:color w:val="auto"/>
                <w:sz w:val="18"/>
                <w:szCs w:val="18"/>
                <w:highlight w:val="none"/>
              </w:rPr>
            </w:pPr>
          </w:p>
        </w:tc>
        <w:tc>
          <w:tcPr>
            <w:tcW w:w="1134" w:type="dxa"/>
            <w:noWrap w:val="0"/>
            <w:vAlign w:val="center"/>
          </w:tcPr>
          <w:p>
            <w:pPr>
              <w:ind w:firstLine="592"/>
              <w:jc w:val="center"/>
              <w:rPr>
                <w:rFonts w:hint="eastAsia" w:ascii="宋体" w:hAnsi="宋体" w:eastAsia="宋体" w:cs="宋体"/>
                <w:color w:val="auto"/>
                <w:sz w:val="18"/>
                <w:szCs w:val="18"/>
                <w:highlight w:val="none"/>
              </w:rPr>
            </w:pPr>
          </w:p>
        </w:tc>
        <w:tc>
          <w:tcPr>
            <w:tcW w:w="1231" w:type="dxa"/>
            <w:noWrap w:val="0"/>
            <w:vAlign w:val="center"/>
          </w:tcPr>
          <w:p>
            <w:pPr>
              <w:ind w:firstLine="592"/>
              <w:jc w:val="center"/>
              <w:rPr>
                <w:rFonts w:hint="eastAsia" w:ascii="宋体" w:hAnsi="宋体" w:eastAsia="宋体" w:cs="宋体"/>
                <w:color w:val="auto"/>
                <w:sz w:val="18"/>
                <w:szCs w:val="18"/>
                <w:highlight w:val="none"/>
              </w:rPr>
            </w:pPr>
          </w:p>
        </w:tc>
        <w:tc>
          <w:tcPr>
            <w:tcW w:w="1214" w:type="dxa"/>
            <w:noWrap w:val="0"/>
            <w:vAlign w:val="center"/>
          </w:tcPr>
          <w:p>
            <w:pPr>
              <w:ind w:firstLine="592"/>
              <w:jc w:val="center"/>
              <w:rPr>
                <w:rFonts w:hint="eastAsia" w:ascii="宋体" w:hAnsi="宋体" w:eastAsia="宋体" w:cs="宋体"/>
                <w:color w:val="auto"/>
                <w:sz w:val="18"/>
                <w:szCs w:val="18"/>
                <w:highlight w:val="none"/>
              </w:rPr>
            </w:pPr>
          </w:p>
        </w:tc>
        <w:tc>
          <w:tcPr>
            <w:tcW w:w="1500" w:type="dxa"/>
            <w:noWrap w:val="0"/>
            <w:vAlign w:val="center"/>
          </w:tcPr>
          <w:p>
            <w:pPr>
              <w:ind w:firstLine="592"/>
              <w:jc w:val="center"/>
              <w:rPr>
                <w:rFonts w:hint="eastAsia" w:ascii="宋体" w:hAnsi="宋体" w:eastAsia="宋体" w:cs="宋体"/>
                <w:color w:val="auto"/>
                <w:sz w:val="18"/>
                <w:szCs w:val="18"/>
                <w:highlight w:val="none"/>
              </w:rPr>
            </w:pPr>
          </w:p>
        </w:tc>
        <w:tc>
          <w:tcPr>
            <w:tcW w:w="1170" w:type="dxa"/>
            <w:noWrap w:val="0"/>
            <w:vAlign w:val="center"/>
          </w:tcPr>
          <w:p>
            <w:pPr>
              <w:ind w:firstLine="592"/>
              <w:jc w:val="center"/>
              <w:rPr>
                <w:rFonts w:hint="eastAsia" w:ascii="宋体" w:hAnsi="宋体" w:eastAsia="宋体" w:cs="宋体"/>
                <w:color w:val="auto"/>
                <w:sz w:val="18"/>
                <w:szCs w:val="18"/>
                <w:highlight w:val="none"/>
              </w:rPr>
            </w:pPr>
          </w:p>
        </w:tc>
        <w:tc>
          <w:tcPr>
            <w:tcW w:w="755" w:type="dxa"/>
            <w:noWrap w:val="0"/>
            <w:vAlign w:val="center"/>
          </w:tcPr>
          <w:p>
            <w:pPr>
              <w:ind w:firstLine="592"/>
              <w:jc w:val="cente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pPr>
              <w:ind w:firstLine="592"/>
              <w:jc w:val="center"/>
              <w:rPr>
                <w:rFonts w:hint="eastAsia" w:ascii="宋体" w:hAnsi="宋体" w:eastAsia="宋体" w:cs="宋体"/>
                <w:color w:val="auto"/>
                <w:sz w:val="18"/>
                <w:szCs w:val="18"/>
                <w:highlight w:val="none"/>
              </w:rPr>
            </w:pPr>
          </w:p>
        </w:tc>
        <w:tc>
          <w:tcPr>
            <w:tcW w:w="1134" w:type="dxa"/>
            <w:noWrap w:val="0"/>
            <w:vAlign w:val="center"/>
          </w:tcPr>
          <w:p>
            <w:pPr>
              <w:ind w:firstLine="592"/>
              <w:jc w:val="center"/>
              <w:rPr>
                <w:rFonts w:hint="eastAsia" w:ascii="宋体" w:hAnsi="宋体" w:eastAsia="宋体" w:cs="宋体"/>
                <w:color w:val="auto"/>
                <w:sz w:val="18"/>
                <w:szCs w:val="18"/>
                <w:highlight w:val="none"/>
              </w:rPr>
            </w:pPr>
          </w:p>
        </w:tc>
        <w:tc>
          <w:tcPr>
            <w:tcW w:w="1231" w:type="dxa"/>
            <w:noWrap w:val="0"/>
            <w:vAlign w:val="center"/>
          </w:tcPr>
          <w:p>
            <w:pPr>
              <w:ind w:firstLine="592"/>
              <w:jc w:val="center"/>
              <w:rPr>
                <w:rFonts w:hint="eastAsia" w:ascii="宋体" w:hAnsi="宋体" w:eastAsia="宋体" w:cs="宋体"/>
                <w:color w:val="auto"/>
                <w:sz w:val="18"/>
                <w:szCs w:val="18"/>
                <w:highlight w:val="none"/>
              </w:rPr>
            </w:pPr>
          </w:p>
        </w:tc>
        <w:tc>
          <w:tcPr>
            <w:tcW w:w="1214" w:type="dxa"/>
            <w:noWrap w:val="0"/>
            <w:vAlign w:val="center"/>
          </w:tcPr>
          <w:p>
            <w:pPr>
              <w:ind w:firstLine="592"/>
              <w:jc w:val="center"/>
              <w:rPr>
                <w:rFonts w:hint="eastAsia" w:ascii="宋体" w:hAnsi="宋体" w:eastAsia="宋体" w:cs="宋体"/>
                <w:color w:val="auto"/>
                <w:sz w:val="18"/>
                <w:szCs w:val="18"/>
                <w:highlight w:val="none"/>
              </w:rPr>
            </w:pPr>
          </w:p>
        </w:tc>
        <w:tc>
          <w:tcPr>
            <w:tcW w:w="1500" w:type="dxa"/>
            <w:noWrap w:val="0"/>
            <w:vAlign w:val="center"/>
          </w:tcPr>
          <w:p>
            <w:pPr>
              <w:ind w:firstLine="592"/>
              <w:jc w:val="center"/>
              <w:rPr>
                <w:rFonts w:hint="eastAsia" w:ascii="宋体" w:hAnsi="宋体" w:eastAsia="宋体" w:cs="宋体"/>
                <w:color w:val="auto"/>
                <w:sz w:val="18"/>
                <w:szCs w:val="18"/>
                <w:highlight w:val="none"/>
              </w:rPr>
            </w:pPr>
          </w:p>
        </w:tc>
        <w:tc>
          <w:tcPr>
            <w:tcW w:w="1170" w:type="dxa"/>
            <w:noWrap w:val="0"/>
            <w:vAlign w:val="center"/>
          </w:tcPr>
          <w:p>
            <w:pPr>
              <w:ind w:firstLine="592"/>
              <w:jc w:val="center"/>
              <w:rPr>
                <w:rFonts w:hint="eastAsia" w:ascii="宋体" w:hAnsi="宋体" w:eastAsia="宋体" w:cs="宋体"/>
                <w:color w:val="auto"/>
                <w:sz w:val="18"/>
                <w:szCs w:val="18"/>
                <w:highlight w:val="none"/>
              </w:rPr>
            </w:pPr>
          </w:p>
        </w:tc>
        <w:tc>
          <w:tcPr>
            <w:tcW w:w="755" w:type="dxa"/>
            <w:noWrap w:val="0"/>
            <w:vAlign w:val="center"/>
          </w:tcPr>
          <w:p>
            <w:pPr>
              <w:ind w:firstLine="592"/>
              <w:jc w:val="cente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pPr>
              <w:ind w:firstLine="592"/>
              <w:jc w:val="center"/>
              <w:rPr>
                <w:rFonts w:hint="eastAsia" w:ascii="宋体" w:hAnsi="宋体" w:eastAsia="宋体" w:cs="宋体"/>
                <w:color w:val="auto"/>
                <w:sz w:val="18"/>
                <w:szCs w:val="18"/>
                <w:highlight w:val="none"/>
              </w:rPr>
            </w:pPr>
          </w:p>
        </w:tc>
        <w:tc>
          <w:tcPr>
            <w:tcW w:w="1134" w:type="dxa"/>
            <w:noWrap w:val="0"/>
            <w:vAlign w:val="center"/>
          </w:tcPr>
          <w:p>
            <w:pPr>
              <w:ind w:firstLine="592"/>
              <w:jc w:val="center"/>
              <w:rPr>
                <w:rFonts w:hint="eastAsia" w:ascii="宋体" w:hAnsi="宋体" w:eastAsia="宋体" w:cs="宋体"/>
                <w:color w:val="auto"/>
                <w:sz w:val="18"/>
                <w:szCs w:val="18"/>
                <w:highlight w:val="none"/>
              </w:rPr>
            </w:pPr>
          </w:p>
        </w:tc>
        <w:tc>
          <w:tcPr>
            <w:tcW w:w="1231" w:type="dxa"/>
            <w:noWrap w:val="0"/>
            <w:vAlign w:val="center"/>
          </w:tcPr>
          <w:p>
            <w:pPr>
              <w:ind w:firstLine="592"/>
              <w:jc w:val="center"/>
              <w:rPr>
                <w:rFonts w:hint="eastAsia" w:ascii="宋体" w:hAnsi="宋体" w:eastAsia="宋体" w:cs="宋体"/>
                <w:color w:val="auto"/>
                <w:sz w:val="18"/>
                <w:szCs w:val="18"/>
                <w:highlight w:val="none"/>
              </w:rPr>
            </w:pPr>
          </w:p>
        </w:tc>
        <w:tc>
          <w:tcPr>
            <w:tcW w:w="1214" w:type="dxa"/>
            <w:noWrap w:val="0"/>
            <w:vAlign w:val="center"/>
          </w:tcPr>
          <w:p>
            <w:pPr>
              <w:ind w:firstLine="592"/>
              <w:jc w:val="center"/>
              <w:rPr>
                <w:rFonts w:hint="eastAsia" w:ascii="宋体" w:hAnsi="宋体" w:eastAsia="宋体" w:cs="宋体"/>
                <w:color w:val="auto"/>
                <w:sz w:val="18"/>
                <w:szCs w:val="18"/>
                <w:highlight w:val="none"/>
              </w:rPr>
            </w:pPr>
          </w:p>
        </w:tc>
        <w:tc>
          <w:tcPr>
            <w:tcW w:w="1500" w:type="dxa"/>
            <w:noWrap w:val="0"/>
            <w:vAlign w:val="center"/>
          </w:tcPr>
          <w:p>
            <w:pPr>
              <w:ind w:firstLine="592"/>
              <w:jc w:val="center"/>
              <w:rPr>
                <w:rFonts w:hint="eastAsia" w:ascii="宋体" w:hAnsi="宋体" w:eastAsia="宋体" w:cs="宋体"/>
                <w:color w:val="auto"/>
                <w:sz w:val="18"/>
                <w:szCs w:val="18"/>
                <w:highlight w:val="none"/>
              </w:rPr>
            </w:pPr>
          </w:p>
        </w:tc>
        <w:tc>
          <w:tcPr>
            <w:tcW w:w="1170" w:type="dxa"/>
            <w:noWrap w:val="0"/>
            <w:vAlign w:val="center"/>
          </w:tcPr>
          <w:p>
            <w:pPr>
              <w:ind w:firstLine="592"/>
              <w:jc w:val="center"/>
              <w:rPr>
                <w:rFonts w:hint="eastAsia" w:ascii="宋体" w:hAnsi="宋体" w:eastAsia="宋体" w:cs="宋体"/>
                <w:color w:val="auto"/>
                <w:sz w:val="18"/>
                <w:szCs w:val="18"/>
                <w:highlight w:val="none"/>
              </w:rPr>
            </w:pPr>
          </w:p>
        </w:tc>
        <w:tc>
          <w:tcPr>
            <w:tcW w:w="755" w:type="dxa"/>
            <w:noWrap w:val="0"/>
            <w:vAlign w:val="center"/>
          </w:tcPr>
          <w:p>
            <w:pPr>
              <w:ind w:firstLine="592"/>
              <w:jc w:val="cente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pPr>
              <w:ind w:firstLine="592"/>
              <w:jc w:val="center"/>
              <w:rPr>
                <w:rFonts w:hint="eastAsia" w:ascii="宋体" w:hAnsi="宋体" w:eastAsia="宋体" w:cs="宋体"/>
                <w:color w:val="auto"/>
                <w:sz w:val="18"/>
                <w:szCs w:val="18"/>
                <w:highlight w:val="none"/>
              </w:rPr>
            </w:pPr>
          </w:p>
        </w:tc>
        <w:tc>
          <w:tcPr>
            <w:tcW w:w="1134" w:type="dxa"/>
            <w:noWrap w:val="0"/>
            <w:vAlign w:val="center"/>
          </w:tcPr>
          <w:p>
            <w:pPr>
              <w:ind w:firstLine="592"/>
              <w:jc w:val="center"/>
              <w:rPr>
                <w:rFonts w:hint="eastAsia" w:ascii="宋体" w:hAnsi="宋体" w:eastAsia="宋体" w:cs="宋体"/>
                <w:color w:val="auto"/>
                <w:sz w:val="18"/>
                <w:szCs w:val="18"/>
                <w:highlight w:val="none"/>
              </w:rPr>
            </w:pPr>
          </w:p>
        </w:tc>
        <w:tc>
          <w:tcPr>
            <w:tcW w:w="1231" w:type="dxa"/>
            <w:noWrap w:val="0"/>
            <w:vAlign w:val="center"/>
          </w:tcPr>
          <w:p>
            <w:pPr>
              <w:ind w:firstLine="592"/>
              <w:jc w:val="center"/>
              <w:rPr>
                <w:rFonts w:hint="eastAsia" w:ascii="宋体" w:hAnsi="宋体" w:eastAsia="宋体" w:cs="宋体"/>
                <w:color w:val="auto"/>
                <w:sz w:val="18"/>
                <w:szCs w:val="18"/>
                <w:highlight w:val="none"/>
              </w:rPr>
            </w:pPr>
          </w:p>
        </w:tc>
        <w:tc>
          <w:tcPr>
            <w:tcW w:w="1214" w:type="dxa"/>
            <w:noWrap w:val="0"/>
            <w:vAlign w:val="center"/>
          </w:tcPr>
          <w:p>
            <w:pPr>
              <w:ind w:firstLine="592"/>
              <w:jc w:val="center"/>
              <w:rPr>
                <w:rFonts w:hint="eastAsia" w:ascii="宋体" w:hAnsi="宋体" w:eastAsia="宋体" w:cs="宋体"/>
                <w:color w:val="auto"/>
                <w:sz w:val="18"/>
                <w:szCs w:val="18"/>
                <w:highlight w:val="none"/>
              </w:rPr>
            </w:pPr>
          </w:p>
        </w:tc>
        <w:tc>
          <w:tcPr>
            <w:tcW w:w="1500" w:type="dxa"/>
            <w:noWrap w:val="0"/>
            <w:vAlign w:val="center"/>
          </w:tcPr>
          <w:p>
            <w:pPr>
              <w:ind w:firstLine="592"/>
              <w:jc w:val="center"/>
              <w:rPr>
                <w:rFonts w:hint="eastAsia" w:ascii="宋体" w:hAnsi="宋体" w:eastAsia="宋体" w:cs="宋体"/>
                <w:color w:val="auto"/>
                <w:sz w:val="18"/>
                <w:szCs w:val="18"/>
                <w:highlight w:val="none"/>
              </w:rPr>
            </w:pPr>
          </w:p>
        </w:tc>
        <w:tc>
          <w:tcPr>
            <w:tcW w:w="1170" w:type="dxa"/>
            <w:noWrap w:val="0"/>
            <w:vAlign w:val="center"/>
          </w:tcPr>
          <w:p>
            <w:pPr>
              <w:ind w:firstLine="592"/>
              <w:jc w:val="center"/>
              <w:rPr>
                <w:rFonts w:hint="eastAsia" w:ascii="宋体" w:hAnsi="宋体" w:eastAsia="宋体" w:cs="宋体"/>
                <w:color w:val="auto"/>
                <w:sz w:val="18"/>
                <w:szCs w:val="18"/>
                <w:highlight w:val="none"/>
              </w:rPr>
            </w:pPr>
          </w:p>
        </w:tc>
        <w:tc>
          <w:tcPr>
            <w:tcW w:w="755" w:type="dxa"/>
            <w:noWrap w:val="0"/>
            <w:vAlign w:val="center"/>
          </w:tcPr>
          <w:p>
            <w:pPr>
              <w:ind w:firstLine="592"/>
              <w:jc w:val="center"/>
              <w:rPr>
                <w:rFonts w:hint="eastAsia" w:ascii="宋体" w:hAnsi="宋体" w:eastAsia="宋体" w:cs="宋体"/>
                <w:color w:val="auto"/>
                <w:sz w:val="18"/>
                <w:szCs w:val="18"/>
                <w:highlight w:val="none"/>
              </w:rPr>
            </w:pPr>
          </w:p>
        </w:tc>
      </w:tr>
    </w:tbl>
    <w:p>
      <w:pPr>
        <w:spacing w:before="120" w:beforeLines="50"/>
        <w:ind w:left="840" w:right="-11" w:hanging="840" w:hangingChars="400"/>
        <w:rPr>
          <w:rFonts w:hint="eastAsia" w:ascii="宋体" w:hAnsi="宋体" w:eastAsia="宋体" w:cs="宋体"/>
          <w:color w:val="auto"/>
          <w:highlight w:val="none"/>
        </w:rPr>
      </w:pPr>
      <w:r>
        <w:rPr>
          <w:rFonts w:hint="eastAsia" w:ascii="宋体" w:hAnsi="宋体" w:eastAsia="宋体" w:cs="宋体"/>
          <w:color w:val="auto"/>
          <w:szCs w:val="21"/>
          <w:highlight w:val="none"/>
        </w:rPr>
        <w:t>注：</w:t>
      </w:r>
      <w:r>
        <w:rPr>
          <w:rFonts w:hint="eastAsia" w:ascii="宋体" w:hAnsi="宋体" w:eastAsia="宋体" w:cs="宋体"/>
          <w:color w:val="auto"/>
          <w:highlight w:val="none"/>
        </w:rPr>
        <w:t>1. 本表所列为项目所需的装备及工具，请按每种装备、工具分别填写。</w:t>
      </w:r>
    </w:p>
    <w:p>
      <w:pPr>
        <w:spacing w:before="120" w:beforeLines="50"/>
        <w:ind w:right="-11"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 本表中所列装备价格不计入投标总价，但装备的损耗及耗材等需包含在投标总价中。</w:t>
      </w:r>
    </w:p>
    <w:p>
      <w:pPr>
        <w:spacing w:before="120" w:beforeLines="50"/>
        <w:ind w:right="-11"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 此表仅提供了表格形式，投标人应根据需要准备足够数量的表格来填写。</w:t>
      </w:r>
    </w:p>
    <w:p>
      <w:pPr>
        <w:rPr>
          <w:rFonts w:hint="eastAsia" w:ascii="宋体" w:hAnsi="宋体" w:eastAsia="宋体" w:cs="宋体"/>
          <w:b/>
          <w:color w:val="auto"/>
          <w:sz w:val="22"/>
          <w:szCs w:val="22"/>
          <w:highlight w:val="none"/>
        </w:rPr>
      </w:pPr>
    </w:p>
    <w:p>
      <w:pPr>
        <w:spacing w:line="480" w:lineRule="auto"/>
        <w:rPr>
          <w:rFonts w:hint="eastAsia" w:ascii="宋体" w:hAnsi="宋体" w:eastAsia="宋体" w:cs="宋体"/>
          <w:sz w:val="22"/>
          <w:highlight w:val="none"/>
        </w:rPr>
      </w:pPr>
      <w:r>
        <w:rPr>
          <w:rFonts w:hint="eastAsia" w:ascii="宋体" w:hAnsi="宋体" w:eastAsia="宋体" w:cs="宋体"/>
          <w:sz w:val="22"/>
          <w:highlight w:val="none"/>
        </w:rPr>
        <w:t>投标人全称（盖公章）：</w:t>
      </w:r>
    </w:p>
    <w:p>
      <w:pPr>
        <w:spacing w:line="480" w:lineRule="auto"/>
        <w:rPr>
          <w:rFonts w:hint="eastAsia" w:ascii="宋体" w:hAnsi="宋体" w:eastAsia="宋体" w:cs="宋体"/>
          <w:sz w:val="22"/>
          <w:highlight w:val="none"/>
        </w:rPr>
      </w:pP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或授权代表（签字或盖章）：</w:t>
      </w:r>
    </w:p>
    <w:p>
      <w:pPr>
        <w:spacing w:line="360" w:lineRule="auto"/>
        <w:rPr>
          <w:rFonts w:hint="eastAsia" w:ascii="宋体" w:hAnsi="宋体" w:eastAsia="宋体" w:cs="宋体"/>
          <w:sz w:val="22"/>
          <w:highlight w:val="none"/>
        </w:rPr>
      </w:pPr>
      <w:r>
        <w:rPr>
          <w:rFonts w:hint="eastAsia" w:ascii="宋体" w:hAnsi="宋体" w:eastAsia="宋体" w:cs="宋体"/>
          <w:sz w:val="22"/>
          <w:highlight w:val="none"/>
        </w:rPr>
        <w:t>日  期：</w:t>
      </w:r>
    </w:p>
    <w:p>
      <w:pPr>
        <w:spacing w:line="400" w:lineRule="exact"/>
        <w:rPr>
          <w:rFonts w:hint="eastAsia" w:ascii="宋体" w:hAnsi="宋体" w:eastAsia="宋体" w:cs="宋体"/>
          <w:color w:val="auto"/>
          <w:sz w:val="22"/>
          <w:szCs w:val="22"/>
          <w:highlight w:val="none"/>
        </w:rPr>
      </w:pPr>
    </w:p>
    <w:p>
      <w:pPr>
        <w:ind w:right="-10"/>
        <w:rPr>
          <w:rFonts w:hint="eastAsia" w:ascii="宋体" w:hAnsi="宋体" w:eastAsia="宋体" w:cs="宋体"/>
          <w:b/>
          <w:bCs/>
          <w:snapToGrid w:val="0"/>
          <w:color w:val="auto"/>
          <w:kern w:val="0"/>
          <w:sz w:val="28"/>
          <w:highlight w:val="none"/>
        </w:rPr>
      </w:pPr>
      <w:bookmarkStart w:id="193" w:name="_Toc336413112"/>
      <w:r>
        <w:rPr>
          <w:rFonts w:hint="eastAsia" w:ascii="宋体" w:hAnsi="宋体" w:eastAsia="宋体" w:cs="宋体"/>
          <w:color w:val="auto"/>
          <w:sz w:val="22"/>
          <w:szCs w:val="22"/>
          <w:highlight w:val="none"/>
        </w:rPr>
        <w:br w:type="page"/>
      </w:r>
      <w:bookmarkEnd w:id="193"/>
      <w:r>
        <w:rPr>
          <w:rFonts w:hint="eastAsia" w:ascii="宋体" w:hAnsi="宋体" w:eastAsia="宋体" w:cs="宋体"/>
          <w:b/>
          <w:snapToGrid w:val="0"/>
          <w:color w:val="auto"/>
          <w:kern w:val="0"/>
          <w:sz w:val="22"/>
          <w:szCs w:val="22"/>
          <w:highlight w:val="none"/>
        </w:rPr>
        <w:t>附件七</w:t>
      </w:r>
    </w:p>
    <w:p>
      <w:pPr>
        <w:ind w:right="-10"/>
        <w:jc w:val="center"/>
        <w:rPr>
          <w:rFonts w:hint="eastAsia" w:ascii="宋体" w:hAnsi="宋体" w:eastAsia="宋体" w:cs="宋体"/>
          <w:b/>
          <w:bCs/>
          <w:snapToGrid w:val="0"/>
          <w:color w:val="auto"/>
          <w:kern w:val="0"/>
          <w:sz w:val="28"/>
          <w:highlight w:val="none"/>
        </w:rPr>
      </w:pPr>
      <w:r>
        <w:rPr>
          <w:rFonts w:hint="eastAsia" w:ascii="宋体" w:hAnsi="宋体" w:eastAsia="宋体" w:cs="宋体"/>
          <w:b/>
          <w:bCs/>
          <w:snapToGrid w:val="0"/>
          <w:color w:val="auto"/>
          <w:kern w:val="0"/>
          <w:sz w:val="28"/>
          <w:highlight w:val="none"/>
        </w:rPr>
        <w:t>拟派项目负责人情况表</w:t>
      </w:r>
    </w:p>
    <w:p>
      <w:pPr>
        <w:rPr>
          <w:rFonts w:hint="eastAsia" w:ascii="宋体" w:hAnsi="宋体" w:eastAsia="宋体" w:cs="宋体"/>
          <w:b/>
          <w:snapToGrid w:val="0"/>
          <w:color w:val="auto"/>
          <w:kern w:val="0"/>
          <w:sz w:val="22"/>
          <w:szCs w:val="22"/>
          <w:highlight w:val="none"/>
        </w:rPr>
      </w:pPr>
      <w:r>
        <w:rPr>
          <w:rFonts w:hint="eastAsia" w:ascii="宋体" w:hAnsi="宋体" w:eastAsia="宋体" w:cs="宋体"/>
          <w:b/>
          <w:snapToGrid w:val="0"/>
          <w:color w:val="auto"/>
          <w:kern w:val="0"/>
          <w:sz w:val="22"/>
          <w:szCs w:val="22"/>
          <w:highlight w:val="none"/>
        </w:rPr>
        <w:t xml:space="preserve">       </w:t>
      </w:r>
    </w:p>
    <w:p>
      <w:pPr>
        <w:ind w:firstLine="1185" w:firstLineChars="539"/>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 xml:space="preserve">项目名称：                                      </w:t>
      </w:r>
      <w:r>
        <w:rPr>
          <w:rFonts w:hint="eastAsia" w:ascii="宋体" w:hAnsi="宋体" w:eastAsia="宋体" w:cs="宋体"/>
          <w:snapToGrid w:val="0"/>
          <w:color w:val="auto"/>
          <w:kern w:val="0"/>
          <w:sz w:val="22"/>
          <w:szCs w:val="22"/>
          <w:highlight w:val="none"/>
          <w:lang w:eastAsia="zh-CN"/>
        </w:rPr>
        <w:t>采购</w:t>
      </w:r>
      <w:r>
        <w:rPr>
          <w:rFonts w:hint="eastAsia" w:ascii="宋体" w:hAnsi="宋体" w:eastAsia="宋体" w:cs="宋体"/>
          <w:snapToGrid w:val="0"/>
          <w:color w:val="auto"/>
          <w:kern w:val="0"/>
          <w:sz w:val="22"/>
          <w:szCs w:val="22"/>
          <w:highlight w:val="none"/>
        </w:rPr>
        <w:t>编号：</w:t>
      </w:r>
    </w:p>
    <w:tbl>
      <w:tblPr>
        <w:tblStyle w:val="24"/>
        <w:tblW w:w="8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9"/>
        <w:gridCol w:w="2451"/>
        <w:gridCol w:w="4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359" w:type="dxa"/>
            <w:tcBorders>
              <w:top w:val="single" w:color="auto" w:sz="12" w:space="0"/>
              <w:left w:val="single" w:color="auto" w:sz="12" w:space="0"/>
              <w:bottom w:val="single" w:color="auto" w:sz="4" w:space="0"/>
              <w:right w:val="single" w:color="auto" w:sz="4" w:space="0"/>
            </w:tcBorders>
            <w:noWrap w:val="0"/>
            <w:vAlign w:val="center"/>
          </w:tcPr>
          <w:p>
            <w:pPr>
              <w:pStyle w:val="68"/>
              <w:autoSpaceDE w:val="0"/>
              <w:autoSpaceDN w:val="0"/>
              <w:adjustRightInd w:val="0"/>
              <w:spacing w:line="240" w:lineRule="auto"/>
              <w:rPr>
                <w:rFonts w:hint="eastAsia" w:ascii="宋体" w:hAnsi="宋体" w:eastAsia="宋体" w:cs="宋体"/>
                <w:b w:val="0"/>
                <w:snapToGrid w:val="0"/>
                <w:color w:val="auto"/>
                <w:kern w:val="0"/>
                <w:sz w:val="18"/>
                <w:szCs w:val="18"/>
                <w:highlight w:val="none"/>
                <w:lang w:val="zh-CN"/>
              </w:rPr>
            </w:pPr>
            <w:r>
              <w:rPr>
                <w:rFonts w:hint="eastAsia" w:ascii="宋体" w:hAnsi="宋体" w:eastAsia="宋体" w:cs="宋体"/>
                <w:b w:val="0"/>
                <w:snapToGrid w:val="0"/>
                <w:color w:val="auto"/>
                <w:kern w:val="0"/>
                <w:sz w:val="18"/>
                <w:szCs w:val="18"/>
                <w:highlight w:val="none"/>
                <w:lang w:val="zh-CN"/>
              </w:rPr>
              <w:t>姓名</w:t>
            </w:r>
          </w:p>
        </w:tc>
        <w:tc>
          <w:tcPr>
            <w:tcW w:w="2451" w:type="dxa"/>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c>
          <w:tcPr>
            <w:tcW w:w="4873" w:type="dxa"/>
            <w:tcBorders>
              <w:top w:val="single" w:color="auto" w:sz="12" w:space="0"/>
              <w:left w:val="single" w:color="auto" w:sz="4" w:space="0"/>
              <w:bottom w:val="single" w:color="auto" w:sz="4" w:space="0"/>
              <w:right w:val="single" w:color="auto" w:sz="12" w:space="0"/>
            </w:tcBorders>
            <w:noWrap w:val="0"/>
            <w:vAlign w:val="center"/>
          </w:tcPr>
          <w:p>
            <w:pPr>
              <w:pStyle w:val="68"/>
              <w:autoSpaceDE w:val="0"/>
              <w:autoSpaceDN w:val="0"/>
              <w:adjustRightInd w:val="0"/>
              <w:spacing w:line="360" w:lineRule="auto"/>
              <w:rPr>
                <w:rFonts w:hint="eastAsia" w:ascii="宋体" w:hAnsi="宋体" w:eastAsia="宋体" w:cs="宋体"/>
                <w:b w:val="0"/>
                <w:snapToGrid w:val="0"/>
                <w:color w:val="auto"/>
                <w:kern w:val="0"/>
                <w:sz w:val="18"/>
                <w:szCs w:val="18"/>
                <w:highlight w:val="none"/>
                <w:lang w:val="zh-CN"/>
              </w:rPr>
            </w:pPr>
            <w:r>
              <w:rPr>
                <w:rFonts w:hint="eastAsia" w:ascii="宋体" w:hAnsi="宋体" w:eastAsia="宋体" w:cs="宋体"/>
                <w:b w:val="0"/>
                <w:snapToGrid w:val="0"/>
                <w:color w:val="auto"/>
                <w:kern w:val="0"/>
                <w:sz w:val="18"/>
                <w:szCs w:val="18"/>
                <w:highlight w:val="none"/>
                <w:lang w:val="zh-CN"/>
              </w:rPr>
              <w:t>近年来主要工作业绩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3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bCs/>
                <w:snapToGrid w:val="0"/>
                <w:color w:val="auto"/>
                <w:kern w:val="0"/>
                <w:sz w:val="18"/>
                <w:szCs w:val="18"/>
                <w:highlight w:val="none"/>
                <w:lang w:val="zh-CN"/>
              </w:rPr>
            </w:pPr>
            <w:r>
              <w:rPr>
                <w:rFonts w:hint="eastAsia" w:ascii="宋体" w:hAnsi="宋体" w:eastAsia="宋体" w:cs="宋体"/>
                <w:bCs/>
                <w:snapToGrid w:val="0"/>
                <w:color w:val="auto"/>
                <w:kern w:val="0"/>
                <w:sz w:val="18"/>
                <w:szCs w:val="18"/>
                <w:highlight w:val="none"/>
                <w:lang w:val="zh-CN"/>
              </w:rPr>
              <w:t>性别</w:t>
            </w:r>
          </w:p>
        </w:tc>
        <w:tc>
          <w:tcPr>
            <w:tcW w:w="24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c>
          <w:tcPr>
            <w:tcW w:w="4873" w:type="dxa"/>
            <w:vMerge w:val="restart"/>
            <w:tcBorders>
              <w:top w:val="single" w:color="auto" w:sz="4" w:space="0"/>
              <w:left w:val="single" w:color="auto" w:sz="4" w:space="0"/>
              <w:bottom w:val="single" w:color="auto" w:sz="4" w:space="0"/>
              <w:right w:val="single" w:color="auto" w:sz="12" w:space="0"/>
            </w:tcBorders>
            <w:noWrap w:val="0"/>
            <w:vAlign w:val="center"/>
          </w:tcPr>
          <w:p>
            <w:pPr>
              <w:pStyle w:val="69"/>
              <w:widowControl w:val="0"/>
              <w:autoSpaceDE w:val="0"/>
              <w:autoSpaceDN w:val="0"/>
              <w:adjustRightInd w:val="0"/>
              <w:spacing w:before="0" w:beforeAutospacing="0" w:after="0" w:afterAutospacing="0" w:line="360" w:lineRule="auto"/>
              <w:ind w:left="447" w:hanging="447"/>
              <w:textAlignment w:val="auto"/>
              <w:rPr>
                <w:rFonts w:hint="eastAsia" w:ascii="宋体" w:hAnsi="宋体" w:eastAsia="宋体" w:cs="宋体"/>
                <w:snapToGrid w:val="0"/>
                <w:color w:val="auto"/>
                <w:sz w:val="18"/>
                <w:szCs w:val="18"/>
                <w:highlight w:val="none"/>
              </w:rPr>
            </w:pPr>
            <w:r>
              <w:rPr>
                <w:rFonts w:hint="eastAsia" w:ascii="宋体" w:hAnsi="宋体" w:eastAsia="宋体" w:cs="宋体"/>
                <w:snapToGrid w:val="0"/>
                <w:color w:val="auto"/>
                <w:sz w:val="18"/>
                <w:szCs w:val="18"/>
                <w:highlight w:val="none"/>
              </w:rPr>
              <w:t>注：业绩证明应提供旁证材料</w:t>
            </w:r>
          </w:p>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r>
              <w:rPr>
                <w:rFonts w:hint="eastAsia" w:ascii="宋体" w:hAnsi="宋体" w:eastAsia="宋体" w:cs="宋体"/>
                <w:snapToGrid w:val="0"/>
                <w:color w:val="auto"/>
                <w:kern w:val="0"/>
                <w:sz w:val="18"/>
                <w:szCs w:val="18"/>
                <w:highlight w:val="none"/>
              </w:rPr>
              <w:t>（合同或中标通知书）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3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bCs/>
                <w:snapToGrid w:val="0"/>
                <w:color w:val="auto"/>
                <w:kern w:val="0"/>
                <w:sz w:val="18"/>
                <w:szCs w:val="18"/>
                <w:highlight w:val="none"/>
                <w:lang w:val="zh-CN"/>
              </w:rPr>
            </w:pPr>
            <w:r>
              <w:rPr>
                <w:rFonts w:hint="eastAsia" w:ascii="宋体" w:hAnsi="宋体" w:eastAsia="宋体" w:cs="宋体"/>
                <w:bCs/>
                <w:snapToGrid w:val="0"/>
                <w:color w:val="auto"/>
                <w:kern w:val="0"/>
                <w:sz w:val="18"/>
                <w:szCs w:val="18"/>
                <w:highlight w:val="none"/>
                <w:lang w:val="zh-CN"/>
              </w:rPr>
              <w:t>年龄</w:t>
            </w:r>
          </w:p>
        </w:tc>
        <w:tc>
          <w:tcPr>
            <w:tcW w:w="24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c>
          <w:tcPr>
            <w:tcW w:w="4873" w:type="dxa"/>
            <w:vMerge w:val="continue"/>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3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bCs/>
                <w:snapToGrid w:val="0"/>
                <w:color w:val="auto"/>
                <w:kern w:val="0"/>
                <w:sz w:val="18"/>
                <w:szCs w:val="18"/>
                <w:highlight w:val="none"/>
                <w:lang w:val="zh-CN"/>
              </w:rPr>
            </w:pPr>
            <w:r>
              <w:rPr>
                <w:rFonts w:hint="eastAsia" w:ascii="宋体" w:hAnsi="宋体" w:eastAsia="宋体" w:cs="宋体"/>
                <w:bCs/>
                <w:snapToGrid w:val="0"/>
                <w:color w:val="auto"/>
                <w:kern w:val="0"/>
                <w:sz w:val="18"/>
                <w:szCs w:val="18"/>
                <w:highlight w:val="none"/>
                <w:lang w:val="zh-CN"/>
              </w:rPr>
              <w:t>职称</w:t>
            </w:r>
          </w:p>
        </w:tc>
        <w:tc>
          <w:tcPr>
            <w:tcW w:w="24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c>
          <w:tcPr>
            <w:tcW w:w="4873" w:type="dxa"/>
            <w:vMerge w:val="continue"/>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3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bCs/>
                <w:snapToGrid w:val="0"/>
                <w:color w:val="auto"/>
                <w:kern w:val="0"/>
                <w:sz w:val="18"/>
                <w:szCs w:val="18"/>
                <w:highlight w:val="none"/>
                <w:lang w:val="zh-CN"/>
              </w:rPr>
            </w:pPr>
            <w:r>
              <w:rPr>
                <w:rFonts w:hint="eastAsia" w:ascii="宋体" w:hAnsi="宋体" w:eastAsia="宋体" w:cs="宋体"/>
                <w:bCs/>
                <w:snapToGrid w:val="0"/>
                <w:color w:val="auto"/>
                <w:kern w:val="0"/>
                <w:sz w:val="18"/>
                <w:szCs w:val="18"/>
                <w:highlight w:val="none"/>
                <w:lang w:val="zh-CN"/>
              </w:rPr>
              <w:t>毕业时间</w:t>
            </w:r>
          </w:p>
        </w:tc>
        <w:tc>
          <w:tcPr>
            <w:tcW w:w="24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c>
          <w:tcPr>
            <w:tcW w:w="4873" w:type="dxa"/>
            <w:vMerge w:val="continue"/>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3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bCs/>
                <w:snapToGrid w:val="0"/>
                <w:color w:val="auto"/>
                <w:kern w:val="0"/>
                <w:sz w:val="18"/>
                <w:szCs w:val="18"/>
                <w:highlight w:val="none"/>
                <w:lang w:val="zh-CN"/>
              </w:rPr>
            </w:pPr>
            <w:r>
              <w:rPr>
                <w:rFonts w:hint="eastAsia" w:ascii="宋体" w:hAnsi="宋体" w:eastAsia="宋体" w:cs="宋体"/>
                <w:bCs/>
                <w:snapToGrid w:val="0"/>
                <w:color w:val="auto"/>
                <w:kern w:val="0"/>
                <w:sz w:val="18"/>
                <w:szCs w:val="18"/>
                <w:highlight w:val="none"/>
                <w:lang w:val="zh-CN"/>
              </w:rPr>
              <w:t>学校专业</w:t>
            </w:r>
          </w:p>
        </w:tc>
        <w:tc>
          <w:tcPr>
            <w:tcW w:w="24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c>
          <w:tcPr>
            <w:tcW w:w="4873" w:type="dxa"/>
            <w:vMerge w:val="continue"/>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3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bCs/>
                <w:snapToGrid w:val="0"/>
                <w:color w:val="auto"/>
                <w:kern w:val="0"/>
                <w:sz w:val="18"/>
                <w:szCs w:val="18"/>
                <w:highlight w:val="none"/>
                <w:lang w:val="zh-CN"/>
              </w:rPr>
            </w:pPr>
            <w:r>
              <w:rPr>
                <w:rFonts w:hint="eastAsia" w:ascii="宋体" w:hAnsi="宋体" w:eastAsia="宋体" w:cs="宋体"/>
                <w:bCs/>
                <w:snapToGrid w:val="0"/>
                <w:color w:val="auto"/>
                <w:kern w:val="0"/>
                <w:sz w:val="18"/>
                <w:szCs w:val="18"/>
                <w:highlight w:val="none"/>
                <w:lang w:val="zh-CN"/>
              </w:rPr>
              <w:t>联系电话</w:t>
            </w:r>
          </w:p>
        </w:tc>
        <w:tc>
          <w:tcPr>
            <w:tcW w:w="24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c>
          <w:tcPr>
            <w:tcW w:w="4873" w:type="dxa"/>
            <w:vMerge w:val="continue"/>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3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bCs/>
                <w:snapToGrid w:val="0"/>
                <w:color w:val="auto"/>
                <w:kern w:val="0"/>
                <w:sz w:val="18"/>
                <w:szCs w:val="18"/>
                <w:highlight w:val="none"/>
                <w:lang w:val="zh-CN"/>
              </w:rPr>
            </w:pPr>
            <w:r>
              <w:rPr>
                <w:rFonts w:hint="eastAsia" w:ascii="宋体" w:hAnsi="宋体" w:eastAsia="宋体" w:cs="宋体"/>
                <w:bCs/>
                <w:snapToGrid w:val="0"/>
                <w:color w:val="auto"/>
                <w:kern w:val="0"/>
                <w:sz w:val="18"/>
                <w:szCs w:val="18"/>
                <w:highlight w:val="none"/>
              </w:rPr>
              <w:t>最近一年工作状况</w:t>
            </w:r>
          </w:p>
        </w:tc>
        <w:tc>
          <w:tcPr>
            <w:tcW w:w="24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c>
          <w:tcPr>
            <w:tcW w:w="4873" w:type="dxa"/>
            <w:vMerge w:val="continue"/>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359" w:type="dxa"/>
            <w:tcBorders>
              <w:top w:val="single" w:color="auto" w:sz="4" w:space="0"/>
              <w:left w:val="single" w:color="auto" w:sz="12" w:space="0"/>
              <w:bottom w:val="single" w:color="auto" w:sz="12" w:space="0"/>
              <w:right w:val="single" w:color="auto" w:sz="4" w:space="0"/>
            </w:tcBorders>
            <w:noWrap w:val="0"/>
            <w:vAlign w:val="center"/>
          </w:tcPr>
          <w:p>
            <w:pPr>
              <w:autoSpaceDE w:val="0"/>
              <w:autoSpaceDN w:val="0"/>
              <w:adjustRightInd w:val="0"/>
              <w:jc w:val="center"/>
              <w:rPr>
                <w:rFonts w:hint="eastAsia" w:ascii="宋体" w:hAnsi="宋体" w:eastAsia="宋体" w:cs="宋体"/>
                <w:bCs/>
                <w:snapToGrid w:val="0"/>
                <w:color w:val="auto"/>
                <w:kern w:val="0"/>
                <w:sz w:val="18"/>
                <w:szCs w:val="18"/>
                <w:highlight w:val="none"/>
                <w:lang w:val="zh-CN"/>
              </w:rPr>
            </w:pPr>
            <w:r>
              <w:rPr>
                <w:rFonts w:hint="eastAsia" w:ascii="宋体" w:hAnsi="宋体" w:eastAsia="宋体" w:cs="宋体"/>
                <w:bCs/>
                <w:snapToGrid w:val="0"/>
                <w:color w:val="auto"/>
                <w:kern w:val="0"/>
                <w:sz w:val="18"/>
                <w:szCs w:val="18"/>
                <w:highlight w:val="none"/>
                <w:lang w:val="zh-CN"/>
              </w:rPr>
              <w:t>拟在本项目中担任主要工作</w:t>
            </w:r>
          </w:p>
        </w:tc>
        <w:tc>
          <w:tcPr>
            <w:tcW w:w="7324" w:type="dxa"/>
            <w:gridSpan w:val="2"/>
            <w:tcBorders>
              <w:top w:val="single" w:color="auto" w:sz="4" w:space="0"/>
              <w:left w:val="single" w:color="auto" w:sz="4" w:space="0"/>
              <w:bottom w:val="single" w:color="auto" w:sz="12" w:space="0"/>
              <w:right w:val="single" w:color="auto" w:sz="12"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r>
    </w:tbl>
    <w:p>
      <w:pPr>
        <w:pStyle w:val="7"/>
        <w:spacing w:line="400" w:lineRule="exact"/>
        <w:ind w:firstLine="442" w:firstLineChars="200"/>
        <w:jc w:val="left"/>
        <w:rPr>
          <w:rFonts w:hint="eastAsia" w:ascii="宋体" w:hAnsi="宋体" w:eastAsia="宋体" w:cs="宋体"/>
          <w:snapToGrid w:val="0"/>
          <w:color w:val="auto"/>
          <w:sz w:val="22"/>
          <w:szCs w:val="22"/>
          <w:highlight w:val="none"/>
        </w:rPr>
      </w:pPr>
      <w:r>
        <w:rPr>
          <w:rFonts w:hint="eastAsia" w:ascii="宋体" w:hAnsi="宋体" w:eastAsia="宋体" w:cs="宋体"/>
          <w:b/>
          <w:snapToGrid w:val="0"/>
          <w:color w:val="auto"/>
          <w:sz w:val="22"/>
          <w:szCs w:val="22"/>
          <w:highlight w:val="none"/>
        </w:rPr>
        <w:t>注：本表后应附人员身份证、在本单位社保证明等复印件</w:t>
      </w:r>
      <w:r>
        <w:rPr>
          <w:rFonts w:hint="eastAsia" w:ascii="宋体" w:hAnsi="宋体" w:eastAsia="宋体" w:cs="宋体"/>
          <w:snapToGrid w:val="0"/>
          <w:color w:val="auto"/>
          <w:sz w:val="22"/>
          <w:szCs w:val="22"/>
          <w:highlight w:val="none"/>
        </w:rPr>
        <w:t>。</w:t>
      </w:r>
    </w:p>
    <w:p>
      <w:pPr>
        <w:pStyle w:val="13"/>
        <w:spacing w:line="400" w:lineRule="atLeast"/>
        <w:ind w:left="660" w:hanging="660" w:hangingChars="300"/>
        <w:rPr>
          <w:rFonts w:hint="eastAsia" w:ascii="宋体" w:hAnsi="宋体" w:eastAsia="宋体" w:cs="宋体"/>
          <w:snapToGrid w:val="0"/>
          <w:color w:val="auto"/>
          <w:sz w:val="22"/>
          <w:szCs w:val="22"/>
          <w:highlight w:val="none"/>
        </w:rPr>
      </w:pPr>
    </w:p>
    <w:p>
      <w:pPr>
        <w:spacing w:line="48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投标人全称（盖公章）：</w:t>
      </w:r>
    </w:p>
    <w:p>
      <w:pPr>
        <w:spacing w:line="48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法定代表人</w:t>
      </w:r>
      <w:r>
        <w:rPr>
          <w:rFonts w:hint="eastAsia" w:ascii="宋体" w:hAnsi="宋体" w:eastAsia="宋体" w:cs="宋体"/>
          <w:sz w:val="21"/>
          <w:szCs w:val="21"/>
          <w:highlight w:val="none"/>
        </w:rPr>
        <w:t>或授权代表（签字或盖章）：</w:t>
      </w:r>
    </w:p>
    <w:p>
      <w:pPr>
        <w:spacing w:line="380" w:lineRule="exact"/>
        <w:rPr>
          <w:rFonts w:hint="eastAsia" w:ascii="宋体" w:hAnsi="宋体" w:eastAsia="宋体" w:cs="宋体"/>
          <w:snapToGrid w:val="0"/>
          <w:color w:val="auto"/>
          <w:kern w:val="0"/>
          <w:sz w:val="22"/>
          <w:szCs w:val="22"/>
          <w:highlight w:val="none"/>
        </w:rPr>
      </w:pPr>
      <w:r>
        <w:rPr>
          <w:rFonts w:hint="eastAsia" w:ascii="宋体" w:hAnsi="宋体" w:eastAsia="宋体" w:cs="宋体"/>
          <w:sz w:val="21"/>
          <w:szCs w:val="21"/>
          <w:highlight w:val="none"/>
        </w:rPr>
        <w:t>日  期：</w:t>
      </w:r>
    </w:p>
    <w:p>
      <w:pPr>
        <w:spacing w:line="380" w:lineRule="exact"/>
        <w:ind w:firstLine="4400" w:firstLineChars="2000"/>
        <w:rPr>
          <w:rFonts w:hint="eastAsia" w:ascii="宋体" w:hAnsi="宋体" w:eastAsia="宋体" w:cs="宋体"/>
          <w:snapToGrid w:val="0"/>
          <w:color w:val="auto"/>
          <w:kern w:val="0"/>
          <w:sz w:val="22"/>
          <w:szCs w:val="22"/>
          <w:highlight w:val="none"/>
        </w:rPr>
      </w:pPr>
    </w:p>
    <w:p>
      <w:pPr>
        <w:spacing w:line="380" w:lineRule="exact"/>
        <w:ind w:firstLine="4400" w:firstLineChars="2000"/>
        <w:rPr>
          <w:rFonts w:hint="eastAsia" w:ascii="宋体" w:hAnsi="宋体" w:eastAsia="宋体" w:cs="宋体"/>
          <w:snapToGrid w:val="0"/>
          <w:color w:val="auto"/>
          <w:kern w:val="0"/>
          <w:sz w:val="22"/>
          <w:szCs w:val="22"/>
          <w:highlight w:val="none"/>
        </w:rPr>
      </w:pPr>
    </w:p>
    <w:p>
      <w:pPr>
        <w:rPr>
          <w:rFonts w:hint="eastAsia" w:ascii="宋体" w:hAnsi="宋体" w:eastAsia="宋体" w:cs="宋体"/>
          <w:b/>
          <w:snapToGrid w:val="0"/>
          <w:color w:val="auto"/>
          <w:kern w:val="0"/>
          <w:sz w:val="22"/>
          <w:szCs w:val="22"/>
          <w:highlight w:val="none"/>
        </w:rPr>
      </w:pPr>
      <w:r>
        <w:rPr>
          <w:rFonts w:hint="eastAsia" w:ascii="宋体" w:hAnsi="宋体" w:eastAsia="宋体" w:cs="宋体"/>
          <w:b/>
          <w:snapToGrid w:val="0"/>
          <w:color w:val="auto"/>
          <w:kern w:val="0"/>
          <w:sz w:val="22"/>
          <w:szCs w:val="22"/>
          <w:highlight w:val="none"/>
        </w:rPr>
        <w:br w:type="page"/>
      </w:r>
    </w:p>
    <w:p>
      <w:pPr>
        <w:spacing w:before="240" w:beforeLines="100" w:after="120" w:afterLines="50" w:line="400" w:lineRule="exact"/>
        <w:jc w:val="left"/>
        <w:rPr>
          <w:rFonts w:hint="eastAsia" w:ascii="宋体" w:hAnsi="宋体" w:eastAsia="宋体" w:cs="宋体"/>
          <w:b/>
          <w:snapToGrid w:val="0"/>
          <w:color w:val="auto"/>
          <w:kern w:val="0"/>
          <w:sz w:val="22"/>
          <w:szCs w:val="22"/>
          <w:highlight w:val="none"/>
        </w:rPr>
      </w:pPr>
      <w:r>
        <w:rPr>
          <w:rFonts w:hint="eastAsia" w:ascii="宋体" w:hAnsi="宋体" w:eastAsia="宋体" w:cs="宋体"/>
          <w:b/>
          <w:snapToGrid w:val="0"/>
          <w:color w:val="auto"/>
          <w:kern w:val="0"/>
          <w:sz w:val="22"/>
          <w:szCs w:val="22"/>
          <w:highlight w:val="none"/>
        </w:rPr>
        <w:t>附件八</w:t>
      </w:r>
    </w:p>
    <w:p>
      <w:pPr>
        <w:spacing w:before="240" w:beforeLines="100" w:after="120" w:afterLines="50" w:line="400" w:lineRule="exact"/>
        <w:jc w:val="center"/>
        <w:rPr>
          <w:rFonts w:hint="eastAsia" w:ascii="宋体" w:hAnsi="宋体" w:eastAsia="宋体" w:cs="宋体"/>
          <w:bCs/>
          <w:color w:val="auto"/>
          <w:kern w:val="0"/>
          <w:sz w:val="32"/>
          <w:highlight w:val="none"/>
        </w:rPr>
      </w:pPr>
      <w:r>
        <w:rPr>
          <w:rFonts w:hint="eastAsia" w:ascii="宋体" w:hAnsi="宋体" w:eastAsia="宋体" w:cs="宋体"/>
          <w:b/>
          <w:bCs/>
          <w:color w:val="auto"/>
          <w:kern w:val="0"/>
          <w:sz w:val="30"/>
          <w:highlight w:val="none"/>
        </w:rPr>
        <w:t>项目服务人员汇总表</w:t>
      </w:r>
    </w:p>
    <w:p>
      <w:pPr>
        <w:rPr>
          <w:rFonts w:hint="eastAsia" w:ascii="宋体" w:hAnsi="宋体" w:eastAsia="宋体" w:cs="宋体"/>
          <w:bCs/>
          <w:color w:val="auto"/>
          <w:kern w:val="0"/>
          <w:szCs w:val="21"/>
          <w:highlight w:val="none"/>
        </w:rPr>
      </w:pPr>
      <w:r>
        <w:rPr>
          <w:rFonts w:hint="eastAsia" w:ascii="宋体" w:hAnsi="宋体" w:eastAsia="宋体" w:cs="宋体"/>
          <w:snapToGrid w:val="0"/>
          <w:color w:val="auto"/>
          <w:kern w:val="0"/>
          <w:sz w:val="22"/>
          <w:szCs w:val="22"/>
          <w:highlight w:val="none"/>
        </w:rPr>
        <w:t xml:space="preserve">项目名称：                                      </w:t>
      </w:r>
      <w:r>
        <w:rPr>
          <w:rFonts w:hint="eastAsia" w:ascii="宋体" w:hAnsi="宋体" w:eastAsia="宋体" w:cs="宋体"/>
          <w:snapToGrid w:val="0"/>
          <w:color w:val="auto"/>
          <w:kern w:val="0"/>
          <w:sz w:val="22"/>
          <w:szCs w:val="22"/>
          <w:highlight w:val="none"/>
          <w:lang w:eastAsia="zh-CN"/>
        </w:rPr>
        <w:t>采购</w:t>
      </w:r>
      <w:r>
        <w:rPr>
          <w:rFonts w:hint="eastAsia" w:ascii="宋体" w:hAnsi="宋体" w:eastAsia="宋体" w:cs="宋体"/>
          <w:snapToGrid w:val="0"/>
          <w:color w:val="auto"/>
          <w:kern w:val="0"/>
          <w:sz w:val="22"/>
          <w:szCs w:val="22"/>
          <w:highlight w:val="none"/>
        </w:rPr>
        <w:t>编号：</w:t>
      </w:r>
    </w:p>
    <w:tbl>
      <w:tblPr>
        <w:tblStyle w:val="24"/>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948"/>
        <w:gridCol w:w="720"/>
        <w:gridCol w:w="720"/>
        <w:gridCol w:w="780"/>
        <w:gridCol w:w="900"/>
        <w:gridCol w:w="821"/>
        <w:gridCol w:w="1186"/>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28" w:type="dxa"/>
            <w:tcBorders>
              <w:top w:val="single" w:color="auto" w:sz="12" w:space="0"/>
              <w:left w:val="single" w:color="auto" w:sz="12" w:space="0"/>
              <w:bottom w:val="single" w:color="auto" w:sz="12" w:space="0"/>
            </w:tcBorders>
            <w:noWrap w:val="0"/>
            <w:vAlign w:val="center"/>
          </w:tcPr>
          <w:p>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姓名</w:t>
            </w:r>
          </w:p>
        </w:tc>
        <w:tc>
          <w:tcPr>
            <w:tcW w:w="948" w:type="dxa"/>
            <w:tcBorders>
              <w:top w:val="single" w:color="auto" w:sz="12" w:space="0"/>
              <w:bottom w:val="single" w:color="auto" w:sz="12" w:space="0"/>
            </w:tcBorders>
            <w:noWrap w:val="0"/>
            <w:vAlign w:val="center"/>
          </w:tcPr>
          <w:p>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本项目</w:t>
            </w:r>
          </w:p>
          <w:p>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主要工作</w:t>
            </w:r>
          </w:p>
        </w:tc>
        <w:tc>
          <w:tcPr>
            <w:tcW w:w="720" w:type="dxa"/>
            <w:tcBorders>
              <w:top w:val="single" w:color="auto" w:sz="12" w:space="0"/>
              <w:bottom w:val="single" w:color="auto" w:sz="12" w:space="0"/>
            </w:tcBorders>
            <w:noWrap w:val="0"/>
            <w:vAlign w:val="center"/>
          </w:tcPr>
          <w:p>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年龄</w:t>
            </w:r>
          </w:p>
        </w:tc>
        <w:tc>
          <w:tcPr>
            <w:tcW w:w="720" w:type="dxa"/>
            <w:tcBorders>
              <w:top w:val="single" w:color="auto" w:sz="12" w:space="0"/>
              <w:bottom w:val="single" w:color="auto" w:sz="12" w:space="0"/>
            </w:tcBorders>
            <w:noWrap w:val="0"/>
            <w:vAlign w:val="center"/>
          </w:tcPr>
          <w:p>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性别</w:t>
            </w:r>
          </w:p>
        </w:tc>
        <w:tc>
          <w:tcPr>
            <w:tcW w:w="780" w:type="dxa"/>
            <w:tcBorders>
              <w:top w:val="single" w:color="auto" w:sz="12" w:space="0"/>
              <w:bottom w:val="single" w:color="auto" w:sz="12" w:space="0"/>
              <w:right w:val="single" w:color="auto" w:sz="4" w:space="0"/>
            </w:tcBorders>
            <w:noWrap w:val="0"/>
            <w:vAlign w:val="center"/>
          </w:tcPr>
          <w:p>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职称/职务</w:t>
            </w:r>
          </w:p>
        </w:tc>
        <w:tc>
          <w:tcPr>
            <w:tcW w:w="900" w:type="dxa"/>
            <w:tcBorders>
              <w:top w:val="single" w:color="auto" w:sz="12" w:space="0"/>
              <w:left w:val="single" w:color="auto" w:sz="4" w:space="0"/>
              <w:bottom w:val="single" w:color="auto" w:sz="12" w:space="0"/>
            </w:tcBorders>
            <w:noWrap w:val="0"/>
            <w:vAlign w:val="center"/>
          </w:tcPr>
          <w:p>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专业/</w:t>
            </w:r>
          </w:p>
          <w:p>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年限</w:t>
            </w:r>
          </w:p>
        </w:tc>
        <w:tc>
          <w:tcPr>
            <w:tcW w:w="821" w:type="dxa"/>
            <w:tcBorders>
              <w:top w:val="single" w:color="auto" w:sz="12" w:space="0"/>
              <w:bottom w:val="single" w:color="auto" w:sz="12" w:space="0"/>
            </w:tcBorders>
            <w:noWrap w:val="0"/>
            <w:vAlign w:val="center"/>
          </w:tcPr>
          <w:p>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承诺</w:t>
            </w:r>
          </w:p>
          <w:p>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到位率</w:t>
            </w:r>
          </w:p>
        </w:tc>
        <w:tc>
          <w:tcPr>
            <w:tcW w:w="1186" w:type="dxa"/>
            <w:tcBorders>
              <w:top w:val="single" w:color="auto" w:sz="12" w:space="0"/>
              <w:bottom w:val="single" w:color="auto" w:sz="12" w:space="0"/>
            </w:tcBorders>
            <w:noWrap w:val="0"/>
            <w:vAlign w:val="center"/>
          </w:tcPr>
          <w:p>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到现场服务起止时间</w:t>
            </w:r>
          </w:p>
        </w:tc>
        <w:tc>
          <w:tcPr>
            <w:tcW w:w="2001" w:type="dxa"/>
            <w:tcBorders>
              <w:top w:val="single" w:color="auto" w:sz="12" w:space="0"/>
              <w:bottom w:val="single" w:color="auto" w:sz="12" w:space="0"/>
              <w:right w:val="single" w:color="auto" w:sz="12" w:space="0"/>
            </w:tcBorders>
            <w:noWrap w:val="0"/>
            <w:vAlign w:val="center"/>
          </w:tcPr>
          <w:p>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类似服务的经历、业绩、是否有上岗证等介绍（或另附简历）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top w:val="single" w:color="auto" w:sz="12" w:space="0"/>
              <w:left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948" w:type="dxa"/>
            <w:tcBorders>
              <w:top w:val="single" w:color="auto" w:sz="12" w:space="0"/>
            </w:tcBorders>
            <w:noWrap w:val="0"/>
            <w:vAlign w:val="center"/>
          </w:tcPr>
          <w:p>
            <w:pPr>
              <w:pStyle w:val="58"/>
              <w:widowControl w:val="0"/>
              <w:pBdr>
                <w:left w:val="none" w:color="auto" w:sz="0" w:space="0"/>
                <w:bottom w:val="none" w:color="auto" w:sz="0" w:space="0"/>
                <w:right w:val="none" w:color="auto" w:sz="0" w:space="0"/>
              </w:pBdr>
              <w:spacing w:before="0" w:beforeAutospacing="0" w:after="0" w:afterAutospacing="0"/>
              <w:textAlignment w:val="auto"/>
              <w:rPr>
                <w:rFonts w:hint="eastAsia" w:ascii="宋体" w:hAnsi="宋体" w:eastAsia="宋体" w:cs="宋体"/>
                <w:color w:val="auto"/>
                <w:sz w:val="18"/>
                <w:szCs w:val="18"/>
                <w:highlight w:val="none"/>
              </w:rPr>
            </w:pPr>
          </w:p>
        </w:tc>
        <w:tc>
          <w:tcPr>
            <w:tcW w:w="720" w:type="dxa"/>
            <w:tcBorders>
              <w:top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720" w:type="dxa"/>
            <w:tcBorders>
              <w:top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780" w:type="dxa"/>
            <w:tcBorders>
              <w:top w:val="single" w:color="auto" w:sz="12" w:space="0"/>
              <w:right w:val="single" w:color="auto" w:sz="4" w:space="0"/>
            </w:tcBorders>
            <w:noWrap w:val="0"/>
            <w:vAlign w:val="center"/>
          </w:tcPr>
          <w:p>
            <w:pPr>
              <w:rPr>
                <w:rFonts w:hint="eastAsia" w:ascii="宋体" w:hAnsi="宋体" w:eastAsia="宋体" w:cs="宋体"/>
                <w:color w:val="auto"/>
                <w:kern w:val="0"/>
                <w:sz w:val="18"/>
                <w:szCs w:val="18"/>
                <w:highlight w:val="none"/>
              </w:rPr>
            </w:pPr>
          </w:p>
        </w:tc>
        <w:tc>
          <w:tcPr>
            <w:tcW w:w="900" w:type="dxa"/>
            <w:tcBorders>
              <w:top w:val="single" w:color="auto" w:sz="12" w:space="0"/>
              <w:left w:val="single" w:color="auto" w:sz="4" w:space="0"/>
            </w:tcBorders>
            <w:noWrap w:val="0"/>
            <w:vAlign w:val="center"/>
          </w:tcPr>
          <w:p>
            <w:pPr>
              <w:rPr>
                <w:rFonts w:hint="eastAsia" w:ascii="宋体" w:hAnsi="宋体" w:eastAsia="宋体" w:cs="宋体"/>
                <w:color w:val="auto"/>
                <w:kern w:val="0"/>
                <w:sz w:val="18"/>
                <w:szCs w:val="18"/>
                <w:highlight w:val="none"/>
              </w:rPr>
            </w:pPr>
          </w:p>
        </w:tc>
        <w:tc>
          <w:tcPr>
            <w:tcW w:w="821" w:type="dxa"/>
            <w:tcBorders>
              <w:top w:val="single" w:color="auto" w:sz="12" w:space="0"/>
              <w:right w:val="single" w:color="auto" w:sz="4" w:space="0"/>
            </w:tcBorders>
            <w:noWrap w:val="0"/>
            <w:vAlign w:val="center"/>
          </w:tcPr>
          <w:p>
            <w:pPr>
              <w:rPr>
                <w:rFonts w:hint="eastAsia" w:ascii="宋体" w:hAnsi="宋体" w:eastAsia="宋体" w:cs="宋体"/>
                <w:color w:val="auto"/>
                <w:kern w:val="0"/>
                <w:sz w:val="18"/>
                <w:szCs w:val="18"/>
                <w:highlight w:val="none"/>
              </w:rPr>
            </w:pPr>
          </w:p>
        </w:tc>
        <w:tc>
          <w:tcPr>
            <w:tcW w:w="1186" w:type="dxa"/>
            <w:tcBorders>
              <w:top w:val="single" w:color="auto" w:sz="12" w:space="0"/>
              <w:left w:val="single" w:color="auto" w:sz="4" w:space="0"/>
              <w:right w:val="single" w:color="auto" w:sz="4" w:space="0"/>
            </w:tcBorders>
            <w:noWrap w:val="0"/>
            <w:vAlign w:val="center"/>
          </w:tcPr>
          <w:p>
            <w:pPr>
              <w:rPr>
                <w:rFonts w:hint="eastAsia" w:ascii="宋体" w:hAnsi="宋体" w:eastAsia="宋体" w:cs="宋体"/>
                <w:color w:val="auto"/>
                <w:kern w:val="0"/>
                <w:sz w:val="18"/>
                <w:szCs w:val="18"/>
                <w:highlight w:val="none"/>
              </w:rPr>
            </w:pPr>
          </w:p>
        </w:tc>
        <w:tc>
          <w:tcPr>
            <w:tcW w:w="2001" w:type="dxa"/>
            <w:tcBorders>
              <w:top w:val="single" w:color="auto" w:sz="12" w:space="0"/>
              <w:left w:val="single" w:color="auto" w:sz="4" w:space="0"/>
              <w:right w:val="single" w:color="auto" w:sz="12" w:space="0"/>
            </w:tcBorders>
            <w:noWrap w:val="0"/>
            <w:vAlign w:val="center"/>
          </w:tcPr>
          <w:p>
            <w:pPr>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948"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80" w:type="dxa"/>
            <w:tcBorders>
              <w:right w:val="single" w:color="auto" w:sz="4" w:space="0"/>
            </w:tcBorders>
            <w:noWrap w:val="0"/>
            <w:vAlign w:val="center"/>
          </w:tcPr>
          <w:p>
            <w:pPr>
              <w:rPr>
                <w:rFonts w:hint="eastAsia" w:ascii="宋体" w:hAnsi="宋体" w:eastAsia="宋体" w:cs="宋体"/>
                <w:color w:val="auto"/>
                <w:kern w:val="0"/>
                <w:sz w:val="18"/>
                <w:szCs w:val="18"/>
                <w:highlight w:val="none"/>
              </w:rPr>
            </w:pPr>
          </w:p>
        </w:tc>
        <w:tc>
          <w:tcPr>
            <w:tcW w:w="900" w:type="dxa"/>
            <w:tcBorders>
              <w:left w:val="single" w:color="auto" w:sz="4" w:space="0"/>
            </w:tcBorders>
            <w:noWrap w:val="0"/>
            <w:vAlign w:val="center"/>
          </w:tcPr>
          <w:p>
            <w:pPr>
              <w:rPr>
                <w:rFonts w:hint="eastAsia" w:ascii="宋体" w:hAnsi="宋体" w:eastAsia="宋体" w:cs="宋体"/>
                <w:color w:val="auto"/>
                <w:kern w:val="0"/>
                <w:sz w:val="18"/>
                <w:szCs w:val="18"/>
                <w:highlight w:val="none"/>
              </w:rPr>
            </w:pPr>
          </w:p>
        </w:tc>
        <w:tc>
          <w:tcPr>
            <w:tcW w:w="821" w:type="dxa"/>
            <w:noWrap w:val="0"/>
            <w:vAlign w:val="center"/>
          </w:tcPr>
          <w:p>
            <w:pPr>
              <w:rPr>
                <w:rFonts w:hint="eastAsia" w:ascii="宋体" w:hAnsi="宋体" w:eastAsia="宋体" w:cs="宋体"/>
                <w:color w:val="auto"/>
                <w:kern w:val="0"/>
                <w:sz w:val="18"/>
                <w:szCs w:val="18"/>
                <w:highlight w:val="none"/>
              </w:rPr>
            </w:pPr>
          </w:p>
        </w:tc>
        <w:tc>
          <w:tcPr>
            <w:tcW w:w="1186" w:type="dxa"/>
            <w:noWrap w:val="0"/>
            <w:vAlign w:val="center"/>
          </w:tcPr>
          <w:p>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pPr>
              <w:pStyle w:val="14"/>
              <w:ind w:left="5250"/>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948"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80" w:type="dxa"/>
            <w:tcBorders>
              <w:right w:val="single" w:color="auto" w:sz="4" w:space="0"/>
            </w:tcBorders>
            <w:noWrap w:val="0"/>
            <w:vAlign w:val="center"/>
          </w:tcPr>
          <w:p>
            <w:pPr>
              <w:rPr>
                <w:rFonts w:hint="eastAsia" w:ascii="宋体" w:hAnsi="宋体" w:eastAsia="宋体" w:cs="宋体"/>
                <w:color w:val="auto"/>
                <w:kern w:val="0"/>
                <w:sz w:val="18"/>
                <w:szCs w:val="18"/>
                <w:highlight w:val="none"/>
              </w:rPr>
            </w:pPr>
          </w:p>
        </w:tc>
        <w:tc>
          <w:tcPr>
            <w:tcW w:w="900" w:type="dxa"/>
            <w:tcBorders>
              <w:left w:val="single" w:color="auto" w:sz="4" w:space="0"/>
            </w:tcBorders>
            <w:noWrap w:val="0"/>
            <w:vAlign w:val="center"/>
          </w:tcPr>
          <w:p>
            <w:pPr>
              <w:rPr>
                <w:rFonts w:hint="eastAsia" w:ascii="宋体" w:hAnsi="宋体" w:eastAsia="宋体" w:cs="宋体"/>
                <w:color w:val="auto"/>
                <w:kern w:val="0"/>
                <w:sz w:val="18"/>
                <w:szCs w:val="18"/>
                <w:highlight w:val="none"/>
              </w:rPr>
            </w:pPr>
          </w:p>
        </w:tc>
        <w:tc>
          <w:tcPr>
            <w:tcW w:w="821" w:type="dxa"/>
            <w:noWrap w:val="0"/>
            <w:vAlign w:val="center"/>
          </w:tcPr>
          <w:p>
            <w:pPr>
              <w:rPr>
                <w:rFonts w:hint="eastAsia" w:ascii="宋体" w:hAnsi="宋体" w:eastAsia="宋体" w:cs="宋体"/>
                <w:color w:val="auto"/>
                <w:kern w:val="0"/>
                <w:sz w:val="18"/>
                <w:szCs w:val="18"/>
                <w:highlight w:val="none"/>
              </w:rPr>
            </w:pPr>
          </w:p>
        </w:tc>
        <w:tc>
          <w:tcPr>
            <w:tcW w:w="1186" w:type="dxa"/>
            <w:noWrap w:val="0"/>
            <w:vAlign w:val="center"/>
          </w:tcPr>
          <w:p>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pPr>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948"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80" w:type="dxa"/>
            <w:tcBorders>
              <w:right w:val="single" w:color="auto" w:sz="4" w:space="0"/>
            </w:tcBorders>
            <w:noWrap w:val="0"/>
            <w:vAlign w:val="center"/>
          </w:tcPr>
          <w:p>
            <w:pPr>
              <w:rPr>
                <w:rFonts w:hint="eastAsia" w:ascii="宋体" w:hAnsi="宋体" w:eastAsia="宋体" w:cs="宋体"/>
                <w:color w:val="auto"/>
                <w:kern w:val="0"/>
                <w:sz w:val="18"/>
                <w:szCs w:val="18"/>
                <w:highlight w:val="none"/>
              </w:rPr>
            </w:pPr>
          </w:p>
        </w:tc>
        <w:tc>
          <w:tcPr>
            <w:tcW w:w="900" w:type="dxa"/>
            <w:tcBorders>
              <w:left w:val="single" w:color="auto" w:sz="4" w:space="0"/>
            </w:tcBorders>
            <w:noWrap w:val="0"/>
            <w:vAlign w:val="center"/>
          </w:tcPr>
          <w:p>
            <w:pPr>
              <w:rPr>
                <w:rFonts w:hint="eastAsia" w:ascii="宋体" w:hAnsi="宋体" w:eastAsia="宋体" w:cs="宋体"/>
                <w:color w:val="auto"/>
                <w:kern w:val="0"/>
                <w:sz w:val="18"/>
                <w:szCs w:val="18"/>
                <w:highlight w:val="none"/>
              </w:rPr>
            </w:pPr>
          </w:p>
        </w:tc>
        <w:tc>
          <w:tcPr>
            <w:tcW w:w="821" w:type="dxa"/>
            <w:noWrap w:val="0"/>
            <w:vAlign w:val="center"/>
          </w:tcPr>
          <w:p>
            <w:pPr>
              <w:rPr>
                <w:rFonts w:hint="eastAsia" w:ascii="宋体" w:hAnsi="宋体" w:eastAsia="宋体" w:cs="宋体"/>
                <w:color w:val="auto"/>
                <w:kern w:val="0"/>
                <w:sz w:val="18"/>
                <w:szCs w:val="18"/>
                <w:highlight w:val="none"/>
              </w:rPr>
            </w:pPr>
          </w:p>
        </w:tc>
        <w:tc>
          <w:tcPr>
            <w:tcW w:w="1186" w:type="dxa"/>
            <w:noWrap w:val="0"/>
            <w:vAlign w:val="center"/>
          </w:tcPr>
          <w:p>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pPr>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1028" w:type="dxa"/>
            <w:tcBorders>
              <w:left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948"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80" w:type="dxa"/>
            <w:tcBorders>
              <w:right w:val="single" w:color="auto" w:sz="4" w:space="0"/>
            </w:tcBorders>
            <w:noWrap w:val="0"/>
            <w:vAlign w:val="center"/>
          </w:tcPr>
          <w:p>
            <w:pPr>
              <w:rPr>
                <w:rFonts w:hint="eastAsia" w:ascii="宋体" w:hAnsi="宋体" w:eastAsia="宋体" w:cs="宋体"/>
                <w:color w:val="auto"/>
                <w:kern w:val="0"/>
                <w:sz w:val="18"/>
                <w:szCs w:val="18"/>
                <w:highlight w:val="none"/>
              </w:rPr>
            </w:pPr>
          </w:p>
        </w:tc>
        <w:tc>
          <w:tcPr>
            <w:tcW w:w="900" w:type="dxa"/>
            <w:tcBorders>
              <w:left w:val="single" w:color="auto" w:sz="4" w:space="0"/>
            </w:tcBorders>
            <w:noWrap w:val="0"/>
            <w:vAlign w:val="center"/>
          </w:tcPr>
          <w:p>
            <w:pPr>
              <w:rPr>
                <w:rFonts w:hint="eastAsia" w:ascii="宋体" w:hAnsi="宋体" w:eastAsia="宋体" w:cs="宋体"/>
                <w:color w:val="auto"/>
                <w:kern w:val="0"/>
                <w:sz w:val="18"/>
                <w:szCs w:val="18"/>
                <w:highlight w:val="none"/>
              </w:rPr>
            </w:pPr>
          </w:p>
        </w:tc>
        <w:tc>
          <w:tcPr>
            <w:tcW w:w="821" w:type="dxa"/>
            <w:noWrap w:val="0"/>
            <w:vAlign w:val="center"/>
          </w:tcPr>
          <w:p>
            <w:pPr>
              <w:rPr>
                <w:rFonts w:hint="eastAsia" w:ascii="宋体" w:hAnsi="宋体" w:eastAsia="宋体" w:cs="宋体"/>
                <w:color w:val="auto"/>
                <w:kern w:val="0"/>
                <w:sz w:val="18"/>
                <w:szCs w:val="18"/>
                <w:highlight w:val="none"/>
              </w:rPr>
            </w:pPr>
          </w:p>
        </w:tc>
        <w:tc>
          <w:tcPr>
            <w:tcW w:w="1186" w:type="dxa"/>
            <w:noWrap w:val="0"/>
            <w:vAlign w:val="center"/>
          </w:tcPr>
          <w:p>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pPr>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1028" w:type="dxa"/>
            <w:tcBorders>
              <w:left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948"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80" w:type="dxa"/>
            <w:tcBorders>
              <w:right w:val="single" w:color="auto" w:sz="4" w:space="0"/>
            </w:tcBorders>
            <w:noWrap w:val="0"/>
            <w:vAlign w:val="center"/>
          </w:tcPr>
          <w:p>
            <w:pPr>
              <w:rPr>
                <w:rFonts w:hint="eastAsia" w:ascii="宋体" w:hAnsi="宋体" w:eastAsia="宋体" w:cs="宋体"/>
                <w:color w:val="auto"/>
                <w:kern w:val="0"/>
                <w:sz w:val="18"/>
                <w:szCs w:val="18"/>
                <w:highlight w:val="none"/>
              </w:rPr>
            </w:pPr>
          </w:p>
        </w:tc>
        <w:tc>
          <w:tcPr>
            <w:tcW w:w="900" w:type="dxa"/>
            <w:tcBorders>
              <w:left w:val="single" w:color="auto" w:sz="4" w:space="0"/>
            </w:tcBorders>
            <w:noWrap w:val="0"/>
            <w:vAlign w:val="center"/>
          </w:tcPr>
          <w:p>
            <w:pPr>
              <w:rPr>
                <w:rFonts w:hint="eastAsia" w:ascii="宋体" w:hAnsi="宋体" w:eastAsia="宋体" w:cs="宋体"/>
                <w:color w:val="auto"/>
                <w:kern w:val="0"/>
                <w:sz w:val="18"/>
                <w:szCs w:val="18"/>
                <w:highlight w:val="none"/>
              </w:rPr>
            </w:pPr>
          </w:p>
        </w:tc>
        <w:tc>
          <w:tcPr>
            <w:tcW w:w="821" w:type="dxa"/>
            <w:noWrap w:val="0"/>
            <w:vAlign w:val="center"/>
          </w:tcPr>
          <w:p>
            <w:pPr>
              <w:rPr>
                <w:rFonts w:hint="eastAsia" w:ascii="宋体" w:hAnsi="宋体" w:eastAsia="宋体" w:cs="宋体"/>
                <w:color w:val="auto"/>
                <w:kern w:val="0"/>
                <w:sz w:val="18"/>
                <w:szCs w:val="18"/>
                <w:highlight w:val="none"/>
              </w:rPr>
            </w:pPr>
          </w:p>
        </w:tc>
        <w:tc>
          <w:tcPr>
            <w:tcW w:w="1186" w:type="dxa"/>
            <w:noWrap w:val="0"/>
            <w:vAlign w:val="center"/>
          </w:tcPr>
          <w:p>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pPr>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948"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80" w:type="dxa"/>
            <w:noWrap w:val="0"/>
            <w:vAlign w:val="center"/>
          </w:tcPr>
          <w:p>
            <w:pPr>
              <w:rPr>
                <w:rFonts w:hint="eastAsia" w:ascii="宋体" w:hAnsi="宋体" w:eastAsia="宋体" w:cs="宋体"/>
                <w:color w:val="auto"/>
                <w:kern w:val="0"/>
                <w:sz w:val="18"/>
                <w:szCs w:val="18"/>
                <w:highlight w:val="none"/>
              </w:rPr>
            </w:pPr>
          </w:p>
        </w:tc>
        <w:tc>
          <w:tcPr>
            <w:tcW w:w="900" w:type="dxa"/>
            <w:noWrap w:val="0"/>
            <w:vAlign w:val="center"/>
          </w:tcPr>
          <w:p>
            <w:pPr>
              <w:rPr>
                <w:rFonts w:hint="eastAsia" w:ascii="宋体" w:hAnsi="宋体" w:eastAsia="宋体" w:cs="宋体"/>
                <w:color w:val="auto"/>
                <w:kern w:val="0"/>
                <w:sz w:val="18"/>
                <w:szCs w:val="18"/>
                <w:highlight w:val="none"/>
              </w:rPr>
            </w:pPr>
          </w:p>
        </w:tc>
        <w:tc>
          <w:tcPr>
            <w:tcW w:w="821" w:type="dxa"/>
            <w:noWrap w:val="0"/>
            <w:vAlign w:val="center"/>
          </w:tcPr>
          <w:p>
            <w:pPr>
              <w:rPr>
                <w:rFonts w:hint="eastAsia" w:ascii="宋体" w:hAnsi="宋体" w:eastAsia="宋体" w:cs="宋体"/>
                <w:color w:val="auto"/>
                <w:kern w:val="0"/>
                <w:sz w:val="18"/>
                <w:szCs w:val="18"/>
                <w:highlight w:val="none"/>
              </w:rPr>
            </w:pPr>
          </w:p>
        </w:tc>
        <w:tc>
          <w:tcPr>
            <w:tcW w:w="1186" w:type="dxa"/>
            <w:noWrap w:val="0"/>
            <w:vAlign w:val="center"/>
          </w:tcPr>
          <w:p>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pPr>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948"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80" w:type="dxa"/>
            <w:noWrap w:val="0"/>
            <w:vAlign w:val="center"/>
          </w:tcPr>
          <w:p>
            <w:pPr>
              <w:rPr>
                <w:rFonts w:hint="eastAsia" w:ascii="宋体" w:hAnsi="宋体" w:eastAsia="宋体" w:cs="宋体"/>
                <w:color w:val="auto"/>
                <w:kern w:val="0"/>
                <w:sz w:val="18"/>
                <w:szCs w:val="18"/>
                <w:highlight w:val="none"/>
              </w:rPr>
            </w:pPr>
          </w:p>
        </w:tc>
        <w:tc>
          <w:tcPr>
            <w:tcW w:w="900" w:type="dxa"/>
            <w:noWrap w:val="0"/>
            <w:vAlign w:val="center"/>
          </w:tcPr>
          <w:p>
            <w:pPr>
              <w:rPr>
                <w:rFonts w:hint="eastAsia" w:ascii="宋体" w:hAnsi="宋体" w:eastAsia="宋体" w:cs="宋体"/>
                <w:color w:val="auto"/>
                <w:kern w:val="0"/>
                <w:sz w:val="18"/>
                <w:szCs w:val="18"/>
                <w:highlight w:val="none"/>
              </w:rPr>
            </w:pPr>
          </w:p>
        </w:tc>
        <w:tc>
          <w:tcPr>
            <w:tcW w:w="821" w:type="dxa"/>
            <w:noWrap w:val="0"/>
            <w:vAlign w:val="center"/>
          </w:tcPr>
          <w:p>
            <w:pPr>
              <w:rPr>
                <w:rFonts w:hint="eastAsia" w:ascii="宋体" w:hAnsi="宋体" w:eastAsia="宋体" w:cs="宋体"/>
                <w:color w:val="auto"/>
                <w:kern w:val="0"/>
                <w:sz w:val="18"/>
                <w:szCs w:val="18"/>
                <w:highlight w:val="none"/>
              </w:rPr>
            </w:pPr>
          </w:p>
        </w:tc>
        <w:tc>
          <w:tcPr>
            <w:tcW w:w="1186" w:type="dxa"/>
            <w:noWrap w:val="0"/>
            <w:vAlign w:val="center"/>
          </w:tcPr>
          <w:p>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pPr>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1028" w:type="dxa"/>
            <w:tcBorders>
              <w:left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948"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80" w:type="dxa"/>
            <w:noWrap w:val="0"/>
            <w:vAlign w:val="center"/>
          </w:tcPr>
          <w:p>
            <w:pPr>
              <w:rPr>
                <w:rFonts w:hint="eastAsia" w:ascii="宋体" w:hAnsi="宋体" w:eastAsia="宋体" w:cs="宋体"/>
                <w:color w:val="auto"/>
                <w:kern w:val="0"/>
                <w:sz w:val="18"/>
                <w:szCs w:val="18"/>
                <w:highlight w:val="none"/>
              </w:rPr>
            </w:pPr>
          </w:p>
        </w:tc>
        <w:tc>
          <w:tcPr>
            <w:tcW w:w="900" w:type="dxa"/>
            <w:noWrap w:val="0"/>
            <w:vAlign w:val="center"/>
          </w:tcPr>
          <w:p>
            <w:pPr>
              <w:rPr>
                <w:rFonts w:hint="eastAsia" w:ascii="宋体" w:hAnsi="宋体" w:eastAsia="宋体" w:cs="宋体"/>
                <w:color w:val="auto"/>
                <w:kern w:val="0"/>
                <w:sz w:val="18"/>
                <w:szCs w:val="18"/>
                <w:highlight w:val="none"/>
              </w:rPr>
            </w:pPr>
          </w:p>
        </w:tc>
        <w:tc>
          <w:tcPr>
            <w:tcW w:w="821" w:type="dxa"/>
            <w:noWrap w:val="0"/>
            <w:vAlign w:val="center"/>
          </w:tcPr>
          <w:p>
            <w:pPr>
              <w:rPr>
                <w:rFonts w:hint="eastAsia" w:ascii="宋体" w:hAnsi="宋体" w:eastAsia="宋体" w:cs="宋体"/>
                <w:color w:val="auto"/>
                <w:kern w:val="0"/>
                <w:sz w:val="18"/>
                <w:szCs w:val="18"/>
                <w:highlight w:val="none"/>
              </w:rPr>
            </w:pPr>
          </w:p>
        </w:tc>
        <w:tc>
          <w:tcPr>
            <w:tcW w:w="1186" w:type="dxa"/>
            <w:noWrap w:val="0"/>
            <w:vAlign w:val="center"/>
          </w:tcPr>
          <w:p>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pPr>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948"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80" w:type="dxa"/>
            <w:noWrap w:val="0"/>
            <w:vAlign w:val="center"/>
          </w:tcPr>
          <w:p>
            <w:pPr>
              <w:rPr>
                <w:rFonts w:hint="eastAsia" w:ascii="宋体" w:hAnsi="宋体" w:eastAsia="宋体" w:cs="宋体"/>
                <w:color w:val="auto"/>
                <w:kern w:val="0"/>
                <w:sz w:val="18"/>
                <w:szCs w:val="18"/>
                <w:highlight w:val="none"/>
              </w:rPr>
            </w:pPr>
          </w:p>
        </w:tc>
        <w:tc>
          <w:tcPr>
            <w:tcW w:w="900" w:type="dxa"/>
            <w:noWrap w:val="0"/>
            <w:vAlign w:val="center"/>
          </w:tcPr>
          <w:p>
            <w:pPr>
              <w:rPr>
                <w:rFonts w:hint="eastAsia" w:ascii="宋体" w:hAnsi="宋体" w:eastAsia="宋体" w:cs="宋体"/>
                <w:color w:val="auto"/>
                <w:kern w:val="0"/>
                <w:sz w:val="18"/>
                <w:szCs w:val="18"/>
                <w:highlight w:val="none"/>
              </w:rPr>
            </w:pPr>
          </w:p>
        </w:tc>
        <w:tc>
          <w:tcPr>
            <w:tcW w:w="821" w:type="dxa"/>
            <w:noWrap w:val="0"/>
            <w:vAlign w:val="center"/>
          </w:tcPr>
          <w:p>
            <w:pPr>
              <w:rPr>
                <w:rFonts w:hint="eastAsia" w:ascii="宋体" w:hAnsi="宋体" w:eastAsia="宋体" w:cs="宋体"/>
                <w:color w:val="auto"/>
                <w:kern w:val="0"/>
                <w:sz w:val="18"/>
                <w:szCs w:val="18"/>
                <w:highlight w:val="none"/>
              </w:rPr>
            </w:pPr>
          </w:p>
        </w:tc>
        <w:tc>
          <w:tcPr>
            <w:tcW w:w="1186" w:type="dxa"/>
            <w:noWrap w:val="0"/>
            <w:vAlign w:val="center"/>
          </w:tcPr>
          <w:p>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pPr>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1028" w:type="dxa"/>
            <w:tcBorders>
              <w:left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948"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80" w:type="dxa"/>
            <w:noWrap w:val="0"/>
            <w:vAlign w:val="center"/>
          </w:tcPr>
          <w:p>
            <w:pPr>
              <w:rPr>
                <w:rFonts w:hint="eastAsia" w:ascii="宋体" w:hAnsi="宋体" w:eastAsia="宋体" w:cs="宋体"/>
                <w:color w:val="auto"/>
                <w:kern w:val="0"/>
                <w:sz w:val="18"/>
                <w:szCs w:val="18"/>
                <w:highlight w:val="none"/>
              </w:rPr>
            </w:pPr>
          </w:p>
        </w:tc>
        <w:tc>
          <w:tcPr>
            <w:tcW w:w="900" w:type="dxa"/>
            <w:noWrap w:val="0"/>
            <w:vAlign w:val="center"/>
          </w:tcPr>
          <w:p>
            <w:pPr>
              <w:rPr>
                <w:rFonts w:hint="eastAsia" w:ascii="宋体" w:hAnsi="宋体" w:eastAsia="宋体" w:cs="宋体"/>
                <w:color w:val="auto"/>
                <w:kern w:val="0"/>
                <w:sz w:val="18"/>
                <w:szCs w:val="18"/>
                <w:highlight w:val="none"/>
              </w:rPr>
            </w:pPr>
          </w:p>
        </w:tc>
        <w:tc>
          <w:tcPr>
            <w:tcW w:w="821" w:type="dxa"/>
            <w:noWrap w:val="0"/>
            <w:vAlign w:val="center"/>
          </w:tcPr>
          <w:p>
            <w:pPr>
              <w:rPr>
                <w:rFonts w:hint="eastAsia" w:ascii="宋体" w:hAnsi="宋体" w:eastAsia="宋体" w:cs="宋体"/>
                <w:color w:val="auto"/>
                <w:kern w:val="0"/>
                <w:sz w:val="18"/>
                <w:szCs w:val="18"/>
                <w:highlight w:val="none"/>
              </w:rPr>
            </w:pPr>
          </w:p>
        </w:tc>
        <w:tc>
          <w:tcPr>
            <w:tcW w:w="1186" w:type="dxa"/>
            <w:noWrap w:val="0"/>
            <w:vAlign w:val="center"/>
          </w:tcPr>
          <w:p>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pPr>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948"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80" w:type="dxa"/>
            <w:noWrap w:val="0"/>
            <w:vAlign w:val="center"/>
          </w:tcPr>
          <w:p>
            <w:pPr>
              <w:rPr>
                <w:rFonts w:hint="eastAsia" w:ascii="宋体" w:hAnsi="宋体" w:eastAsia="宋体" w:cs="宋体"/>
                <w:color w:val="auto"/>
                <w:kern w:val="0"/>
                <w:sz w:val="18"/>
                <w:szCs w:val="18"/>
                <w:highlight w:val="none"/>
              </w:rPr>
            </w:pPr>
          </w:p>
        </w:tc>
        <w:tc>
          <w:tcPr>
            <w:tcW w:w="900" w:type="dxa"/>
            <w:noWrap w:val="0"/>
            <w:vAlign w:val="center"/>
          </w:tcPr>
          <w:p>
            <w:pPr>
              <w:rPr>
                <w:rFonts w:hint="eastAsia" w:ascii="宋体" w:hAnsi="宋体" w:eastAsia="宋体" w:cs="宋体"/>
                <w:color w:val="auto"/>
                <w:kern w:val="0"/>
                <w:sz w:val="18"/>
                <w:szCs w:val="18"/>
                <w:highlight w:val="none"/>
              </w:rPr>
            </w:pPr>
          </w:p>
        </w:tc>
        <w:tc>
          <w:tcPr>
            <w:tcW w:w="821" w:type="dxa"/>
            <w:noWrap w:val="0"/>
            <w:vAlign w:val="center"/>
          </w:tcPr>
          <w:p>
            <w:pPr>
              <w:rPr>
                <w:rFonts w:hint="eastAsia" w:ascii="宋体" w:hAnsi="宋体" w:eastAsia="宋体" w:cs="宋体"/>
                <w:color w:val="auto"/>
                <w:kern w:val="0"/>
                <w:sz w:val="18"/>
                <w:szCs w:val="18"/>
                <w:highlight w:val="none"/>
              </w:rPr>
            </w:pPr>
          </w:p>
        </w:tc>
        <w:tc>
          <w:tcPr>
            <w:tcW w:w="1186" w:type="dxa"/>
            <w:noWrap w:val="0"/>
            <w:vAlign w:val="center"/>
          </w:tcPr>
          <w:p>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pPr>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1028" w:type="dxa"/>
            <w:tcBorders>
              <w:left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948"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80" w:type="dxa"/>
            <w:noWrap w:val="0"/>
            <w:vAlign w:val="center"/>
          </w:tcPr>
          <w:p>
            <w:pPr>
              <w:rPr>
                <w:rFonts w:hint="eastAsia" w:ascii="宋体" w:hAnsi="宋体" w:eastAsia="宋体" w:cs="宋体"/>
                <w:color w:val="auto"/>
                <w:kern w:val="0"/>
                <w:sz w:val="18"/>
                <w:szCs w:val="18"/>
                <w:highlight w:val="none"/>
              </w:rPr>
            </w:pPr>
          </w:p>
        </w:tc>
        <w:tc>
          <w:tcPr>
            <w:tcW w:w="900" w:type="dxa"/>
            <w:noWrap w:val="0"/>
            <w:vAlign w:val="center"/>
          </w:tcPr>
          <w:p>
            <w:pPr>
              <w:rPr>
                <w:rFonts w:hint="eastAsia" w:ascii="宋体" w:hAnsi="宋体" w:eastAsia="宋体" w:cs="宋体"/>
                <w:color w:val="auto"/>
                <w:kern w:val="0"/>
                <w:sz w:val="18"/>
                <w:szCs w:val="18"/>
                <w:highlight w:val="none"/>
              </w:rPr>
            </w:pPr>
          </w:p>
        </w:tc>
        <w:tc>
          <w:tcPr>
            <w:tcW w:w="821" w:type="dxa"/>
            <w:noWrap w:val="0"/>
            <w:vAlign w:val="center"/>
          </w:tcPr>
          <w:p>
            <w:pPr>
              <w:rPr>
                <w:rFonts w:hint="eastAsia" w:ascii="宋体" w:hAnsi="宋体" w:eastAsia="宋体" w:cs="宋体"/>
                <w:color w:val="auto"/>
                <w:kern w:val="0"/>
                <w:sz w:val="18"/>
                <w:szCs w:val="18"/>
                <w:highlight w:val="none"/>
              </w:rPr>
            </w:pPr>
          </w:p>
        </w:tc>
        <w:tc>
          <w:tcPr>
            <w:tcW w:w="1186" w:type="dxa"/>
            <w:noWrap w:val="0"/>
            <w:vAlign w:val="center"/>
          </w:tcPr>
          <w:p>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pPr>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9104" w:type="dxa"/>
            <w:gridSpan w:val="9"/>
            <w:tcBorders>
              <w:left w:val="single" w:color="auto" w:sz="12" w:space="0"/>
              <w:bottom w:val="single" w:color="auto" w:sz="12" w:space="0"/>
              <w:right w:val="single" w:color="auto" w:sz="12" w:space="0"/>
            </w:tcBorders>
            <w:noWrap w:val="0"/>
            <w:vAlign w:val="center"/>
          </w:tcPr>
          <w:p>
            <w:pP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一旦我单位中标，将实行</w:t>
            </w:r>
            <w:r>
              <w:rPr>
                <w:rFonts w:hint="eastAsia" w:ascii="宋体" w:hAnsi="宋体" w:eastAsia="宋体" w:cs="宋体"/>
                <w:color w:val="auto"/>
                <w:kern w:val="0"/>
                <w:sz w:val="18"/>
                <w:szCs w:val="18"/>
                <w:highlight w:val="none"/>
                <w:lang w:eastAsia="zh-CN"/>
              </w:rPr>
              <w:t>物业经理</w:t>
            </w:r>
            <w:r>
              <w:rPr>
                <w:rFonts w:hint="eastAsia" w:ascii="宋体" w:hAnsi="宋体" w:eastAsia="宋体" w:cs="宋体"/>
                <w:color w:val="auto"/>
                <w:kern w:val="0"/>
                <w:sz w:val="18"/>
                <w:szCs w:val="18"/>
                <w:highlight w:val="none"/>
              </w:rPr>
              <w:t>（负责人）负责制，我方保证并配备上述项目管理机构。上述填报内容真实，若不真实，愿按有关规定接受处理。</w:t>
            </w:r>
          </w:p>
        </w:tc>
      </w:tr>
    </w:tbl>
    <w:p>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注：1、</w:t>
      </w:r>
      <w:r>
        <w:rPr>
          <w:rFonts w:hint="eastAsia" w:ascii="宋体" w:hAnsi="宋体" w:eastAsia="宋体" w:cs="宋体"/>
          <w:color w:val="auto"/>
          <w:highlight w:val="none"/>
          <w:lang w:val="en-US" w:eastAsia="zh-CN"/>
        </w:rPr>
        <w:t>本表格可暂时只填写项目管理人员的，驻守保安人员如已明确的也可填入本表，未明确的驻守人员可在表述中明确招聘标准及到岗时间</w:t>
      </w:r>
      <w:r>
        <w:rPr>
          <w:rFonts w:hint="eastAsia" w:ascii="宋体" w:hAnsi="宋体" w:eastAsia="宋体" w:cs="宋体"/>
          <w:color w:val="auto"/>
          <w:highlight w:val="none"/>
        </w:rPr>
        <w:t>；</w:t>
      </w:r>
    </w:p>
    <w:p>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2、本表人员有资格证书的应随表提交职称、资格证书复印件（加盖公章）。</w:t>
      </w:r>
    </w:p>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3、列入本表人员如要更换，需经</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单位同意；擅自更换或不到位属违约行为。</w:t>
      </w:r>
    </w:p>
    <w:p>
      <w:pPr>
        <w:spacing w:line="360" w:lineRule="auto"/>
        <w:rPr>
          <w:rFonts w:hint="eastAsia" w:ascii="宋体" w:hAnsi="宋体" w:eastAsia="宋体" w:cs="宋体"/>
          <w:sz w:val="21"/>
          <w:szCs w:val="21"/>
          <w:highlight w:val="none"/>
        </w:rPr>
      </w:pP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投标人全称（盖公章）：</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法定代表人</w:t>
      </w:r>
      <w:r>
        <w:rPr>
          <w:rFonts w:hint="eastAsia" w:ascii="宋体" w:hAnsi="宋体" w:eastAsia="宋体" w:cs="宋体"/>
          <w:sz w:val="21"/>
          <w:szCs w:val="21"/>
          <w:highlight w:val="none"/>
        </w:rPr>
        <w:t>或授权代表（签字或盖章）：</w:t>
      </w:r>
    </w:p>
    <w:p>
      <w:pPr>
        <w:spacing w:line="360" w:lineRule="auto"/>
        <w:jc w:val="both"/>
        <w:rPr>
          <w:rFonts w:hint="eastAsia" w:ascii="宋体" w:hAnsi="宋体" w:eastAsia="宋体" w:cs="宋体"/>
          <w:b/>
          <w:color w:val="auto"/>
          <w:sz w:val="48"/>
          <w:szCs w:val="48"/>
          <w:highlight w:val="none"/>
        </w:rPr>
      </w:pPr>
      <w:r>
        <w:rPr>
          <w:rFonts w:hint="eastAsia" w:ascii="宋体" w:hAnsi="宋体" w:eastAsia="宋体" w:cs="宋体"/>
          <w:sz w:val="21"/>
          <w:szCs w:val="21"/>
          <w:highlight w:val="none"/>
        </w:rPr>
        <w:t>日  期：</w:t>
      </w:r>
    </w:p>
    <w:p>
      <w:pPr>
        <w:jc w:val="center"/>
        <w:rPr>
          <w:rFonts w:hint="eastAsia" w:ascii="宋体" w:hAnsi="宋体" w:eastAsia="宋体" w:cs="宋体"/>
          <w:b/>
          <w:color w:val="auto"/>
          <w:sz w:val="48"/>
          <w:szCs w:val="48"/>
          <w:highlight w:val="none"/>
        </w:rPr>
      </w:pPr>
    </w:p>
    <w:p>
      <w:pPr>
        <w:spacing w:before="120" w:after="120" w:line="38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r>
        <w:rPr>
          <w:rFonts w:hint="eastAsia" w:ascii="宋体" w:hAnsi="宋体" w:eastAsia="宋体" w:cs="宋体"/>
          <w:b/>
          <w:bCs/>
          <w:color w:val="auto"/>
          <w:sz w:val="21"/>
          <w:szCs w:val="21"/>
          <w:highlight w:val="none"/>
        </w:rPr>
        <w:t>附件九</w:t>
      </w:r>
    </w:p>
    <w:p>
      <w:pPr>
        <w:spacing w:before="120" w:after="120" w:line="38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投标人</w:t>
      </w:r>
      <w:r>
        <w:rPr>
          <w:rFonts w:hint="eastAsia" w:ascii="宋体" w:hAnsi="宋体" w:eastAsia="宋体" w:cs="宋体"/>
          <w:b/>
          <w:bCs/>
          <w:color w:val="auto"/>
          <w:szCs w:val="21"/>
          <w:highlight w:val="none"/>
          <w:lang w:eastAsia="zh-CN"/>
        </w:rPr>
        <w:t>2019年1月1日以来</w:t>
      </w:r>
      <w:r>
        <w:rPr>
          <w:rFonts w:hint="eastAsia" w:ascii="宋体" w:hAnsi="宋体" w:eastAsia="宋体" w:cs="宋体"/>
          <w:b/>
          <w:bCs/>
          <w:color w:val="auto"/>
          <w:szCs w:val="21"/>
          <w:highlight w:val="none"/>
        </w:rPr>
        <w:t>同类项目业绩一览表</w:t>
      </w:r>
    </w:p>
    <w:p>
      <w:pPr>
        <w:rPr>
          <w:rFonts w:hint="eastAsia" w:ascii="宋体" w:hAnsi="宋体" w:eastAsia="宋体" w:cs="宋体"/>
          <w:color w:val="auto"/>
          <w:highlight w:val="none"/>
          <w:lang w:val="zh-CN"/>
        </w:rPr>
      </w:pPr>
      <w:r>
        <w:rPr>
          <w:rFonts w:hint="eastAsia" w:ascii="宋体" w:hAnsi="宋体" w:eastAsia="宋体" w:cs="宋体"/>
          <w:snapToGrid w:val="0"/>
          <w:color w:val="auto"/>
          <w:kern w:val="0"/>
          <w:sz w:val="22"/>
          <w:szCs w:val="22"/>
          <w:highlight w:val="none"/>
        </w:rPr>
        <w:t xml:space="preserve">项目名称：                                      </w:t>
      </w:r>
      <w:r>
        <w:rPr>
          <w:rFonts w:hint="eastAsia" w:ascii="宋体" w:hAnsi="宋体" w:eastAsia="宋体" w:cs="宋体"/>
          <w:snapToGrid w:val="0"/>
          <w:color w:val="auto"/>
          <w:kern w:val="0"/>
          <w:sz w:val="22"/>
          <w:szCs w:val="22"/>
          <w:highlight w:val="none"/>
          <w:lang w:eastAsia="zh-CN"/>
        </w:rPr>
        <w:t>采购</w:t>
      </w:r>
      <w:r>
        <w:rPr>
          <w:rFonts w:hint="eastAsia" w:ascii="宋体" w:hAnsi="宋体" w:eastAsia="宋体" w:cs="宋体"/>
          <w:snapToGrid w:val="0"/>
          <w:color w:val="auto"/>
          <w:kern w:val="0"/>
          <w:sz w:val="22"/>
          <w:szCs w:val="22"/>
          <w:highlight w:val="none"/>
        </w:rPr>
        <w:t>编号：</w:t>
      </w:r>
    </w:p>
    <w:tbl>
      <w:tblPr>
        <w:tblStyle w:val="24"/>
        <w:tblW w:w="913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46"/>
        <w:gridCol w:w="1876"/>
        <w:gridCol w:w="3024"/>
        <w:gridCol w:w="1188"/>
        <w:gridCol w:w="9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046" w:type="dxa"/>
            <w:noWrap w:val="0"/>
            <w:vAlign w:val="center"/>
          </w:tcPr>
          <w:p>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项目名称</w:t>
            </w:r>
          </w:p>
        </w:tc>
        <w:tc>
          <w:tcPr>
            <w:tcW w:w="1876" w:type="dxa"/>
            <w:noWrap w:val="0"/>
            <w:vAlign w:val="center"/>
          </w:tcPr>
          <w:p>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使用单位</w:t>
            </w:r>
          </w:p>
        </w:tc>
        <w:tc>
          <w:tcPr>
            <w:tcW w:w="3024" w:type="dxa"/>
            <w:noWrap w:val="0"/>
            <w:vAlign w:val="center"/>
          </w:tcPr>
          <w:p>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地址/联系电话</w:t>
            </w:r>
          </w:p>
        </w:tc>
        <w:tc>
          <w:tcPr>
            <w:tcW w:w="1188" w:type="dxa"/>
            <w:noWrap w:val="0"/>
            <w:vAlign w:val="center"/>
          </w:tcPr>
          <w:p>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合同金额</w:t>
            </w:r>
            <w:r>
              <w:rPr>
                <w:rFonts w:hint="eastAsia" w:ascii="宋体" w:hAnsi="宋体" w:eastAsia="宋体" w:cs="宋体"/>
                <w:color w:val="auto"/>
                <w:sz w:val="18"/>
                <w:szCs w:val="18"/>
                <w:highlight w:val="none"/>
              </w:rPr>
              <w:t>（万元）</w:t>
            </w:r>
          </w:p>
        </w:tc>
        <w:tc>
          <w:tcPr>
            <w:tcW w:w="998" w:type="dxa"/>
            <w:noWrap w:val="0"/>
            <w:vAlign w:val="center"/>
          </w:tcPr>
          <w:p>
            <w:pPr>
              <w:pStyle w:val="68"/>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pPr>
              <w:rPr>
                <w:rFonts w:hint="eastAsia" w:ascii="宋体" w:hAnsi="宋体" w:eastAsia="宋体" w:cs="宋体"/>
                <w:color w:val="auto"/>
                <w:sz w:val="18"/>
                <w:szCs w:val="18"/>
                <w:highlight w:val="none"/>
              </w:rPr>
            </w:pPr>
          </w:p>
        </w:tc>
        <w:tc>
          <w:tcPr>
            <w:tcW w:w="1876" w:type="dxa"/>
            <w:noWrap w:val="0"/>
            <w:vAlign w:val="top"/>
          </w:tcPr>
          <w:p>
            <w:pPr>
              <w:rPr>
                <w:rFonts w:hint="eastAsia" w:ascii="宋体" w:hAnsi="宋体" w:eastAsia="宋体" w:cs="宋体"/>
                <w:color w:val="auto"/>
                <w:sz w:val="18"/>
                <w:szCs w:val="18"/>
                <w:highlight w:val="none"/>
              </w:rPr>
            </w:pPr>
          </w:p>
        </w:tc>
        <w:tc>
          <w:tcPr>
            <w:tcW w:w="3024" w:type="dxa"/>
            <w:noWrap w:val="0"/>
            <w:vAlign w:val="top"/>
          </w:tcPr>
          <w:p>
            <w:pPr>
              <w:rPr>
                <w:rFonts w:hint="eastAsia" w:ascii="宋体" w:hAnsi="宋体" w:eastAsia="宋体" w:cs="宋体"/>
                <w:color w:val="auto"/>
                <w:sz w:val="18"/>
                <w:szCs w:val="18"/>
                <w:highlight w:val="none"/>
              </w:rPr>
            </w:pPr>
          </w:p>
        </w:tc>
        <w:tc>
          <w:tcPr>
            <w:tcW w:w="1188" w:type="dxa"/>
            <w:noWrap w:val="0"/>
            <w:vAlign w:val="top"/>
          </w:tcPr>
          <w:p>
            <w:pPr>
              <w:rPr>
                <w:rFonts w:hint="eastAsia" w:ascii="宋体" w:hAnsi="宋体" w:eastAsia="宋体" w:cs="宋体"/>
                <w:color w:val="auto"/>
                <w:sz w:val="18"/>
                <w:szCs w:val="18"/>
                <w:highlight w:val="none"/>
              </w:rPr>
            </w:pPr>
          </w:p>
        </w:tc>
        <w:tc>
          <w:tcPr>
            <w:tcW w:w="998" w:type="dxa"/>
            <w:noWrap w:val="0"/>
            <w:vAlign w:val="top"/>
          </w:tcPr>
          <w:p>
            <w:pP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pPr>
              <w:rPr>
                <w:rFonts w:hint="eastAsia" w:ascii="宋体" w:hAnsi="宋体" w:eastAsia="宋体" w:cs="宋体"/>
                <w:color w:val="auto"/>
                <w:sz w:val="18"/>
                <w:szCs w:val="18"/>
                <w:highlight w:val="none"/>
              </w:rPr>
            </w:pPr>
          </w:p>
        </w:tc>
        <w:tc>
          <w:tcPr>
            <w:tcW w:w="1876" w:type="dxa"/>
            <w:noWrap w:val="0"/>
            <w:vAlign w:val="top"/>
          </w:tcPr>
          <w:p>
            <w:pPr>
              <w:rPr>
                <w:rFonts w:hint="eastAsia" w:ascii="宋体" w:hAnsi="宋体" w:eastAsia="宋体" w:cs="宋体"/>
                <w:color w:val="auto"/>
                <w:sz w:val="18"/>
                <w:szCs w:val="18"/>
                <w:highlight w:val="none"/>
              </w:rPr>
            </w:pPr>
          </w:p>
        </w:tc>
        <w:tc>
          <w:tcPr>
            <w:tcW w:w="3024" w:type="dxa"/>
            <w:noWrap w:val="0"/>
            <w:vAlign w:val="top"/>
          </w:tcPr>
          <w:p>
            <w:pPr>
              <w:rPr>
                <w:rFonts w:hint="eastAsia" w:ascii="宋体" w:hAnsi="宋体" w:eastAsia="宋体" w:cs="宋体"/>
                <w:color w:val="auto"/>
                <w:sz w:val="18"/>
                <w:szCs w:val="18"/>
                <w:highlight w:val="none"/>
              </w:rPr>
            </w:pPr>
          </w:p>
        </w:tc>
        <w:tc>
          <w:tcPr>
            <w:tcW w:w="1188" w:type="dxa"/>
            <w:noWrap w:val="0"/>
            <w:vAlign w:val="top"/>
          </w:tcPr>
          <w:p>
            <w:pPr>
              <w:rPr>
                <w:rFonts w:hint="eastAsia" w:ascii="宋体" w:hAnsi="宋体" w:eastAsia="宋体" w:cs="宋体"/>
                <w:color w:val="auto"/>
                <w:sz w:val="18"/>
                <w:szCs w:val="18"/>
                <w:highlight w:val="none"/>
              </w:rPr>
            </w:pPr>
          </w:p>
        </w:tc>
        <w:tc>
          <w:tcPr>
            <w:tcW w:w="998" w:type="dxa"/>
            <w:noWrap w:val="0"/>
            <w:vAlign w:val="top"/>
          </w:tcPr>
          <w:p>
            <w:pP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pPr>
              <w:rPr>
                <w:rFonts w:hint="eastAsia" w:ascii="宋体" w:hAnsi="宋体" w:eastAsia="宋体" w:cs="宋体"/>
                <w:color w:val="auto"/>
                <w:sz w:val="18"/>
                <w:szCs w:val="18"/>
                <w:highlight w:val="none"/>
              </w:rPr>
            </w:pPr>
          </w:p>
        </w:tc>
        <w:tc>
          <w:tcPr>
            <w:tcW w:w="1876" w:type="dxa"/>
            <w:noWrap w:val="0"/>
            <w:vAlign w:val="top"/>
          </w:tcPr>
          <w:p>
            <w:pPr>
              <w:rPr>
                <w:rFonts w:hint="eastAsia" w:ascii="宋体" w:hAnsi="宋体" w:eastAsia="宋体" w:cs="宋体"/>
                <w:color w:val="auto"/>
                <w:sz w:val="18"/>
                <w:szCs w:val="18"/>
                <w:highlight w:val="none"/>
              </w:rPr>
            </w:pPr>
          </w:p>
        </w:tc>
        <w:tc>
          <w:tcPr>
            <w:tcW w:w="3024" w:type="dxa"/>
            <w:noWrap w:val="0"/>
            <w:vAlign w:val="top"/>
          </w:tcPr>
          <w:p>
            <w:pPr>
              <w:rPr>
                <w:rFonts w:hint="eastAsia" w:ascii="宋体" w:hAnsi="宋体" w:eastAsia="宋体" w:cs="宋体"/>
                <w:color w:val="auto"/>
                <w:sz w:val="18"/>
                <w:szCs w:val="18"/>
                <w:highlight w:val="none"/>
              </w:rPr>
            </w:pPr>
          </w:p>
        </w:tc>
        <w:tc>
          <w:tcPr>
            <w:tcW w:w="1188" w:type="dxa"/>
            <w:noWrap w:val="0"/>
            <w:vAlign w:val="top"/>
          </w:tcPr>
          <w:p>
            <w:pPr>
              <w:rPr>
                <w:rFonts w:hint="eastAsia" w:ascii="宋体" w:hAnsi="宋体" w:eastAsia="宋体" w:cs="宋体"/>
                <w:color w:val="auto"/>
                <w:sz w:val="18"/>
                <w:szCs w:val="18"/>
                <w:highlight w:val="none"/>
              </w:rPr>
            </w:pPr>
          </w:p>
        </w:tc>
        <w:tc>
          <w:tcPr>
            <w:tcW w:w="998" w:type="dxa"/>
            <w:noWrap w:val="0"/>
            <w:vAlign w:val="top"/>
          </w:tcPr>
          <w:p>
            <w:pP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pPr>
              <w:rPr>
                <w:rFonts w:hint="eastAsia" w:ascii="宋体" w:hAnsi="宋体" w:eastAsia="宋体" w:cs="宋体"/>
                <w:color w:val="auto"/>
                <w:sz w:val="18"/>
                <w:szCs w:val="18"/>
                <w:highlight w:val="none"/>
              </w:rPr>
            </w:pPr>
          </w:p>
        </w:tc>
        <w:tc>
          <w:tcPr>
            <w:tcW w:w="1876" w:type="dxa"/>
            <w:noWrap w:val="0"/>
            <w:vAlign w:val="top"/>
          </w:tcPr>
          <w:p>
            <w:pPr>
              <w:rPr>
                <w:rFonts w:hint="eastAsia" w:ascii="宋体" w:hAnsi="宋体" w:eastAsia="宋体" w:cs="宋体"/>
                <w:color w:val="auto"/>
                <w:sz w:val="18"/>
                <w:szCs w:val="18"/>
                <w:highlight w:val="none"/>
              </w:rPr>
            </w:pPr>
          </w:p>
        </w:tc>
        <w:tc>
          <w:tcPr>
            <w:tcW w:w="3024" w:type="dxa"/>
            <w:noWrap w:val="0"/>
            <w:vAlign w:val="top"/>
          </w:tcPr>
          <w:p>
            <w:pPr>
              <w:rPr>
                <w:rFonts w:hint="eastAsia" w:ascii="宋体" w:hAnsi="宋体" w:eastAsia="宋体" w:cs="宋体"/>
                <w:color w:val="auto"/>
                <w:sz w:val="18"/>
                <w:szCs w:val="18"/>
                <w:highlight w:val="none"/>
              </w:rPr>
            </w:pPr>
          </w:p>
        </w:tc>
        <w:tc>
          <w:tcPr>
            <w:tcW w:w="1188" w:type="dxa"/>
            <w:noWrap w:val="0"/>
            <w:vAlign w:val="top"/>
          </w:tcPr>
          <w:p>
            <w:pPr>
              <w:rPr>
                <w:rFonts w:hint="eastAsia" w:ascii="宋体" w:hAnsi="宋体" w:eastAsia="宋体" w:cs="宋体"/>
                <w:color w:val="auto"/>
                <w:sz w:val="18"/>
                <w:szCs w:val="18"/>
                <w:highlight w:val="none"/>
              </w:rPr>
            </w:pPr>
          </w:p>
        </w:tc>
        <w:tc>
          <w:tcPr>
            <w:tcW w:w="998" w:type="dxa"/>
            <w:noWrap w:val="0"/>
            <w:vAlign w:val="top"/>
          </w:tcPr>
          <w:p>
            <w:pP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pPr>
              <w:rPr>
                <w:rFonts w:hint="eastAsia" w:ascii="宋体" w:hAnsi="宋体" w:eastAsia="宋体" w:cs="宋体"/>
                <w:color w:val="auto"/>
                <w:sz w:val="18"/>
                <w:szCs w:val="18"/>
                <w:highlight w:val="none"/>
              </w:rPr>
            </w:pPr>
          </w:p>
        </w:tc>
        <w:tc>
          <w:tcPr>
            <w:tcW w:w="1876" w:type="dxa"/>
            <w:noWrap w:val="0"/>
            <w:vAlign w:val="top"/>
          </w:tcPr>
          <w:p>
            <w:pPr>
              <w:rPr>
                <w:rFonts w:hint="eastAsia" w:ascii="宋体" w:hAnsi="宋体" w:eastAsia="宋体" w:cs="宋体"/>
                <w:color w:val="auto"/>
                <w:sz w:val="18"/>
                <w:szCs w:val="18"/>
                <w:highlight w:val="none"/>
              </w:rPr>
            </w:pPr>
          </w:p>
        </w:tc>
        <w:tc>
          <w:tcPr>
            <w:tcW w:w="3024" w:type="dxa"/>
            <w:noWrap w:val="0"/>
            <w:vAlign w:val="top"/>
          </w:tcPr>
          <w:p>
            <w:pPr>
              <w:rPr>
                <w:rFonts w:hint="eastAsia" w:ascii="宋体" w:hAnsi="宋体" w:eastAsia="宋体" w:cs="宋体"/>
                <w:color w:val="auto"/>
                <w:sz w:val="18"/>
                <w:szCs w:val="18"/>
                <w:highlight w:val="none"/>
              </w:rPr>
            </w:pPr>
          </w:p>
        </w:tc>
        <w:tc>
          <w:tcPr>
            <w:tcW w:w="1188" w:type="dxa"/>
            <w:noWrap w:val="0"/>
            <w:vAlign w:val="top"/>
          </w:tcPr>
          <w:p>
            <w:pPr>
              <w:rPr>
                <w:rFonts w:hint="eastAsia" w:ascii="宋体" w:hAnsi="宋体" w:eastAsia="宋体" w:cs="宋体"/>
                <w:color w:val="auto"/>
                <w:sz w:val="18"/>
                <w:szCs w:val="18"/>
                <w:highlight w:val="none"/>
              </w:rPr>
            </w:pPr>
          </w:p>
        </w:tc>
        <w:tc>
          <w:tcPr>
            <w:tcW w:w="998" w:type="dxa"/>
            <w:noWrap w:val="0"/>
            <w:vAlign w:val="top"/>
          </w:tcPr>
          <w:p>
            <w:pP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pPr>
              <w:rPr>
                <w:rFonts w:hint="eastAsia" w:ascii="宋体" w:hAnsi="宋体" w:eastAsia="宋体" w:cs="宋体"/>
                <w:color w:val="auto"/>
                <w:sz w:val="18"/>
                <w:szCs w:val="18"/>
                <w:highlight w:val="none"/>
              </w:rPr>
            </w:pPr>
          </w:p>
        </w:tc>
        <w:tc>
          <w:tcPr>
            <w:tcW w:w="1876" w:type="dxa"/>
            <w:noWrap w:val="0"/>
            <w:vAlign w:val="top"/>
          </w:tcPr>
          <w:p>
            <w:pPr>
              <w:rPr>
                <w:rFonts w:hint="eastAsia" w:ascii="宋体" w:hAnsi="宋体" w:eastAsia="宋体" w:cs="宋体"/>
                <w:color w:val="auto"/>
                <w:sz w:val="18"/>
                <w:szCs w:val="18"/>
                <w:highlight w:val="none"/>
              </w:rPr>
            </w:pPr>
          </w:p>
        </w:tc>
        <w:tc>
          <w:tcPr>
            <w:tcW w:w="3024" w:type="dxa"/>
            <w:noWrap w:val="0"/>
            <w:vAlign w:val="top"/>
          </w:tcPr>
          <w:p>
            <w:pPr>
              <w:rPr>
                <w:rFonts w:hint="eastAsia" w:ascii="宋体" w:hAnsi="宋体" w:eastAsia="宋体" w:cs="宋体"/>
                <w:color w:val="auto"/>
                <w:sz w:val="18"/>
                <w:szCs w:val="18"/>
                <w:highlight w:val="none"/>
              </w:rPr>
            </w:pPr>
          </w:p>
        </w:tc>
        <w:tc>
          <w:tcPr>
            <w:tcW w:w="1188" w:type="dxa"/>
            <w:noWrap w:val="0"/>
            <w:vAlign w:val="top"/>
          </w:tcPr>
          <w:p>
            <w:pPr>
              <w:rPr>
                <w:rFonts w:hint="eastAsia" w:ascii="宋体" w:hAnsi="宋体" w:eastAsia="宋体" w:cs="宋体"/>
                <w:color w:val="auto"/>
                <w:sz w:val="18"/>
                <w:szCs w:val="18"/>
                <w:highlight w:val="none"/>
              </w:rPr>
            </w:pPr>
          </w:p>
        </w:tc>
        <w:tc>
          <w:tcPr>
            <w:tcW w:w="998" w:type="dxa"/>
            <w:noWrap w:val="0"/>
            <w:vAlign w:val="top"/>
          </w:tcPr>
          <w:p>
            <w:pP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pPr>
              <w:rPr>
                <w:rFonts w:hint="eastAsia" w:ascii="宋体" w:hAnsi="宋体" w:eastAsia="宋体" w:cs="宋体"/>
                <w:color w:val="auto"/>
                <w:sz w:val="18"/>
                <w:szCs w:val="18"/>
                <w:highlight w:val="none"/>
              </w:rPr>
            </w:pPr>
          </w:p>
        </w:tc>
        <w:tc>
          <w:tcPr>
            <w:tcW w:w="1876" w:type="dxa"/>
            <w:noWrap w:val="0"/>
            <w:vAlign w:val="top"/>
          </w:tcPr>
          <w:p>
            <w:pPr>
              <w:rPr>
                <w:rFonts w:hint="eastAsia" w:ascii="宋体" w:hAnsi="宋体" w:eastAsia="宋体" w:cs="宋体"/>
                <w:color w:val="auto"/>
                <w:sz w:val="18"/>
                <w:szCs w:val="18"/>
                <w:highlight w:val="none"/>
              </w:rPr>
            </w:pPr>
          </w:p>
        </w:tc>
        <w:tc>
          <w:tcPr>
            <w:tcW w:w="3024" w:type="dxa"/>
            <w:noWrap w:val="0"/>
            <w:vAlign w:val="top"/>
          </w:tcPr>
          <w:p>
            <w:pPr>
              <w:rPr>
                <w:rFonts w:hint="eastAsia" w:ascii="宋体" w:hAnsi="宋体" w:eastAsia="宋体" w:cs="宋体"/>
                <w:color w:val="auto"/>
                <w:sz w:val="18"/>
                <w:szCs w:val="18"/>
                <w:highlight w:val="none"/>
              </w:rPr>
            </w:pPr>
          </w:p>
        </w:tc>
        <w:tc>
          <w:tcPr>
            <w:tcW w:w="1188" w:type="dxa"/>
            <w:noWrap w:val="0"/>
            <w:vAlign w:val="top"/>
          </w:tcPr>
          <w:p>
            <w:pPr>
              <w:rPr>
                <w:rFonts w:hint="eastAsia" w:ascii="宋体" w:hAnsi="宋体" w:eastAsia="宋体" w:cs="宋体"/>
                <w:color w:val="auto"/>
                <w:sz w:val="18"/>
                <w:szCs w:val="18"/>
                <w:highlight w:val="none"/>
              </w:rPr>
            </w:pPr>
          </w:p>
        </w:tc>
        <w:tc>
          <w:tcPr>
            <w:tcW w:w="998" w:type="dxa"/>
            <w:noWrap w:val="0"/>
            <w:vAlign w:val="top"/>
          </w:tcPr>
          <w:p>
            <w:pP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01" w:hRule="atLeast"/>
          <w:jc w:val="center"/>
        </w:trPr>
        <w:tc>
          <w:tcPr>
            <w:tcW w:w="2046" w:type="dxa"/>
            <w:noWrap w:val="0"/>
            <w:vAlign w:val="top"/>
          </w:tcPr>
          <w:p>
            <w:pPr>
              <w:rPr>
                <w:rFonts w:hint="eastAsia" w:ascii="宋体" w:hAnsi="宋体" w:eastAsia="宋体" w:cs="宋体"/>
                <w:color w:val="auto"/>
                <w:sz w:val="18"/>
                <w:szCs w:val="18"/>
                <w:highlight w:val="none"/>
              </w:rPr>
            </w:pPr>
          </w:p>
        </w:tc>
        <w:tc>
          <w:tcPr>
            <w:tcW w:w="1876" w:type="dxa"/>
            <w:noWrap w:val="0"/>
            <w:vAlign w:val="top"/>
          </w:tcPr>
          <w:p>
            <w:pPr>
              <w:rPr>
                <w:rFonts w:hint="eastAsia" w:ascii="宋体" w:hAnsi="宋体" w:eastAsia="宋体" w:cs="宋体"/>
                <w:color w:val="auto"/>
                <w:sz w:val="18"/>
                <w:szCs w:val="18"/>
                <w:highlight w:val="none"/>
              </w:rPr>
            </w:pPr>
          </w:p>
        </w:tc>
        <w:tc>
          <w:tcPr>
            <w:tcW w:w="3024" w:type="dxa"/>
            <w:noWrap w:val="0"/>
            <w:vAlign w:val="top"/>
          </w:tcPr>
          <w:p>
            <w:pPr>
              <w:rPr>
                <w:rFonts w:hint="eastAsia" w:ascii="宋体" w:hAnsi="宋体" w:eastAsia="宋体" w:cs="宋体"/>
                <w:color w:val="auto"/>
                <w:sz w:val="18"/>
                <w:szCs w:val="18"/>
                <w:highlight w:val="none"/>
              </w:rPr>
            </w:pPr>
          </w:p>
        </w:tc>
        <w:tc>
          <w:tcPr>
            <w:tcW w:w="1188" w:type="dxa"/>
            <w:noWrap w:val="0"/>
            <w:vAlign w:val="top"/>
          </w:tcPr>
          <w:p>
            <w:pPr>
              <w:rPr>
                <w:rFonts w:hint="eastAsia" w:ascii="宋体" w:hAnsi="宋体" w:eastAsia="宋体" w:cs="宋体"/>
                <w:color w:val="auto"/>
                <w:sz w:val="18"/>
                <w:szCs w:val="18"/>
                <w:highlight w:val="none"/>
              </w:rPr>
            </w:pPr>
          </w:p>
        </w:tc>
        <w:tc>
          <w:tcPr>
            <w:tcW w:w="998" w:type="dxa"/>
            <w:noWrap w:val="0"/>
            <w:vAlign w:val="top"/>
          </w:tcPr>
          <w:p>
            <w:pP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pPr>
              <w:rPr>
                <w:rFonts w:hint="eastAsia" w:ascii="宋体" w:hAnsi="宋体" w:eastAsia="宋体" w:cs="宋体"/>
                <w:color w:val="auto"/>
                <w:sz w:val="18"/>
                <w:szCs w:val="18"/>
                <w:highlight w:val="none"/>
              </w:rPr>
            </w:pPr>
          </w:p>
        </w:tc>
        <w:tc>
          <w:tcPr>
            <w:tcW w:w="1876" w:type="dxa"/>
            <w:noWrap w:val="0"/>
            <w:vAlign w:val="top"/>
          </w:tcPr>
          <w:p>
            <w:pPr>
              <w:rPr>
                <w:rFonts w:hint="eastAsia" w:ascii="宋体" w:hAnsi="宋体" w:eastAsia="宋体" w:cs="宋体"/>
                <w:color w:val="auto"/>
                <w:sz w:val="18"/>
                <w:szCs w:val="18"/>
                <w:highlight w:val="none"/>
              </w:rPr>
            </w:pPr>
          </w:p>
        </w:tc>
        <w:tc>
          <w:tcPr>
            <w:tcW w:w="3024" w:type="dxa"/>
            <w:noWrap w:val="0"/>
            <w:vAlign w:val="top"/>
          </w:tcPr>
          <w:p>
            <w:pPr>
              <w:rPr>
                <w:rFonts w:hint="eastAsia" w:ascii="宋体" w:hAnsi="宋体" w:eastAsia="宋体" w:cs="宋体"/>
                <w:color w:val="auto"/>
                <w:sz w:val="18"/>
                <w:szCs w:val="18"/>
                <w:highlight w:val="none"/>
              </w:rPr>
            </w:pPr>
          </w:p>
        </w:tc>
        <w:tc>
          <w:tcPr>
            <w:tcW w:w="1188" w:type="dxa"/>
            <w:noWrap w:val="0"/>
            <w:vAlign w:val="top"/>
          </w:tcPr>
          <w:p>
            <w:pPr>
              <w:rPr>
                <w:rFonts w:hint="eastAsia" w:ascii="宋体" w:hAnsi="宋体" w:eastAsia="宋体" w:cs="宋体"/>
                <w:color w:val="auto"/>
                <w:sz w:val="18"/>
                <w:szCs w:val="18"/>
                <w:highlight w:val="none"/>
              </w:rPr>
            </w:pPr>
          </w:p>
        </w:tc>
        <w:tc>
          <w:tcPr>
            <w:tcW w:w="998" w:type="dxa"/>
            <w:noWrap w:val="0"/>
            <w:vAlign w:val="top"/>
          </w:tcPr>
          <w:p>
            <w:pP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pPr>
              <w:rPr>
                <w:rFonts w:hint="eastAsia" w:ascii="宋体" w:hAnsi="宋体" w:eastAsia="宋体" w:cs="宋体"/>
                <w:color w:val="auto"/>
                <w:sz w:val="18"/>
                <w:szCs w:val="18"/>
                <w:highlight w:val="none"/>
              </w:rPr>
            </w:pPr>
          </w:p>
        </w:tc>
        <w:tc>
          <w:tcPr>
            <w:tcW w:w="1876" w:type="dxa"/>
            <w:noWrap w:val="0"/>
            <w:vAlign w:val="top"/>
          </w:tcPr>
          <w:p>
            <w:pPr>
              <w:rPr>
                <w:rFonts w:hint="eastAsia" w:ascii="宋体" w:hAnsi="宋体" w:eastAsia="宋体" w:cs="宋体"/>
                <w:color w:val="auto"/>
                <w:sz w:val="18"/>
                <w:szCs w:val="18"/>
                <w:highlight w:val="none"/>
              </w:rPr>
            </w:pPr>
          </w:p>
        </w:tc>
        <w:tc>
          <w:tcPr>
            <w:tcW w:w="3024" w:type="dxa"/>
            <w:noWrap w:val="0"/>
            <w:vAlign w:val="top"/>
          </w:tcPr>
          <w:p>
            <w:pPr>
              <w:rPr>
                <w:rFonts w:hint="eastAsia" w:ascii="宋体" w:hAnsi="宋体" w:eastAsia="宋体" w:cs="宋体"/>
                <w:color w:val="auto"/>
                <w:sz w:val="18"/>
                <w:szCs w:val="18"/>
                <w:highlight w:val="none"/>
              </w:rPr>
            </w:pPr>
          </w:p>
        </w:tc>
        <w:tc>
          <w:tcPr>
            <w:tcW w:w="1188" w:type="dxa"/>
            <w:noWrap w:val="0"/>
            <w:vAlign w:val="top"/>
          </w:tcPr>
          <w:p>
            <w:pPr>
              <w:rPr>
                <w:rFonts w:hint="eastAsia" w:ascii="宋体" w:hAnsi="宋体" w:eastAsia="宋体" w:cs="宋体"/>
                <w:color w:val="auto"/>
                <w:sz w:val="18"/>
                <w:szCs w:val="18"/>
                <w:highlight w:val="none"/>
              </w:rPr>
            </w:pPr>
          </w:p>
        </w:tc>
        <w:tc>
          <w:tcPr>
            <w:tcW w:w="998" w:type="dxa"/>
            <w:noWrap w:val="0"/>
            <w:vAlign w:val="top"/>
          </w:tcPr>
          <w:p>
            <w:pP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pPr>
              <w:rPr>
                <w:rFonts w:hint="eastAsia" w:ascii="宋体" w:hAnsi="宋体" w:eastAsia="宋体" w:cs="宋体"/>
                <w:color w:val="auto"/>
                <w:sz w:val="18"/>
                <w:szCs w:val="18"/>
                <w:highlight w:val="none"/>
              </w:rPr>
            </w:pPr>
          </w:p>
        </w:tc>
        <w:tc>
          <w:tcPr>
            <w:tcW w:w="1876" w:type="dxa"/>
            <w:noWrap w:val="0"/>
            <w:vAlign w:val="top"/>
          </w:tcPr>
          <w:p>
            <w:pPr>
              <w:rPr>
                <w:rFonts w:hint="eastAsia" w:ascii="宋体" w:hAnsi="宋体" w:eastAsia="宋体" w:cs="宋体"/>
                <w:color w:val="auto"/>
                <w:sz w:val="18"/>
                <w:szCs w:val="18"/>
                <w:highlight w:val="none"/>
              </w:rPr>
            </w:pPr>
          </w:p>
        </w:tc>
        <w:tc>
          <w:tcPr>
            <w:tcW w:w="3024" w:type="dxa"/>
            <w:noWrap w:val="0"/>
            <w:vAlign w:val="top"/>
          </w:tcPr>
          <w:p>
            <w:pPr>
              <w:rPr>
                <w:rFonts w:hint="eastAsia" w:ascii="宋体" w:hAnsi="宋体" w:eastAsia="宋体" w:cs="宋体"/>
                <w:color w:val="auto"/>
                <w:sz w:val="18"/>
                <w:szCs w:val="18"/>
                <w:highlight w:val="none"/>
              </w:rPr>
            </w:pPr>
          </w:p>
        </w:tc>
        <w:tc>
          <w:tcPr>
            <w:tcW w:w="1188" w:type="dxa"/>
            <w:noWrap w:val="0"/>
            <w:vAlign w:val="top"/>
          </w:tcPr>
          <w:p>
            <w:pPr>
              <w:rPr>
                <w:rFonts w:hint="eastAsia" w:ascii="宋体" w:hAnsi="宋体" w:eastAsia="宋体" w:cs="宋体"/>
                <w:color w:val="auto"/>
                <w:sz w:val="18"/>
                <w:szCs w:val="18"/>
                <w:highlight w:val="none"/>
              </w:rPr>
            </w:pPr>
          </w:p>
        </w:tc>
        <w:tc>
          <w:tcPr>
            <w:tcW w:w="998" w:type="dxa"/>
            <w:noWrap w:val="0"/>
            <w:vAlign w:val="top"/>
          </w:tcPr>
          <w:p>
            <w:pPr>
              <w:rPr>
                <w:rFonts w:hint="eastAsia" w:ascii="宋体" w:hAnsi="宋体" w:eastAsia="宋体" w:cs="宋体"/>
                <w:color w:val="auto"/>
                <w:sz w:val="18"/>
                <w:szCs w:val="18"/>
                <w:highlight w:val="none"/>
              </w:rPr>
            </w:pPr>
          </w:p>
        </w:tc>
      </w:tr>
    </w:tbl>
    <w:p>
      <w:pPr>
        <w:spacing w:before="120" w:beforeLines="50" w:line="360" w:lineRule="exact"/>
        <w:ind w:right="-21" w:rightChars="-10"/>
        <w:rPr>
          <w:rFonts w:hint="eastAsia" w:ascii="宋体" w:hAnsi="宋体" w:eastAsia="宋体" w:cs="宋体"/>
          <w:color w:val="auto"/>
          <w:highlight w:val="none"/>
        </w:rPr>
      </w:pPr>
      <w:r>
        <w:rPr>
          <w:rFonts w:hint="eastAsia" w:ascii="宋体" w:hAnsi="宋体" w:eastAsia="宋体" w:cs="宋体"/>
          <w:color w:val="auto"/>
          <w:highlight w:val="none"/>
        </w:rPr>
        <w:t>注：1.提供投标人在国内的同类项目服务业绩，每项业绩须附证明文件，以提供的合同或中标通知书为准（合同</w:t>
      </w:r>
      <w:r>
        <w:rPr>
          <w:rFonts w:hint="eastAsia" w:ascii="宋体" w:hAnsi="宋体" w:eastAsia="宋体" w:cs="宋体"/>
          <w:color w:val="auto"/>
          <w:highlight w:val="none"/>
          <w:lang w:val="en-US" w:eastAsia="zh-CN"/>
        </w:rPr>
        <w:t>或</w:t>
      </w:r>
      <w:r>
        <w:rPr>
          <w:rFonts w:hint="eastAsia" w:ascii="宋体" w:hAnsi="宋体" w:eastAsia="宋体" w:cs="宋体"/>
          <w:color w:val="auto"/>
          <w:highlight w:val="none"/>
        </w:rPr>
        <w:t>中标通知书复印件加盖公章，</w:t>
      </w:r>
      <w:r>
        <w:rPr>
          <w:rFonts w:hint="eastAsia" w:ascii="宋体" w:hAnsi="宋体" w:eastAsia="宋体" w:cs="宋体"/>
          <w:color w:val="auto"/>
          <w:highlight w:val="none"/>
          <w:lang w:val="en-US" w:eastAsia="zh-CN"/>
        </w:rPr>
        <w:t>同时须按技术资信评分细则要求提供相关</w:t>
      </w:r>
      <w:r>
        <w:rPr>
          <w:rFonts w:hint="eastAsia" w:ascii="宋体" w:hAnsi="宋体" w:eastAsia="宋体" w:cs="宋体"/>
          <w:color w:val="auto"/>
          <w:highlight w:val="none"/>
        </w:rPr>
        <w:t>原件）。</w:t>
      </w:r>
    </w:p>
    <w:p>
      <w:pPr>
        <w:spacing w:before="120" w:beforeLines="50" w:line="360" w:lineRule="exact"/>
        <w:ind w:right="-21" w:rightChars="-1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2.投标人不按此要求填写此项内容及提供相应的证明材料将视为无业绩，在技术资信评审中将不予认可。</w:t>
      </w:r>
    </w:p>
    <w:p>
      <w:pPr>
        <w:spacing w:line="400" w:lineRule="exact"/>
        <w:ind w:firstLine="433" w:firstLineChars="196"/>
        <w:rPr>
          <w:rFonts w:hint="eastAsia" w:ascii="宋体" w:hAnsi="宋体" w:eastAsia="宋体" w:cs="宋体"/>
          <w:b/>
          <w:color w:val="auto"/>
          <w:sz w:val="22"/>
          <w:szCs w:val="22"/>
          <w:highlight w:val="none"/>
        </w:rPr>
      </w:pP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投标人全称（盖公章）：</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法定代表人</w:t>
      </w:r>
      <w:r>
        <w:rPr>
          <w:rFonts w:hint="eastAsia" w:ascii="宋体" w:hAnsi="宋体" w:eastAsia="宋体" w:cs="宋体"/>
          <w:sz w:val="21"/>
          <w:szCs w:val="21"/>
          <w:highlight w:val="none"/>
        </w:rPr>
        <w:t>或授权代表（签字或盖章）：</w:t>
      </w:r>
    </w:p>
    <w:p>
      <w:pPr>
        <w:spacing w:line="360" w:lineRule="auto"/>
        <w:jc w:val="both"/>
        <w:rPr>
          <w:rFonts w:hint="eastAsia" w:ascii="宋体" w:hAnsi="宋体" w:eastAsia="宋体" w:cs="宋体"/>
          <w:b/>
          <w:bCs/>
          <w:color w:val="auto"/>
          <w:sz w:val="20"/>
          <w:szCs w:val="20"/>
          <w:highlight w:val="none"/>
        </w:rPr>
      </w:pPr>
      <w:r>
        <w:rPr>
          <w:rFonts w:hint="eastAsia" w:ascii="宋体" w:hAnsi="宋体" w:eastAsia="宋体" w:cs="宋体"/>
          <w:sz w:val="21"/>
          <w:szCs w:val="21"/>
          <w:highlight w:val="none"/>
        </w:rPr>
        <w:t>日  期：</w:t>
      </w:r>
    </w:p>
    <w:p>
      <w:pPr>
        <w:spacing w:before="240" w:beforeLines="100" w:after="120" w:afterLines="50" w:line="400" w:lineRule="exact"/>
        <w:jc w:val="left"/>
        <w:rPr>
          <w:rFonts w:hint="eastAsia" w:ascii="宋体" w:hAnsi="宋体" w:eastAsia="宋体" w:cs="宋体"/>
          <w:b/>
          <w:color w:val="auto"/>
          <w:kern w:val="0"/>
          <w:szCs w:val="21"/>
          <w:highlight w:val="none"/>
        </w:rPr>
      </w:pPr>
      <w:r>
        <w:rPr>
          <w:rFonts w:hint="eastAsia" w:ascii="宋体" w:hAnsi="宋体" w:eastAsia="宋体" w:cs="宋体"/>
          <w:b/>
          <w:bCs/>
          <w:color w:val="auto"/>
          <w:sz w:val="24"/>
          <w:highlight w:val="none"/>
        </w:rPr>
        <w:br w:type="page"/>
      </w:r>
      <w:r>
        <w:rPr>
          <w:rFonts w:hint="eastAsia" w:ascii="宋体" w:hAnsi="宋体" w:eastAsia="宋体" w:cs="宋体"/>
          <w:b/>
          <w:color w:val="auto"/>
          <w:kern w:val="0"/>
          <w:szCs w:val="21"/>
          <w:highlight w:val="none"/>
        </w:rPr>
        <w:t>附件十</w:t>
      </w:r>
    </w:p>
    <w:p>
      <w:pPr>
        <w:spacing w:before="240" w:beforeLines="100" w:after="120" w:afterLines="50" w:line="400" w:lineRule="exact"/>
        <w:jc w:val="center"/>
        <w:rPr>
          <w:rFonts w:hint="eastAsia" w:ascii="宋体" w:hAnsi="宋体" w:eastAsia="宋体" w:cs="宋体"/>
          <w:bCs/>
          <w:color w:val="auto"/>
          <w:kern w:val="0"/>
          <w:sz w:val="30"/>
          <w:highlight w:val="none"/>
        </w:rPr>
      </w:pPr>
      <w:r>
        <w:rPr>
          <w:rFonts w:hint="eastAsia" w:ascii="宋体" w:hAnsi="宋体" w:eastAsia="宋体" w:cs="宋体"/>
          <w:b/>
          <w:bCs/>
          <w:color w:val="auto"/>
          <w:kern w:val="0"/>
          <w:sz w:val="28"/>
          <w:highlight w:val="none"/>
        </w:rPr>
        <w:t>项目组织实施计划</w:t>
      </w:r>
    </w:p>
    <w:p>
      <w:pPr>
        <w:numPr>
          <w:ilvl w:val="2"/>
          <w:numId w:val="26"/>
        </w:numPr>
        <w:tabs>
          <w:tab w:val="left" w:pos="1440"/>
          <w:tab w:val="clear" w:pos="1200"/>
        </w:tabs>
        <w:spacing w:before="120" w:beforeLines="50"/>
        <w:ind w:left="1440" w:right="-11" w:hanging="600"/>
        <w:rPr>
          <w:rFonts w:hint="eastAsia" w:ascii="宋体" w:hAnsi="宋体" w:eastAsia="宋体" w:cs="宋体"/>
          <w:color w:val="auto"/>
          <w:kern w:val="0"/>
          <w:highlight w:val="none"/>
        </w:rPr>
      </w:pPr>
      <w:r>
        <w:rPr>
          <w:rFonts w:hint="eastAsia" w:ascii="宋体" w:hAnsi="宋体" w:eastAsia="宋体" w:cs="宋体"/>
          <w:color w:val="auto"/>
          <w:kern w:val="0"/>
          <w:highlight w:val="none"/>
        </w:rPr>
        <w:t>项目组织机构描述</w:t>
      </w:r>
    </w:p>
    <w:p>
      <w:pPr>
        <w:numPr>
          <w:ilvl w:val="2"/>
          <w:numId w:val="26"/>
        </w:numPr>
        <w:tabs>
          <w:tab w:val="left" w:pos="1440"/>
          <w:tab w:val="clear" w:pos="1200"/>
        </w:tabs>
        <w:spacing w:before="120" w:beforeLines="50"/>
        <w:ind w:left="1440" w:right="-11" w:hanging="600"/>
        <w:rPr>
          <w:rFonts w:hint="eastAsia" w:ascii="宋体" w:hAnsi="宋体" w:eastAsia="宋体" w:cs="宋体"/>
          <w:color w:val="auto"/>
          <w:kern w:val="0"/>
          <w:highlight w:val="none"/>
        </w:rPr>
      </w:pPr>
      <w:r>
        <w:rPr>
          <w:rFonts w:hint="eastAsia" w:ascii="宋体" w:hAnsi="宋体" w:eastAsia="宋体" w:cs="宋体"/>
          <w:color w:val="auto"/>
          <w:kern w:val="0"/>
          <w:highlight w:val="none"/>
        </w:rPr>
        <w:t>项目管理人员配备（包括项目负责人、部门负责人、各专业人员配备等）</w:t>
      </w:r>
    </w:p>
    <w:p>
      <w:pPr>
        <w:numPr>
          <w:ilvl w:val="2"/>
          <w:numId w:val="26"/>
        </w:numPr>
        <w:tabs>
          <w:tab w:val="left" w:pos="1440"/>
          <w:tab w:val="clear" w:pos="1200"/>
        </w:tabs>
        <w:spacing w:before="120" w:beforeLines="50"/>
        <w:ind w:left="1440" w:right="-11" w:hanging="600"/>
        <w:rPr>
          <w:rFonts w:hint="eastAsia" w:ascii="宋体" w:hAnsi="宋体" w:eastAsia="宋体" w:cs="宋体"/>
          <w:color w:val="auto"/>
          <w:kern w:val="0"/>
          <w:highlight w:val="none"/>
        </w:rPr>
      </w:pPr>
      <w:r>
        <w:rPr>
          <w:rFonts w:hint="eastAsia" w:ascii="宋体" w:hAnsi="宋体" w:eastAsia="宋体" w:cs="宋体"/>
          <w:color w:val="auto"/>
          <w:kern w:val="0"/>
          <w:highlight w:val="none"/>
        </w:rPr>
        <w:t>项目服务人员投入分析及配备、岗位功能描述</w:t>
      </w:r>
    </w:p>
    <w:p>
      <w:pPr>
        <w:numPr>
          <w:ilvl w:val="2"/>
          <w:numId w:val="26"/>
        </w:numPr>
        <w:tabs>
          <w:tab w:val="left" w:pos="1440"/>
          <w:tab w:val="clear" w:pos="1200"/>
        </w:tabs>
        <w:spacing w:before="120" w:beforeLines="50"/>
        <w:ind w:left="1440" w:right="-11" w:hanging="600"/>
        <w:rPr>
          <w:rFonts w:hint="eastAsia" w:ascii="宋体" w:hAnsi="宋体" w:eastAsia="宋体" w:cs="宋体"/>
          <w:color w:val="auto"/>
          <w:kern w:val="0"/>
          <w:highlight w:val="none"/>
        </w:rPr>
      </w:pPr>
      <w:r>
        <w:rPr>
          <w:rFonts w:hint="eastAsia" w:ascii="宋体" w:hAnsi="宋体" w:eastAsia="宋体" w:cs="宋体"/>
          <w:color w:val="auto"/>
          <w:kern w:val="0"/>
          <w:highlight w:val="none"/>
        </w:rPr>
        <w:t>服务方案的详细叙述（包括服务内容、工作流程、工作标准、员工排班计划等）</w:t>
      </w:r>
    </w:p>
    <w:p>
      <w:pPr>
        <w:numPr>
          <w:ilvl w:val="2"/>
          <w:numId w:val="26"/>
        </w:numPr>
        <w:tabs>
          <w:tab w:val="left" w:pos="1440"/>
          <w:tab w:val="clear" w:pos="1200"/>
        </w:tabs>
        <w:spacing w:before="120" w:beforeLines="50"/>
        <w:ind w:left="1440" w:right="-11" w:hanging="600"/>
        <w:rPr>
          <w:rFonts w:hint="eastAsia" w:ascii="宋体" w:hAnsi="宋体" w:eastAsia="宋体" w:cs="宋体"/>
          <w:color w:val="auto"/>
          <w:kern w:val="0"/>
          <w:highlight w:val="none"/>
        </w:rPr>
      </w:pPr>
      <w:r>
        <w:rPr>
          <w:rFonts w:hint="eastAsia" w:ascii="宋体" w:hAnsi="宋体" w:eastAsia="宋体" w:cs="宋体"/>
          <w:color w:val="auto"/>
          <w:kern w:val="0"/>
          <w:highlight w:val="none"/>
        </w:rPr>
        <w:t>各岗位人员的职责及要求</w:t>
      </w:r>
    </w:p>
    <w:p>
      <w:pPr>
        <w:numPr>
          <w:ilvl w:val="2"/>
          <w:numId w:val="26"/>
        </w:numPr>
        <w:tabs>
          <w:tab w:val="left" w:pos="1440"/>
          <w:tab w:val="clear" w:pos="1200"/>
        </w:tabs>
        <w:spacing w:before="120" w:beforeLines="50"/>
        <w:ind w:left="1440" w:right="-11" w:hanging="600"/>
        <w:rPr>
          <w:rFonts w:hint="eastAsia" w:ascii="宋体" w:hAnsi="宋体" w:eastAsia="宋体" w:cs="宋体"/>
          <w:color w:val="auto"/>
          <w:kern w:val="0"/>
          <w:highlight w:val="none"/>
        </w:rPr>
      </w:pPr>
      <w:r>
        <w:rPr>
          <w:rFonts w:hint="eastAsia" w:ascii="宋体" w:hAnsi="宋体" w:eastAsia="宋体" w:cs="宋体"/>
          <w:color w:val="auto"/>
          <w:kern w:val="0"/>
          <w:highlight w:val="none"/>
        </w:rPr>
        <w:t>内部管理、考核制度</w:t>
      </w:r>
    </w:p>
    <w:p>
      <w:pPr>
        <w:numPr>
          <w:ilvl w:val="2"/>
          <w:numId w:val="26"/>
        </w:numPr>
        <w:tabs>
          <w:tab w:val="left" w:pos="1440"/>
          <w:tab w:val="clear" w:pos="1200"/>
        </w:tabs>
        <w:spacing w:before="120" w:beforeLines="50"/>
        <w:ind w:left="1440" w:right="-11" w:hanging="600"/>
        <w:rPr>
          <w:rFonts w:hint="eastAsia" w:ascii="宋体" w:hAnsi="宋体" w:eastAsia="宋体" w:cs="宋体"/>
          <w:color w:val="auto"/>
          <w:kern w:val="0"/>
          <w:highlight w:val="none"/>
        </w:rPr>
      </w:pPr>
      <w:r>
        <w:rPr>
          <w:rFonts w:hint="eastAsia" w:ascii="宋体" w:hAnsi="宋体" w:eastAsia="宋体" w:cs="宋体"/>
          <w:color w:val="auto"/>
          <w:kern w:val="0"/>
          <w:highlight w:val="none"/>
        </w:rPr>
        <w:t>员工培训计划及内容</w:t>
      </w:r>
    </w:p>
    <w:p>
      <w:pPr>
        <w:numPr>
          <w:ilvl w:val="2"/>
          <w:numId w:val="26"/>
        </w:numPr>
        <w:tabs>
          <w:tab w:val="left" w:pos="1440"/>
          <w:tab w:val="clear" w:pos="1200"/>
        </w:tabs>
        <w:spacing w:before="120" w:beforeLines="50"/>
        <w:ind w:left="1440" w:right="-11" w:hanging="600"/>
        <w:rPr>
          <w:rFonts w:hint="eastAsia" w:ascii="宋体" w:hAnsi="宋体" w:eastAsia="宋体" w:cs="宋体"/>
          <w:color w:val="auto"/>
          <w:kern w:val="0"/>
          <w:highlight w:val="none"/>
        </w:rPr>
      </w:pPr>
      <w:r>
        <w:rPr>
          <w:rFonts w:hint="eastAsia" w:ascii="宋体" w:hAnsi="宋体" w:eastAsia="宋体" w:cs="宋体"/>
          <w:color w:val="auto"/>
          <w:kern w:val="0"/>
          <w:highlight w:val="none"/>
        </w:rPr>
        <w:t>质量管理保证措施</w:t>
      </w:r>
    </w:p>
    <w:p>
      <w:pPr>
        <w:numPr>
          <w:ilvl w:val="2"/>
          <w:numId w:val="26"/>
        </w:numPr>
        <w:tabs>
          <w:tab w:val="left" w:pos="1440"/>
          <w:tab w:val="clear" w:pos="1200"/>
        </w:tabs>
        <w:spacing w:before="120" w:beforeLines="50"/>
        <w:ind w:left="1440" w:right="-11" w:hanging="600"/>
        <w:rPr>
          <w:rFonts w:hint="eastAsia" w:ascii="宋体" w:hAnsi="宋体" w:eastAsia="宋体" w:cs="宋体"/>
          <w:color w:val="auto"/>
          <w:kern w:val="0"/>
          <w:highlight w:val="none"/>
        </w:rPr>
      </w:pPr>
      <w:r>
        <w:rPr>
          <w:rFonts w:hint="eastAsia" w:ascii="宋体" w:hAnsi="宋体" w:eastAsia="宋体" w:cs="宋体"/>
          <w:color w:val="auto"/>
          <w:kern w:val="0"/>
          <w:highlight w:val="none"/>
        </w:rPr>
        <w:t>稳定员工队伍的措施</w:t>
      </w:r>
    </w:p>
    <w:p>
      <w:pPr>
        <w:numPr>
          <w:ilvl w:val="2"/>
          <w:numId w:val="26"/>
        </w:numPr>
        <w:tabs>
          <w:tab w:val="left" w:pos="1440"/>
          <w:tab w:val="clear" w:pos="1200"/>
        </w:tabs>
        <w:spacing w:before="120" w:beforeLines="50"/>
        <w:ind w:left="1440" w:right="-11" w:hanging="600"/>
        <w:rPr>
          <w:rFonts w:hint="eastAsia" w:ascii="宋体" w:hAnsi="宋体" w:eastAsia="宋体" w:cs="宋体"/>
          <w:color w:val="auto"/>
          <w:kern w:val="0"/>
          <w:highlight w:val="none"/>
        </w:rPr>
      </w:pPr>
      <w:r>
        <w:rPr>
          <w:rFonts w:hint="eastAsia" w:ascii="宋体" w:hAnsi="宋体" w:eastAsia="宋体" w:cs="宋体"/>
          <w:color w:val="auto"/>
          <w:kern w:val="0"/>
          <w:highlight w:val="none"/>
        </w:rPr>
        <w:t>优惠承诺</w:t>
      </w:r>
      <w:r>
        <w:rPr>
          <w:rFonts w:hint="eastAsia" w:ascii="宋体" w:hAnsi="宋体" w:eastAsia="宋体" w:cs="宋体"/>
          <w:color w:val="auto"/>
          <w:kern w:val="0"/>
          <w:highlight w:val="none"/>
          <w:lang w:eastAsia="zh-CN"/>
        </w:rPr>
        <w:t>：服务期内提供无偿增值服务、提供的增值服务设备等</w:t>
      </w:r>
    </w:p>
    <w:p>
      <w:pPr>
        <w:numPr>
          <w:ilvl w:val="2"/>
          <w:numId w:val="26"/>
        </w:numPr>
        <w:tabs>
          <w:tab w:val="left" w:pos="1440"/>
          <w:tab w:val="clear" w:pos="1200"/>
        </w:tabs>
        <w:spacing w:before="120" w:beforeLines="50"/>
        <w:ind w:left="1440" w:right="-11" w:hanging="600"/>
        <w:rPr>
          <w:rFonts w:hint="eastAsia" w:ascii="宋体" w:hAnsi="宋体" w:eastAsia="宋体" w:cs="宋体"/>
          <w:color w:val="auto"/>
          <w:kern w:val="0"/>
          <w:highlight w:val="none"/>
        </w:rPr>
      </w:pPr>
      <w:r>
        <w:rPr>
          <w:rFonts w:hint="eastAsia" w:ascii="宋体" w:hAnsi="宋体" w:eastAsia="宋体" w:cs="宋体"/>
          <w:color w:val="auto"/>
          <w:kern w:val="0"/>
          <w:highlight w:val="none"/>
        </w:rPr>
        <w:t>对供应商的考核及其他供应商认为有必要提供的资料</w:t>
      </w:r>
    </w:p>
    <w:p>
      <w:pPr>
        <w:spacing w:before="120" w:beforeLines="50"/>
        <w:ind w:left="840" w:right="-11" w:hanging="840" w:hangingChars="400"/>
        <w:rPr>
          <w:rFonts w:hint="eastAsia" w:ascii="宋体" w:hAnsi="宋体" w:eastAsia="宋体" w:cs="宋体"/>
          <w:color w:val="auto"/>
          <w:kern w:val="0"/>
          <w:highlight w:val="none"/>
        </w:rPr>
      </w:pPr>
    </w:p>
    <w:p>
      <w:pPr>
        <w:spacing w:before="120" w:beforeLines="50"/>
        <w:ind w:left="840" w:right="-11" w:hanging="840" w:hangingChars="400"/>
        <w:rPr>
          <w:rFonts w:hint="eastAsia" w:ascii="宋体" w:hAnsi="宋体" w:eastAsia="宋体" w:cs="宋体"/>
          <w:color w:val="auto"/>
          <w:kern w:val="0"/>
          <w:highlight w:val="none"/>
        </w:rPr>
      </w:pPr>
    </w:p>
    <w:p>
      <w:pPr>
        <w:spacing w:before="120" w:beforeLines="50" w:after="120" w:afterLines="50"/>
        <w:ind w:right="-10"/>
        <w:rPr>
          <w:rFonts w:hint="eastAsia" w:ascii="宋体" w:hAnsi="宋体" w:eastAsia="宋体" w:cs="宋体"/>
          <w:color w:val="auto"/>
          <w:kern w:val="0"/>
          <w:highlight w:val="none"/>
        </w:rPr>
      </w:pPr>
      <w:r>
        <w:rPr>
          <w:rFonts w:hint="eastAsia" w:ascii="宋体" w:hAnsi="宋体" w:eastAsia="宋体" w:cs="宋体"/>
          <w:color w:val="auto"/>
          <w:kern w:val="0"/>
          <w:highlight w:val="none"/>
        </w:rPr>
        <w:t>投标人全称（盖公章）：</w:t>
      </w:r>
    </w:p>
    <w:p>
      <w:pPr>
        <w:spacing w:before="120" w:beforeLines="50" w:after="120" w:afterLines="50"/>
        <w:ind w:right="-10"/>
        <w:rPr>
          <w:rFonts w:hint="eastAsia" w:ascii="宋体" w:hAnsi="宋体" w:eastAsia="宋体" w:cs="宋体"/>
          <w:color w:val="auto"/>
          <w:kern w:val="0"/>
          <w:highlight w:val="none"/>
        </w:rPr>
      </w:pPr>
      <w:r>
        <w:rPr>
          <w:rFonts w:hint="eastAsia" w:ascii="宋体" w:hAnsi="宋体" w:eastAsia="宋体" w:cs="宋体"/>
          <w:color w:val="auto"/>
          <w:kern w:val="0"/>
          <w:highlight w:val="none"/>
        </w:rPr>
        <w:t>法定代表人或授权代表（签字或盖章）：</w:t>
      </w:r>
    </w:p>
    <w:p>
      <w:pPr>
        <w:spacing w:before="120" w:beforeLines="50" w:after="120" w:afterLines="50"/>
        <w:ind w:right="-10"/>
        <w:rPr>
          <w:rFonts w:hint="eastAsia" w:ascii="宋体" w:hAnsi="宋体" w:eastAsia="宋体" w:cs="宋体"/>
          <w:color w:val="auto"/>
          <w:kern w:val="0"/>
          <w:highlight w:val="none"/>
        </w:rPr>
      </w:pPr>
      <w:r>
        <w:rPr>
          <w:rFonts w:hint="eastAsia" w:ascii="宋体" w:hAnsi="宋体" w:eastAsia="宋体" w:cs="宋体"/>
          <w:color w:val="auto"/>
          <w:kern w:val="0"/>
          <w:highlight w:val="none"/>
        </w:rPr>
        <w:t>日  期：</w:t>
      </w:r>
    </w:p>
    <w:p>
      <w:pPr>
        <w:spacing w:before="50" w:line="360" w:lineRule="auto"/>
        <w:rPr>
          <w:rFonts w:hint="eastAsia" w:ascii="宋体" w:hAnsi="宋体" w:eastAsia="宋体" w:cs="宋体"/>
          <w:color w:val="auto"/>
          <w:highlight w:val="none"/>
        </w:rPr>
      </w:pPr>
    </w:p>
    <w:p>
      <w:pPr>
        <w:spacing w:before="50" w:line="360" w:lineRule="auto"/>
        <w:rPr>
          <w:rFonts w:hint="eastAsia" w:ascii="宋体" w:hAnsi="宋体" w:eastAsia="宋体" w:cs="宋体"/>
          <w:color w:val="auto"/>
          <w:highlight w:val="none"/>
        </w:rPr>
      </w:pPr>
    </w:p>
    <w:p>
      <w:pPr>
        <w:spacing w:before="240" w:beforeLines="100" w:after="120" w:afterLines="50"/>
        <w:rPr>
          <w:rFonts w:hint="eastAsia" w:ascii="宋体" w:hAnsi="宋体" w:eastAsia="宋体" w:cs="宋体"/>
          <w:b/>
          <w:color w:val="auto"/>
          <w:highlight w:val="none"/>
          <w:lang w:eastAsia="zh-CN"/>
        </w:rPr>
      </w:pPr>
      <w:r>
        <w:rPr>
          <w:rFonts w:hint="eastAsia" w:ascii="宋体" w:hAnsi="宋体" w:eastAsia="宋体" w:cs="宋体"/>
          <w:b/>
          <w:bCs/>
          <w:color w:val="auto"/>
          <w:sz w:val="22"/>
          <w:szCs w:val="22"/>
          <w:highlight w:val="none"/>
        </w:rPr>
        <w:br w:type="page"/>
      </w:r>
      <w:r>
        <w:rPr>
          <w:rFonts w:hint="eastAsia" w:ascii="宋体" w:hAnsi="宋体" w:eastAsia="宋体" w:cs="宋体"/>
          <w:b/>
          <w:color w:val="auto"/>
          <w:highlight w:val="none"/>
        </w:rPr>
        <w:t>附件十</w:t>
      </w:r>
      <w:r>
        <w:rPr>
          <w:rFonts w:hint="eastAsia" w:ascii="宋体" w:hAnsi="宋体" w:eastAsia="宋体" w:cs="宋体"/>
          <w:b/>
          <w:color w:val="auto"/>
          <w:highlight w:val="none"/>
          <w:lang w:val="en-US" w:eastAsia="zh-CN"/>
        </w:rPr>
        <w:t>一</w:t>
      </w:r>
    </w:p>
    <w:p>
      <w:pPr>
        <w:spacing w:line="380" w:lineRule="exact"/>
        <w:jc w:val="center"/>
        <w:rPr>
          <w:rFonts w:hint="eastAsia" w:ascii="宋体" w:hAnsi="宋体" w:eastAsia="宋体" w:cs="宋体"/>
          <w:b/>
          <w:color w:val="auto"/>
          <w:spacing w:val="-2"/>
          <w:sz w:val="32"/>
          <w:szCs w:val="32"/>
          <w:highlight w:val="none"/>
        </w:rPr>
      </w:pPr>
      <w:r>
        <w:rPr>
          <w:rFonts w:hint="eastAsia" w:ascii="宋体" w:hAnsi="宋体" w:eastAsia="宋体" w:cs="宋体"/>
          <w:b/>
          <w:color w:val="auto"/>
          <w:spacing w:val="-2"/>
          <w:sz w:val="32"/>
          <w:szCs w:val="32"/>
          <w:highlight w:val="none"/>
          <w:lang w:val="en-US" w:eastAsia="zh-CN"/>
        </w:rPr>
        <w:t>服务人员最低</w:t>
      </w:r>
      <w:r>
        <w:rPr>
          <w:rFonts w:hint="eastAsia" w:ascii="宋体" w:hAnsi="宋体" w:eastAsia="宋体" w:cs="宋体"/>
          <w:b/>
          <w:color w:val="auto"/>
          <w:spacing w:val="-2"/>
          <w:sz w:val="32"/>
          <w:szCs w:val="32"/>
          <w:highlight w:val="none"/>
        </w:rPr>
        <w:t>月工资承诺函</w:t>
      </w:r>
    </w:p>
    <w:p>
      <w:pPr>
        <w:spacing w:line="38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pPr>
        <w:spacing w:line="360" w:lineRule="auto"/>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温州市高速公路资产经营有限公司：</w:t>
      </w:r>
    </w:p>
    <w:p>
      <w:pPr>
        <w:tabs>
          <w:tab w:val="left" w:pos="4860"/>
        </w:tabs>
        <w:spacing w:line="360" w:lineRule="auto"/>
        <w:ind w:right="98" w:firstLine="432" w:firstLineChars="200"/>
        <w:jc w:val="left"/>
        <w:rPr>
          <w:rFonts w:hint="eastAsia" w:ascii="宋体" w:hAnsi="宋体" w:eastAsia="宋体" w:cs="宋体"/>
          <w:color w:val="auto"/>
          <w:spacing w:val="-2"/>
          <w:sz w:val="22"/>
          <w:szCs w:val="22"/>
          <w:highlight w:val="none"/>
        </w:rPr>
      </w:pPr>
    </w:p>
    <w:p>
      <w:pPr>
        <w:tabs>
          <w:tab w:val="left" w:pos="4860"/>
        </w:tabs>
        <w:spacing w:line="360" w:lineRule="auto"/>
        <w:ind w:right="98" w:firstLine="432" w:firstLineChars="200"/>
        <w:jc w:val="left"/>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我单位参与的贵单位组织的</w:t>
      </w:r>
      <w:r>
        <w:rPr>
          <w:rFonts w:hint="eastAsia" w:ascii="宋体" w:hAnsi="宋体" w:eastAsia="宋体" w:cs="宋体"/>
          <w:color w:val="auto"/>
          <w:spacing w:val="-2"/>
          <w:sz w:val="22"/>
          <w:szCs w:val="22"/>
          <w:highlight w:val="none"/>
          <w:u w:val="single"/>
          <w:lang w:val="en-US" w:eastAsia="zh-CN"/>
        </w:rPr>
        <w:t xml:space="preserve"> </w:t>
      </w:r>
      <w:r>
        <w:rPr>
          <w:rFonts w:hint="eastAsia" w:ascii="宋体" w:hAnsi="宋体" w:eastAsia="宋体" w:cs="宋体"/>
          <w:color w:val="auto"/>
          <w:spacing w:val="-2"/>
          <w:sz w:val="22"/>
          <w:szCs w:val="22"/>
          <w:highlight w:val="none"/>
          <w:u w:val="single"/>
          <w:lang w:eastAsia="zh-CN"/>
        </w:rPr>
        <w:t>陶山服务区物业服务</w:t>
      </w:r>
      <w:r>
        <w:rPr>
          <w:rFonts w:hint="eastAsia" w:ascii="宋体" w:hAnsi="宋体" w:eastAsia="宋体" w:cs="宋体"/>
          <w:color w:val="auto"/>
          <w:spacing w:val="-2"/>
          <w:sz w:val="22"/>
          <w:szCs w:val="22"/>
          <w:highlight w:val="none"/>
          <w:u w:val="single"/>
          <w:lang w:val="en-US" w:eastAsia="zh-CN"/>
        </w:rPr>
        <w:t xml:space="preserve"> </w:t>
      </w:r>
      <w:r>
        <w:rPr>
          <w:rFonts w:hint="eastAsia" w:ascii="宋体" w:hAnsi="宋体" w:eastAsia="宋体" w:cs="宋体"/>
          <w:color w:val="auto"/>
          <w:spacing w:val="-2"/>
          <w:sz w:val="22"/>
          <w:szCs w:val="22"/>
          <w:highlight w:val="none"/>
        </w:rPr>
        <w:t>项目（项目编号：</w:t>
      </w:r>
      <w:r>
        <w:rPr>
          <w:rFonts w:hint="eastAsia" w:ascii="宋体" w:hAnsi="宋体" w:eastAsia="宋体" w:cs="宋体"/>
          <w:color w:val="auto"/>
          <w:spacing w:val="-2"/>
          <w:sz w:val="22"/>
          <w:szCs w:val="22"/>
          <w:highlight w:val="none"/>
          <w:u w:val="single"/>
          <w:lang w:eastAsia="zh-CN"/>
        </w:rPr>
        <w:t>WGSS-JFJT-X-2023005</w:t>
      </w:r>
      <w:r>
        <w:rPr>
          <w:rFonts w:hint="eastAsia" w:ascii="宋体" w:hAnsi="宋体" w:eastAsia="宋体" w:cs="宋体"/>
          <w:color w:val="auto"/>
          <w:spacing w:val="-2"/>
          <w:sz w:val="22"/>
          <w:szCs w:val="22"/>
          <w:highlight w:val="none"/>
        </w:rPr>
        <w:t>）的投标。我单位对</w:t>
      </w:r>
      <w:r>
        <w:rPr>
          <w:rFonts w:hint="eastAsia" w:ascii="宋体" w:hAnsi="宋体" w:eastAsia="宋体" w:cs="宋体"/>
          <w:color w:val="auto"/>
          <w:spacing w:val="-2"/>
          <w:sz w:val="22"/>
          <w:szCs w:val="22"/>
          <w:highlight w:val="none"/>
          <w:lang w:val="en-US" w:eastAsia="zh-CN"/>
        </w:rPr>
        <w:t>拟派的服务人员</w:t>
      </w:r>
      <w:r>
        <w:rPr>
          <w:rFonts w:hint="eastAsia" w:ascii="宋体" w:hAnsi="宋体" w:eastAsia="宋体" w:cs="宋体"/>
          <w:color w:val="auto"/>
          <w:spacing w:val="-2"/>
          <w:sz w:val="22"/>
          <w:szCs w:val="22"/>
          <w:highlight w:val="none"/>
          <w:u w:val="single"/>
          <w:lang w:val="en-US" w:eastAsia="zh-CN"/>
        </w:rPr>
        <w:t xml:space="preserve"> 最低月工资 </w:t>
      </w:r>
      <w:r>
        <w:rPr>
          <w:rFonts w:hint="eastAsia" w:ascii="宋体" w:hAnsi="宋体" w:eastAsia="宋体" w:cs="宋体"/>
          <w:color w:val="auto"/>
          <w:spacing w:val="-2"/>
          <w:sz w:val="22"/>
          <w:szCs w:val="22"/>
          <w:highlight w:val="none"/>
        </w:rPr>
        <w:t>做</w:t>
      </w:r>
      <w:r>
        <w:rPr>
          <w:rFonts w:hint="eastAsia" w:ascii="宋体" w:hAnsi="宋体" w:eastAsia="宋体" w:cs="宋体"/>
          <w:color w:val="auto"/>
          <w:sz w:val="22"/>
          <w:szCs w:val="22"/>
          <w:highlight w:val="none"/>
        </w:rPr>
        <w:t>出以下</w:t>
      </w:r>
      <w:r>
        <w:rPr>
          <w:rFonts w:hint="eastAsia" w:ascii="宋体" w:hAnsi="宋体" w:eastAsia="宋体" w:cs="宋体"/>
          <w:color w:val="auto"/>
          <w:spacing w:val="-2"/>
          <w:sz w:val="22"/>
          <w:szCs w:val="22"/>
          <w:highlight w:val="none"/>
        </w:rPr>
        <w:t>承诺：</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5"/>
        <w:gridCol w:w="2453"/>
        <w:gridCol w:w="2955"/>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5" w:type="dxa"/>
            <w:vAlign w:val="center"/>
          </w:tcPr>
          <w:p>
            <w:pPr>
              <w:spacing w:line="240" w:lineRule="auto"/>
              <w:jc w:val="center"/>
              <w:rPr>
                <w:rFonts w:hint="eastAsia" w:ascii="宋体" w:hAnsi="宋体" w:eastAsia="宋体" w:cs="宋体"/>
                <w:color w:val="auto"/>
                <w:spacing w:val="-2"/>
                <w:sz w:val="22"/>
                <w:szCs w:val="22"/>
                <w:highlight w:val="none"/>
                <w:vertAlign w:val="baseline"/>
                <w:lang w:val="en-US" w:eastAsia="zh-CN"/>
              </w:rPr>
            </w:pPr>
            <w:r>
              <w:rPr>
                <w:rFonts w:hint="eastAsia" w:ascii="宋体" w:hAnsi="宋体" w:eastAsia="宋体" w:cs="宋体"/>
                <w:color w:val="auto"/>
                <w:spacing w:val="-2"/>
                <w:sz w:val="22"/>
                <w:szCs w:val="22"/>
                <w:highlight w:val="none"/>
                <w:vertAlign w:val="baseline"/>
                <w:lang w:val="en-US" w:eastAsia="zh-CN"/>
              </w:rPr>
              <w:t>序号</w:t>
            </w:r>
          </w:p>
        </w:tc>
        <w:tc>
          <w:tcPr>
            <w:tcW w:w="2453" w:type="dxa"/>
            <w:vAlign w:val="center"/>
          </w:tcPr>
          <w:p>
            <w:pPr>
              <w:spacing w:line="240" w:lineRule="auto"/>
              <w:jc w:val="center"/>
              <w:rPr>
                <w:rFonts w:hint="eastAsia" w:ascii="宋体" w:hAnsi="宋体" w:eastAsia="宋体" w:cs="宋体"/>
                <w:color w:val="auto"/>
                <w:spacing w:val="-2"/>
                <w:sz w:val="22"/>
                <w:szCs w:val="22"/>
                <w:highlight w:val="none"/>
                <w:vertAlign w:val="baseline"/>
                <w:lang w:val="en-US" w:eastAsia="zh-CN"/>
              </w:rPr>
            </w:pPr>
            <w:r>
              <w:rPr>
                <w:rFonts w:hint="eastAsia" w:ascii="宋体" w:hAnsi="宋体" w:eastAsia="宋体" w:cs="宋体"/>
                <w:color w:val="auto"/>
                <w:spacing w:val="-2"/>
                <w:sz w:val="22"/>
                <w:szCs w:val="22"/>
                <w:highlight w:val="none"/>
                <w:vertAlign w:val="baseline"/>
                <w:lang w:val="en-US" w:eastAsia="zh-CN"/>
              </w:rPr>
              <w:t>岗位</w:t>
            </w:r>
          </w:p>
        </w:tc>
        <w:tc>
          <w:tcPr>
            <w:tcW w:w="2955" w:type="dxa"/>
            <w:vAlign w:val="center"/>
          </w:tcPr>
          <w:p>
            <w:pPr>
              <w:spacing w:line="240" w:lineRule="auto"/>
              <w:jc w:val="center"/>
              <w:rPr>
                <w:rFonts w:hint="eastAsia" w:ascii="宋体" w:hAnsi="宋体" w:eastAsia="宋体" w:cs="宋体"/>
                <w:color w:val="auto"/>
                <w:spacing w:val="-2"/>
                <w:sz w:val="22"/>
                <w:szCs w:val="22"/>
                <w:highlight w:val="none"/>
                <w:vertAlign w:val="baseline"/>
                <w:lang w:eastAsia="zh-CN"/>
              </w:rPr>
            </w:pPr>
            <w:r>
              <w:rPr>
                <w:rFonts w:hint="eastAsia" w:ascii="宋体" w:hAnsi="宋体" w:eastAsia="宋体" w:cs="宋体"/>
                <w:color w:val="auto"/>
                <w:spacing w:val="-2"/>
                <w:sz w:val="22"/>
                <w:szCs w:val="22"/>
                <w:highlight w:val="none"/>
                <w:vertAlign w:val="baseline"/>
              </w:rPr>
              <w:t>最低月工资</w:t>
            </w:r>
            <w:r>
              <w:rPr>
                <w:rFonts w:hint="eastAsia" w:ascii="宋体" w:hAnsi="宋体" w:eastAsia="宋体" w:cs="宋体"/>
                <w:color w:val="auto"/>
                <w:spacing w:val="-2"/>
                <w:sz w:val="22"/>
                <w:szCs w:val="22"/>
                <w:highlight w:val="none"/>
                <w:vertAlign w:val="baseline"/>
                <w:lang w:eastAsia="zh-CN"/>
              </w:rPr>
              <w:t>（元/月·人）</w:t>
            </w:r>
          </w:p>
        </w:tc>
        <w:tc>
          <w:tcPr>
            <w:tcW w:w="1770" w:type="dxa"/>
            <w:vAlign w:val="center"/>
          </w:tcPr>
          <w:p>
            <w:pPr>
              <w:spacing w:line="240" w:lineRule="auto"/>
              <w:jc w:val="center"/>
              <w:rPr>
                <w:rFonts w:hint="eastAsia" w:ascii="宋体" w:hAnsi="宋体" w:eastAsia="宋体" w:cs="宋体"/>
                <w:color w:val="auto"/>
                <w:spacing w:val="-2"/>
                <w:sz w:val="22"/>
                <w:szCs w:val="22"/>
                <w:highlight w:val="none"/>
                <w:vertAlign w:val="baseline"/>
                <w:lang w:val="en-US" w:eastAsia="zh-CN"/>
              </w:rPr>
            </w:pPr>
            <w:r>
              <w:rPr>
                <w:rFonts w:hint="eastAsia" w:ascii="宋体" w:hAnsi="宋体" w:eastAsia="宋体" w:cs="宋体"/>
                <w:color w:val="auto"/>
                <w:spacing w:val="-2"/>
                <w:sz w:val="22"/>
                <w:szCs w:val="22"/>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5" w:type="dxa"/>
          </w:tcPr>
          <w:p>
            <w:pPr>
              <w:spacing w:line="240" w:lineRule="auto"/>
              <w:jc w:val="center"/>
              <w:rPr>
                <w:rFonts w:hint="eastAsia" w:ascii="宋体" w:hAnsi="宋体" w:eastAsia="宋体" w:cs="宋体"/>
                <w:color w:val="auto"/>
                <w:spacing w:val="-2"/>
                <w:sz w:val="22"/>
                <w:szCs w:val="22"/>
                <w:highlight w:val="none"/>
                <w:vertAlign w:val="baseline"/>
                <w:lang w:val="en-US" w:eastAsia="zh-CN"/>
              </w:rPr>
            </w:pPr>
            <w:r>
              <w:rPr>
                <w:rFonts w:hint="eastAsia" w:ascii="宋体" w:hAnsi="宋体" w:eastAsia="宋体" w:cs="宋体"/>
                <w:color w:val="auto"/>
                <w:spacing w:val="-2"/>
                <w:sz w:val="22"/>
                <w:szCs w:val="22"/>
                <w:highlight w:val="none"/>
                <w:vertAlign w:val="baseline"/>
                <w:lang w:val="en-US" w:eastAsia="zh-CN"/>
              </w:rPr>
              <w:t>1</w:t>
            </w:r>
          </w:p>
        </w:tc>
        <w:tc>
          <w:tcPr>
            <w:tcW w:w="2453" w:type="dxa"/>
            <w:vAlign w:val="center"/>
          </w:tcPr>
          <w:p>
            <w:pPr>
              <w:adjustRightInd w:val="0"/>
              <w:snapToGrid w:val="0"/>
              <w:spacing w:line="240" w:lineRule="auto"/>
              <w:ind w:left="359" w:leftChars="0" w:hanging="359" w:hangingChars="171"/>
              <w:jc w:val="center"/>
              <w:rPr>
                <w:rFonts w:hint="eastAsia" w:ascii="宋体" w:hAnsi="宋体" w:eastAsia="宋体" w:cs="宋体"/>
                <w:color w:val="auto"/>
                <w:spacing w:val="-2"/>
                <w:sz w:val="22"/>
                <w:szCs w:val="22"/>
                <w:highlight w:val="none"/>
                <w:vertAlign w:val="baseline"/>
                <w:lang w:val="en-US" w:eastAsia="zh-CN"/>
              </w:rPr>
            </w:pPr>
            <w:r>
              <w:rPr>
                <w:rFonts w:hint="eastAsia" w:ascii="宋体" w:hAnsi="宋体" w:eastAsia="宋体" w:cs="宋体"/>
                <w:color w:val="auto"/>
                <w:kern w:val="2"/>
                <w:sz w:val="21"/>
                <w:szCs w:val="21"/>
                <w:highlight w:val="none"/>
                <w:lang w:val="en-US" w:eastAsia="zh-CN" w:bidi="ar"/>
              </w:rPr>
              <w:t>物业经理</w:t>
            </w:r>
          </w:p>
        </w:tc>
        <w:tc>
          <w:tcPr>
            <w:tcW w:w="2955" w:type="dxa"/>
          </w:tcPr>
          <w:p>
            <w:pPr>
              <w:spacing w:line="240" w:lineRule="auto"/>
              <w:rPr>
                <w:rFonts w:hint="eastAsia" w:ascii="宋体" w:hAnsi="宋体" w:eastAsia="宋体" w:cs="宋体"/>
                <w:color w:val="auto"/>
                <w:spacing w:val="-2"/>
                <w:sz w:val="22"/>
                <w:szCs w:val="22"/>
                <w:highlight w:val="none"/>
                <w:vertAlign w:val="baseline"/>
              </w:rPr>
            </w:pPr>
          </w:p>
        </w:tc>
        <w:tc>
          <w:tcPr>
            <w:tcW w:w="1770" w:type="dxa"/>
          </w:tcPr>
          <w:p>
            <w:pPr>
              <w:spacing w:line="240" w:lineRule="auto"/>
              <w:rPr>
                <w:rFonts w:hint="eastAsia" w:ascii="宋体" w:hAnsi="宋体" w:eastAsia="宋体" w:cs="宋体"/>
                <w:color w:val="auto"/>
                <w:spacing w:val="-2"/>
                <w:sz w:val="22"/>
                <w:szCs w:val="2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5" w:type="dxa"/>
          </w:tcPr>
          <w:p>
            <w:pPr>
              <w:spacing w:line="240" w:lineRule="auto"/>
              <w:jc w:val="center"/>
              <w:rPr>
                <w:rFonts w:hint="eastAsia" w:ascii="宋体" w:hAnsi="宋体" w:eastAsia="宋体" w:cs="宋体"/>
                <w:color w:val="auto"/>
                <w:spacing w:val="-2"/>
                <w:sz w:val="22"/>
                <w:szCs w:val="22"/>
                <w:highlight w:val="none"/>
                <w:vertAlign w:val="baseline"/>
                <w:lang w:val="en-US" w:eastAsia="zh-CN"/>
              </w:rPr>
            </w:pPr>
            <w:r>
              <w:rPr>
                <w:rFonts w:hint="eastAsia" w:ascii="宋体" w:hAnsi="宋体" w:eastAsia="宋体" w:cs="宋体"/>
                <w:color w:val="auto"/>
                <w:spacing w:val="-2"/>
                <w:sz w:val="22"/>
                <w:szCs w:val="22"/>
                <w:highlight w:val="none"/>
                <w:vertAlign w:val="baseline"/>
                <w:lang w:val="en-US" w:eastAsia="zh-CN"/>
              </w:rPr>
              <w:t>2</w:t>
            </w:r>
          </w:p>
        </w:tc>
        <w:tc>
          <w:tcPr>
            <w:tcW w:w="2453" w:type="dxa"/>
            <w:vAlign w:val="center"/>
          </w:tcPr>
          <w:p>
            <w:pPr>
              <w:adjustRightInd w:val="0"/>
              <w:snapToGrid w:val="0"/>
              <w:spacing w:line="240" w:lineRule="auto"/>
              <w:ind w:left="359" w:leftChars="0" w:hanging="359" w:hangingChars="171"/>
              <w:jc w:val="center"/>
              <w:rPr>
                <w:rFonts w:hint="eastAsia" w:ascii="宋体" w:hAnsi="宋体" w:eastAsia="宋体" w:cs="宋体"/>
                <w:color w:val="auto"/>
                <w:spacing w:val="-2"/>
                <w:sz w:val="22"/>
                <w:szCs w:val="22"/>
                <w:highlight w:val="none"/>
                <w:vertAlign w:val="baseline"/>
                <w:lang w:val="en-US" w:eastAsia="zh-CN"/>
              </w:rPr>
            </w:pPr>
            <w:r>
              <w:rPr>
                <w:rFonts w:hint="eastAsia" w:ascii="宋体" w:hAnsi="宋体" w:eastAsia="宋体" w:cs="宋体"/>
                <w:color w:val="auto"/>
                <w:kern w:val="2"/>
                <w:sz w:val="21"/>
                <w:szCs w:val="21"/>
                <w:highlight w:val="none"/>
                <w:lang w:val="en-US" w:eastAsia="zh-CN" w:bidi="ar"/>
              </w:rPr>
              <w:t>保洁主管</w:t>
            </w:r>
          </w:p>
        </w:tc>
        <w:tc>
          <w:tcPr>
            <w:tcW w:w="2955" w:type="dxa"/>
          </w:tcPr>
          <w:p>
            <w:pPr>
              <w:spacing w:line="240" w:lineRule="auto"/>
              <w:rPr>
                <w:rFonts w:hint="eastAsia" w:ascii="宋体" w:hAnsi="宋体" w:eastAsia="宋体" w:cs="宋体"/>
                <w:color w:val="auto"/>
                <w:spacing w:val="-2"/>
                <w:sz w:val="22"/>
                <w:szCs w:val="22"/>
                <w:highlight w:val="none"/>
                <w:vertAlign w:val="baseline"/>
              </w:rPr>
            </w:pPr>
          </w:p>
        </w:tc>
        <w:tc>
          <w:tcPr>
            <w:tcW w:w="1770" w:type="dxa"/>
          </w:tcPr>
          <w:p>
            <w:pPr>
              <w:spacing w:line="240" w:lineRule="auto"/>
              <w:rPr>
                <w:rFonts w:hint="eastAsia" w:ascii="宋体" w:hAnsi="宋体" w:eastAsia="宋体" w:cs="宋体"/>
                <w:color w:val="auto"/>
                <w:spacing w:val="-2"/>
                <w:sz w:val="22"/>
                <w:szCs w:val="2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5" w:type="dxa"/>
          </w:tcPr>
          <w:p>
            <w:pPr>
              <w:spacing w:line="240" w:lineRule="auto"/>
              <w:jc w:val="center"/>
              <w:rPr>
                <w:rFonts w:hint="eastAsia" w:ascii="宋体" w:hAnsi="宋体" w:eastAsia="宋体" w:cs="宋体"/>
                <w:color w:val="auto"/>
                <w:spacing w:val="-2"/>
                <w:sz w:val="22"/>
                <w:szCs w:val="22"/>
                <w:highlight w:val="none"/>
                <w:vertAlign w:val="baseline"/>
                <w:lang w:val="en-US" w:eastAsia="zh-CN"/>
              </w:rPr>
            </w:pPr>
            <w:r>
              <w:rPr>
                <w:rFonts w:hint="eastAsia" w:ascii="宋体" w:hAnsi="宋体" w:eastAsia="宋体" w:cs="宋体"/>
                <w:color w:val="auto"/>
                <w:spacing w:val="-2"/>
                <w:sz w:val="22"/>
                <w:szCs w:val="22"/>
                <w:highlight w:val="none"/>
                <w:vertAlign w:val="baseline"/>
                <w:lang w:val="en-US" w:eastAsia="zh-CN"/>
              </w:rPr>
              <w:t>3</w:t>
            </w:r>
          </w:p>
        </w:tc>
        <w:tc>
          <w:tcPr>
            <w:tcW w:w="2453" w:type="dxa"/>
            <w:vAlign w:val="center"/>
          </w:tcPr>
          <w:p>
            <w:pPr>
              <w:adjustRightInd w:val="0"/>
              <w:snapToGrid w:val="0"/>
              <w:spacing w:line="240" w:lineRule="auto"/>
              <w:ind w:left="359" w:leftChars="0" w:hanging="359" w:hangingChars="171"/>
              <w:jc w:val="center"/>
              <w:rPr>
                <w:rFonts w:hint="eastAsia" w:ascii="宋体" w:hAnsi="宋体" w:eastAsia="宋体" w:cs="宋体"/>
                <w:color w:val="auto"/>
                <w:spacing w:val="-2"/>
                <w:sz w:val="22"/>
                <w:szCs w:val="22"/>
                <w:highlight w:val="none"/>
                <w:vertAlign w:val="baseline"/>
                <w:lang w:val="en-US" w:eastAsia="zh-CN"/>
              </w:rPr>
            </w:pPr>
            <w:r>
              <w:rPr>
                <w:rFonts w:hint="eastAsia" w:ascii="宋体" w:hAnsi="宋体" w:eastAsia="宋体" w:cs="宋体"/>
                <w:color w:val="auto"/>
                <w:kern w:val="2"/>
                <w:sz w:val="21"/>
                <w:szCs w:val="21"/>
                <w:highlight w:val="none"/>
                <w:lang w:val="en-US" w:eastAsia="zh-CN" w:bidi="ar"/>
              </w:rPr>
              <w:t>物业内勤</w:t>
            </w:r>
          </w:p>
        </w:tc>
        <w:tc>
          <w:tcPr>
            <w:tcW w:w="2955" w:type="dxa"/>
          </w:tcPr>
          <w:p>
            <w:pPr>
              <w:spacing w:line="240" w:lineRule="auto"/>
              <w:rPr>
                <w:rFonts w:hint="eastAsia" w:ascii="宋体" w:hAnsi="宋体" w:eastAsia="宋体" w:cs="宋体"/>
                <w:color w:val="auto"/>
                <w:spacing w:val="-2"/>
                <w:sz w:val="22"/>
                <w:szCs w:val="22"/>
                <w:highlight w:val="none"/>
                <w:vertAlign w:val="baseline"/>
              </w:rPr>
            </w:pPr>
          </w:p>
        </w:tc>
        <w:tc>
          <w:tcPr>
            <w:tcW w:w="1770" w:type="dxa"/>
          </w:tcPr>
          <w:p>
            <w:pPr>
              <w:spacing w:line="240" w:lineRule="auto"/>
              <w:rPr>
                <w:rFonts w:hint="eastAsia" w:ascii="宋体" w:hAnsi="宋体" w:eastAsia="宋体" w:cs="宋体"/>
                <w:color w:val="auto"/>
                <w:spacing w:val="-2"/>
                <w:sz w:val="22"/>
                <w:szCs w:val="2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5" w:type="dxa"/>
          </w:tcPr>
          <w:p>
            <w:pPr>
              <w:spacing w:line="240" w:lineRule="auto"/>
              <w:jc w:val="center"/>
              <w:rPr>
                <w:rFonts w:hint="eastAsia" w:ascii="宋体" w:hAnsi="宋体" w:eastAsia="宋体" w:cs="宋体"/>
                <w:color w:val="auto"/>
                <w:spacing w:val="-2"/>
                <w:sz w:val="22"/>
                <w:szCs w:val="22"/>
                <w:highlight w:val="none"/>
                <w:vertAlign w:val="baseline"/>
                <w:lang w:val="en-US" w:eastAsia="zh-CN"/>
              </w:rPr>
            </w:pPr>
            <w:r>
              <w:rPr>
                <w:rFonts w:hint="eastAsia" w:ascii="宋体" w:hAnsi="宋体" w:eastAsia="宋体" w:cs="宋体"/>
                <w:color w:val="auto"/>
                <w:spacing w:val="-2"/>
                <w:sz w:val="22"/>
                <w:szCs w:val="22"/>
                <w:highlight w:val="none"/>
                <w:vertAlign w:val="baseline"/>
                <w:lang w:val="en-US" w:eastAsia="zh-CN"/>
              </w:rPr>
              <w:t>4</w:t>
            </w:r>
          </w:p>
        </w:tc>
        <w:tc>
          <w:tcPr>
            <w:tcW w:w="2453" w:type="dxa"/>
            <w:vAlign w:val="center"/>
          </w:tcPr>
          <w:p>
            <w:pPr>
              <w:adjustRightInd w:val="0"/>
              <w:snapToGrid w:val="0"/>
              <w:spacing w:line="240" w:lineRule="auto"/>
              <w:ind w:left="359" w:leftChars="0" w:hanging="359" w:hangingChars="171"/>
              <w:jc w:val="center"/>
              <w:rPr>
                <w:rFonts w:hint="eastAsia" w:ascii="宋体" w:hAnsi="宋体" w:eastAsia="宋体" w:cs="宋体"/>
                <w:color w:val="auto"/>
                <w:spacing w:val="-2"/>
                <w:sz w:val="22"/>
                <w:szCs w:val="22"/>
                <w:highlight w:val="none"/>
                <w:vertAlign w:val="baseline"/>
                <w:lang w:val="en-US" w:eastAsia="zh-CN"/>
              </w:rPr>
            </w:pPr>
            <w:r>
              <w:rPr>
                <w:rFonts w:hint="eastAsia" w:ascii="宋体" w:hAnsi="宋体" w:eastAsia="宋体" w:cs="宋体"/>
                <w:color w:val="auto"/>
                <w:kern w:val="2"/>
                <w:sz w:val="21"/>
                <w:szCs w:val="21"/>
                <w:highlight w:val="none"/>
                <w:lang w:val="en-US" w:eastAsia="zh-CN" w:bidi="ar"/>
              </w:rPr>
              <w:t>水电工</w:t>
            </w:r>
          </w:p>
        </w:tc>
        <w:tc>
          <w:tcPr>
            <w:tcW w:w="2955" w:type="dxa"/>
          </w:tcPr>
          <w:p>
            <w:pPr>
              <w:spacing w:line="240" w:lineRule="auto"/>
              <w:rPr>
                <w:rFonts w:hint="eastAsia" w:ascii="宋体" w:hAnsi="宋体" w:eastAsia="宋体" w:cs="宋体"/>
                <w:color w:val="auto"/>
                <w:spacing w:val="-2"/>
                <w:sz w:val="22"/>
                <w:szCs w:val="22"/>
                <w:highlight w:val="none"/>
                <w:vertAlign w:val="baseline"/>
              </w:rPr>
            </w:pPr>
          </w:p>
        </w:tc>
        <w:tc>
          <w:tcPr>
            <w:tcW w:w="1770" w:type="dxa"/>
          </w:tcPr>
          <w:p>
            <w:pPr>
              <w:spacing w:line="240" w:lineRule="auto"/>
              <w:rPr>
                <w:rFonts w:hint="eastAsia" w:ascii="宋体" w:hAnsi="宋体" w:eastAsia="宋体" w:cs="宋体"/>
                <w:color w:val="auto"/>
                <w:spacing w:val="-2"/>
                <w:sz w:val="22"/>
                <w:szCs w:val="2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5" w:type="dxa"/>
          </w:tcPr>
          <w:p>
            <w:pPr>
              <w:spacing w:line="240" w:lineRule="auto"/>
              <w:jc w:val="center"/>
              <w:rPr>
                <w:rFonts w:hint="eastAsia" w:ascii="宋体" w:hAnsi="宋体" w:eastAsia="宋体" w:cs="宋体"/>
                <w:color w:val="auto"/>
                <w:spacing w:val="-2"/>
                <w:sz w:val="22"/>
                <w:szCs w:val="22"/>
                <w:highlight w:val="none"/>
                <w:vertAlign w:val="baseline"/>
                <w:lang w:val="en-US" w:eastAsia="zh-CN"/>
              </w:rPr>
            </w:pPr>
            <w:r>
              <w:rPr>
                <w:rFonts w:hint="eastAsia" w:ascii="宋体" w:hAnsi="宋体" w:eastAsia="宋体" w:cs="宋体"/>
                <w:color w:val="auto"/>
                <w:spacing w:val="-2"/>
                <w:sz w:val="22"/>
                <w:szCs w:val="22"/>
                <w:highlight w:val="none"/>
                <w:vertAlign w:val="baseline"/>
                <w:lang w:val="en-US" w:eastAsia="zh-CN"/>
              </w:rPr>
              <w:t>5</w:t>
            </w:r>
          </w:p>
        </w:tc>
        <w:tc>
          <w:tcPr>
            <w:tcW w:w="2453" w:type="dxa"/>
            <w:vAlign w:val="center"/>
          </w:tcPr>
          <w:p>
            <w:pPr>
              <w:adjustRightInd w:val="0"/>
              <w:snapToGrid w:val="0"/>
              <w:spacing w:line="240" w:lineRule="auto"/>
              <w:ind w:left="359" w:leftChars="0" w:hanging="359" w:hangingChars="171"/>
              <w:jc w:val="center"/>
              <w:rPr>
                <w:rFonts w:hint="eastAsia" w:ascii="宋体" w:hAnsi="宋体" w:eastAsia="宋体" w:cs="宋体"/>
                <w:color w:val="auto"/>
                <w:spacing w:val="-2"/>
                <w:sz w:val="22"/>
                <w:szCs w:val="22"/>
                <w:highlight w:val="none"/>
                <w:vertAlign w:val="baseline"/>
                <w:lang w:val="en-US" w:eastAsia="zh-CN"/>
              </w:rPr>
            </w:pPr>
            <w:r>
              <w:rPr>
                <w:rFonts w:hint="eastAsia" w:ascii="宋体" w:hAnsi="宋体" w:eastAsia="宋体" w:cs="宋体"/>
                <w:color w:val="auto"/>
                <w:kern w:val="2"/>
                <w:sz w:val="21"/>
                <w:szCs w:val="21"/>
                <w:highlight w:val="none"/>
                <w:lang w:val="en-US" w:eastAsia="zh-CN" w:bidi="ar"/>
              </w:rPr>
              <w:t>咨询台人员</w:t>
            </w:r>
          </w:p>
        </w:tc>
        <w:tc>
          <w:tcPr>
            <w:tcW w:w="2955" w:type="dxa"/>
          </w:tcPr>
          <w:p>
            <w:pPr>
              <w:spacing w:line="240" w:lineRule="auto"/>
              <w:rPr>
                <w:rFonts w:hint="eastAsia" w:ascii="宋体" w:hAnsi="宋体" w:eastAsia="宋体" w:cs="宋体"/>
                <w:color w:val="auto"/>
                <w:spacing w:val="-2"/>
                <w:sz w:val="22"/>
                <w:szCs w:val="22"/>
                <w:highlight w:val="none"/>
                <w:vertAlign w:val="baseline"/>
              </w:rPr>
            </w:pPr>
          </w:p>
        </w:tc>
        <w:tc>
          <w:tcPr>
            <w:tcW w:w="1770" w:type="dxa"/>
          </w:tcPr>
          <w:p>
            <w:pPr>
              <w:spacing w:line="240" w:lineRule="auto"/>
              <w:rPr>
                <w:rFonts w:hint="eastAsia" w:ascii="宋体" w:hAnsi="宋体" w:eastAsia="宋体" w:cs="宋体"/>
                <w:color w:val="auto"/>
                <w:spacing w:val="-2"/>
                <w:sz w:val="22"/>
                <w:szCs w:val="2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5" w:type="dxa"/>
          </w:tcPr>
          <w:p>
            <w:pPr>
              <w:spacing w:line="240" w:lineRule="auto"/>
              <w:jc w:val="center"/>
              <w:rPr>
                <w:rFonts w:hint="eastAsia" w:ascii="宋体" w:hAnsi="宋体" w:eastAsia="宋体" w:cs="宋体"/>
                <w:color w:val="auto"/>
                <w:spacing w:val="-2"/>
                <w:sz w:val="22"/>
                <w:szCs w:val="22"/>
                <w:highlight w:val="none"/>
                <w:vertAlign w:val="baseline"/>
                <w:lang w:val="en-US" w:eastAsia="zh-CN"/>
              </w:rPr>
            </w:pPr>
            <w:r>
              <w:rPr>
                <w:rFonts w:hint="eastAsia" w:ascii="宋体" w:hAnsi="宋体" w:eastAsia="宋体" w:cs="宋体"/>
                <w:color w:val="auto"/>
                <w:spacing w:val="-2"/>
                <w:sz w:val="22"/>
                <w:szCs w:val="22"/>
                <w:highlight w:val="none"/>
                <w:vertAlign w:val="baseline"/>
                <w:lang w:val="en-US" w:eastAsia="zh-CN"/>
              </w:rPr>
              <w:t>6</w:t>
            </w:r>
          </w:p>
        </w:tc>
        <w:tc>
          <w:tcPr>
            <w:tcW w:w="2453" w:type="dxa"/>
            <w:vAlign w:val="center"/>
          </w:tcPr>
          <w:p>
            <w:pPr>
              <w:adjustRightInd w:val="0"/>
              <w:snapToGrid w:val="0"/>
              <w:spacing w:line="240" w:lineRule="auto"/>
              <w:ind w:left="359" w:leftChars="0" w:hanging="359" w:hangingChars="171"/>
              <w:jc w:val="center"/>
              <w:rPr>
                <w:rFonts w:hint="eastAsia" w:ascii="宋体" w:hAnsi="宋体" w:eastAsia="宋体" w:cs="宋体"/>
                <w:color w:val="auto"/>
                <w:spacing w:val="-2"/>
                <w:sz w:val="22"/>
                <w:szCs w:val="22"/>
                <w:highlight w:val="none"/>
                <w:vertAlign w:val="baseline"/>
                <w:lang w:val="en-US" w:eastAsia="zh-CN"/>
              </w:rPr>
            </w:pPr>
            <w:r>
              <w:rPr>
                <w:rFonts w:hint="eastAsia" w:ascii="宋体" w:hAnsi="宋体" w:eastAsia="宋体" w:cs="宋体"/>
                <w:color w:val="auto"/>
                <w:kern w:val="2"/>
                <w:sz w:val="21"/>
                <w:szCs w:val="21"/>
                <w:highlight w:val="none"/>
                <w:lang w:val="en-US" w:eastAsia="zh-CN" w:bidi="ar"/>
              </w:rPr>
              <w:t>保安队长</w:t>
            </w:r>
          </w:p>
        </w:tc>
        <w:tc>
          <w:tcPr>
            <w:tcW w:w="2955" w:type="dxa"/>
          </w:tcPr>
          <w:p>
            <w:pPr>
              <w:spacing w:line="240" w:lineRule="auto"/>
              <w:rPr>
                <w:rFonts w:hint="eastAsia" w:ascii="宋体" w:hAnsi="宋体" w:eastAsia="宋体" w:cs="宋体"/>
                <w:color w:val="auto"/>
                <w:spacing w:val="-2"/>
                <w:sz w:val="22"/>
                <w:szCs w:val="22"/>
                <w:highlight w:val="none"/>
                <w:vertAlign w:val="baseline"/>
              </w:rPr>
            </w:pPr>
          </w:p>
        </w:tc>
        <w:tc>
          <w:tcPr>
            <w:tcW w:w="1770" w:type="dxa"/>
          </w:tcPr>
          <w:p>
            <w:pPr>
              <w:spacing w:line="240" w:lineRule="auto"/>
              <w:rPr>
                <w:rFonts w:hint="eastAsia" w:ascii="宋体" w:hAnsi="宋体" w:eastAsia="宋体" w:cs="宋体"/>
                <w:color w:val="auto"/>
                <w:spacing w:val="-2"/>
                <w:sz w:val="22"/>
                <w:szCs w:val="2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5" w:type="dxa"/>
          </w:tcPr>
          <w:p>
            <w:pPr>
              <w:spacing w:line="240" w:lineRule="auto"/>
              <w:jc w:val="center"/>
              <w:rPr>
                <w:rFonts w:hint="eastAsia" w:ascii="宋体" w:hAnsi="宋体" w:eastAsia="宋体" w:cs="宋体"/>
                <w:color w:val="auto"/>
                <w:spacing w:val="-2"/>
                <w:sz w:val="22"/>
                <w:szCs w:val="22"/>
                <w:highlight w:val="none"/>
                <w:vertAlign w:val="baseline"/>
                <w:lang w:val="en-US" w:eastAsia="zh-CN"/>
              </w:rPr>
            </w:pPr>
            <w:r>
              <w:rPr>
                <w:rFonts w:hint="eastAsia" w:ascii="宋体" w:hAnsi="宋体" w:eastAsia="宋体" w:cs="宋体"/>
                <w:color w:val="auto"/>
                <w:spacing w:val="-2"/>
                <w:sz w:val="22"/>
                <w:szCs w:val="22"/>
                <w:highlight w:val="none"/>
                <w:vertAlign w:val="baseline"/>
                <w:lang w:val="en-US" w:eastAsia="zh-CN"/>
              </w:rPr>
              <w:t>7</w:t>
            </w:r>
          </w:p>
        </w:tc>
        <w:tc>
          <w:tcPr>
            <w:tcW w:w="2453" w:type="dxa"/>
            <w:vAlign w:val="center"/>
          </w:tcPr>
          <w:p>
            <w:pPr>
              <w:adjustRightInd w:val="0"/>
              <w:snapToGrid w:val="0"/>
              <w:spacing w:line="240" w:lineRule="auto"/>
              <w:ind w:left="359" w:leftChars="0" w:hanging="359" w:hangingChars="171"/>
              <w:jc w:val="center"/>
              <w:rPr>
                <w:rFonts w:hint="eastAsia" w:ascii="宋体" w:hAnsi="宋体" w:eastAsia="宋体" w:cs="宋体"/>
                <w:color w:val="auto"/>
                <w:spacing w:val="-2"/>
                <w:sz w:val="22"/>
                <w:szCs w:val="22"/>
                <w:highlight w:val="none"/>
                <w:vertAlign w:val="baseline"/>
                <w:lang w:val="en-US" w:eastAsia="zh-CN"/>
              </w:rPr>
            </w:pPr>
            <w:r>
              <w:rPr>
                <w:rFonts w:hint="eastAsia" w:ascii="宋体" w:hAnsi="宋体" w:eastAsia="宋体" w:cs="宋体"/>
                <w:color w:val="auto"/>
                <w:kern w:val="2"/>
                <w:sz w:val="21"/>
                <w:szCs w:val="21"/>
                <w:highlight w:val="none"/>
                <w:lang w:val="en-US" w:eastAsia="zh-CN" w:bidi="ar"/>
              </w:rPr>
              <w:t>保安员</w:t>
            </w:r>
          </w:p>
        </w:tc>
        <w:tc>
          <w:tcPr>
            <w:tcW w:w="2955" w:type="dxa"/>
          </w:tcPr>
          <w:p>
            <w:pPr>
              <w:spacing w:line="240" w:lineRule="auto"/>
              <w:rPr>
                <w:rFonts w:hint="eastAsia" w:ascii="宋体" w:hAnsi="宋体" w:eastAsia="宋体" w:cs="宋体"/>
                <w:color w:val="auto"/>
                <w:spacing w:val="-2"/>
                <w:sz w:val="22"/>
                <w:szCs w:val="22"/>
                <w:highlight w:val="none"/>
                <w:vertAlign w:val="baseline"/>
              </w:rPr>
            </w:pPr>
          </w:p>
        </w:tc>
        <w:tc>
          <w:tcPr>
            <w:tcW w:w="1770" w:type="dxa"/>
          </w:tcPr>
          <w:p>
            <w:pPr>
              <w:spacing w:line="240" w:lineRule="auto"/>
              <w:rPr>
                <w:rFonts w:hint="eastAsia" w:ascii="宋体" w:hAnsi="宋体" w:eastAsia="宋体" w:cs="宋体"/>
                <w:color w:val="auto"/>
                <w:spacing w:val="-2"/>
                <w:sz w:val="22"/>
                <w:szCs w:val="22"/>
                <w:highlight w:val="none"/>
                <w:vertAlign w:val="baseline"/>
              </w:rPr>
            </w:pPr>
          </w:p>
        </w:tc>
      </w:tr>
    </w:tbl>
    <w:p>
      <w:pPr>
        <w:spacing w:line="360" w:lineRule="auto"/>
        <w:ind w:firstLine="432" w:firstLineChars="200"/>
        <w:rPr>
          <w:rFonts w:hint="eastAsia" w:ascii="宋体" w:hAnsi="宋体" w:eastAsia="宋体" w:cs="宋体"/>
          <w:color w:val="auto"/>
          <w:spacing w:val="-2"/>
          <w:sz w:val="22"/>
          <w:szCs w:val="22"/>
          <w:highlight w:val="none"/>
        </w:rPr>
      </w:pPr>
    </w:p>
    <w:p>
      <w:pPr>
        <w:spacing w:line="360" w:lineRule="auto"/>
        <w:ind w:firstLine="432" w:firstLineChars="200"/>
        <w:rPr>
          <w:rFonts w:hint="eastAsia" w:ascii="宋体" w:hAnsi="宋体" w:eastAsia="宋体" w:cs="宋体"/>
          <w:color w:val="auto"/>
          <w:highlight w:val="none"/>
        </w:rPr>
      </w:pPr>
      <w:r>
        <w:rPr>
          <w:rFonts w:hint="eastAsia" w:ascii="宋体" w:hAnsi="宋体" w:eastAsia="宋体" w:cs="宋体"/>
          <w:color w:val="auto"/>
          <w:spacing w:val="-2"/>
          <w:sz w:val="22"/>
          <w:szCs w:val="22"/>
          <w:highlight w:val="none"/>
        </w:rPr>
        <w:t>如果我单位获得本项目中标，则我单位承诺</w:t>
      </w:r>
      <w:r>
        <w:rPr>
          <w:rFonts w:hint="eastAsia" w:ascii="宋体" w:hAnsi="宋体" w:eastAsia="宋体" w:cs="宋体"/>
          <w:color w:val="auto"/>
          <w:spacing w:val="-2"/>
          <w:sz w:val="22"/>
          <w:szCs w:val="22"/>
          <w:highlight w:val="none"/>
          <w:lang w:val="en-US" w:eastAsia="zh-CN"/>
        </w:rPr>
        <w:t>拟派的</w:t>
      </w:r>
      <w:r>
        <w:rPr>
          <w:rFonts w:hint="eastAsia" w:ascii="宋体" w:hAnsi="宋体" w:eastAsia="宋体" w:cs="宋体"/>
          <w:color w:val="auto"/>
          <w:spacing w:val="-2"/>
          <w:sz w:val="22"/>
          <w:szCs w:val="22"/>
          <w:highlight w:val="none"/>
        </w:rPr>
        <w:t>服务人员最低月工资</w:t>
      </w:r>
      <w:r>
        <w:rPr>
          <w:rFonts w:hint="eastAsia" w:ascii="宋体" w:hAnsi="宋体" w:eastAsia="宋体" w:cs="宋体"/>
          <w:color w:val="auto"/>
          <w:spacing w:val="-2"/>
          <w:sz w:val="22"/>
          <w:szCs w:val="22"/>
          <w:highlight w:val="none"/>
          <w:lang w:val="en-US" w:eastAsia="zh-CN"/>
        </w:rPr>
        <w:t>严格按照本承诺函</w:t>
      </w:r>
      <w:r>
        <w:rPr>
          <w:rFonts w:hint="eastAsia" w:ascii="宋体" w:hAnsi="宋体" w:eastAsia="宋体" w:cs="宋体"/>
          <w:color w:val="auto"/>
          <w:spacing w:val="-2"/>
          <w:sz w:val="22"/>
          <w:szCs w:val="22"/>
          <w:highlight w:val="none"/>
        </w:rPr>
        <w:t>规定执行</w:t>
      </w:r>
      <w:r>
        <w:rPr>
          <w:rFonts w:hint="eastAsia" w:ascii="宋体" w:hAnsi="宋体" w:eastAsia="宋体" w:cs="宋体"/>
          <w:color w:val="auto"/>
          <w:spacing w:val="-2"/>
          <w:sz w:val="22"/>
          <w:szCs w:val="22"/>
          <w:highlight w:val="none"/>
          <w:lang w:eastAsia="zh-CN"/>
        </w:rPr>
        <w:t>，</w:t>
      </w:r>
      <w:r>
        <w:rPr>
          <w:rFonts w:hint="eastAsia" w:ascii="宋体" w:hAnsi="宋体" w:eastAsia="宋体" w:cs="宋体"/>
          <w:color w:val="auto"/>
          <w:highlight w:val="none"/>
        </w:rPr>
        <w:t>我方按照</w:t>
      </w:r>
      <w:r>
        <w:rPr>
          <w:rFonts w:hint="eastAsia" w:ascii="宋体" w:hAnsi="宋体" w:eastAsia="宋体" w:cs="宋体"/>
          <w:color w:val="auto"/>
          <w:highlight w:val="none"/>
          <w:lang w:val="en-US" w:eastAsia="zh-CN"/>
        </w:rPr>
        <w:t>本</w:t>
      </w:r>
      <w:r>
        <w:rPr>
          <w:rFonts w:hint="eastAsia" w:ascii="宋体" w:hAnsi="宋体" w:eastAsia="宋体" w:cs="宋体"/>
          <w:color w:val="auto"/>
          <w:highlight w:val="none"/>
          <w:lang w:eastAsia="zh-CN"/>
        </w:rPr>
        <w:t>承诺函</w:t>
      </w:r>
      <w:r>
        <w:rPr>
          <w:rFonts w:hint="eastAsia" w:ascii="宋体" w:hAnsi="宋体" w:eastAsia="宋体" w:cs="宋体"/>
          <w:color w:val="auto"/>
          <w:highlight w:val="none"/>
          <w:lang w:val="en-US" w:eastAsia="zh-CN"/>
        </w:rPr>
        <w:t>的规定</w:t>
      </w:r>
      <w:r>
        <w:rPr>
          <w:rFonts w:hint="eastAsia" w:ascii="宋体" w:hAnsi="宋体" w:eastAsia="宋体" w:cs="宋体"/>
          <w:color w:val="auto"/>
          <w:highlight w:val="none"/>
        </w:rPr>
        <w:t>执行后，我方没有任何附加条件，且所提交的投标文件依然有效。</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我方理解，如不作此承诺，评标委员会将对我方投标作无效标处理。</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特此承诺！</w:t>
      </w:r>
    </w:p>
    <w:p>
      <w:pPr>
        <w:spacing w:line="360" w:lineRule="auto"/>
        <w:rPr>
          <w:rFonts w:hint="eastAsia" w:ascii="宋体" w:hAnsi="宋体" w:eastAsia="宋体" w:cs="宋体"/>
          <w:color w:val="auto"/>
          <w:sz w:val="22"/>
          <w:szCs w:val="22"/>
          <w:highlight w:val="none"/>
        </w:rPr>
      </w:pPr>
    </w:p>
    <w:p>
      <w:pPr>
        <w:spacing w:line="360" w:lineRule="auto"/>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承诺人单位全称（盖公章）：</w:t>
      </w:r>
    </w:p>
    <w:p>
      <w:pPr>
        <w:spacing w:line="360" w:lineRule="auto"/>
        <w:rPr>
          <w:rFonts w:hint="eastAsia" w:ascii="宋体" w:hAnsi="宋体" w:eastAsia="宋体" w:cs="宋体"/>
          <w:color w:val="auto"/>
          <w:spacing w:val="-2"/>
          <w:sz w:val="22"/>
          <w:szCs w:val="22"/>
          <w:highlight w:val="none"/>
        </w:rPr>
      </w:pPr>
    </w:p>
    <w:p>
      <w:pPr>
        <w:spacing w:line="360" w:lineRule="auto"/>
        <w:rPr>
          <w:rFonts w:hint="eastAsia" w:ascii="宋体" w:hAnsi="宋体" w:eastAsia="宋体" w:cs="宋体"/>
          <w:color w:val="auto"/>
          <w:spacing w:val="-2"/>
          <w:sz w:val="22"/>
          <w:szCs w:val="22"/>
          <w:highlight w:val="none"/>
        </w:rPr>
      </w:pPr>
      <w:r>
        <w:rPr>
          <w:rFonts w:hint="eastAsia" w:ascii="宋体" w:hAnsi="宋体" w:eastAsia="宋体" w:cs="宋体"/>
          <w:color w:val="auto"/>
          <w:kern w:val="0"/>
          <w:highlight w:val="none"/>
        </w:rPr>
        <w:t>法定代表人或授权代表</w:t>
      </w:r>
      <w:r>
        <w:rPr>
          <w:rFonts w:hint="eastAsia" w:ascii="宋体" w:hAnsi="宋体" w:eastAsia="宋体" w:cs="宋体"/>
          <w:color w:val="auto"/>
          <w:spacing w:val="-2"/>
          <w:sz w:val="22"/>
          <w:szCs w:val="22"/>
          <w:highlight w:val="none"/>
        </w:rPr>
        <w:t>（签字或盖章）：</w:t>
      </w:r>
    </w:p>
    <w:p>
      <w:pPr>
        <w:spacing w:line="360" w:lineRule="auto"/>
        <w:rPr>
          <w:rFonts w:hint="eastAsia" w:ascii="宋体" w:hAnsi="宋体" w:eastAsia="宋体" w:cs="宋体"/>
          <w:color w:val="auto"/>
          <w:spacing w:val="-2"/>
          <w:sz w:val="22"/>
          <w:szCs w:val="22"/>
          <w:highlight w:val="none"/>
        </w:rPr>
      </w:pPr>
    </w:p>
    <w:p>
      <w:pPr>
        <w:spacing w:line="360" w:lineRule="auto"/>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日期：  年   月  日</w:t>
      </w:r>
    </w:p>
    <w:p>
      <w:pPr>
        <w:pStyle w:val="12"/>
        <w:ind w:left="432" w:hanging="432"/>
        <w:rPr>
          <w:rFonts w:hint="eastAsia" w:ascii="宋体" w:hAnsi="宋体" w:eastAsia="宋体" w:cs="宋体"/>
          <w:color w:val="auto"/>
          <w:spacing w:val="-2"/>
          <w:sz w:val="22"/>
          <w:szCs w:val="22"/>
          <w:highlight w:val="none"/>
        </w:rPr>
      </w:pPr>
    </w:p>
    <w:p>
      <w:pPr>
        <w:numPr>
          <w:ilvl w:val="0"/>
          <w:numId w:val="27"/>
        </w:numPr>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▲本“服务人员最低月工资承诺函”中的内容为实质性内容，投标人没有实质性响应该要求的, 作无效标处理。</w:t>
      </w:r>
    </w:p>
    <w:p>
      <w:pPr>
        <w:rPr>
          <w:rFonts w:hint="eastAsia" w:ascii="宋体" w:hAnsi="宋体" w:eastAsia="宋体" w:cs="宋体"/>
          <w:b/>
          <w:color w:val="auto"/>
          <w:kern w:val="0"/>
          <w:sz w:val="36"/>
          <w:szCs w:val="36"/>
          <w:highlight w:val="none"/>
        </w:rPr>
      </w:pPr>
      <w:r>
        <w:rPr>
          <w:rFonts w:hint="eastAsia" w:ascii="宋体" w:hAnsi="宋体" w:eastAsia="宋体" w:cs="宋体"/>
          <w:b/>
          <w:color w:val="auto"/>
          <w:szCs w:val="21"/>
          <w:highlight w:val="none"/>
          <w:u w:val="single"/>
          <w:lang w:val="en-US" w:eastAsia="zh-CN"/>
        </w:rPr>
        <w:t>2、</w:t>
      </w:r>
      <w:r>
        <w:rPr>
          <w:rFonts w:hint="eastAsia" w:ascii="宋体" w:hAnsi="宋体" w:eastAsia="宋体" w:cs="宋体"/>
          <w:b/>
          <w:color w:val="auto"/>
          <w:szCs w:val="21"/>
          <w:highlight w:val="none"/>
          <w:u w:val="single"/>
        </w:rPr>
        <w:t>▲不提供此表格将被视为没有实质性响应采购文件要求, 作无效标处理。</w:t>
      </w:r>
    </w:p>
    <w:p>
      <w:pPr>
        <w:rPr>
          <w:rFonts w:hint="eastAsia" w:ascii="宋体" w:hAnsi="宋体" w:eastAsia="宋体" w:cs="宋体"/>
          <w:highlight w:val="none"/>
        </w:rPr>
      </w:pPr>
      <w:r>
        <w:rPr>
          <w:rFonts w:hint="eastAsia" w:ascii="宋体" w:hAnsi="宋体" w:eastAsia="宋体" w:cs="宋体"/>
          <w:highlight w:val="none"/>
        </w:rPr>
        <w:br w:type="page"/>
      </w:r>
    </w:p>
    <w:p>
      <w:pPr>
        <w:spacing w:line="360" w:lineRule="auto"/>
        <w:jc w:val="left"/>
        <w:rPr>
          <w:rFonts w:hint="eastAsia" w:ascii="宋体" w:hAnsi="宋体" w:eastAsia="宋体" w:cs="宋体"/>
          <w:sz w:val="22"/>
          <w:highlight w:val="none"/>
        </w:rPr>
      </w:pPr>
      <w:r>
        <w:rPr>
          <w:rFonts w:hint="eastAsia" w:ascii="宋体" w:hAnsi="宋体" w:eastAsia="宋体" w:cs="宋体"/>
          <w:sz w:val="22"/>
          <w:highlight w:val="none"/>
        </w:rPr>
        <w:t>（商务（报价）标封面，供参考）</w:t>
      </w:r>
    </w:p>
    <w:p>
      <w:pPr>
        <w:rPr>
          <w:rFonts w:hint="eastAsia" w:ascii="宋体" w:hAnsi="宋体" w:eastAsia="宋体" w:cs="宋体"/>
          <w:szCs w:val="24"/>
          <w:highlight w:val="none"/>
        </w:rPr>
      </w:pPr>
    </w:p>
    <w:p>
      <w:pPr>
        <w:rPr>
          <w:rFonts w:hint="eastAsia" w:ascii="宋体" w:hAnsi="宋体" w:eastAsia="宋体" w:cs="宋体"/>
          <w:szCs w:val="24"/>
          <w:highlight w:val="none"/>
        </w:rPr>
      </w:pPr>
    </w:p>
    <w:p>
      <w:pPr>
        <w:ind w:left="562" w:hanging="562" w:hangingChars="200"/>
        <w:jc w:val="righ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正/副本</w:t>
      </w:r>
    </w:p>
    <w:p>
      <w:pPr>
        <w:ind w:left="562" w:hanging="562" w:hangingChars="200"/>
        <w:jc w:val="right"/>
        <w:rPr>
          <w:rFonts w:hint="eastAsia" w:ascii="宋体" w:hAnsi="宋体" w:eastAsia="宋体" w:cs="宋体"/>
          <w:b/>
          <w:bCs/>
          <w:sz w:val="28"/>
          <w:szCs w:val="28"/>
          <w:highlight w:val="none"/>
        </w:rPr>
      </w:pPr>
    </w:p>
    <w:p>
      <w:pPr>
        <w:rPr>
          <w:rFonts w:hint="eastAsia" w:ascii="宋体" w:hAnsi="宋体" w:eastAsia="宋体" w:cs="宋体"/>
          <w:szCs w:val="24"/>
          <w:highlight w:val="none"/>
        </w:rPr>
      </w:pPr>
    </w:p>
    <w:p>
      <w:pPr>
        <w:ind w:left="480" w:hanging="480" w:hangingChars="200"/>
        <w:rPr>
          <w:rFonts w:hint="eastAsia" w:ascii="宋体" w:hAnsi="宋体" w:eastAsia="宋体" w:cs="宋体"/>
          <w:sz w:val="24"/>
          <w:szCs w:val="24"/>
          <w:highlight w:val="none"/>
        </w:rPr>
      </w:pPr>
    </w:p>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（项目名称）</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投标文件</w:t>
      </w: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autoSpaceDE w:val="0"/>
        <w:autoSpaceDN w:val="0"/>
        <w:adjustRightInd w:val="0"/>
        <w:spacing w:after="120"/>
        <w:ind w:firstLine="280" w:firstLineChars="100"/>
        <w:jc w:val="left"/>
        <w:rPr>
          <w:rFonts w:hint="eastAsia" w:ascii="宋体" w:hAnsi="宋体" w:eastAsia="宋体" w:cs="宋体"/>
          <w:sz w:val="28"/>
          <w:szCs w:val="28"/>
          <w:highlight w:val="none"/>
        </w:rPr>
      </w:pPr>
    </w:p>
    <w:p>
      <w:pPr>
        <w:autoSpaceDE w:val="0"/>
        <w:autoSpaceDN w:val="0"/>
        <w:adjustRightInd w:val="0"/>
        <w:spacing w:after="120"/>
        <w:ind w:firstLine="280" w:firstLineChars="100"/>
        <w:jc w:val="left"/>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spacing w:line="480" w:lineRule="auto"/>
        <w:jc w:val="center"/>
        <w:rPr>
          <w:rFonts w:hint="eastAsia" w:ascii="宋体" w:hAnsi="宋体" w:eastAsia="宋体" w:cs="宋体"/>
          <w:sz w:val="52"/>
          <w:szCs w:val="52"/>
          <w:highlight w:val="none"/>
        </w:rPr>
      </w:pPr>
      <w:r>
        <w:rPr>
          <w:rFonts w:hint="eastAsia" w:ascii="宋体" w:hAnsi="宋体" w:eastAsia="宋体" w:cs="宋体"/>
          <w:sz w:val="52"/>
          <w:szCs w:val="52"/>
          <w:highlight w:val="none"/>
        </w:rPr>
        <w:t>商 务（报 价） 标</w:t>
      </w:r>
    </w:p>
    <w:p>
      <w:pPr>
        <w:spacing w:line="480" w:lineRule="auto"/>
        <w:jc w:val="center"/>
        <w:rPr>
          <w:rFonts w:hint="eastAsia" w:ascii="宋体" w:hAnsi="宋体" w:eastAsia="宋体" w:cs="宋体"/>
          <w:szCs w:val="21"/>
          <w:highlight w:val="none"/>
        </w:rPr>
      </w:pPr>
      <w:r>
        <w:rPr>
          <w:rFonts w:hint="eastAsia" w:ascii="宋体" w:hAnsi="宋体" w:eastAsia="宋体" w:cs="宋体"/>
          <w:sz w:val="44"/>
          <w:szCs w:val="44"/>
          <w:highlight w:val="none"/>
        </w:rPr>
        <w:t>（开标时启封）</w:t>
      </w:r>
    </w:p>
    <w:p>
      <w:pPr>
        <w:spacing w:line="360" w:lineRule="auto"/>
        <w:rPr>
          <w:rFonts w:hint="eastAsia" w:ascii="宋体" w:hAnsi="宋体" w:eastAsia="宋体" w:cs="宋体"/>
          <w:szCs w:val="21"/>
          <w:highlight w:val="none"/>
        </w:rPr>
      </w:pPr>
    </w:p>
    <w:p>
      <w:pPr>
        <w:spacing w:line="360" w:lineRule="auto"/>
        <w:rPr>
          <w:rFonts w:hint="eastAsia" w:ascii="宋体" w:hAnsi="宋体" w:eastAsia="宋体" w:cs="宋体"/>
          <w:szCs w:val="21"/>
          <w:highlight w:val="none"/>
        </w:rPr>
      </w:pPr>
    </w:p>
    <w:p>
      <w:pPr>
        <w:spacing w:line="360" w:lineRule="auto"/>
        <w:rPr>
          <w:rFonts w:hint="eastAsia" w:ascii="宋体" w:hAnsi="宋体" w:eastAsia="宋体" w:cs="宋体"/>
          <w:szCs w:val="21"/>
          <w:highlight w:val="none"/>
        </w:rPr>
      </w:pPr>
    </w:p>
    <w:p>
      <w:pPr>
        <w:spacing w:line="360" w:lineRule="auto"/>
        <w:rPr>
          <w:rFonts w:hint="eastAsia" w:ascii="宋体" w:hAnsi="宋体" w:eastAsia="宋体" w:cs="宋体"/>
          <w:szCs w:val="21"/>
          <w:highlight w:val="none"/>
        </w:rPr>
      </w:pPr>
    </w:p>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投标供应商：</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（盖单位章）</w:t>
      </w:r>
    </w:p>
    <w:p>
      <w:pPr>
        <w:rPr>
          <w:rFonts w:hint="eastAsia" w:ascii="宋体" w:hAnsi="宋体" w:eastAsia="宋体" w:cs="宋体"/>
          <w:sz w:val="28"/>
          <w:szCs w:val="28"/>
          <w:highlight w:val="none"/>
          <w:u w:val="single"/>
        </w:rPr>
      </w:pPr>
    </w:p>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法定代表人</w:t>
      </w:r>
      <w:r>
        <w:rPr>
          <w:rFonts w:hint="eastAsia" w:ascii="宋体" w:hAnsi="宋体" w:eastAsia="宋体" w:cs="宋体"/>
          <w:sz w:val="28"/>
          <w:szCs w:val="28"/>
          <w:highlight w:val="none"/>
        </w:rPr>
        <w:t>或其委托代理人：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（签字或盖章）</w:t>
      </w:r>
    </w:p>
    <w:p>
      <w:pPr>
        <w:rPr>
          <w:rFonts w:hint="eastAsia" w:ascii="宋体" w:hAnsi="宋体" w:eastAsia="宋体" w:cs="宋体"/>
          <w:sz w:val="28"/>
          <w:szCs w:val="28"/>
          <w:highlight w:val="none"/>
        </w:rPr>
      </w:pPr>
    </w:p>
    <w:p>
      <w:pPr>
        <w:overflowPunct w:val="0"/>
        <w:spacing w:line="380" w:lineRule="exact"/>
        <w:ind w:firstLine="2738" w:firstLineChars="978"/>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pPr>
        <w:spacing w:line="380" w:lineRule="exact"/>
        <w:rPr>
          <w:rFonts w:hint="eastAsia" w:ascii="宋体" w:hAnsi="宋体" w:eastAsia="宋体" w:cs="宋体"/>
          <w:b/>
          <w:bCs/>
          <w:sz w:val="22"/>
          <w:highlight w:val="none"/>
        </w:rPr>
      </w:pPr>
      <w:r>
        <w:rPr>
          <w:rFonts w:hint="eastAsia" w:ascii="宋体" w:hAnsi="宋体" w:eastAsia="宋体" w:cs="宋体"/>
          <w:sz w:val="22"/>
          <w:highlight w:val="none"/>
        </w:rPr>
        <w:br w:type="page"/>
      </w:r>
      <w:r>
        <w:rPr>
          <w:rFonts w:hint="eastAsia" w:ascii="宋体" w:hAnsi="宋体" w:eastAsia="宋体" w:cs="宋体"/>
          <w:b/>
          <w:bCs/>
          <w:sz w:val="22"/>
          <w:highlight w:val="none"/>
        </w:rPr>
        <w:t>附件</w:t>
      </w:r>
      <w:r>
        <w:rPr>
          <w:rFonts w:hint="eastAsia" w:ascii="宋体" w:hAnsi="宋体" w:eastAsia="宋体" w:cs="宋体"/>
          <w:b/>
          <w:bCs/>
          <w:sz w:val="22"/>
          <w:highlight w:val="none"/>
          <w:lang w:val="en-US" w:eastAsia="zh-CN"/>
        </w:rPr>
        <w:t>十二</w:t>
      </w:r>
      <w:r>
        <w:rPr>
          <w:rFonts w:hint="eastAsia" w:ascii="宋体" w:hAnsi="宋体" w:eastAsia="宋体" w:cs="宋体"/>
          <w:b/>
          <w:bCs/>
          <w:sz w:val="22"/>
          <w:highlight w:val="none"/>
        </w:rPr>
        <w:t xml:space="preserve"> </w:t>
      </w:r>
    </w:p>
    <w:p>
      <w:pPr>
        <w:spacing w:line="46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开标一览表</w:t>
      </w:r>
    </w:p>
    <w:p>
      <w:pPr>
        <w:spacing w:line="380" w:lineRule="exact"/>
        <w:jc w:val="center"/>
        <w:rPr>
          <w:rFonts w:hint="eastAsia" w:ascii="宋体" w:hAnsi="宋体" w:eastAsia="宋体" w:cs="宋体"/>
          <w:bCs/>
          <w:sz w:val="28"/>
          <w:szCs w:val="24"/>
          <w:highlight w:val="none"/>
        </w:rPr>
      </w:pPr>
    </w:p>
    <w:p>
      <w:pPr>
        <w:tabs>
          <w:tab w:val="left" w:pos="7890"/>
        </w:tabs>
        <w:spacing w:line="380" w:lineRule="exact"/>
        <w:ind w:right="349" w:rightChars="166" w:firstLine="330" w:firstLineChars="150"/>
        <w:rPr>
          <w:rFonts w:hint="eastAsia" w:ascii="宋体" w:hAnsi="宋体" w:eastAsia="宋体" w:cs="宋体"/>
          <w:sz w:val="22"/>
          <w:szCs w:val="24"/>
          <w:highlight w:val="none"/>
        </w:rPr>
      </w:pPr>
      <w:r>
        <w:rPr>
          <w:rFonts w:hint="eastAsia" w:ascii="宋体" w:hAnsi="宋体" w:eastAsia="宋体" w:cs="宋体"/>
          <w:sz w:val="22"/>
          <w:szCs w:val="24"/>
          <w:highlight w:val="none"/>
        </w:rPr>
        <w:t>项目编号：</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4849"/>
        <w:gridCol w:w="1320"/>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14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highlight w:val="none"/>
              </w:rPr>
            </w:pPr>
            <w:r>
              <w:rPr>
                <w:rFonts w:hint="eastAsia" w:ascii="宋体" w:hAnsi="宋体" w:eastAsia="宋体" w:cs="宋体"/>
                <w:sz w:val="22"/>
                <w:highlight w:val="none"/>
              </w:rPr>
              <w:t>项目名称</w:t>
            </w:r>
          </w:p>
        </w:tc>
        <w:tc>
          <w:tcPr>
            <w:tcW w:w="484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highlight w:val="none"/>
              </w:rPr>
            </w:pPr>
            <w:r>
              <w:rPr>
                <w:rFonts w:hint="eastAsia" w:ascii="宋体" w:hAnsi="宋体" w:eastAsia="宋体" w:cs="宋体"/>
                <w:sz w:val="22"/>
                <w:highlight w:val="none"/>
              </w:rPr>
              <w:t>投标总报价（元）</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服务期限</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highlight w:val="none"/>
              </w:rPr>
            </w:pPr>
            <w:r>
              <w:rPr>
                <w:rFonts w:hint="eastAsia" w:ascii="宋体" w:hAnsi="宋体" w:eastAsia="宋体" w:cs="宋体"/>
                <w:sz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1" w:hRule="atLeast"/>
          <w:jc w:val="center"/>
        </w:trPr>
        <w:tc>
          <w:tcPr>
            <w:tcW w:w="14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highlight w:val="none"/>
                <w:lang w:eastAsia="zh-CN"/>
              </w:rPr>
            </w:pPr>
            <w:r>
              <w:rPr>
                <w:rFonts w:hint="eastAsia" w:ascii="宋体" w:hAnsi="宋体" w:eastAsia="宋体" w:cs="宋体"/>
                <w:sz w:val="22"/>
                <w:highlight w:val="none"/>
                <w:lang w:eastAsia="zh-CN"/>
              </w:rPr>
              <w:t>陶山服务区物业服务</w:t>
            </w:r>
          </w:p>
        </w:tc>
        <w:tc>
          <w:tcPr>
            <w:tcW w:w="484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2"/>
                <w:highlight w:val="none"/>
              </w:rPr>
            </w:pPr>
            <w:r>
              <w:rPr>
                <w:rFonts w:hint="eastAsia" w:ascii="宋体" w:hAnsi="宋体" w:eastAsia="宋体" w:cs="宋体"/>
                <w:sz w:val="22"/>
                <w:highlight w:val="none"/>
              </w:rPr>
              <w:t>大写：</w:t>
            </w:r>
          </w:p>
          <w:p>
            <w:pPr>
              <w:spacing w:line="360" w:lineRule="auto"/>
              <w:rPr>
                <w:rFonts w:hint="eastAsia" w:ascii="宋体" w:hAnsi="宋体" w:eastAsia="宋体" w:cs="宋体"/>
                <w:sz w:val="22"/>
                <w:highlight w:val="none"/>
              </w:rPr>
            </w:pPr>
            <w:r>
              <w:rPr>
                <w:rFonts w:hint="eastAsia" w:ascii="宋体" w:hAnsi="宋体" w:eastAsia="宋体" w:cs="宋体"/>
                <w:sz w:val="22"/>
                <w:highlight w:val="none"/>
              </w:rPr>
              <w:t>小写：</w:t>
            </w:r>
          </w:p>
        </w:tc>
        <w:tc>
          <w:tcPr>
            <w:tcW w:w="1320"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1年</w:t>
            </w:r>
          </w:p>
        </w:tc>
        <w:tc>
          <w:tcPr>
            <w:tcW w:w="1320"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2"/>
                <w:highlight w:val="none"/>
              </w:rPr>
            </w:pPr>
          </w:p>
        </w:tc>
      </w:tr>
    </w:tbl>
    <w:p>
      <w:pPr>
        <w:ind w:left="524" w:hanging="523" w:hangingChars="238"/>
        <w:rPr>
          <w:rFonts w:hint="eastAsia" w:ascii="宋体" w:hAnsi="宋体" w:eastAsia="宋体" w:cs="宋体"/>
          <w:sz w:val="22"/>
          <w:szCs w:val="24"/>
          <w:highlight w:val="none"/>
        </w:rPr>
      </w:pPr>
      <w:r>
        <w:rPr>
          <w:rFonts w:hint="eastAsia" w:ascii="宋体" w:hAnsi="宋体" w:eastAsia="宋体" w:cs="宋体"/>
          <w:sz w:val="22"/>
          <w:szCs w:val="24"/>
          <w:highlight w:val="none"/>
        </w:rPr>
        <w:t>说明：</w:t>
      </w:r>
    </w:p>
    <w:p>
      <w:pPr>
        <w:ind w:left="524" w:hanging="523" w:hangingChars="238"/>
        <w:rPr>
          <w:rFonts w:hint="eastAsia" w:ascii="宋体" w:hAnsi="宋体" w:eastAsia="宋体" w:cs="宋体"/>
          <w:sz w:val="22"/>
          <w:szCs w:val="24"/>
          <w:highlight w:val="none"/>
        </w:rPr>
      </w:pPr>
      <w:r>
        <w:rPr>
          <w:rFonts w:hint="eastAsia" w:ascii="宋体" w:hAnsi="宋体" w:eastAsia="宋体" w:cs="宋体"/>
          <w:sz w:val="22"/>
          <w:szCs w:val="24"/>
          <w:highlight w:val="none"/>
        </w:rPr>
        <w:t>1、投标报价包含的内容详见投标人须知第12条规定。</w:t>
      </w:r>
    </w:p>
    <w:p>
      <w:pPr>
        <w:ind w:left="524" w:hanging="523" w:hangingChars="238"/>
        <w:rPr>
          <w:rFonts w:hint="eastAsia" w:ascii="宋体" w:hAnsi="宋体" w:eastAsia="宋体" w:cs="宋体"/>
          <w:sz w:val="22"/>
          <w:szCs w:val="24"/>
          <w:highlight w:val="none"/>
        </w:rPr>
      </w:pPr>
      <w:r>
        <w:rPr>
          <w:rFonts w:hint="eastAsia" w:ascii="宋体" w:hAnsi="宋体" w:eastAsia="宋体" w:cs="宋体"/>
          <w:sz w:val="22"/>
          <w:szCs w:val="24"/>
          <w:highlight w:val="none"/>
        </w:rPr>
        <w:t>2、此栏内投标总报价应与附件</w:t>
      </w:r>
      <w:r>
        <w:rPr>
          <w:rFonts w:hint="eastAsia" w:ascii="宋体" w:hAnsi="宋体" w:eastAsia="宋体" w:cs="宋体"/>
          <w:sz w:val="22"/>
          <w:szCs w:val="24"/>
          <w:highlight w:val="none"/>
          <w:lang w:val="en-US" w:eastAsia="zh-CN"/>
        </w:rPr>
        <w:t>十三</w:t>
      </w:r>
      <w:r>
        <w:rPr>
          <w:rFonts w:hint="eastAsia" w:ascii="宋体" w:hAnsi="宋体" w:eastAsia="宋体" w:cs="宋体"/>
          <w:sz w:val="22"/>
          <w:szCs w:val="24"/>
          <w:highlight w:val="none"/>
        </w:rPr>
        <w:t>“投标分项报价表”中总计价相一致。</w:t>
      </w:r>
    </w:p>
    <w:p>
      <w:pPr>
        <w:ind w:left="524" w:hanging="523" w:hangingChars="238"/>
        <w:rPr>
          <w:rFonts w:hint="eastAsia" w:ascii="宋体" w:hAnsi="宋体" w:eastAsia="宋体" w:cs="宋体"/>
          <w:sz w:val="22"/>
          <w:szCs w:val="24"/>
          <w:highlight w:val="none"/>
        </w:rPr>
      </w:pPr>
      <w:r>
        <w:rPr>
          <w:rFonts w:hint="eastAsia" w:ascii="宋体" w:hAnsi="宋体" w:eastAsia="宋体" w:cs="宋体"/>
          <w:sz w:val="22"/>
          <w:szCs w:val="24"/>
          <w:highlight w:val="none"/>
          <w:u w:val="single"/>
        </w:rPr>
        <w:t>3、▲不提供此表格将被视为没有满足采购文件的实质性要求</w:t>
      </w:r>
      <w:r>
        <w:rPr>
          <w:rFonts w:hint="eastAsia" w:ascii="宋体" w:hAnsi="宋体" w:eastAsia="宋体" w:cs="宋体"/>
          <w:sz w:val="22"/>
          <w:szCs w:val="24"/>
          <w:highlight w:val="none"/>
        </w:rPr>
        <w:t>。</w:t>
      </w:r>
    </w:p>
    <w:p>
      <w:pPr>
        <w:spacing w:after="120"/>
        <w:jc w:val="left"/>
        <w:textAlignment w:val="baseline"/>
        <w:rPr>
          <w:rFonts w:hint="eastAsia" w:ascii="宋体" w:hAnsi="宋体" w:eastAsia="宋体" w:cs="宋体"/>
          <w:szCs w:val="24"/>
          <w:highlight w:val="none"/>
        </w:rPr>
      </w:pPr>
      <w:r>
        <w:rPr>
          <w:rFonts w:hint="eastAsia" w:ascii="宋体" w:hAnsi="宋体" w:eastAsia="宋体" w:cs="宋体"/>
          <w:sz w:val="22"/>
          <w:szCs w:val="24"/>
          <w:highlight w:val="none"/>
          <w:u w:val="single"/>
        </w:rPr>
        <w:t>4、▲以上报价不得出现在技术标中</w:t>
      </w:r>
      <w:r>
        <w:rPr>
          <w:rFonts w:hint="eastAsia" w:ascii="宋体" w:hAnsi="宋体" w:eastAsia="宋体" w:cs="宋体"/>
          <w:sz w:val="22"/>
          <w:szCs w:val="24"/>
          <w:highlight w:val="none"/>
        </w:rPr>
        <w:t>。</w:t>
      </w:r>
    </w:p>
    <w:p>
      <w:pPr>
        <w:spacing w:line="380" w:lineRule="exact"/>
        <w:rPr>
          <w:rFonts w:hint="eastAsia" w:ascii="宋体" w:hAnsi="宋体" w:eastAsia="宋体" w:cs="宋体"/>
          <w:b/>
          <w:bCs/>
          <w:sz w:val="22"/>
          <w:highlight w:val="none"/>
          <w:u w:val="single"/>
        </w:rPr>
      </w:pPr>
    </w:p>
    <w:p>
      <w:pPr>
        <w:spacing w:line="380" w:lineRule="exact"/>
        <w:rPr>
          <w:rFonts w:hint="eastAsia" w:ascii="宋体" w:hAnsi="宋体" w:eastAsia="宋体" w:cs="宋体"/>
          <w:sz w:val="22"/>
          <w:szCs w:val="24"/>
          <w:highlight w:val="none"/>
        </w:rPr>
      </w:pPr>
    </w:p>
    <w:p>
      <w:pPr>
        <w:spacing w:line="480" w:lineRule="auto"/>
        <w:rPr>
          <w:rFonts w:hint="eastAsia" w:ascii="宋体" w:hAnsi="宋体" w:eastAsia="宋体" w:cs="宋体"/>
          <w:sz w:val="22"/>
          <w:highlight w:val="none"/>
        </w:rPr>
      </w:pPr>
      <w:r>
        <w:rPr>
          <w:rFonts w:hint="eastAsia" w:ascii="宋体" w:hAnsi="宋体" w:eastAsia="宋体" w:cs="宋体"/>
          <w:sz w:val="22"/>
          <w:highlight w:val="none"/>
        </w:rPr>
        <w:t>投标人全称（盖公章）：</w:t>
      </w:r>
    </w:p>
    <w:p>
      <w:pPr>
        <w:spacing w:line="480" w:lineRule="auto"/>
        <w:rPr>
          <w:rFonts w:hint="eastAsia" w:ascii="宋体" w:hAnsi="宋体" w:eastAsia="宋体" w:cs="宋体"/>
          <w:sz w:val="22"/>
          <w:highlight w:val="none"/>
        </w:rPr>
      </w:pP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或授权代表（签字或盖章）：</w:t>
      </w:r>
    </w:p>
    <w:p>
      <w:pPr>
        <w:rPr>
          <w:rFonts w:hint="eastAsia" w:ascii="宋体" w:hAnsi="宋体" w:eastAsia="宋体" w:cs="宋体"/>
          <w:sz w:val="22"/>
          <w:highlight w:val="none"/>
        </w:rPr>
      </w:pPr>
      <w:r>
        <w:rPr>
          <w:rFonts w:hint="eastAsia" w:ascii="宋体" w:hAnsi="宋体" w:eastAsia="宋体" w:cs="宋体"/>
          <w:sz w:val="22"/>
          <w:highlight w:val="none"/>
        </w:rPr>
        <w:t>日  期：</w:t>
      </w:r>
    </w:p>
    <w:p>
      <w:pPr>
        <w:spacing w:line="380" w:lineRule="exact"/>
        <w:rPr>
          <w:rFonts w:hint="eastAsia" w:ascii="宋体" w:hAnsi="宋体" w:eastAsia="宋体" w:cs="宋体"/>
          <w:b/>
          <w:bCs/>
          <w:sz w:val="22"/>
          <w:highlight w:val="none"/>
          <w:lang w:eastAsia="zh-CN"/>
        </w:rPr>
      </w:pPr>
      <w:r>
        <w:rPr>
          <w:rFonts w:hint="eastAsia" w:ascii="宋体" w:hAnsi="宋体" w:eastAsia="宋体" w:cs="宋体"/>
          <w:sz w:val="22"/>
          <w:highlight w:val="none"/>
        </w:rPr>
        <w:br w:type="page"/>
      </w:r>
      <w:r>
        <w:rPr>
          <w:rFonts w:hint="eastAsia" w:ascii="宋体" w:hAnsi="宋体" w:eastAsia="宋体" w:cs="宋体"/>
          <w:b/>
          <w:bCs/>
          <w:sz w:val="22"/>
          <w:highlight w:val="none"/>
        </w:rPr>
        <w:t>附件</w:t>
      </w:r>
      <w:r>
        <w:rPr>
          <w:rFonts w:hint="eastAsia" w:ascii="宋体" w:hAnsi="宋体" w:eastAsia="宋体" w:cs="宋体"/>
          <w:b/>
          <w:bCs/>
          <w:sz w:val="22"/>
          <w:highlight w:val="none"/>
          <w:lang w:val="en-US" w:eastAsia="zh-CN"/>
        </w:rPr>
        <w:t>十三</w:t>
      </w:r>
    </w:p>
    <w:p>
      <w:pPr>
        <w:spacing w:line="46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投标分项报价表</w:t>
      </w:r>
    </w:p>
    <w:p>
      <w:pPr>
        <w:spacing w:line="380" w:lineRule="exact"/>
        <w:ind w:firstLine="331" w:firstLineChars="150"/>
        <w:rPr>
          <w:rFonts w:hint="eastAsia" w:ascii="宋体" w:hAnsi="宋体" w:eastAsia="宋体" w:cs="宋体"/>
          <w:b/>
          <w:bCs/>
          <w:sz w:val="22"/>
          <w:highlight w:val="none"/>
        </w:rPr>
      </w:pPr>
      <w:bookmarkStart w:id="194" w:name="_Toc262049425"/>
      <w:bookmarkStart w:id="195" w:name="_Toc249758871"/>
      <w:bookmarkStart w:id="196" w:name="_Toc448846626"/>
      <w:bookmarkStart w:id="197" w:name="_Toc249758721"/>
      <w:bookmarkStart w:id="198" w:name="_Toc262105510"/>
      <w:r>
        <w:rPr>
          <w:rFonts w:hint="eastAsia" w:ascii="宋体" w:hAnsi="宋体" w:eastAsia="宋体" w:cs="宋体"/>
          <w:b/>
          <w:bCs/>
          <w:sz w:val="22"/>
          <w:highlight w:val="none"/>
        </w:rPr>
        <w:t xml:space="preserve">项目名称： </w:t>
      </w:r>
      <w:r>
        <w:rPr>
          <w:rFonts w:hint="eastAsia" w:ascii="宋体" w:hAnsi="宋体" w:eastAsia="宋体" w:cs="宋体"/>
          <w:sz w:val="22"/>
          <w:highlight w:val="none"/>
        </w:rPr>
        <w:t xml:space="preserve">                              </w:t>
      </w:r>
      <w:r>
        <w:rPr>
          <w:rFonts w:hint="eastAsia" w:ascii="宋体" w:hAnsi="宋体" w:eastAsia="宋体" w:cs="宋体"/>
          <w:b/>
          <w:bCs/>
          <w:sz w:val="22"/>
          <w:highlight w:val="none"/>
        </w:rPr>
        <w:t xml:space="preserve"> 项目编号：</w:t>
      </w:r>
    </w:p>
    <w:p>
      <w:pPr>
        <w:rPr>
          <w:rFonts w:hint="eastAsia" w:ascii="宋体" w:hAnsi="宋体" w:eastAsia="宋体" w:cs="宋体"/>
          <w:b/>
          <w:szCs w:val="21"/>
          <w:highlight w:val="none"/>
        </w:rPr>
      </w:pPr>
    </w:p>
    <w:tbl>
      <w:tblPr>
        <w:tblStyle w:val="24"/>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600"/>
        <w:gridCol w:w="615"/>
        <w:gridCol w:w="1323"/>
        <w:gridCol w:w="1250"/>
        <w:gridCol w:w="1558"/>
        <w:gridCol w:w="1331"/>
        <w:gridCol w:w="1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1" w:type="dxa"/>
            <w:noWrap w:val="0"/>
            <w:vAlign w:val="center"/>
          </w:tcPr>
          <w:p>
            <w:pPr>
              <w:tabs>
                <w:tab w:val="left" w:pos="1620"/>
              </w:tabs>
              <w:spacing w:line="24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序号</w:t>
            </w:r>
          </w:p>
        </w:tc>
        <w:tc>
          <w:tcPr>
            <w:tcW w:w="600" w:type="dxa"/>
            <w:noWrap w:val="0"/>
            <w:vAlign w:val="center"/>
          </w:tcPr>
          <w:p>
            <w:pPr>
              <w:tabs>
                <w:tab w:val="left" w:pos="1620"/>
              </w:tabs>
              <w:spacing w:line="240" w:lineRule="auto"/>
              <w:jc w:val="center"/>
              <w:rPr>
                <w:rFonts w:hint="eastAsia" w:ascii="宋体" w:hAnsi="宋体" w:eastAsia="宋体" w:cs="宋体"/>
                <w:b/>
                <w:color w:val="auto"/>
                <w:sz w:val="18"/>
                <w:szCs w:val="18"/>
                <w:highlight w:val="none"/>
              </w:rPr>
            </w:pPr>
          </w:p>
        </w:tc>
        <w:tc>
          <w:tcPr>
            <w:tcW w:w="1938" w:type="dxa"/>
            <w:gridSpan w:val="2"/>
            <w:noWrap w:val="0"/>
            <w:vAlign w:val="center"/>
          </w:tcPr>
          <w:p>
            <w:pPr>
              <w:tabs>
                <w:tab w:val="left" w:pos="1620"/>
              </w:tabs>
              <w:spacing w:line="24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内    容</w:t>
            </w:r>
          </w:p>
        </w:tc>
        <w:tc>
          <w:tcPr>
            <w:tcW w:w="1250" w:type="dxa"/>
            <w:noWrap w:val="0"/>
            <w:vAlign w:val="center"/>
          </w:tcPr>
          <w:p>
            <w:pPr>
              <w:tabs>
                <w:tab w:val="left" w:pos="1620"/>
              </w:tabs>
              <w:spacing w:line="24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数量/单位</w:t>
            </w:r>
          </w:p>
        </w:tc>
        <w:tc>
          <w:tcPr>
            <w:tcW w:w="1558" w:type="dxa"/>
            <w:noWrap w:val="0"/>
            <w:vAlign w:val="center"/>
          </w:tcPr>
          <w:p>
            <w:pPr>
              <w:tabs>
                <w:tab w:val="left" w:pos="1620"/>
              </w:tabs>
              <w:spacing w:line="24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单价（元/人/年）</w:t>
            </w:r>
          </w:p>
        </w:tc>
        <w:tc>
          <w:tcPr>
            <w:tcW w:w="1331" w:type="dxa"/>
            <w:noWrap w:val="0"/>
            <w:vAlign w:val="center"/>
          </w:tcPr>
          <w:p>
            <w:pPr>
              <w:tabs>
                <w:tab w:val="left" w:pos="1620"/>
              </w:tabs>
              <w:spacing w:line="24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合价（元/年）</w:t>
            </w:r>
          </w:p>
        </w:tc>
        <w:tc>
          <w:tcPr>
            <w:tcW w:w="1597" w:type="dxa"/>
            <w:noWrap w:val="0"/>
            <w:vAlign w:val="center"/>
          </w:tcPr>
          <w:p>
            <w:pPr>
              <w:tabs>
                <w:tab w:val="left" w:pos="1620"/>
              </w:tabs>
              <w:spacing w:line="24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1" w:type="dxa"/>
            <w:vMerge w:val="restart"/>
            <w:noWrap w:val="0"/>
            <w:vAlign w:val="center"/>
          </w:tcPr>
          <w:p>
            <w:pPr>
              <w:tabs>
                <w:tab w:val="left" w:pos="1620"/>
              </w:tabs>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600" w:type="dxa"/>
            <w:vMerge w:val="restart"/>
            <w:noWrap w:val="0"/>
            <w:vAlign w:val="center"/>
          </w:tcPr>
          <w:p>
            <w:pPr>
              <w:tabs>
                <w:tab w:val="left" w:pos="1050"/>
                <w:tab w:val="left" w:pos="1260"/>
                <w:tab w:val="left" w:pos="1620"/>
              </w:tabs>
              <w:spacing w:line="240" w:lineRule="auto"/>
              <w:ind w:right="-107" w:rightChars="-51"/>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人员费用</w:t>
            </w:r>
          </w:p>
        </w:tc>
        <w:tc>
          <w:tcPr>
            <w:tcW w:w="615" w:type="dxa"/>
            <w:vMerge w:val="restart"/>
            <w:noWrap w:val="0"/>
            <w:vAlign w:val="center"/>
          </w:tcPr>
          <w:p>
            <w:pPr>
              <w:tabs>
                <w:tab w:val="left" w:pos="1050"/>
                <w:tab w:val="left" w:pos="1260"/>
                <w:tab w:val="left" w:pos="1620"/>
              </w:tabs>
              <w:spacing w:line="240" w:lineRule="auto"/>
              <w:ind w:left="-107" w:leftChars="-51" w:right="-107" w:rightChars="-51"/>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日常人员工资</w:t>
            </w:r>
          </w:p>
        </w:tc>
        <w:tc>
          <w:tcPr>
            <w:tcW w:w="1323" w:type="dxa"/>
            <w:noWrap w:val="0"/>
            <w:vAlign w:val="center"/>
          </w:tcPr>
          <w:p>
            <w:pPr>
              <w:tabs>
                <w:tab w:val="left" w:pos="1050"/>
                <w:tab w:val="left" w:pos="1260"/>
                <w:tab w:val="left" w:pos="1620"/>
              </w:tabs>
              <w:spacing w:line="240" w:lineRule="auto"/>
              <w:ind w:left="-107" w:leftChars="-51" w:right="-107" w:rightChars="-51"/>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物业</w:t>
            </w:r>
            <w:r>
              <w:rPr>
                <w:rFonts w:hint="eastAsia" w:ascii="宋体" w:hAnsi="宋体" w:eastAsia="宋体" w:cs="宋体"/>
                <w:color w:val="auto"/>
                <w:sz w:val="18"/>
                <w:szCs w:val="18"/>
                <w:highlight w:val="none"/>
              </w:rPr>
              <w:t>经理</w:t>
            </w:r>
          </w:p>
        </w:tc>
        <w:tc>
          <w:tcPr>
            <w:tcW w:w="1250" w:type="dxa"/>
            <w:noWrap w:val="0"/>
            <w:vAlign w:val="center"/>
          </w:tcPr>
          <w:p>
            <w:pPr>
              <w:tabs>
                <w:tab w:val="left" w:pos="1620"/>
              </w:tabs>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1558" w:type="dxa"/>
            <w:noWrap w:val="0"/>
            <w:vAlign w:val="center"/>
          </w:tcPr>
          <w:p>
            <w:pPr>
              <w:tabs>
                <w:tab w:val="left" w:pos="1620"/>
              </w:tabs>
              <w:spacing w:line="240" w:lineRule="auto"/>
              <w:jc w:val="center"/>
              <w:rPr>
                <w:rFonts w:hint="eastAsia" w:ascii="宋体" w:hAnsi="宋体" w:eastAsia="宋体" w:cs="宋体"/>
                <w:color w:val="auto"/>
                <w:sz w:val="18"/>
                <w:szCs w:val="18"/>
                <w:highlight w:val="none"/>
              </w:rPr>
            </w:pPr>
          </w:p>
        </w:tc>
        <w:tc>
          <w:tcPr>
            <w:tcW w:w="1331" w:type="dxa"/>
            <w:noWrap w:val="0"/>
            <w:vAlign w:val="center"/>
          </w:tcPr>
          <w:p>
            <w:pPr>
              <w:tabs>
                <w:tab w:val="left" w:pos="1620"/>
              </w:tabs>
              <w:spacing w:line="240" w:lineRule="auto"/>
              <w:jc w:val="center"/>
              <w:rPr>
                <w:rFonts w:hint="eastAsia" w:ascii="宋体" w:hAnsi="宋体" w:eastAsia="宋体" w:cs="宋体"/>
                <w:color w:val="auto"/>
                <w:sz w:val="18"/>
                <w:szCs w:val="18"/>
                <w:highlight w:val="none"/>
              </w:rPr>
            </w:pPr>
          </w:p>
        </w:tc>
        <w:tc>
          <w:tcPr>
            <w:tcW w:w="1597" w:type="dxa"/>
            <w:vMerge w:val="restart"/>
            <w:noWrap w:val="0"/>
            <w:vAlign w:val="center"/>
          </w:tcPr>
          <w:p>
            <w:pPr>
              <w:tabs>
                <w:tab w:val="left" w:pos="1620"/>
              </w:tabs>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根据不同岗位分别列出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1" w:type="dxa"/>
            <w:vMerge w:val="continue"/>
            <w:noWrap w:val="0"/>
            <w:vAlign w:val="center"/>
          </w:tcPr>
          <w:p>
            <w:pPr>
              <w:tabs>
                <w:tab w:val="left" w:pos="1620"/>
              </w:tabs>
              <w:spacing w:line="240" w:lineRule="auto"/>
              <w:jc w:val="center"/>
              <w:rPr>
                <w:rFonts w:hint="eastAsia" w:ascii="宋体" w:hAnsi="宋体" w:eastAsia="宋体" w:cs="宋体"/>
                <w:color w:val="auto"/>
                <w:sz w:val="18"/>
                <w:szCs w:val="18"/>
                <w:highlight w:val="none"/>
              </w:rPr>
            </w:pPr>
          </w:p>
        </w:tc>
        <w:tc>
          <w:tcPr>
            <w:tcW w:w="600" w:type="dxa"/>
            <w:vMerge w:val="continue"/>
            <w:noWrap w:val="0"/>
            <w:vAlign w:val="center"/>
          </w:tcPr>
          <w:p>
            <w:pPr>
              <w:tabs>
                <w:tab w:val="left" w:pos="1050"/>
                <w:tab w:val="left" w:pos="1260"/>
                <w:tab w:val="left" w:pos="1620"/>
              </w:tabs>
              <w:spacing w:line="240" w:lineRule="auto"/>
              <w:ind w:right="-107" w:rightChars="-51"/>
              <w:jc w:val="center"/>
              <w:rPr>
                <w:rFonts w:hint="eastAsia" w:ascii="宋体" w:hAnsi="宋体" w:eastAsia="宋体" w:cs="宋体"/>
                <w:color w:val="auto"/>
                <w:sz w:val="18"/>
                <w:szCs w:val="18"/>
                <w:highlight w:val="none"/>
              </w:rPr>
            </w:pPr>
          </w:p>
        </w:tc>
        <w:tc>
          <w:tcPr>
            <w:tcW w:w="615" w:type="dxa"/>
            <w:vMerge w:val="continue"/>
            <w:noWrap w:val="0"/>
            <w:vAlign w:val="center"/>
          </w:tcPr>
          <w:p>
            <w:pPr>
              <w:tabs>
                <w:tab w:val="left" w:pos="1050"/>
                <w:tab w:val="left" w:pos="1260"/>
                <w:tab w:val="left" w:pos="1620"/>
              </w:tabs>
              <w:spacing w:line="240" w:lineRule="auto"/>
              <w:ind w:left="-107" w:leftChars="-51" w:right="-107" w:rightChars="-51"/>
              <w:jc w:val="center"/>
              <w:rPr>
                <w:rFonts w:hint="eastAsia" w:ascii="宋体" w:hAnsi="宋体" w:eastAsia="宋体" w:cs="宋体"/>
                <w:color w:val="auto"/>
                <w:sz w:val="18"/>
                <w:szCs w:val="18"/>
                <w:highlight w:val="none"/>
              </w:rPr>
            </w:pPr>
          </w:p>
        </w:tc>
        <w:tc>
          <w:tcPr>
            <w:tcW w:w="1323" w:type="dxa"/>
            <w:noWrap w:val="0"/>
            <w:vAlign w:val="center"/>
          </w:tcPr>
          <w:p>
            <w:pPr>
              <w:tabs>
                <w:tab w:val="left" w:pos="1050"/>
                <w:tab w:val="left" w:pos="1260"/>
                <w:tab w:val="left" w:pos="1620"/>
              </w:tabs>
              <w:spacing w:line="240" w:lineRule="auto"/>
              <w:ind w:left="-107" w:leftChars="-51" w:right="-107" w:rightChars="-51"/>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水电工</w:t>
            </w:r>
          </w:p>
        </w:tc>
        <w:tc>
          <w:tcPr>
            <w:tcW w:w="1250" w:type="dxa"/>
            <w:noWrap w:val="0"/>
            <w:vAlign w:val="center"/>
          </w:tcPr>
          <w:p>
            <w:pPr>
              <w:tabs>
                <w:tab w:val="left" w:pos="1620"/>
              </w:tabs>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1</w:t>
            </w:r>
          </w:p>
        </w:tc>
        <w:tc>
          <w:tcPr>
            <w:tcW w:w="1558" w:type="dxa"/>
            <w:noWrap w:val="0"/>
            <w:vAlign w:val="center"/>
          </w:tcPr>
          <w:p>
            <w:pPr>
              <w:tabs>
                <w:tab w:val="left" w:pos="1620"/>
              </w:tabs>
              <w:spacing w:line="240" w:lineRule="auto"/>
              <w:jc w:val="center"/>
              <w:rPr>
                <w:rFonts w:hint="eastAsia" w:ascii="宋体" w:hAnsi="宋体" w:eastAsia="宋体" w:cs="宋体"/>
                <w:color w:val="auto"/>
                <w:sz w:val="18"/>
                <w:szCs w:val="18"/>
                <w:highlight w:val="none"/>
              </w:rPr>
            </w:pPr>
          </w:p>
        </w:tc>
        <w:tc>
          <w:tcPr>
            <w:tcW w:w="1331" w:type="dxa"/>
            <w:noWrap w:val="0"/>
            <w:vAlign w:val="center"/>
          </w:tcPr>
          <w:p>
            <w:pPr>
              <w:tabs>
                <w:tab w:val="left" w:pos="1620"/>
              </w:tabs>
              <w:spacing w:line="240" w:lineRule="auto"/>
              <w:jc w:val="center"/>
              <w:rPr>
                <w:rFonts w:hint="eastAsia" w:ascii="宋体" w:hAnsi="宋体" w:eastAsia="宋体" w:cs="宋体"/>
                <w:color w:val="auto"/>
                <w:sz w:val="18"/>
                <w:szCs w:val="18"/>
                <w:highlight w:val="none"/>
              </w:rPr>
            </w:pPr>
          </w:p>
        </w:tc>
        <w:tc>
          <w:tcPr>
            <w:tcW w:w="1597" w:type="dxa"/>
            <w:vMerge w:val="continue"/>
            <w:noWrap w:val="0"/>
            <w:vAlign w:val="center"/>
          </w:tcPr>
          <w:p>
            <w:pPr>
              <w:tabs>
                <w:tab w:val="left" w:pos="1620"/>
              </w:tabs>
              <w:spacing w:line="240" w:lineRule="auto"/>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1" w:type="dxa"/>
            <w:vMerge w:val="continue"/>
            <w:noWrap w:val="0"/>
            <w:vAlign w:val="center"/>
          </w:tcPr>
          <w:p>
            <w:pPr>
              <w:tabs>
                <w:tab w:val="left" w:pos="1620"/>
              </w:tabs>
              <w:spacing w:line="240" w:lineRule="auto"/>
              <w:jc w:val="center"/>
              <w:rPr>
                <w:rFonts w:hint="eastAsia" w:ascii="宋体" w:hAnsi="宋体" w:eastAsia="宋体" w:cs="宋体"/>
                <w:color w:val="auto"/>
                <w:sz w:val="18"/>
                <w:szCs w:val="18"/>
                <w:highlight w:val="none"/>
              </w:rPr>
            </w:pPr>
          </w:p>
        </w:tc>
        <w:tc>
          <w:tcPr>
            <w:tcW w:w="600" w:type="dxa"/>
            <w:vMerge w:val="continue"/>
            <w:noWrap w:val="0"/>
            <w:vAlign w:val="center"/>
          </w:tcPr>
          <w:p>
            <w:pPr>
              <w:tabs>
                <w:tab w:val="left" w:pos="1050"/>
                <w:tab w:val="left" w:pos="1260"/>
                <w:tab w:val="left" w:pos="1620"/>
              </w:tabs>
              <w:spacing w:line="240" w:lineRule="auto"/>
              <w:ind w:right="-107" w:rightChars="-51"/>
              <w:jc w:val="center"/>
              <w:rPr>
                <w:rFonts w:hint="eastAsia" w:ascii="宋体" w:hAnsi="宋体" w:eastAsia="宋体" w:cs="宋体"/>
                <w:color w:val="auto"/>
                <w:sz w:val="18"/>
                <w:szCs w:val="18"/>
                <w:highlight w:val="none"/>
              </w:rPr>
            </w:pPr>
          </w:p>
        </w:tc>
        <w:tc>
          <w:tcPr>
            <w:tcW w:w="615" w:type="dxa"/>
            <w:vMerge w:val="continue"/>
            <w:noWrap w:val="0"/>
            <w:vAlign w:val="center"/>
          </w:tcPr>
          <w:p>
            <w:pPr>
              <w:tabs>
                <w:tab w:val="left" w:pos="1050"/>
                <w:tab w:val="left" w:pos="1260"/>
                <w:tab w:val="left" w:pos="1620"/>
              </w:tabs>
              <w:spacing w:line="240" w:lineRule="auto"/>
              <w:ind w:left="-107" w:leftChars="-51" w:right="-107" w:rightChars="-51"/>
              <w:jc w:val="center"/>
              <w:rPr>
                <w:rFonts w:hint="eastAsia" w:ascii="宋体" w:hAnsi="宋体" w:eastAsia="宋体" w:cs="宋体"/>
                <w:color w:val="auto"/>
                <w:sz w:val="18"/>
                <w:szCs w:val="18"/>
                <w:highlight w:val="none"/>
              </w:rPr>
            </w:pPr>
          </w:p>
        </w:tc>
        <w:tc>
          <w:tcPr>
            <w:tcW w:w="1323" w:type="dxa"/>
            <w:noWrap w:val="0"/>
            <w:vAlign w:val="center"/>
          </w:tcPr>
          <w:p>
            <w:pPr>
              <w:tabs>
                <w:tab w:val="left" w:pos="1050"/>
                <w:tab w:val="left" w:pos="1260"/>
                <w:tab w:val="left" w:pos="1620"/>
              </w:tabs>
              <w:spacing w:line="240" w:lineRule="auto"/>
              <w:ind w:left="-107" w:leftChars="-51" w:right="-107" w:rightChars="-51"/>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咨询台人员</w:t>
            </w:r>
          </w:p>
        </w:tc>
        <w:tc>
          <w:tcPr>
            <w:tcW w:w="1250" w:type="dxa"/>
            <w:noWrap w:val="0"/>
            <w:vAlign w:val="center"/>
          </w:tcPr>
          <w:p>
            <w:pPr>
              <w:tabs>
                <w:tab w:val="left" w:pos="1620"/>
              </w:tabs>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w:t>
            </w:r>
          </w:p>
        </w:tc>
        <w:tc>
          <w:tcPr>
            <w:tcW w:w="1558" w:type="dxa"/>
            <w:noWrap w:val="0"/>
            <w:vAlign w:val="center"/>
          </w:tcPr>
          <w:p>
            <w:pPr>
              <w:tabs>
                <w:tab w:val="left" w:pos="1620"/>
              </w:tabs>
              <w:spacing w:line="240" w:lineRule="auto"/>
              <w:jc w:val="center"/>
              <w:rPr>
                <w:rFonts w:hint="eastAsia" w:ascii="宋体" w:hAnsi="宋体" w:eastAsia="宋体" w:cs="宋体"/>
                <w:color w:val="auto"/>
                <w:sz w:val="18"/>
                <w:szCs w:val="18"/>
                <w:highlight w:val="none"/>
              </w:rPr>
            </w:pPr>
          </w:p>
        </w:tc>
        <w:tc>
          <w:tcPr>
            <w:tcW w:w="1331" w:type="dxa"/>
            <w:noWrap w:val="0"/>
            <w:vAlign w:val="center"/>
          </w:tcPr>
          <w:p>
            <w:pPr>
              <w:tabs>
                <w:tab w:val="left" w:pos="1620"/>
              </w:tabs>
              <w:spacing w:line="240" w:lineRule="auto"/>
              <w:jc w:val="center"/>
              <w:rPr>
                <w:rFonts w:hint="eastAsia" w:ascii="宋体" w:hAnsi="宋体" w:eastAsia="宋体" w:cs="宋体"/>
                <w:color w:val="auto"/>
                <w:sz w:val="18"/>
                <w:szCs w:val="18"/>
                <w:highlight w:val="none"/>
              </w:rPr>
            </w:pPr>
          </w:p>
        </w:tc>
        <w:tc>
          <w:tcPr>
            <w:tcW w:w="1597" w:type="dxa"/>
            <w:vMerge w:val="continue"/>
            <w:noWrap w:val="0"/>
            <w:vAlign w:val="center"/>
          </w:tcPr>
          <w:p>
            <w:pPr>
              <w:tabs>
                <w:tab w:val="left" w:pos="1620"/>
              </w:tabs>
              <w:spacing w:line="240" w:lineRule="auto"/>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1" w:type="dxa"/>
            <w:vMerge w:val="continue"/>
            <w:noWrap w:val="0"/>
            <w:vAlign w:val="center"/>
          </w:tcPr>
          <w:p>
            <w:pPr>
              <w:tabs>
                <w:tab w:val="left" w:pos="1620"/>
              </w:tabs>
              <w:spacing w:line="240" w:lineRule="auto"/>
              <w:jc w:val="center"/>
              <w:rPr>
                <w:rFonts w:hint="eastAsia" w:ascii="宋体" w:hAnsi="宋体" w:eastAsia="宋体" w:cs="宋体"/>
                <w:color w:val="auto"/>
                <w:sz w:val="18"/>
                <w:szCs w:val="18"/>
                <w:highlight w:val="none"/>
              </w:rPr>
            </w:pPr>
          </w:p>
        </w:tc>
        <w:tc>
          <w:tcPr>
            <w:tcW w:w="600" w:type="dxa"/>
            <w:vMerge w:val="continue"/>
            <w:noWrap w:val="0"/>
            <w:vAlign w:val="center"/>
          </w:tcPr>
          <w:p>
            <w:pPr>
              <w:tabs>
                <w:tab w:val="left" w:pos="1050"/>
                <w:tab w:val="left" w:pos="1260"/>
                <w:tab w:val="left" w:pos="1620"/>
              </w:tabs>
              <w:spacing w:line="240" w:lineRule="auto"/>
              <w:ind w:right="-107" w:rightChars="-51"/>
              <w:jc w:val="center"/>
              <w:rPr>
                <w:rFonts w:hint="eastAsia" w:ascii="宋体" w:hAnsi="宋体" w:eastAsia="宋体" w:cs="宋体"/>
                <w:color w:val="auto"/>
                <w:sz w:val="18"/>
                <w:szCs w:val="18"/>
                <w:highlight w:val="none"/>
              </w:rPr>
            </w:pPr>
          </w:p>
        </w:tc>
        <w:tc>
          <w:tcPr>
            <w:tcW w:w="615" w:type="dxa"/>
            <w:vMerge w:val="continue"/>
            <w:noWrap w:val="0"/>
            <w:vAlign w:val="center"/>
          </w:tcPr>
          <w:p>
            <w:pPr>
              <w:tabs>
                <w:tab w:val="left" w:pos="1050"/>
                <w:tab w:val="left" w:pos="1260"/>
                <w:tab w:val="left" w:pos="1620"/>
              </w:tabs>
              <w:spacing w:line="240" w:lineRule="auto"/>
              <w:ind w:left="-107" w:leftChars="-51" w:right="-107" w:rightChars="-51"/>
              <w:jc w:val="center"/>
              <w:rPr>
                <w:rFonts w:hint="eastAsia" w:ascii="宋体" w:hAnsi="宋体" w:eastAsia="宋体" w:cs="宋体"/>
                <w:color w:val="auto"/>
                <w:sz w:val="18"/>
                <w:szCs w:val="18"/>
                <w:highlight w:val="none"/>
              </w:rPr>
            </w:pPr>
          </w:p>
        </w:tc>
        <w:tc>
          <w:tcPr>
            <w:tcW w:w="1323" w:type="dxa"/>
            <w:noWrap w:val="0"/>
            <w:vAlign w:val="center"/>
          </w:tcPr>
          <w:p>
            <w:pPr>
              <w:tabs>
                <w:tab w:val="left" w:pos="1050"/>
                <w:tab w:val="left" w:pos="1260"/>
                <w:tab w:val="left" w:pos="1620"/>
              </w:tabs>
              <w:spacing w:line="240" w:lineRule="auto"/>
              <w:ind w:left="-107" w:leftChars="-51" w:right="-107" w:rightChars="-51"/>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物业内勤</w:t>
            </w:r>
          </w:p>
        </w:tc>
        <w:tc>
          <w:tcPr>
            <w:tcW w:w="1250" w:type="dxa"/>
            <w:noWrap w:val="0"/>
            <w:vAlign w:val="center"/>
          </w:tcPr>
          <w:p>
            <w:pPr>
              <w:tabs>
                <w:tab w:val="left" w:pos="1620"/>
              </w:tabs>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1</w:t>
            </w:r>
          </w:p>
        </w:tc>
        <w:tc>
          <w:tcPr>
            <w:tcW w:w="1558" w:type="dxa"/>
            <w:noWrap w:val="0"/>
            <w:vAlign w:val="center"/>
          </w:tcPr>
          <w:p>
            <w:pPr>
              <w:tabs>
                <w:tab w:val="left" w:pos="1620"/>
              </w:tabs>
              <w:spacing w:line="240" w:lineRule="auto"/>
              <w:jc w:val="center"/>
              <w:rPr>
                <w:rFonts w:hint="eastAsia" w:ascii="宋体" w:hAnsi="宋体" w:eastAsia="宋体" w:cs="宋体"/>
                <w:color w:val="auto"/>
                <w:sz w:val="18"/>
                <w:szCs w:val="18"/>
                <w:highlight w:val="none"/>
              </w:rPr>
            </w:pPr>
          </w:p>
        </w:tc>
        <w:tc>
          <w:tcPr>
            <w:tcW w:w="1331" w:type="dxa"/>
            <w:noWrap w:val="0"/>
            <w:vAlign w:val="center"/>
          </w:tcPr>
          <w:p>
            <w:pPr>
              <w:tabs>
                <w:tab w:val="left" w:pos="1620"/>
              </w:tabs>
              <w:spacing w:line="240" w:lineRule="auto"/>
              <w:jc w:val="center"/>
              <w:rPr>
                <w:rFonts w:hint="eastAsia" w:ascii="宋体" w:hAnsi="宋体" w:eastAsia="宋体" w:cs="宋体"/>
                <w:color w:val="auto"/>
                <w:sz w:val="18"/>
                <w:szCs w:val="18"/>
                <w:highlight w:val="none"/>
              </w:rPr>
            </w:pPr>
          </w:p>
        </w:tc>
        <w:tc>
          <w:tcPr>
            <w:tcW w:w="1597" w:type="dxa"/>
            <w:vMerge w:val="continue"/>
            <w:noWrap w:val="0"/>
            <w:vAlign w:val="center"/>
          </w:tcPr>
          <w:p>
            <w:pPr>
              <w:tabs>
                <w:tab w:val="left" w:pos="1620"/>
              </w:tabs>
              <w:spacing w:line="240" w:lineRule="auto"/>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1" w:type="dxa"/>
            <w:vMerge w:val="continue"/>
            <w:noWrap w:val="0"/>
            <w:vAlign w:val="center"/>
          </w:tcPr>
          <w:p>
            <w:pPr>
              <w:tabs>
                <w:tab w:val="left" w:pos="1620"/>
              </w:tabs>
              <w:spacing w:line="240" w:lineRule="auto"/>
              <w:jc w:val="center"/>
              <w:rPr>
                <w:rFonts w:hint="eastAsia" w:ascii="宋体" w:hAnsi="宋体" w:eastAsia="宋体" w:cs="宋体"/>
                <w:color w:val="auto"/>
                <w:sz w:val="18"/>
                <w:szCs w:val="18"/>
                <w:highlight w:val="none"/>
              </w:rPr>
            </w:pPr>
          </w:p>
        </w:tc>
        <w:tc>
          <w:tcPr>
            <w:tcW w:w="600" w:type="dxa"/>
            <w:vMerge w:val="continue"/>
            <w:noWrap w:val="0"/>
            <w:vAlign w:val="center"/>
          </w:tcPr>
          <w:p>
            <w:pPr>
              <w:tabs>
                <w:tab w:val="left" w:pos="1050"/>
                <w:tab w:val="left" w:pos="1260"/>
                <w:tab w:val="left" w:pos="1620"/>
              </w:tabs>
              <w:spacing w:line="240" w:lineRule="auto"/>
              <w:ind w:right="-107" w:rightChars="-51"/>
              <w:jc w:val="center"/>
              <w:rPr>
                <w:rFonts w:hint="eastAsia" w:ascii="宋体" w:hAnsi="宋体" w:eastAsia="宋体" w:cs="宋体"/>
                <w:color w:val="auto"/>
                <w:sz w:val="18"/>
                <w:szCs w:val="18"/>
                <w:highlight w:val="none"/>
              </w:rPr>
            </w:pPr>
          </w:p>
        </w:tc>
        <w:tc>
          <w:tcPr>
            <w:tcW w:w="615" w:type="dxa"/>
            <w:vMerge w:val="continue"/>
            <w:noWrap w:val="0"/>
            <w:vAlign w:val="center"/>
          </w:tcPr>
          <w:p>
            <w:pPr>
              <w:tabs>
                <w:tab w:val="left" w:pos="1050"/>
                <w:tab w:val="left" w:pos="1260"/>
                <w:tab w:val="left" w:pos="1620"/>
              </w:tabs>
              <w:spacing w:line="240" w:lineRule="auto"/>
              <w:ind w:left="-107" w:leftChars="-51" w:right="-107" w:rightChars="-51"/>
              <w:jc w:val="center"/>
              <w:rPr>
                <w:rFonts w:hint="eastAsia" w:ascii="宋体" w:hAnsi="宋体" w:eastAsia="宋体" w:cs="宋体"/>
                <w:color w:val="auto"/>
                <w:sz w:val="18"/>
                <w:szCs w:val="18"/>
                <w:highlight w:val="none"/>
              </w:rPr>
            </w:pPr>
          </w:p>
        </w:tc>
        <w:tc>
          <w:tcPr>
            <w:tcW w:w="1323" w:type="dxa"/>
            <w:noWrap w:val="0"/>
            <w:vAlign w:val="center"/>
          </w:tcPr>
          <w:p>
            <w:pPr>
              <w:tabs>
                <w:tab w:val="left" w:pos="1620"/>
              </w:tabs>
              <w:spacing w:line="240" w:lineRule="auto"/>
              <w:ind w:right="-107" w:rightChars="-51"/>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保安队长</w:t>
            </w:r>
          </w:p>
        </w:tc>
        <w:tc>
          <w:tcPr>
            <w:tcW w:w="1250" w:type="dxa"/>
            <w:noWrap w:val="0"/>
            <w:vAlign w:val="center"/>
          </w:tcPr>
          <w:p>
            <w:pPr>
              <w:tabs>
                <w:tab w:val="left" w:pos="1620"/>
              </w:tabs>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w:t>
            </w:r>
          </w:p>
        </w:tc>
        <w:tc>
          <w:tcPr>
            <w:tcW w:w="1558" w:type="dxa"/>
            <w:noWrap w:val="0"/>
            <w:vAlign w:val="center"/>
          </w:tcPr>
          <w:p>
            <w:pPr>
              <w:tabs>
                <w:tab w:val="left" w:pos="1620"/>
              </w:tabs>
              <w:spacing w:line="240" w:lineRule="auto"/>
              <w:jc w:val="center"/>
              <w:rPr>
                <w:rFonts w:hint="eastAsia" w:ascii="宋体" w:hAnsi="宋体" w:eastAsia="宋体" w:cs="宋体"/>
                <w:color w:val="auto"/>
                <w:sz w:val="18"/>
                <w:szCs w:val="18"/>
                <w:highlight w:val="none"/>
              </w:rPr>
            </w:pPr>
          </w:p>
        </w:tc>
        <w:tc>
          <w:tcPr>
            <w:tcW w:w="1331" w:type="dxa"/>
            <w:noWrap w:val="0"/>
            <w:vAlign w:val="center"/>
          </w:tcPr>
          <w:p>
            <w:pPr>
              <w:tabs>
                <w:tab w:val="left" w:pos="1620"/>
              </w:tabs>
              <w:spacing w:line="240" w:lineRule="auto"/>
              <w:jc w:val="center"/>
              <w:rPr>
                <w:rFonts w:hint="eastAsia" w:ascii="宋体" w:hAnsi="宋体" w:eastAsia="宋体" w:cs="宋体"/>
                <w:color w:val="auto"/>
                <w:sz w:val="18"/>
                <w:szCs w:val="18"/>
                <w:highlight w:val="none"/>
              </w:rPr>
            </w:pPr>
          </w:p>
        </w:tc>
        <w:tc>
          <w:tcPr>
            <w:tcW w:w="1597" w:type="dxa"/>
            <w:vMerge w:val="continue"/>
            <w:noWrap w:val="0"/>
            <w:vAlign w:val="center"/>
          </w:tcPr>
          <w:p>
            <w:pPr>
              <w:tabs>
                <w:tab w:val="left" w:pos="1620"/>
              </w:tabs>
              <w:spacing w:line="240" w:lineRule="auto"/>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1" w:type="dxa"/>
            <w:vMerge w:val="continue"/>
            <w:noWrap w:val="0"/>
            <w:vAlign w:val="center"/>
          </w:tcPr>
          <w:p>
            <w:pPr>
              <w:tabs>
                <w:tab w:val="left" w:pos="1620"/>
              </w:tabs>
              <w:spacing w:line="240" w:lineRule="auto"/>
              <w:jc w:val="center"/>
              <w:rPr>
                <w:rFonts w:hint="eastAsia" w:ascii="宋体" w:hAnsi="宋体" w:eastAsia="宋体" w:cs="宋体"/>
                <w:color w:val="auto"/>
                <w:sz w:val="18"/>
                <w:szCs w:val="18"/>
                <w:highlight w:val="none"/>
              </w:rPr>
            </w:pPr>
          </w:p>
        </w:tc>
        <w:tc>
          <w:tcPr>
            <w:tcW w:w="600" w:type="dxa"/>
            <w:vMerge w:val="continue"/>
            <w:noWrap w:val="0"/>
            <w:vAlign w:val="center"/>
          </w:tcPr>
          <w:p>
            <w:pPr>
              <w:tabs>
                <w:tab w:val="left" w:pos="1050"/>
                <w:tab w:val="left" w:pos="1260"/>
                <w:tab w:val="left" w:pos="1620"/>
              </w:tabs>
              <w:spacing w:line="240" w:lineRule="auto"/>
              <w:ind w:right="-107" w:rightChars="-51"/>
              <w:jc w:val="center"/>
              <w:rPr>
                <w:rFonts w:hint="eastAsia" w:ascii="宋体" w:hAnsi="宋体" w:eastAsia="宋体" w:cs="宋体"/>
                <w:color w:val="auto"/>
                <w:sz w:val="18"/>
                <w:szCs w:val="18"/>
                <w:highlight w:val="none"/>
              </w:rPr>
            </w:pPr>
          </w:p>
        </w:tc>
        <w:tc>
          <w:tcPr>
            <w:tcW w:w="615" w:type="dxa"/>
            <w:vMerge w:val="continue"/>
            <w:noWrap w:val="0"/>
            <w:vAlign w:val="center"/>
          </w:tcPr>
          <w:p>
            <w:pPr>
              <w:tabs>
                <w:tab w:val="left" w:pos="1050"/>
                <w:tab w:val="left" w:pos="1260"/>
                <w:tab w:val="left" w:pos="1620"/>
              </w:tabs>
              <w:spacing w:line="240" w:lineRule="auto"/>
              <w:ind w:left="-107" w:leftChars="-51" w:right="-107" w:rightChars="-51"/>
              <w:jc w:val="center"/>
              <w:rPr>
                <w:rFonts w:hint="eastAsia" w:ascii="宋体" w:hAnsi="宋体" w:eastAsia="宋体" w:cs="宋体"/>
                <w:color w:val="auto"/>
                <w:sz w:val="18"/>
                <w:szCs w:val="18"/>
                <w:highlight w:val="none"/>
              </w:rPr>
            </w:pPr>
          </w:p>
        </w:tc>
        <w:tc>
          <w:tcPr>
            <w:tcW w:w="1323" w:type="dxa"/>
            <w:noWrap w:val="0"/>
            <w:vAlign w:val="center"/>
          </w:tcPr>
          <w:p>
            <w:pPr>
              <w:tabs>
                <w:tab w:val="left" w:pos="1050"/>
                <w:tab w:val="left" w:pos="1260"/>
                <w:tab w:val="left" w:pos="1620"/>
              </w:tabs>
              <w:spacing w:line="240" w:lineRule="auto"/>
              <w:ind w:left="-107" w:leftChars="-51" w:right="-107" w:rightChars="-51"/>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保安员</w:t>
            </w:r>
          </w:p>
        </w:tc>
        <w:tc>
          <w:tcPr>
            <w:tcW w:w="1250" w:type="dxa"/>
            <w:noWrap w:val="0"/>
            <w:vAlign w:val="center"/>
          </w:tcPr>
          <w:p>
            <w:pPr>
              <w:tabs>
                <w:tab w:val="left" w:pos="1620"/>
              </w:tabs>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17</w:t>
            </w:r>
          </w:p>
        </w:tc>
        <w:tc>
          <w:tcPr>
            <w:tcW w:w="1558" w:type="dxa"/>
            <w:noWrap w:val="0"/>
            <w:vAlign w:val="center"/>
          </w:tcPr>
          <w:p>
            <w:pPr>
              <w:tabs>
                <w:tab w:val="left" w:pos="1620"/>
              </w:tabs>
              <w:spacing w:line="240" w:lineRule="auto"/>
              <w:jc w:val="center"/>
              <w:rPr>
                <w:rFonts w:hint="eastAsia" w:ascii="宋体" w:hAnsi="宋体" w:eastAsia="宋体" w:cs="宋体"/>
                <w:color w:val="auto"/>
                <w:sz w:val="18"/>
                <w:szCs w:val="18"/>
                <w:highlight w:val="none"/>
              </w:rPr>
            </w:pPr>
          </w:p>
        </w:tc>
        <w:tc>
          <w:tcPr>
            <w:tcW w:w="1331" w:type="dxa"/>
            <w:noWrap w:val="0"/>
            <w:vAlign w:val="center"/>
          </w:tcPr>
          <w:p>
            <w:pPr>
              <w:tabs>
                <w:tab w:val="left" w:pos="1620"/>
              </w:tabs>
              <w:spacing w:line="240" w:lineRule="auto"/>
              <w:jc w:val="center"/>
              <w:rPr>
                <w:rFonts w:hint="eastAsia" w:ascii="宋体" w:hAnsi="宋体" w:eastAsia="宋体" w:cs="宋体"/>
                <w:color w:val="auto"/>
                <w:sz w:val="18"/>
                <w:szCs w:val="18"/>
                <w:highlight w:val="none"/>
              </w:rPr>
            </w:pPr>
          </w:p>
        </w:tc>
        <w:tc>
          <w:tcPr>
            <w:tcW w:w="1597" w:type="dxa"/>
            <w:vMerge w:val="continue"/>
            <w:noWrap w:val="0"/>
            <w:vAlign w:val="center"/>
          </w:tcPr>
          <w:p>
            <w:pPr>
              <w:tabs>
                <w:tab w:val="left" w:pos="1620"/>
              </w:tabs>
              <w:spacing w:line="240" w:lineRule="auto"/>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1" w:type="dxa"/>
            <w:vMerge w:val="continue"/>
            <w:noWrap w:val="0"/>
            <w:vAlign w:val="center"/>
          </w:tcPr>
          <w:p>
            <w:pPr>
              <w:tabs>
                <w:tab w:val="left" w:pos="1620"/>
              </w:tabs>
              <w:spacing w:line="240" w:lineRule="auto"/>
              <w:jc w:val="center"/>
              <w:rPr>
                <w:rFonts w:hint="eastAsia" w:ascii="宋体" w:hAnsi="宋体" w:eastAsia="宋体" w:cs="宋体"/>
                <w:color w:val="auto"/>
                <w:sz w:val="18"/>
                <w:szCs w:val="18"/>
                <w:highlight w:val="none"/>
              </w:rPr>
            </w:pPr>
          </w:p>
        </w:tc>
        <w:tc>
          <w:tcPr>
            <w:tcW w:w="600" w:type="dxa"/>
            <w:vMerge w:val="continue"/>
            <w:noWrap w:val="0"/>
            <w:vAlign w:val="center"/>
          </w:tcPr>
          <w:p>
            <w:pPr>
              <w:tabs>
                <w:tab w:val="left" w:pos="1050"/>
                <w:tab w:val="left" w:pos="1260"/>
                <w:tab w:val="left" w:pos="1620"/>
              </w:tabs>
              <w:spacing w:line="240" w:lineRule="auto"/>
              <w:ind w:right="-107" w:rightChars="-51"/>
              <w:jc w:val="center"/>
              <w:rPr>
                <w:rFonts w:hint="eastAsia" w:ascii="宋体" w:hAnsi="宋体" w:eastAsia="宋体" w:cs="宋体"/>
                <w:color w:val="auto"/>
                <w:sz w:val="18"/>
                <w:szCs w:val="18"/>
                <w:highlight w:val="none"/>
              </w:rPr>
            </w:pPr>
          </w:p>
        </w:tc>
        <w:tc>
          <w:tcPr>
            <w:tcW w:w="615" w:type="dxa"/>
            <w:vMerge w:val="continue"/>
            <w:noWrap w:val="0"/>
            <w:vAlign w:val="center"/>
          </w:tcPr>
          <w:p>
            <w:pPr>
              <w:tabs>
                <w:tab w:val="left" w:pos="1050"/>
                <w:tab w:val="left" w:pos="1260"/>
                <w:tab w:val="left" w:pos="1620"/>
              </w:tabs>
              <w:spacing w:line="240" w:lineRule="auto"/>
              <w:ind w:left="-107" w:leftChars="-51" w:right="-107" w:rightChars="-51"/>
              <w:jc w:val="center"/>
              <w:rPr>
                <w:rFonts w:hint="eastAsia" w:ascii="宋体" w:hAnsi="宋体" w:eastAsia="宋体" w:cs="宋体"/>
                <w:color w:val="auto"/>
                <w:sz w:val="18"/>
                <w:szCs w:val="18"/>
                <w:highlight w:val="none"/>
              </w:rPr>
            </w:pPr>
          </w:p>
        </w:tc>
        <w:tc>
          <w:tcPr>
            <w:tcW w:w="1323" w:type="dxa"/>
            <w:noWrap w:val="0"/>
            <w:vAlign w:val="center"/>
          </w:tcPr>
          <w:p>
            <w:pPr>
              <w:tabs>
                <w:tab w:val="left" w:pos="1050"/>
                <w:tab w:val="left" w:pos="1260"/>
                <w:tab w:val="left" w:pos="1620"/>
              </w:tabs>
              <w:spacing w:line="240" w:lineRule="auto"/>
              <w:ind w:left="-107" w:leftChars="-51" w:right="-107" w:rightChars="-51"/>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监控消控员</w:t>
            </w:r>
          </w:p>
        </w:tc>
        <w:tc>
          <w:tcPr>
            <w:tcW w:w="1250" w:type="dxa"/>
            <w:noWrap w:val="0"/>
            <w:vAlign w:val="center"/>
          </w:tcPr>
          <w:p>
            <w:pPr>
              <w:tabs>
                <w:tab w:val="left" w:pos="1620"/>
              </w:tabs>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3</w:t>
            </w:r>
          </w:p>
        </w:tc>
        <w:tc>
          <w:tcPr>
            <w:tcW w:w="1558" w:type="dxa"/>
            <w:noWrap w:val="0"/>
            <w:vAlign w:val="center"/>
          </w:tcPr>
          <w:p>
            <w:pPr>
              <w:tabs>
                <w:tab w:val="left" w:pos="1620"/>
              </w:tabs>
              <w:spacing w:line="240" w:lineRule="auto"/>
              <w:jc w:val="center"/>
              <w:rPr>
                <w:rFonts w:hint="eastAsia" w:ascii="宋体" w:hAnsi="宋体" w:eastAsia="宋体" w:cs="宋体"/>
                <w:color w:val="auto"/>
                <w:sz w:val="18"/>
                <w:szCs w:val="18"/>
                <w:highlight w:val="none"/>
              </w:rPr>
            </w:pPr>
          </w:p>
        </w:tc>
        <w:tc>
          <w:tcPr>
            <w:tcW w:w="1331" w:type="dxa"/>
            <w:noWrap w:val="0"/>
            <w:vAlign w:val="center"/>
          </w:tcPr>
          <w:p>
            <w:pPr>
              <w:tabs>
                <w:tab w:val="left" w:pos="1620"/>
              </w:tabs>
              <w:spacing w:line="240" w:lineRule="auto"/>
              <w:jc w:val="center"/>
              <w:rPr>
                <w:rFonts w:hint="eastAsia" w:ascii="宋体" w:hAnsi="宋体" w:eastAsia="宋体" w:cs="宋体"/>
                <w:color w:val="auto"/>
                <w:sz w:val="18"/>
                <w:szCs w:val="18"/>
                <w:highlight w:val="none"/>
              </w:rPr>
            </w:pPr>
          </w:p>
        </w:tc>
        <w:tc>
          <w:tcPr>
            <w:tcW w:w="1597" w:type="dxa"/>
            <w:vMerge w:val="continue"/>
            <w:noWrap w:val="0"/>
            <w:vAlign w:val="center"/>
          </w:tcPr>
          <w:p>
            <w:pPr>
              <w:tabs>
                <w:tab w:val="left" w:pos="1620"/>
              </w:tabs>
              <w:spacing w:line="240" w:lineRule="auto"/>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1" w:type="dxa"/>
            <w:vMerge w:val="continue"/>
            <w:noWrap w:val="0"/>
            <w:vAlign w:val="center"/>
          </w:tcPr>
          <w:p>
            <w:pPr>
              <w:tabs>
                <w:tab w:val="left" w:pos="1620"/>
              </w:tabs>
              <w:spacing w:line="240" w:lineRule="auto"/>
              <w:jc w:val="center"/>
              <w:rPr>
                <w:rFonts w:hint="eastAsia" w:ascii="宋体" w:hAnsi="宋体" w:eastAsia="宋体" w:cs="宋体"/>
                <w:color w:val="auto"/>
                <w:sz w:val="18"/>
                <w:szCs w:val="18"/>
                <w:highlight w:val="none"/>
              </w:rPr>
            </w:pPr>
          </w:p>
        </w:tc>
        <w:tc>
          <w:tcPr>
            <w:tcW w:w="600" w:type="dxa"/>
            <w:vMerge w:val="continue"/>
            <w:noWrap w:val="0"/>
            <w:vAlign w:val="center"/>
          </w:tcPr>
          <w:p>
            <w:pPr>
              <w:tabs>
                <w:tab w:val="left" w:pos="1050"/>
                <w:tab w:val="left" w:pos="1260"/>
                <w:tab w:val="left" w:pos="1620"/>
              </w:tabs>
              <w:spacing w:line="240" w:lineRule="auto"/>
              <w:ind w:right="-107" w:rightChars="-51"/>
              <w:jc w:val="center"/>
              <w:rPr>
                <w:rFonts w:hint="eastAsia" w:ascii="宋体" w:hAnsi="宋体" w:eastAsia="宋体" w:cs="宋体"/>
                <w:color w:val="auto"/>
                <w:sz w:val="18"/>
                <w:szCs w:val="18"/>
                <w:highlight w:val="none"/>
              </w:rPr>
            </w:pPr>
          </w:p>
        </w:tc>
        <w:tc>
          <w:tcPr>
            <w:tcW w:w="615" w:type="dxa"/>
            <w:vMerge w:val="continue"/>
            <w:noWrap w:val="0"/>
            <w:vAlign w:val="center"/>
          </w:tcPr>
          <w:p>
            <w:pPr>
              <w:tabs>
                <w:tab w:val="left" w:pos="1050"/>
                <w:tab w:val="left" w:pos="1260"/>
                <w:tab w:val="left" w:pos="1620"/>
              </w:tabs>
              <w:spacing w:line="240" w:lineRule="auto"/>
              <w:ind w:left="-107" w:leftChars="-51" w:right="-107" w:rightChars="-51"/>
              <w:jc w:val="center"/>
              <w:rPr>
                <w:rFonts w:hint="eastAsia" w:ascii="宋体" w:hAnsi="宋体" w:eastAsia="宋体" w:cs="宋体"/>
                <w:color w:val="auto"/>
                <w:sz w:val="18"/>
                <w:szCs w:val="18"/>
                <w:highlight w:val="none"/>
              </w:rPr>
            </w:pPr>
          </w:p>
        </w:tc>
        <w:tc>
          <w:tcPr>
            <w:tcW w:w="1323" w:type="dxa"/>
            <w:noWrap w:val="0"/>
            <w:vAlign w:val="center"/>
          </w:tcPr>
          <w:p>
            <w:pPr>
              <w:tabs>
                <w:tab w:val="left" w:pos="1050"/>
                <w:tab w:val="left" w:pos="1260"/>
                <w:tab w:val="left" w:pos="1620"/>
              </w:tabs>
              <w:spacing w:line="240" w:lineRule="auto"/>
              <w:ind w:left="-107" w:leftChars="-51" w:right="-107" w:rightChars="-51"/>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保洁主管</w:t>
            </w:r>
          </w:p>
        </w:tc>
        <w:tc>
          <w:tcPr>
            <w:tcW w:w="1250" w:type="dxa"/>
            <w:noWrap w:val="0"/>
            <w:vAlign w:val="center"/>
          </w:tcPr>
          <w:p>
            <w:pPr>
              <w:tabs>
                <w:tab w:val="left" w:pos="1620"/>
              </w:tabs>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1</w:t>
            </w:r>
          </w:p>
        </w:tc>
        <w:tc>
          <w:tcPr>
            <w:tcW w:w="1558" w:type="dxa"/>
            <w:noWrap w:val="0"/>
            <w:vAlign w:val="center"/>
          </w:tcPr>
          <w:p>
            <w:pPr>
              <w:tabs>
                <w:tab w:val="left" w:pos="1620"/>
              </w:tabs>
              <w:spacing w:line="240" w:lineRule="auto"/>
              <w:jc w:val="center"/>
              <w:rPr>
                <w:rFonts w:hint="eastAsia" w:ascii="宋体" w:hAnsi="宋体" w:eastAsia="宋体" w:cs="宋体"/>
                <w:color w:val="auto"/>
                <w:sz w:val="18"/>
                <w:szCs w:val="18"/>
                <w:highlight w:val="none"/>
              </w:rPr>
            </w:pPr>
          </w:p>
        </w:tc>
        <w:tc>
          <w:tcPr>
            <w:tcW w:w="1331" w:type="dxa"/>
            <w:noWrap w:val="0"/>
            <w:vAlign w:val="center"/>
          </w:tcPr>
          <w:p>
            <w:pPr>
              <w:tabs>
                <w:tab w:val="left" w:pos="1620"/>
              </w:tabs>
              <w:spacing w:line="240" w:lineRule="auto"/>
              <w:jc w:val="center"/>
              <w:rPr>
                <w:rFonts w:hint="eastAsia" w:ascii="宋体" w:hAnsi="宋体" w:eastAsia="宋体" w:cs="宋体"/>
                <w:color w:val="auto"/>
                <w:sz w:val="18"/>
                <w:szCs w:val="18"/>
                <w:highlight w:val="none"/>
              </w:rPr>
            </w:pPr>
          </w:p>
        </w:tc>
        <w:tc>
          <w:tcPr>
            <w:tcW w:w="1597" w:type="dxa"/>
            <w:vMerge w:val="continue"/>
            <w:noWrap w:val="0"/>
            <w:vAlign w:val="center"/>
          </w:tcPr>
          <w:p>
            <w:pPr>
              <w:tabs>
                <w:tab w:val="left" w:pos="1620"/>
              </w:tabs>
              <w:spacing w:line="240" w:lineRule="auto"/>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1" w:type="dxa"/>
            <w:vMerge w:val="continue"/>
            <w:noWrap w:val="0"/>
            <w:vAlign w:val="center"/>
          </w:tcPr>
          <w:p>
            <w:pPr>
              <w:tabs>
                <w:tab w:val="left" w:pos="1620"/>
              </w:tabs>
              <w:spacing w:line="240" w:lineRule="auto"/>
              <w:jc w:val="center"/>
              <w:rPr>
                <w:rFonts w:hint="eastAsia" w:ascii="宋体" w:hAnsi="宋体" w:eastAsia="宋体" w:cs="宋体"/>
                <w:color w:val="auto"/>
                <w:sz w:val="18"/>
                <w:szCs w:val="18"/>
                <w:highlight w:val="none"/>
              </w:rPr>
            </w:pPr>
          </w:p>
        </w:tc>
        <w:tc>
          <w:tcPr>
            <w:tcW w:w="600" w:type="dxa"/>
            <w:vMerge w:val="continue"/>
            <w:noWrap w:val="0"/>
            <w:vAlign w:val="center"/>
          </w:tcPr>
          <w:p>
            <w:pPr>
              <w:tabs>
                <w:tab w:val="left" w:pos="1050"/>
                <w:tab w:val="left" w:pos="1260"/>
                <w:tab w:val="left" w:pos="1620"/>
              </w:tabs>
              <w:spacing w:line="240" w:lineRule="auto"/>
              <w:ind w:right="-107" w:rightChars="-51"/>
              <w:jc w:val="center"/>
              <w:rPr>
                <w:rFonts w:hint="eastAsia" w:ascii="宋体" w:hAnsi="宋体" w:eastAsia="宋体" w:cs="宋体"/>
                <w:color w:val="auto"/>
                <w:sz w:val="18"/>
                <w:szCs w:val="18"/>
                <w:highlight w:val="none"/>
              </w:rPr>
            </w:pPr>
          </w:p>
        </w:tc>
        <w:tc>
          <w:tcPr>
            <w:tcW w:w="615" w:type="dxa"/>
            <w:vMerge w:val="continue"/>
            <w:noWrap w:val="0"/>
            <w:vAlign w:val="center"/>
          </w:tcPr>
          <w:p>
            <w:pPr>
              <w:tabs>
                <w:tab w:val="left" w:pos="1050"/>
                <w:tab w:val="left" w:pos="1260"/>
                <w:tab w:val="left" w:pos="1620"/>
              </w:tabs>
              <w:spacing w:line="240" w:lineRule="auto"/>
              <w:ind w:left="-107" w:leftChars="-51" w:right="-107" w:rightChars="-51"/>
              <w:jc w:val="center"/>
              <w:rPr>
                <w:rFonts w:hint="eastAsia" w:ascii="宋体" w:hAnsi="宋体" w:eastAsia="宋体" w:cs="宋体"/>
                <w:color w:val="auto"/>
                <w:sz w:val="18"/>
                <w:szCs w:val="18"/>
                <w:highlight w:val="none"/>
              </w:rPr>
            </w:pPr>
          </w:p>
        </w:tc>
        <w:tc>
          <w:tcPr>
            <w:tcW w:w="1323" w:type="dxa"/>
            <w:noWrap w:val="0"/>
            <w:vAlign w:val="center"/>
          </w:tcPr>
          <w:p>
            <w:pPr>
              <w:tabs>
                <w:tab w:val="left" w:pos="1050"/>
                <w:tab w:val="left" w:pos="1260"/>
                <w:tab w:val="left" w:pos="1620"/>
              </w:tabs>
              <w:spacing w:line="240" w:lineRule="auto"/>
              <w:ind w:left="-107" w:leftChars="-51" w:right="-107" w:rightChars="-51"/>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保洁员</w:t>
            </w:r>
          </w:p>
        </w:tc>
        <w:tc>
          <w:tcPr>
            <w:tcW w:w="1250" w:type="dxa"/>
            <w:noWrap w:val="0"/>
            <w:vAlign w:val="center"/>
          </w:tcPr>
          <w:p>
            <w:pPr>
              <w:tabs>
                <w:tab w:val="left" w:pos="1620"/>
              </w:tabs>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22</w:t>
            </w:r>
          </w:p>
        </w:tc>
        <w:tc>
          <w:tcPr>
            <w:tcW w:w="1558" w:type="dxa"/>
            <w:noWrap w:val="0"/>
            <w:vAlign w:val="center"/>
          </w:tcPr>
          <w:p>
            <w:pPr>
              <w:tabs>
                <w:tab w:val="left" w:pos="1620"/>
              </w:tabs>
              <w:spacing w:line="240" w:lineRule="auto"/>
              <w:jc w:val="center"/>
              <w:rPr>
                <w:rFonts w:hint="eastAsia" w:ascii="宋体" w:hAnsi="宋体" w:eastAsia="宋体" w:cs="宋体"/>
                <w:color w:val="auto"/>
                <w:sz w:val="18"/>
                <w:szCs w:val="18"/>
                <w:highlight w:val="none"/>
              </w:rPr>
            </w:pPr>
          </w:p>
        </w:tc>
        <w:tc>
          <w:tcPr>
            <w:tcW w:w="1331" w:type="dxa"/>
            <w:noWrap w:val="0"/>
            <w:vAlign w:val="center"/>
          </w:tcPr>
          <w:p>
            <w:pPr>
              <w:tabs>
                <w:tab w:val="left" w:pos="1620"/>
              </w:tabs>
              <w:spacing w:line="240" w:lineRule="auto"/>
              <w:jc w:val="center"/>
              <w:rPr>
                <w:rFonts w:hint="eastAsia" w:ascii="宋体" w:hAnsi="宋体" w:eastAsia="宋体" w:cs="宋体"/>
                <w:color w:val="auto"/>
                <w:sz w:val="18"/>
                <w:szCs w:val="18"/>
                <w:highlight w:val="none"/>
              </w:rPr>
            </w:pPr>
          </w:p>
        </w:tc>
        <w:tc>
          <w:tcPr>
            <w:tcW w:w="1597" w:type="dxa"/>
            <w:vMerge w:val="continue"/>
            <w:noWrap w:val="0"/>
            <w:vAlign w:val="center"/>
          </w:tcPr>
          <w:p>
            <w:pPr>
              <w:tabs>
                <w:tab w:val="left" w:pos="1620"/>
              </w:tabs>
              <w:spacing w:line="240" w:lineRule="auto"/>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1" w:type="dxa"/>
            <w:vMerge w:val="continue"/>
            <w:noWrap w:val="0"/>
            <w:vAlign w:val="center"/>
          </w:tcPr>
          <w:p>
            <w:pPr>
              <w:tabs>
                <w:tab w:val="left" w:pos="1620"/>
              </w:tabs>
              <w:spacing w:line="240" w:lineRule="auto"/>
              <w:jc w:val="center"/>
              <w:rPr>
                <w:rFonts w:hint="eastAsia" w:ascii="宋体" w:hAnsi="宋体" w:eastAsia="宋体" w:cs="宋体"/>
                <w:color w:val="auto"/>
                <w:sz w:val="18"/>
                <w:szCs w:val="18"/>
                <w:highlight w:val="none"/>
              </w:rPr>
            </w:pPr>
          </w:p>
        </w:tc>
        <w:tc>
          <w:tcPr>
            <w:tcW w:w="600" w:type="dxa"/>
            <w:vMerge w:val="continue"/>
            <w:noWrap w:val="0"/>
            <w:vAlign w:val="center"/>
          </w:tcPr>
          <w:p>
            <w:pPr>
              <w:tabs>
                <w:tab w:val="left" w:pos="1050"/>
                <w:tab w:val="left" w:pos="1260"/>
                <w:tab w:val="left" w:pos="1620"/>
              </w:tabs>
              <w:spacing w:line="240" w:lineRule="auto"/>
              <w:ind w:right="-107" w:rightChars="-51"/>
              <w:jc w:val="center"/>
              <w:rPr>
                <w:rFonts w:hint="eastAsia" w:ascii="宋体" w:hAnsi="宋体" w:eastAsia="宋体" w:cs="宋体"/>
                <w:color w:val="auto"/>
                <w:sz w:val="18"/>
                <w:szCs w:val="18"/>
                <w:highlight w:val="none"/>
              </w:rPr>
            </w:pPr>
          </w:p>
        </w:tc>
        <w:tc>
          <w:tcPr>
            <w:tcW w:w="1938" w:type="dxa"/>
            <w:gridSpan w:val="2"/>
            <w:noWrap w:val="0"/>
            <w:vAlign w:val="center"/>
          </w:tcPr>
          <w:p>
            <w:pPr>
              <w:tabs>
                <w:tab w:val="left" w:pos="1620"/>
              </w:tabs>
              <w:spacing w:line="240" w:lineRule="auto"/>
              <w:ind w:left="-107" w:leftChars="-51" w:right="-107" w:rightChars="-51"/>
              <w:jc w:val="center"/>
              <w:rPr>
                <w:rFonts w:hint="eastAsia" w:ascii="宋体" w:hAnsi="宋体" w:eastAsia="宋体" w:cs="宋体"/>
                <w:snapToGrid w:val="0"/>
                <w:color w:val="auto"/>
                <w:sz w:val="18"/>
                <w:szCs w:val="18"/>
                <w:highlight w:val="none"/>
              </w:rPr>
            </w:pPr>
            <w:r>
              <w:rPr>
                <w:rFonts w:hint="eastAsia" w:ascii="宋体" w:hAnsi="宋体" w:eastAsia="宋体" w:cs="宋体"/>
                <w:snapToGrid w:val="0"/>
                <w:color w:val="auto"/>
                <w:sz w:val="18"/>
                <w:szCs w:val="18"/>
                <w:highlight w:val="none"/>
              </w:rPr>
              <w:t>员工社会保险</w:t>
            </w:r>
          </w:p>
        </w:tc>
        <w:tc>
          <w:tcPr>
            <w:tcW w:w="1250" w:type="dxa"/>
            <w:noWrap w:val="0"/>
            <w:vAlign w:val="center"/>
          </w:tcPr>
          <w:p>
            <w:pPr>
              <w:tabs>
                <w:tab w:val="left" w:pos="1620"/>
              </w:tabs>
              <w:spacing w:line="240" w:lineRule="auto"/>
              <w:jc w:val="center"/>
              <w:rPr>
                <w:rFonts w:hint="eastAsia" w:ascii="宋体" w:hAnsi="宋体" w:eastAsia="宋体" w:cs="宋体"/>
                <w:color w:val="auto"/>
                <w:sz w:val="18"/>
                <w:szCs w:val="18"/>
                <w:highlight w:val="none"/>
              </w:rPr>
            </w:pPr>
          </w:p>
        </w:tc>
        <w:tc>
          <w:tcPr>
            <w:tcW w:w="1558" w:type="dxa"/>
            <w:noWrap w:val="0"/>
            <w:vAlign w:val="center"/>
          </w:tcPr>
          <w:p>
            <w:pPr>
              <w:tabs>
                <w:tab w:val="left" w:pos="1620"/>
              </w:tabs>
              <w:spacing w:line="240" w:lineRule="auto"/>
              <w:jc w:val="center"/>
              <w:rPr>
                <w:rFonts w:hint="eastAsia" w:ascii="宋体" w:hAnsi="宋体" w:eastAsia="宋体" w:cs="宋体"/>
                <w:color w:val="auto"/>
                <w:sz w:val="18"/>
                <w:szCs w:val="18"/>
                <w:highlight w:val="none"/>
              </w:rPr>
            </w:pPr>
          </w:p>
        </w:tc>
        <w:tc>
          <w:tcPr>
            <w:tcW w:w="1331" w:type="dxa"/>
            <w:noWrap w:val="0"/>
            <w:vAlign w:val="center"/>
          </w:tcPr>
          <w:p>
            <w:pPr>
              <w:tabs>
                <w:tab w:val="left" w:pos="1620"/>
              </w:tabs>
              <w:spacing w:line="240" w:lineRule="auto"/>
              <w:jc w:val="center"/>
              <w:rPr>
                <w:rFonts w:hint="eastAsia" w:ascii="宋体" w:hAnsi="宋体" w:eastAsia="宋体" w:cs="宋体"/>
                <w:color w:val="auto"/>
                <w:sz w:val="18"/>
                <w:szCs w:val="18"/>
                <w:highlight w:val="none"/>
              </w:rPr>
            </w:pPr>
          </w:p>
        </w:tc>
        <w:tc>
          <w:tcPr>
            <w:tcW w:w="1597" w:type="dxa"/>
            <w:noWrap w:val="0"/>
            <w:vAlign w:val="center"/>
          </w:tcPr>
          <w:p>
            <w:pPr>
              <w:tabs>
                <w:tab w:val="left" w:pos="1620"/>
              </w:tabs>
              <w:spacing w:line="240" w:lineRule="auto"/>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1" w:type="dxa"/>
            <w:vMerge w:val="continue"/>
            <w:noWrap w:val="0"/>
            <w:vAlign w:val="center"/>
          </w:tcPr>
          <w:p>
            <w:pPr>
              <w:tabs>
                <w:tab w:val="left" w:pos="1620"/>
              </w:tabs>
              <w:spacing w:line="240" w:lineRule="auto"/>
              <w:jc w:val="center"/>
              <w:rPr>
                <w:rFonts w:hint="eastAsia" w:ascii="宋体" w:hAnsi="宋体" w:eastAsia="宋体" w:cs="宋体"/>
                <w:color w:val="auto"/>
                <w:sz w:val="18"/>
                <w:szCs w:val="18"/>
                <w:highlight w:val="none"/>
              </w:rPr>
            </w:pPr>
          </w:p>
        </w:tc>
        <w:tc>
          <w:tcPr>
            <w:tcW w:w="600" w:type="dxa"/>
            <w:vMerge w:val="continue"/>
            <w:noWrap w:val="0"/>
            <w:vAlign w:val="center"/>
          </w:tcPr>
          <w:p>
            <w:pPr>
              <w:tabs>
                <w:tab w:val="left" w:pos="1050"/>
                <w:tab w:val="left" w:pos="1260"/>
                <w:tab w:val="left" w:pos="1620"/>
              </w:tabs>
              <w:spacing w:line="240" w:lineRule="auto"/>
              <w:ind w:right="-107" w:rightChars="-51"/>
              <w:jc w:val="center"/>
              <w:rPr>
                <w:rFonts w:hint="eastAsia" w:ascii="宋体" w:hAnsi="宋体" w:eastAsia="宋体" w:cs="宋体"/>
                <w:color w:val="auto"/>
                <w:sz w:val="18"/>
                <w:szCs w:val="18"/>
                <w:highlight w:val="none"/>
              </w:rPr>
            </w:pPr>
          </w:p>
        </w:tc>
        <w:tc>
          <w:tcPr>
            <w:tcW w:w="1938" w:type="dxa"/>
            <w:gridSpan w:val="2"/>
            <w:noWrap w:val="0"/>
            <w:vAlign w:val="center"/>
          </w:tcPr>
          <w:p>
            <w:pPr>
              <w:tabs>
                <w:tab w:val="left" w:pos="1620"/>
              </w:tabs>
              <w:spacing w:line="240" w:lineRule="auto"/>
              <w:ind w:left="-107" w:leftChars="-51" w:right="-107" w:rightChars="-51"/>
              <w:jc w:val="center"/>
              <w:rPr>
                <w:rFonts w:hint="eastAsia" w:ascii="宋体" w:hAnsi="宋体" w:eastAsia="宋体" w:cs="宋体"/>
                <w:snapToGrid w:val="0"/>
                <w:color w:val="auto"/>
                <w:sz w:val="18"/>
                <w:szCs w:val="18"/>
                <w:highlight w:val="none"/>
              </w:rPr>
            </w:pPr>
            <w:r>
              <w:rPr>
                <w:rFonts w:hint="eastAsia" w:ascii="宋体" w:hAnsi="宋体" w:eastAsia="宋体" w:cs="宋体"/>
                <w:snapToGrid w:val="0"/>
                <w:color w:val="auto"/>
                <w:sz w:val="18"/>
                <w:szCs w:val="18"/>
                <w:highlight w:val="none"/>
              </w:rPr>
              <w:t>节假日补贴</w:t>
            </w:r>
          </w:p>
        </w:tc>
        <w:tc>
          <w:tcPr>
            <w:tcW w:w="1250" w:type="dxa"/>
            <w:noWrap w:val="0"/>
            <w:vAlign w:val="center"/>
          </w:tcPr>
          <w:p>
            <w:pPr>
              <w:tabs>
                <w:tab w:val="left" w:pos="1620"/>
              </w:tabs>
              <w:spacing w:line="240" w:lineRule="auto"/>
              <w:jc w:val="center"/>
              <w:rPr>
                <w:rFonts w:hint="eastAsia" w:ascii="宋体" w:hAnsi="宋体" w:eastAsia="宋体" w:cs="宋体"/>
                <w:color w:val="auto"/>
                <w:sz w:val="18"/>
                <w:szCs w:val="18"/>
                <w:highlight w:val="none"/>
              </w:rPr>
            </w:pPr>
          </w:p>
        </w:tc>
        <w:tc>
          <w:tcPr>
            <w:tcW w:w="1558" w:type="dxa"/>
            <w:noWrap w:val="0"/>
            <w:vAlign w:val="center"/>
          </w:tcPr>
          <w:p>
            <w:pPr>
              <w:tabs>
                <w:tab w:val="left" w:pos="1620"/>
              </w:tabs>
              <w:spacing w:line="240" w:lineRule="auto"/>
              <w:jc w:val="center"/>
              <w:rPr>
                <w:rFonts w:hint="eastAsia" w:ascii="宋体" w:hAnsi="宋体" w:eastAsia="宋体" w:cs="宋体"/>
                <w:color w:val="auto"/>
                <w:sz w:val="18"/>
                <w:szCs w:val="18"/>
                <w:highlight w:val="none"/>
              </w:rPr>
            </w:pPr>
          </w:p>
        </w:tc>
        <w:tc>
          <w:tcPr>
            <w:tcW w:w="1331" w:type="dxa"/>
            <w:noWrap w:val="0"/>
            <w:vAlign w:val="center"/>
          </w:tcPr>
          <w:p>
            <w:pPr>
              <w:tabs>
                <w:tab w:val="left" w:pos="1620"/>
              </w:tabs>
              <w:spacing w:line="240" w:lineRule="auto"/>
              <w:jc w:val="center"/>
              <w:rPr>
                <w:rFonts w:hint="eastAsia" w:ascii="宋体" w:hAnsi="宋体" w:eastAsia="宋体" w:cs="宋体"/>
                <w:color w:val="auto"/>
                <w:sz w:val="18"/>
                <w:szCs w:val="18"/>
                <w:highlight w:val="none"/>
              </w:rPr>
            </w:pPr>
          </w:p>
        </w:tc>
        <w:tc>
          <w:tcPr>
            <w:tcW w:w="1597" w:type="dxa"/>
            <w:noWrap w:val="0"/>
            <w:vAlign w:val="center"/>
          </w:tcPr>
          <w:p>
            <w:pPr>
              <w:tabs>
                <w:tab w:val="left" w:pos="1620"/>
              </w:tabs>
              <w:spacing w:line="240" w:lineRule="auto"/>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1" w:type="dxa"/>
            <w:vMerge w:val="continue"/>
            <w:noWrap w:val="0"/>
            <w:vAlign w:val="center"/>
          </w:tcPr>
          <w:p>
            <w:pPr>
              <w:tabs>
                <w:tab w:val="left" w:pos="1620"/>
              </w:tabs>
              <w:spacing w:line="240" w:lineRule="auto"/>
              <w:jc w:val="center"/>
              <w:rPr>
                <w:rFonts w:hint="eastAsia" w:ascii="宋体" w:hAnsi="宋体" w:eastAsia="宋体" w:cs="宋体"/>
                <w:color w:val="auto"/>
                <w:sz w:val="18"/>
                <w:szCs w:val="18"/>
                <w:highlight w:val="none"/>
              </w:rPr>
            </w:pPr>
          </w:p>
        </w:tc>
        <w:tc>
          <w:tcPr>
            <w:tcW w:w="600" w:type="dxa"/>
            <w:vMerge w:val="continue"/>
            <w:noWrap w:val="0"/>
            <w:vAlign w:val="center"/>
          </w:tcPr>
          <w:p>
            <w:pPr>
              <w:tabs>
                <w:tab w:val="left" w:pos="1050"/>
                <w:tab w:val="left" w:pos="1260"/>
                <w:tab w:val="left" w:pos="1620"/>
              </w:tabs>
              <w:spacing w:line="240" w:lineRule="auto"/>
              <w:ind w:right="-107" w:rightChars="-51"/>
              <w:jc w:val="center"/>
              <w:rPr>
                <w:rFonts w:hint="eastAsia" w:ascii="宋体" w:hAnsi="宋体" w:eastAsia="宋体" w:cs="宋体"/>
                <w:color w:val="auto"/>
                <w:sz w:val="18"/>
                <w:szCs w:val="18"/>
                <w:highlight w:val="none"/>
              </w:rPr>
            </w:pPr>
          </w:p>
        </w:tc>
        <w:tc>
          <w:tcPr>
            <w:tcW w:w="1938" w:type="dxa"/>
            <w:gridSpan w:val="2"/>
            <w:noWrap w:val="0"/>
            <w:vAlign w:val="center"/>
          </w:tcPr>
          <w:p>
            <w:pPr>
              <w:tabs>
                <w:tab w:val="left" w:pos="1620"/>
              </w:tabs>
              <w:spacing w:line="240" w:lineRule="auto"/>
              <w:ind w:left="-107" w:leftChars="-51" w:right="-107" w:rightChars="-51"/>
              <w:jc w:val="center"/>
              <w:rPr>
                <w:rFonts w:hint="eastAsia" w:ascii="宋体" w:hAnsi="宋体" w:eastAsia="宋体" w:cs="宋体"/>
                <w:snapToGrid w:val="0"/>
                <w:color w:val="auto"/>
                <w:sz w:val="18"/>
                <w:szCs w:val="18"/>
                <w:highlight w:val="none"/>
              </w:rPr>
            </w:pPr>
            <w:r>
              <w:rPr>
                <w:rFonts w:hint="eastAsia" w:ascii="宋体" w:hAnsi="宋体" w:eastAsia="宋体" w:cs="宋体"/>
                <w:snapToGrid w:val="0"/>
                <w:color w:val="auto"/>
                <w:sz w:val="18"/>
                <w:szCs w:val="18"/>
                <w:highlight w:val="none"/>
              </w:rPr>
              <w:t>餐费</w:t>
            </w:r>
          </w:p>
        </w:tc>
        <w:tc>
          <w:tcPr>
            <w:tcW w:w="1250" w:type="dxa"/>
            <w:noWrap w:val="0"/>
            <w:vAlign w:val="center"/>
          </w:tcPr>
          <w:p>
            <w:pPr>
              <w:tabs>
                <w:tab w:val="left" w:pos="1620"/>
              </w:tabs>
              <w:spacing w:line="240" w:lineRule="auto"/>
              <w:jc w:val="center"/>
              <w:rPr>
                <w:rFonts w:hint="eastAsia" w:ascii="宋体" w:hAnsi="宋体" w:eastAsia="宋体" w:cs="宋体"/>
                <w:color w:val="auto"/>
                <w:sz w:val="18"/>
                <w:szCs w:val="18"/>
                <w:highlight w:val="none"/>
              </w:rPr>
            </w:pPr>
          </w:p>
        </w:tc>
        <w:tc>
          <w:tcPr>
            <w:tcW w:w="1558" w:type="dxa"/>
            <w:noWrap w:val="0"/>
            <w:vAlign w:val="center"/>
          </w:tcPr>
          <w:p>
            <w:pPr>
              <w:tabs>
                <w:tab w:val="left" w:pos="1620"/>
              </w:tabs>
              <w:spacing w:line="240" w:lineRule="auto"/>
              <w:jc w:val="center"/>
              <w:rPr>
                <w:rFonts w:hint="eastAsia" w:ascii="宋体" w:hAnsi="宋体" w:eastAsia="宋体" w:cs="宋体"/>
                <w:color w:val="auto"/>
                <w:sz w:val="18"/>
                <w:szCs w:val="18"/>
                <w:highlight w:val="none"/>
              </w:rPr>
            </w:pPr>
          </w:p>
        </w:tc>
        <w:tc>
          <w:tcPr>
            <w:tcW w:w="1331" w:type="dxa"/>
            <w:noWrap w:val="0"/>
            <w:vAlign w:val="center"/>
          </w:tcPr>
          <w:p>
            <w:pPr>
              <w:tabs>
                <w:tab w:val="left" w:pos="1620"/>
              </w:tabs>
              <w:spacing w:line="240" w:lineRule="auto"/>
              <w:jc w:val="center"/>
              <w:rPr>
                <w:rFonts w:hint="eastAsia" w:ascii="宋体" w:hAnsi="宋体" w:eastAsia="宋体" w:cs="宋体"/>
                <w:color w:val="auto"/>
                <w:sz w:val="18"/>
                <w:szCs w:val="18"/>
                <w:highlight w:val="none"/>
              </w:rPr>
            </w:pPr>
          </w:p>
        </w:tc>
        <w:tc>
          <w:tcPr>
            <w:tcW w:w="1597" w:type="dxa"/>
            <w:noWrap w:val="0"/>
            <w:vAlign w:val="center"/>
          </w:tcPr>
          <w:p>
            <w:pPr>
              <w:tabs>
                <w:tab w:val="left" w:pos="1620"/>
              </w:tabs>
              <w:spacing w:line="240" w:lineRule="auto"/>
              <w:rPr>
                <w:rFonts w:hint="eastAsia" w:ascii="宋体" w:hAnsi="宋体" w:eastAsia="宋体" w:cs="宋体"/>
                <w:b/>
                <w:color w:val="auto"/>
                <w:spacing w:val="-20"/>
                <w:sz w:val="18"/>
                <w:szCs w:val="18"/>
                <w:highlight w:val="none"/>
                <w:u w:val="single"/>
              </w:rPr>
            </w:pPr>
            <w:r>
              <w:rPr>
                <w:rFonts w:hint="eastAsia" w:ascii="宋体" w:hAnsi="宋体" w:eastAsia="宋体" w:cs="宋体"/>
                <w:b/>
                <w:color w:val="auto"/>
                <w:spacing w:val="-20"/>
                <w:sz w:val="18"/>
                <w:szCs w:val="18"/>
                <w:highlight w:val="none"/>
                <w:u w:val="single"/>
              </w:rPr>
              <w:t>▲每人每月500元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1" w:type="dxa"/>
            <w:vMerge w:val="continue"/>
            <w:noWrap w:val="0"/>
            <w:vAlign w:val="center"/>
          </w:tcPr>
          <w:p>
            <w:pPr>
              <w:tabs>
                <w:tab w:val="left" w:pos="1620"/>
              </w:tabs>
              <w:spacing w:line="240" w:lineRule="auto"/>
              <w:jc w:val="center"/>
              <w:rPr>
                <w:rFonts w:hint="eastAsia" w:ascii="宋体" w:hAnsi="宋体" w:eastAsia="宋体" w:cs="宋体"/>
                <w:color w:val="auto"/>
                <w:sz w:val="18"/>
                <w:szCs w:val="18"/>
                <w:highlight w:val="none"/>
              </w:rPr>
            </w:pPr>
          </w:p>
        </w:tc>
        <w:tc>
          <w:tcPr>
            <w:tcW w:w="600" w:type="dxa"/>
            <w:vMerge w:val="continue"/>
            <w:noWrap w:val="0"/>
            <w:vAlign w:val="center"/>
          </w:tcPr>
          <w:p>
            <w:pPr>
              <w:tabs>
                <w:tab w:val="left" w:pos="1050"/>
                <w:tab w:val="left" w:pos="1260"/>
                <w:tab w:val="left" w:pos="1620"/>
              </w:tabs>
              <w:spacing w:line="240" w:lineRule="auto"/>
              <w:ind w:right="-107" w:rightChars="-51"/>
              <w:jc w:val="center"/>
              <w:rPr>
                <w:rFonts w:hint="eastAsia" w:ascii="宋体" w:hAnsi="宋体" w:eastAsia="宋体" w:cs="宋体"/>
                <w:color w:val="auto"/>
                <w:sz w:val="18"/>
                <w:szCs w:val="18"/>
                <w:highlight w:val="none"/>
              </w:rPr>
            </w:pPr>
          </w:p>
        </w:tc>
        <w:tc>
          <w:tcPr>
            <w:tcW w:w="1938" w:type="dxa"/>
            <w:gridSpan w:val="2"/>
            <w:noWrap w:val="0"/>
            <w:vAlign w:val="center"/>
          </w:tcPr>
          <w:p>
            <w:pPr>
              <w:tabs>
                <w:tab w:val="left" w:pos="1620"/>
              </w:tabs>
              <w:spacing w:line="240" w:lineRule="auto"/>
              <w:ind w:left="-107" w:leftChars="-51" w:right="-107" w:rightChars="-51"/>
              <w:jc w:val="center"/>
              <w:rPr>
                <w:rFonts w:hint="eastAsia" w:ascii="宋体" w:hAnsi="宋体" w:eastAsia="宋体" w:cs="宋体"/>
                <w:snapToGrid w:val="0"/>
                <w:color w:val="auto"/>
                <w:sz w:val="18"/>
                <w:szCs w:val="18"/>
                <w:highlight w:val="none"/>
              </w:rPr>
            </w:pPr>
            <w:r>
              <w:rPr>
                <w:rFonts w:hint="eastAsia" w:ascii="宋体" w:hAnsi="宋体" w:eastAsia="宋体" w:cs="宋体"/>
                <w:snapToGrid w:val="0"/>
                <w:color w:val="auto"/>
                <w:sz w:val="18"/>
                <w:szCs w:val="18"/>
                <w:highlight w:val="none"/>
              </w:rPr>
              <w:t>高温补贴</w:t>
            </w:r>
          </w:p>
        </w:tc>
        <w:tc>
          <w:tcPr>
            <w:tcW w:w="1250" w:type="dxa"/>
            <w:noWrap w:val="0"/>
            <w:vAlign w:val="center"/>
          </w:tcPr>
          <w:p>
            <w:pPr>
              <w:tabs>
                <w:tab w:val="left" w:pos="1620"/>
              </w:tabs>
              <w:spacing w:line="240" w:lineRule="auto"/>
              <w:jc w:val="center"/>
              <w:rPr>
                <w:rFonts w:hint="eastAsia" w:ascii="宋体" w:hAnsi="宋体" w:eastAsia="宋体" w:cs="宋体"/>
                <w:color w:val="auto"/>
                <w:sz w:val="18"/>
                <w:szCs w:val="18"/>
                <w:highlight w:val="none"/>
              </w:rPr>
            </w:pPr>
          </w:p>
        </w:tc>
        <w:tc>
          <w:tcPr>
            <w:tcW w:w="1558" w:type="dxa"/>
            <w:noWrap w:val="0"/>
            <w:vAlign w:val="center"/>
          </w:tcPr>
          <w:p>
            <w:pPr>
              <w:tabs>
                <w:tab w:val="left" w:pos="1620"/>
              </w:tabs>
              <w:spacing w:line="240" w:lineRule="auto"/>
              <w:jc w:val="center"/>
              <w:rPr>
                <w:rFonts w:hint="eastAsia" w:ascii="宋体" w:hAnsi="宋体" w:eastAsia="宋体" w:cs="宋体"/>
                <w:color w:val="auto"/>
                <w:sz w:val="18"/>
                <w:szCs w:val="18"/>
                <w:highlight w:val="none"/>
              </w:rPr>
            </w:pPr>
          </w:p>
        </w:tc>
        <w:tc>
          <w:tcPr>
            <w:tcW w:w="1331" w:type="dxa"/>
            <w:noWrap w:val="0"/>
            <w:vAlign w:val="center"/>
          </w:tcPr>
          <w:p>
            <w:pPr>
              <w:tabs>
                <w:tab w:val="left" w:pos="1620"/>
              </w:tabs>
              <w:spacing w:line="240" w:lineRule="auto"/>
              <w:jc w:val="center"/>
              <w:rPr>
                <w:rFonts w:hint="eastAsia" w:ascii="宋体" w:hAnsi="宋体" w:eastAsia="宋体" w:cs="宋体"/>
                <w:color w:val="auto"/>
                <w:sz w:val="18"/>
                <w:szCs w:val="18"/>
                <w:highlight w:val="none"/>
              </w:rPr>
            </w:pPr>
          </w:p>
        </w:tc>
        <w:tc>
          <w:tcPr>
            <w:tcW w:w="1597" w:type="dxa"/>
            <w:noWrap w:val="0"/>
            <w:vAlign w:val="center"/>
          </w:tcPr>
          <w:p>
            <w:pPr>
              <w:tabs>
                <w:tab w:val="left" w:pos="1620"/>
              </w:tabs>
              <w:spacing w:line="240" w:lineRule="auto"/>
              <w:rPr>
                <w:rFonts w:hint="eastAsia" w:ascii="宋体" w:hAnsi="宋体" w:eastAsia="宋体" w:cs="宋体"/>
                <w:color w:val="auto"/>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1" w:type="dxa"/>
            <w:vMerge w:val="continue"/>
            <w:noWrap w:val="0"/>
            <w:vAlign w:val="center"/>
          </w:tcPr>
          <w:p>
            <w:pPr>
              <w:tabs>
                <w:tab w:val="left" w:pos="1620"/>
              </w:tabs>
              <w:spacing w:line="240" w:lineRule="auto"/>
              <w:jc w:val="center"/>
              <w:rPr>
                <w:rFonts w:hint="eastAsia" w:ascii="宋体" w:hAnsi="宋体" w:eastAsia="宋体" w:cs="宋体"/>
                <w:color w:val="auto"/>
                <w:sz w:val="18"/>
                <w:szCs w:val="18"/>
                <w:highlight w:val="none"/>
              </w:rPr>
            </w:pPr>
          </w:p>
        </w:tc>
        <w:tc>
          <w:tcPr>
            <w:tcW w:w="600" w:type="dxa"/>
            <w:vMerge w:val="continue"/>
            <w:noWrap w:val="0"/>
            <w:vAlign w:val="center"/>
          </w:tcPr>
          <w:p>
            <w:pPr>
              <w:tabs>
                <w:tab w:val="left" w:pos="1620"/>
              </w:tabs>
              <w:spacing w:line="240" w:lineRule="auto"/>
              <w:ind w:right="-107" w:rightChars="-51"/>
              <w:jc w:val="center"/>
              <w:rPr>
                <w:rFonts w:hint="eastAsia" w:ascii="宋体" w:hAnsi="宋体" w:eastAsia="宋体" w:cs="宋体"/>
                <w:color w:val="auto"/>
                <w:sz w:val="18"/>
                <w:szCs w:val="18"/>
                <w:highlight w:val="none"/>
              </w:rPr>
            </w:pPr>
          </w:p>
        </w:tc>
        <w:tc>
          <w:tcPr>
            <w:tcW w:w="1938" w:type="dxa"/>
            <w:gridSpan w:val="2"/>
            <w:noWrap w:val="0"/>
            <w:vAlign w:val="center"/>
          </w:tcPr>
          <w:p>
            <w:pPr>
              <w:tabs>
                <w:tab w:val="left" w:pos="1620"/>
              </w:tabs>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其他津贴（包括加班费、制服、等）</w:t>
            </w:r>
          </w:p>
        </w:tc>
        <w:tc>
          <w:tcPr>
            <w:tcW w:w="1250" w:type="dxa"/>
            <w:noWrap w:val="0"/>
            <w:vAlign w:val="center"/>
          </w:tcPr>
          <w:p>
            <w:pPr>
              <w:tabs>
                <w:tab w:val="left" w:pos="1620"/>
              </w:tabs>
              <w:spacing w:line="240" w:lineRule="auto"/>
              <w:jc w:val="center"/>
              <w:rPr>
                <w:rFonts w:hint="eastAsia" w:ascii="宋体" w:hAnsi="宋体" w:eastAsia="宋体" w:cs="宋体"/>
                <w:color w:val="auto"/>
                <w:sz w:val="18"/>
                <w:szCs w:val="18"/>
                <w:highlight w:val="none"/>
              </w:rPr>
            </w:pPr>
          </w:p>
        </w:tc>
        <w:tc>
          <w:tcPr>
            <w:tcW w:w="1558" w:type="dxa"/>
            <w:noWrap w:val="0"/>
            <w:vAlign w:val="center"/>
          </w:tcPr>
          <w:p>
            <w:pPr>
              <w:tabs>
                <w:tab w:val="left" w:pos="1620"/>
              </w:tabs>
              <w:spacing w:line="240" w:lineRule="auto"/>
              <w:jc w:val="center"/>
              <w:rPr>
                <w:rFonts w:hint="eastAsia" w:ascii="宋体" w:hAnsi="宋体" w:eastAsia="宋体" w:cs="宋体"/>
                <w:color w:val="auto"/>
                <w:sz w:val="18"/>
                <w:szCs w:val="18"/>
                <w:highlight w:val="none"/>
              </w:rPr>
            </w:pPr>
          </w:p>
        </w:tc>
        <w:tc>
          <w:tcPr>
            <w:tcW w:w="1331" w:type="dxa"/>
            <w:noWrap w:val="0"/>
            <w:vAlign w:val="center"/>
          </w:tcPr>
          <w:p>
            <w:pPr>
              <w:tabs>
                <w:tab w:val="left" w:pos="1620"/>
              </w:tabs>
              <w:spacing w:line="240" w:lineRule="auto"/>
              <w:jc w:val="center"/>
              <w:rPr>
                <w:rFonts w:hint="eastAsia" w:ascii="宋体" w:hAnsi="宋体" w:eastAsia="宋体" w:cs="宋体"/>
                <w:color w:val="auto"/>
                <w:sz w:val="18"/>
                <w:szCs w:val="18"/>
                <w:highlight w:val="none"/>
              </w:rPr>
            </w:pPr>
          </w:p>
        </w:tc>
        <w:tc>
          <w:tcPr>
            <w:tcW w:w="1597" w:type="dxa"/>
            <w:noWrap w:val="0"/>
            <w:vAlign w:val="center"/>
          </w:tcPr>
          <w:p>
            <w:pPr>
              <w:tabs>
                <w:tab w:val="left" w:pos="1620"/>
              </w:tabs>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可分别列出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1" w:type="dxa"/>
            <w:noWrap w:val="0"/>
            <w:vAlign w:val="center"/>
          </w:tcPr>
          <w:p>
            <w:pPr>
              <w:tabs>
                <w:tab w:val="left" w:pos="1620"/>
              </w:tabs>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2538" w:type="dxa"/>
            <w:gridSpan w:val="3"/>
            <w:noWrap w:val="0"/>
            <w:vAlign w:val="center"/>
          </w:tcPr>
          <w:p>
            <w:pPr>
              <w:tabs>
                <w:tab w:val="left" w:pos="1620"/>
              </w:tabs>
              <w:spacing w:line="240" w:lineRule="auto"/>
              <w:ind w:left="-107" w:leftChars="-51" w:right="-107" w:rightChars="-51"/>
              <w:jc w:val="center"/>
              <w:rPr>
                <w:rFonts w:hint="eastAsia" w:ascii="宋体" w:hAnsi="宋体" w:eastAsia="宋体" w:cs="宋体"/>
                <w:color w:val="auto"/>
                <w:sz w:val="18"/>
                <w:szCs w:val="18"/>
                <w:highlight w:val="none"/>
              </w:rPr>
            </w:pPr>
            <w:r>
              <w:rPr>
                <w:rFonts w:hint="eastAsia" w:ascii="宋体" w:hAnsi="宋体" w:eastAsia="宋体" w:cs="宋体"/>
                <w:color w:val="auto"/>
                <w:spacing w:val="-20"/>
                <w:sz w:val="18"/>
                <w:szCs w:val="18"/>
                <w:highlight w:val="none"/>
              </w:rPr>
              <w:t>临时增加人员费用</w:t>
            </w:r>
          </w:p>
        </w:tc>
        <w:tc>
          <w:tcPr>
            <w:tcW w:w="4139" w:type="dxa"/>
            <w:gridSpan w:val="3"/>
            <w:noWrap w:val="0"/>
            <w:vAlign w:val="center"/>
          </w:tcPr>
          <w:p>
            <w:pPr>
              <w:tabs>
                <w:tab w:val="left" w:pos="1620"/>
              </w:tabs>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b/>
                <w:color w:val="auto"/>
                <w:spacing w:val="-20"/>
                <w:sz w:val="18"/>
                <w:szCs w:val="18"/>
                <w:highlight w:val="none"/>
                <w:u w:val="single"/>
              </w:rPr>
              <w:t>▲</w:t>
            </w:r>
            <w:r>
              <w:rPr>
                <w:rFonts w:hint="eastAsia" w:ascii="宋体" w:hAnsi="宋体" w:eastAsia="宋体" w:cs="宋体"/>
                <w:b/>
                <w:color w:val="auto"/>
                <w:spacing w:val="-20"/>
                <w:sz w:val="18"/>
                <w:szCs w:val="18"/>
                <w:highlight w:val="none"/>
                <w:u w:val="single"/>
                <w:lang w:val="en-US" w:eastAsia="zh-CN"/>
              </w:rPr>
              <w:t>80000</w:t>
            </w:r>
            <w:r>
              <w:rPr>
                <w:rFonts w:hint="eastAsia" w:ascii="宋体" w:hAnsi="宋体" w:eastAsia="宋体" w:cs="宋体"/>
                <w:b/>
                <w:color w:val="auto"/>
                <w:spacing w:val="-20"/>
                <w:sz w:val="18"/>
                <w:szCs w:val="18"/>
                <w:highlight w:val="none"/>
                <w:u w:val="single"/>
              </w:rPr>
              <w:t>元</w:t>
            </w:r>
            <w:r>
              <w:rPr>
                <w:rFonts w:hint="eastAsia" w:ascii="宋体" w:hAnsi="宋体" w:eastAsia="宋体" w:cs="宋体"/>
                <w:b/>
                <w:color w:val="auto"/>
                <w:spacing w:val="-20"/>
                <w:sz w:val="18"/>
                <w:szCs w:val="18"/>
                <w:highlight w:val="none"/>
                <w:u w:val="single"/>
                <w:lang w:val="en-US" w:eastAsia="zh-CN"/>
              </w:rPr>
              <w:t>/年</w:t>
            </w:r>
          </w:p>
        </w:tc>
        <w:tc>
          <w:tcPr>
            <w:tcW w:w="1597" w:type="dxa"/>
            <w:noWrap w:val="0"/>
            <w:vAlign w:val="center"/>
          </w:tcPr>
          <w:p>
            <w:pPr>
              <w:tabs>
                <w:tab w:val="left" w:pos="1620"/>
              </w:tabs>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不可竞争费用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1" w:type="dxa"/>
            <w:noWrap w:val="0"/>
            <w:vAlign w:val="center"/>
          </w:tcPr>
          <w:p>
            <w:pPr>
              <w:tabs>
                <w:tab w:val="left" w:pos="1620"/>
              </w:tabs>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2538" w:type="dxa"/>
            <w:gridSpan w:val="3"/>
            <w:noWrap w:val="0"/>
            <w:vAlign w:val="center"/>
          </w:tcPr>
          <w:p>
            <w:pPr>
              <w:tabs>
                <w:tab w:val="left" w:pos="1620"/>
              </w:tabs>
              <w:spacing w:line="240" w:lineRule="auto"/>
              <w:ind w:left="-107" w:leftChars="-51" w:right="-107" w:rightChars="-51"/>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消防远程监控费</w:t>
            </w:r>
          </w:p>
        </w:tc>
        <w:tc>
          <w:tcPr>
            <w:tcW w:w="4139" w:type="dxa"/>
            <w:gridSpan w:val="3"/>
            <w:noWrap w:val="0"/>
            <w:vAlign w:val="center"/>
          </w:tcPr>
          <w:p>
            <w:pPr>
              <w:tabs>
                <w:tab w:val="left" w:pos="1620"/>
              </w:tabs>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u w:val="single"/>
              </w:rPr>
              <w:t xml:space="preserve">      </w:t>
            </w:r>
            <w:r>
              <w:rPr>
                <w:rFonts w:hint="eastAsia" w:ascii="宋体" w:hAnsi="宋体" w:eastAsia="宋体" w:cs="宋体"/>
                <w:color w:val="auto"/>
                <w:sz w:val="18"/>
                <w:szCs w:val="18"/>
                <w:highlight w:val="none"/>
              </w:rPr>
              <w:t>元/年</w:t>
            </w:r>
          </w:p>
        </w:tc>
        <w:tc>
          <w:tcPr>
            <w:tcW w:w="1597" w:type="dxa"/>
            <w:noWrap w:val="0"/>
            <w:vAlign w:val="center"/>
          </w:tcPr>
          <w:p>
            <w:pPr>
              <w:tabs>
                <w:tab w:val="left" w:pos="1620"/>
              </w:tabs>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需提供协议业主备案后支付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1" w:type="dxa"/>
            <w:noWrap w:val="0"/>
            <w:vAlign w:val="center"/>
          </w:tcPr>
          <w:p>
            <w:pPr>
              <w:tabs>
                <w:tab w:val="left" w:pos="1620"/>
              </w:tabs>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w:t>
            </w:r>
          </w:p>
        </w:tc>
        <w:tc>
          <w:tcPr>
            <w:tcW w:w="2538" w:type="dxa"/>
            <w:gridSpan w:val="3"/>
            <w:noWrap w:val="0"/>
            <w:vAlign w:val="center"/>
          </w:tcPr>
          <w:p>
            <w:pPr>
              <w:tabs>
                <w:tab w:val="left" w:pos="1620"/>
              </w:tabs>
              <w:spacing w:line="240" w:lineRule="auto"/>
              <w:ind w:left="-107" w:leftChars="-51" w:right="-107" w:rightChars="-51"/>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员工激励金</w:t>
            </w:r>
          </w:p>
        </w:tc>
        <w:tc>
          <w:tcPr>
            <w:tcW w:w="4139" w:type="dxa"/>
            <w:gridSpan w:val="3"/>
            <w:noWrap w:val="0"/>
            <w:vAlign w:val="center"/>
          </w:tcPr>
          <w:p>
            <w:pPr>
              <w:tabs>
                <w:tab w:val="left" w:pos="1620"/>
              </w:tabs>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b/>
                <w:color w:val="auto"/>
                <w:spacing w:val="-20"/>
                <w:sz w:val="18"/>
                <w:szCs w:val="18"/>
                <w:highlight w:val="none"/>
                <w:u w:val="single"/>
              </w:rPr>
              <w:t>▲</w:t>
            </w:r>
            <w:r>
              <w:rPr>
                <w:rFonts w:hint="eastAsia" w:ascii="宋体" w:hAnsi="宋体" w:eastAsia="宋体" w:cs="宋体"/>
                <w:b/>
                <w:color w:val="auto"/>
                <w:spacing w:val="-20"/>
                <w:sz w:val="18"/>
                <w:szCs w:val="18"/>
                <w:highlight w:val="none"/>
                <w:u w:val="single"/>
                <w:lang w:val="en-US" w:eastAsia="zh-CN"/>
              </w:rPr>
              <w:t>60000</w:t>
            </w:r>
            <w:r>
              <w:rPr>
                <w:rFonts w:hint="eastAsia" w:ascii="宋体" w:hAnsi="宋体" w:eastAsia="宋体" w:cs="宋体"/>
                <w:b/>
                <w:color w:val="auto"/>
                <w:spacing w:val="-20"/>
                <w:sz w:val="18"/>
                <w:szCs w:val="18"/>
                <w:highlight w:val="none"/>
                <w:u w:val="single"/>
              </w:rPr>
              <w:t>元</w:t>
            </w:r>
            <w:r>
              <w:rPr>
                <w:rFonts w:hint="eastAsia" w:ascii="宋体" w:hAnsi="宋体" w:eastAsia="宋体" w:cs="宋体"/>
                <w:b/>
                <w:color w:val="auto"/>
                <w:spacing w:val="-20"/>
                <w:sz w:val="18"/>
                <w:szCs w:val="18"/>
                <w:highlight w:val="none"/>
                <w:u w:val="single"/>
                <w:lang w:val="en-US" w:eastAsia="zh-CN"/>
              </w:rPr>
              <w:t>/年</w:t>
            </w:r>
          </w:p>
        </w:tc>
        <w:tc>
          <w:tcPr>
            <w:tcW w:w="1597" w:type="dxa"/>
            <w:noWrap w:val="0"/>
            <w:vAlign w:val="center"/>
          </w:tcPr>
          <w:p>
            <w:pPr>
              <w:tabs>
                <w:tab w:val="left" w:pos="1620"/>
              </w:tabs>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不可竞争费用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1" w:type="dxa"/>
            <w:noWrap w:val="0"/>
            <w:vAlign w:val="center"/>
          </w:tcPr>
          <w:p>
            <w:pPr>
              <w:tabs>
                <w:tab w:val="left" w:pos="1620"/>
              </w:tabs>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w:t>
            </w:r>
          </w:p>
        </w:tc>
        <w:tc>
          <w:tcPr>
            <w:tcW w:w="2538" w:type="dxa"/>
            <w:gridSpan w:val="3"/>
            <w:noWrap w:val="0"/>
            <w:vAlign w:val="center"/>
          </w:tcPr>
          <w:p>
            <w:pPr>
              <w:tabs>
                <w:tab w:val="left" w:pos="1620"/>
              </w:tabs>
              <w:spacing w:line="240" w:lineRule="auto"/>
              <w:ind w:left="-107" w:leftChars="-51" w:right="-107" w:rightChars="-51"/>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维修单价金额在50元以下维修费用</w:t>
            </w:r>
          </w:p>
        </w:tc>
        <w:tc>
          <w:tcPr>
            <w:tcW w:w="4139" w:type="dxa"/>
            <w:gridSpan w:val="3"/>
            <w:noWrap w:val="0"/>
            <w:vAlign w:val="center"/>
          </w:tcPr>
          <w:p>
            <w:pPr>
              <w:tabs>
                <w:tab w:val="left" w:pos="1620"/>
              </w:tabs>
              <w:spacing w:line="240" w:lineRule="auto"/>
              <w:jc w:val="center"/>
              <w:rPr>
                <w:rFonts w:hint="eastAsia" w:ascii="宋体" w:hAnsi="宋体" w:eastAsia="宋体" w:cs="宋体"/>
                <w:b/>
                <w:color w:val="auto"/>
                <w:spacing w:val="-20"/>
                <w:sz w:val="18"/>
                <w:szCs w:val="18"/>
                <w:highlight w:val="none"/>
                <w:u w:val="single"/>
              </w:rPr>
            </w:pPr>
            <w:r>
              <w:rPr>
                <w:rFonts w:hint="eastAsia" w:ascii="宋体" w:hAnsi="宋体" w:eastAsia="宋体" w:cs="宋体"/>
                <w:b/>
                <w:color w:val="auto"/>
                <w:spacing w:val="-20"/>
                <w:sz w:val="18"/>
                <w:szCs w:val="18"/>
                <w:highlight w:val="none"/>
                <w:u w:val="single"/>
              </w:rPr>
              <w:t>▲</w:t>
            </w:r>
            <w:r>
              <w:rPr>
                <w:rFonts w:hint="eastAsia" w:ascii="宋体" w:hAnsi="宋体" w:eastAsia="宋体" w:cs="宋体"/>
                <w:b/>
                <w:color w:val="auto"/>
                <w:spacing w:val="-20"/>
                <w:sz w:val="18"/>
                <w:szCs w:val="18"/>
                <w:highlight w:val="none"/>
                <w:u w:val="single"/>
                <w:lang w:val="en-US" w:eastAsia="zh-CN"/>
              </w:rPr>
              <w:t>40000</w:t>
            </w:r>
            <w:r>
              <w:rPr>
                <w:rFonts w:hint="eastAsia" w:ascii="宋体" w:hAnsi="宋体" w:eastAsia="宋体" w:cs="宋体"/>
                <w:b/>
                <w:color w:val="auto"/>
                <w:spacing w:val="-20"/>
                <w:sz w:val="18"/>
                <w:szCs w:val="18"/>
                <w:highlight w:val="none"/>
                <w:u w:val="single"/>
              </w:rPr>
              <w:t>元</w:t>
            </w:r>
            <w:r>
              <w:rPr>
                <w:rFonts w:hint="eastAsia" w:ascii="宋体" w:hAnsi="宋体" w:eastAsia="宋体" w:cs="宋体"/>
                <w:b/>
                <w:color w:val="auto"/>
                <w:spacing w:val="-20"/>
                <w:sz w:val="18"/>
                <w:szCs w:val="18"/>
                <w:highlight w:val="none"/>
                <w:u w:val="single"/>
                <w:lang w:val="en-US" w:eastAsia="zh-CN"/>
              </w:rPr>
              <w:t>/年</w:t>
            </w:r>
          </w:p>
        </w:tc>
        <w:tc>
          <w:tcPr>
            <w:tcW w:w="1597" w:type="dxa"/>
            <w:noWrap w:val="0"/>
            <w:vAlign w:val="center"/>
          </w:tcPr>
          <w:p>
            <w:pPr>
              <w:tabs>
                <w:tab w:val="left" w:pos="1620"/>
              </w:tabs>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不可竞争费用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1" w:type="dxa"/>
            <w:noWrap w:val="0"/>
            <w:vAlign w:val="center"/>
          </w:tcPr>
          <w:p>
            <w:pPr>
              <w:tabs>
                <w:tab w:val="left" w:pos="1620"/>
              </w:tabs>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w:t>
            </w:r>
          </w:p>
        </w:tc>
        <w:tc>
          <w:tcPr>
            <w:tcW w:w="2538" w:type="dxa"/>
            <w:gridSpan w:val="3"/>
            <w:noWrap w:val="0"/>
            <w:vAlign w:val="center"/>
          </w:tcPr>
          <w:p>
            <w:pPr>
              <w:tabs>
                <w:tab w:val="left" w:pos="1620"/>
              </w:tabs>
              <w:spacing w:line="240" w:lineRule="auto"/>
              <w:ind w:left="-107" w:leftChars="-51" w:right="-107" w:rightChars="-51"/>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其他</w:t>
            </w:r>
          </w:p>
        </w:tc>
        <w:tc>
          <w:tcPr>
            <w:tcW w:w="4139" w:type="dxa"/>
            <w:gridSpan w:val="3"/>
            <w:noWrap w:val="0"/>
            <w:vAlign w:val="center"/>
          </w:tcPr>
          <w:p>
            <w:pPr>
              <w:tabs>
                <w:tab w:val="left" w:pos="1620"/>
              </w:tabs>
              <w:spacing w:line="240" w:lineRule="auto"/>
              <w:jc w:val="center"/>
              <w:rPr>
                <w:rFonts w:hint="eastAsia" w:ascii="宋体" w:hAnsi="宋体" w:eastAsia="宋体" w:cs="宋体"/>
                <w:b/>
                <w:color w:val="auto"/>
                <w:spacing w:val="-20"/>
                <w:sz w:val="18"/>
                <w:szCs w:val="18"/>
                <w:highlight w:val="none"/>
                <w:u w:val="single"/>
              </w:rPr>
            </w:pPr>
          </w:p>
        </w:tc>
        <w:tc>
          <w:tcPr>
            <w:tcW w:w="1597" w:type="dxa"/>
            <w:noWrap w:val="0"/>
            <w:vAlign w:val="center"/>
          </w:tcPr>
          <w:p>
            <w:pPr>
              <w:tabs>
                <w:tab w:val="left" w:pos="1620"/>
              </w:tabs>
              <w:spacing w:line="240" w:lineRule="auto"/>
              <w:jc w:val="center"/>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1" w:type="dxa"/>
            <w:noWrap w:val="0"/>
            <w:vAlign w:val="center"/>
          </w:tcPr>
          <w:p>
            <w:pPr>
              <w:tabs>
                <w:tab w:val="left" w:pos="1620"/>
              </w:tabs>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7</w:t>
            </w:r>
          </w:p>
        </w:tc>
        <w:tc>
          <w:tcPr>
            <w:tcW w:w="2538" w:type="dxa"/>
            <w:gridSpan w:val="3"/>
            <w:noWrap w:val="0"/>
            <w:vAlign w:val="center"/>
          </w:tcPr>
          <w:p>
            <w:pPr>
              <w:tabs>
                <w:tab w:val="left" w:pos="1620"/>
              </w:tabs>
              <w:spacing w:line="240" w:lineRule="auto"/>
              <w:ind w:left="-107" w:leftChars="-51" w:right="-107" w:rightChars="-51"/>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税金</w:t>
            </w:r>
          </w:p>
        </w:tc>
        <w:tc>
          <w:tcPr>
            <w:tcW w:w="4139" w:type="dxa"/>
            <w:gridSpan w:val="3"/>
            <w:noWrap w:val="0"/>
            <w:vAlign w:val="center"/>
          </w:tcPr>
          <w:p>
            <w:pPr>
              <w:tabs>
                <w:tab w:val="left" w:pos="1620"/>
              </w:tabs>
              <w:spacing w:line="240" w:lineRule="auto"/>
              <w:jc w:val="center"/>
              <w:rPr>
                <w:rFonts w:hint="eastAsia" w:ascii="宋体" w:hAnsi="宋体" w:eastAsia="宋体" w:cs="宋体"/>
                <w:b/>
                <w:color w:val="auto"/>
                <w:spacing w:val="-20"/>
                <w:sz w:val="18"/>
                <w:szCs w:val="18"/>
                <w:highlight w:val="none"/>
                <w:u w:val="single"/>
                <w:lang w:val="en-US" w:eastAsia="zh-CN"/>
              </w:rPr>
            </w:pPr>
          </w:p>
        </w:tc>
        <w:tc>
          <w:tcPr>
            <w:tcW w:w="1597" w:type="dxa"/>
            <w:noWrap w:val="0"/>
            <w:vAlign w:val="center"/>
          </w:tcPr>
          <w:p>
            <w:pPr>
              <w:tabs>
                <w:tab w:val="left" w:pos="1620"/>
              </w:tabs>
              <w:spacing w:line="240" w:lineRule="auto"/>
              <w:jc w:val="center"/>
              <w:rPr>
                <w:rFonts w:hint="eastAsia" w:ascii="宋体" w:hAnsi="宋体" w:eastAsia="宋体" w:cs="宋体"/>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19" w:type="dxa"/>
            <w:gridSpan w:val="4"/>
            <w:noWrap w:val="0"/>
            <w:vAlign w:val="center"/>
          </w:tcPr>
          <w:p>
            <w:pPr>
              <w:tabs>
                <w:tab w:val="left" w:pos="1620"/>
              </w:tabs>
              <w:spacing w:line="240" w:lineRule="auto"/>
              <w:ind w:left="-107" w:leftChars="-51" w:right="-107" w:rightChars="-51"/>
              <w:jc w:val="center"/>
              <w:rPr>
                <w:rFonts w:hint="eastAsia" w:ascii="宋体" w:hAnsi="宋体" w:eastAsia="宋体" w:cs="宋体"/>
                <w:color w:val="auto"/>
                <w:sz w:val="18"/>
                <w:szCs w:val="18"/>
                <w:highlight w:val="none"/>
              </w:rPr>
            </w:pPr>
            <w:r>
              <w:rPr>
                <w:rFonts w:hint="eastAsia" w:ascii="宋体" w:hAnsi="宋体" w:eastAsia="宋体" w:cs="宋体"/>
                <w:b/>
                <w:color w:val="auto"/>
                <w:sz w:val="18"/>
                <w:szCs w:val="18"/>
                <w:highlight w:val="none"/>
              </w:rPr>
              <w:t>总计价（1+2+3+4+5</w:t>
            </w:r>
            <w:r>
              <w:rPr>
                <w:rFonts w:hint="eastAsia" w:ascii="宋体" w:hAnsi="宋体" w:eastAsia="宋体" w:cs="宋体"/>
                <w:b/>
                <w:color w:val="auto"/>
                <w:sz w:val="18"/>
                <w:szCs w:val="18"/>
                <w:highlight w:val="none"/>
                <w:lang w:val="en-US" w:eastAsia="zh-CN"/>
              </w:rPr>
              <w:t>+6+7+...</w:t>
            </w:r>
            <w:r>
              <w:rPr>
                <w:rFonts w:hint="eastAsia" w:ascii="宋体" w:hAnsi="宋体" w:eastAsia="宋体" w:cs="宋体"/>
                <w:b/>
                <w:color w:val="auto"/>
                <w:sz w:val="18"/>
                <w:szCs w:val="18"/>
                <w:highlight w:val="none"/>
              </w:rPr>
              <w:t>）</w:t>
            </w:r>
          </w:p>
        </w:tc>
        <w:tc>
          <w:tcPr>
            <w:tcW w:w="5736" w:type="dxa"/>
            <w:gridSpan w:val="4"/>
            <w:noWrap w:val="0"/>
            <w:vAlign w:val="center"/>
          </w:tcPr>
          <w:p>
            <w:pPr>
              <w:tabs>
                <w:tab w:val="left" w:pos="1620"/>
              </w:tabs>
              <w:spacing w:line="240" w:lineRule="auto"/>
              <w:jc w:val="center"/>
              <w:rPr>
                <w:rFonts w:hint="eastAsia" w:ascii="宋体" w:hAnsi="宋体" w:eastAsia="宋体" w:cs="宋体"/>
                <w:color w:val="auto"/>
                <w:sz w:val="18"/>
                <w:szCs w:val="18"/>
                <w:highlight w:val="none"/>
              </w:rPr>
            </w:pPr>
          </w:p>
        </w:tc>
      </w:tr>
    </w:tbl>
    <w:p>
      <w:pPr>
        <w:rPr>
          <w:rFonts w:hint="eastAsia" w:ascii="宋体" w:hAnsi="宋体" w:eastAsia="宋体" w:cs="宋体"/>
          <w:b/>
          <w:szCs w:val="21"/>
          <w:highlight w:val="none"/>
        </w:rPr>
      </w:pPr>
    </w:p>
    <w:p>
      <w:pPr>
        <w:rPr>
          <w:rFonts w:hint="eastAsia" w:ascii="宋体" w:hAnsi="宋体" w:eastAsia="宋体" w:cs="宋体"/>
          <w:b/>
          <w:szCs w:val="21"/>
          <w:highlight w:val="none"/>
          <w:lang w:val="en-US" w:eastAsia="zh-CN"/>
        </w:rPr>
      </w:pPr>
      <w:r>
        <w:rPr>
          <w:rFonts w:hint="eastAsia" w:ascii="宋体" w:hAnsi="宋体" w:eastAsia="宋体" w:cs="宋体"/>
          <w:b/>
          <w:szCs w:val="21"/>
          <w:highlight w:val="none"/>
        </w:rPr>
        <w:t>说明：</w:t>
      </w:r>
      <w:r>
        <w:rPr>
          <w:rFonts w:hint="eastAsia" w:ascii="宋体" w:hAnsi="宋体" w:eastAsia="宋体" w:cs="宋体"/>
          <w:b/>
          <w:szCs w:val="21"/>
          <w:highlight w:val="none"/>
          <w:lang w:val="en-US" w:eastAsia="zh-CN"/>
        </w:rPr>
        <w:t xml:space="preserve"> </w:t>
      </w:r>
    </w:p>
    <w:p>
      <w:pPr>
        <w:spacing w:line="240" w:lineRule="auto"/>
        <w:rPr>
          <w:rFonts w:hint="eastAsia" w:ascii="宋体" w:hAnsi="宋体" w:eastAsia="宋体" w:cs="宋体"/>
          <w:b/>
          <w:szCs w:val="21"/>
          <w:highlight w:val="none"/>
        </w:rPr>
      </w:pPr>
      <w:r>
        <w:rPr>
          <w:rFonts w:hint="eastAsia" w:ascii="宋体" w:hAnsi="宋体" w:eastAsia="宋体" w:cs="宋体"/>
          <w:b/>
          <w:szCs w:val="21"/>
          <w:highlight w:val="none"/>
        </w:rPr>
        <w:t>注：1、以上核算需符合相关法律、法规及采购文件规定。</w:t>
      </w:r>
    </w:p>
    <w:p>
      <w:pPr>
        <w:spacing w:line="240" w:lineRule="auto"/>
        <w:rPr>
          <w:rFonts w:hint="eastAsia" w:ascii="宋体" w:hAnsi="宋体" w:eastAsia="宋体" w:cs="宋体"/>
          <w:b/>
          <w:szCs w:val="21"/>
          <w:highlight w:val="none"/>
        </w:rPr>
      </w:pPr>
      <w:r>
        <w:rPr>
          <w:rFonts w:hint="eastAsia" w:ascii="宋体" w:hAnsi="宋体" w:eastAsia="宋体" w:cs="宋体"/>
          <w:b/>
          <w:szCs w:val="21"/>
          <w:highlight w:val="none"/>
        </w:rPr>
        <w:t>2、总计价应与附件二“开标一览表”中投标</w:t>
      </w:r>
      <w:r>
        <w:rPr>
          <w:rFonts w:hint="eastAsia" w:ascii="宋体" w:hAnsi="宋体" w:eastAsia="宋体" w:cs="宋体"/>
          <w:b/>
          <w:szCs w:val="21"/>
          <w:highlight w:val="none"/>
          <w:lang w:val="en-US" w:eastAsia="zh-CN"/>
        </w:rPr>
        <w:t>总报</w:t>
      </w:r>
      <w:r>
        <w:rPr>
          <w:rFonts w:hint="eastAsia" w:ascii="宋体" w:hAnsi="宋体" w:eastAsia="宋体" w:cs="宋体"/>
          <w:b/>
          <w:szCs w:val="21"/>
          <w:highlight w:val="none"/>
        </w:rPr>
        <w:t>价相一致。</w:t>
      </w:r>
    </w:p>
    <w:p>
      <w:pPr>
        <w:spacing w:line="240" w:lineRule="auto"/>
        <w:rPr>
          <w:rFonts w:hint="eastAsia" w:ascii="宋体" w:hAnsi="宋体" w:eastAsia="宋体" w:cs="宋体"/>
          <w:b/>
          <w:szCs w:val="21"/>
          <w:highlight w:val="none"/>
        </w:rPr>
      </w:pPr>
      <w:r>
        <w:rPr>
          <w:rFonts w:hint="eastAsia" w:ascii="宋体" w:hAnsi="宋体" w:eastAsia="宋体" w:cs="宋体"/>
          <w:b/>
          <w:szCs w:val="21"/>
          <w:highlight w:val="none"/>
        </w:rPr>
        <w:t>3、▲本表所列人员日常最低实付工资不得低于2800元/月。员工服装费、企业管理费及其他未列费用均为综合考虑。</w:t>
      </w:r>
    </w:p>
    <w:p>
      <w:pPr>
        <w:spacing w:line="240" w:lineRule="auto"/>
        <w:rPr>
          <w:rFonts w:hint="eastAsia" w:ascii="宋体" w:hAnsi="宋体" w:eastAsia="宋体" w:cs="宋体"/>
          <w:b/>
          <w:szCs w:val="21"/>
          <w:highlight w:val="none"/>
        </w:rPr>
      </w:pPr>
      <w:r>
        <w:rPr>
          <w:rFonts w:hint="eastAsia" w:ascii="宋体" w:hAnsi="宋体" w:eastAsia="宋体" w:cs="宋体"/>
          <w:b/>
          <w:szCs w:val="21"/>
          <w:highlight w:val="none"/>
        </w:rPr>
        <w:t>4、不提供详细分项报价将视为没有实质性响应采购文件。</w:t>
      </w:r>
    </w:p>
    <w:p>
      <w:pPr>
        <w:spacing w:line="240" w:lineRule="auto"/>
        <w:rPr>
          <w:rFonts w:hint="eastAsia" w:ascii="宋体" w:hAnsi="宋体" w:eastAsia="宋体" w:cs="宋体"/>
          <w:b/>
          <w:szCs w:val="21"/>
          <w:highlight w:val="none"/>
        </w:rPr>
      </w:pPr>
      <w:r>
        <w:rPr>
          <w:rFonts w:hint="eastAsia" w:ascii="宋体" w:hAnsi="宋体" w:eastAsia="宋体" w:cs="宋体"/>
          <w:b/>
          <w:szCs w:val="21"/>
          <w:highlight w:val="none"/>
        </w:rPr>
        <w:t>5、▲报价低于本表规定的，做无效投标处理。</w:t>
      </w:r>
    </w:p>
    <w:p>
      <w:pPr>
        <w:spacing w:line="240" w:lineRule="auto"/>
        <w:rPr>
          <w:rFonts w:hint="eastAsia" w:ascii="宋体" w:hAnsi="宋体" w:eastAsia="宋体" w:cs="宋体"/>
          <w:b/>
          <w:szCs w:val="21"/>
          <w:highlight w:val="none"/>
        </w:rPr>
      </w:pPr>
      <w:r>
        <w:rPr>
          <w:rFonts w:hint="eastAsia" w:ascii="宋体" w:hAnsi="宋体" w:eastAsia="宋体" w:cs="宋体"/>
          <w:b/>
          <w:szCs w:val="21"/>
          <w:highlight w:val="none"/>
        </w:rPr>
        <w:t xml:space="preserve">6、本表可在不改变格式的情况下根据具体需要自行增减。 </w:t>
      </w:r>
    </w:p>
    <w:p>
      <w:pPr>
        <w:spacing w:line="240" w:lineRule="auto"/>
        <w:rPr>
          <w:rFonts w:hint="eastAsia" w:ascii="宋体" w:hAnsi="宋体" w:eastAsia="宋体" w:cs="宋体"/>
          <w:b/>
          <w:szCs w:val="21"/>
          <w:highlight w:val="none"/>
        </w:rPr>
      </w:pPr>
      <w:r>
        <w:rPr>
          <w:rFonts w:hint="eastAsia" w:ascii="宋体" w:hAnsi="宋体" w:eastAsia="宋体" w:cs="宋体"/>
          <w:b/>
          <w:szCs w:val="21"/>
          <w:highlight w:val="none"/>
        </w:rPr>
        <w:t>7、本表各岗位人员“日常岗位工资”报价低于附件十一“服务人员最低月工资承诺函”中所承诺金额的，商务报价评分将按0分处理，低于2800元/月·人的作无效标处理。</w:t>
      </w:r>
    </w:p>
    <w:p>
      <w:pPr>
        <w:pStyle w:val="2"/>
        <w:rPr>
          <w:rFonts w:hint="eastAsia" w:ascii="宋体" w:hAnsi="宋体" w:eastAsia="宋体" w:cs="宋体"/>
          <w:highlight w:val="none"/>
        </w:rPr>
      </w:pPr>
    </w:p>
    <w:p>
      <w:pPr>
        <w:spacing w:line="440" w:lineRule="exact"/>
        <w:rPr>
          <w:rFonts w:hint="eastAsia" w:ascii="宋体" w:hAnsi="宋体" w:eastAsia="宋体" w:cs="宋体"/>
          <w:sz w:val="22"/>
          <w:highlight w:val="none"/>
        </w:rPr>
      </w:pPr>
      <w:r>
        <w:rPr>
          <w:rFonts w:hint="eastAsia" w:ascii="宋体" w:hAnsi="宋体" w:eastAsia="宋体" w:cs="宋体"/>
          <w:sz w:val="22"/>
          <w:highlight w:val="none"/>
        </w:rPr>
        <w:t>投标人全称（盖公章）：</w:t>
      </w:r>
    </w:p>
    <w:p>
      <w:pPr>
        <w:spacing w:line="440" w:lineRule="exact"/>
        <w:rPr>
          <w:rFonts w:hint="eastAsia" w:ascii="宋体" w:hAnsi="宋体" w:eastAsia="宋体" w:cs="宋体"/>
          <w:sz w:val="22"/>
          <w:highlight w:val="none"/>
        </w:rPr>
      </w:pP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或授权代表（签字或盖章）：</w:t>
      </w:r>
    </w:p>
    <w:p>
      <w:pPr>
        <w:spacing w:line="440" w:lineRule="exact"/>
        <w:rPr>
          <w:rFonts w:hint="eastAsia" w:ascii="宋体" w:hAnsi="宋体" w:eastAsia="宋体" w:cs="宋体"/>
          <w:sz w:val="36"/>
          <w:szCs w:val="36"/>
          <w:highlight w:val="none"/>
        </w:rPr>
      </w:pPr>
      <w:r>
        <w:rPr>
          <w:rFonts w:hint="eastAsia" w:ascii="宋体" w:hAnsi="宋体" w:eastAsia="宋体" w:cs="宋体"/>
          <w:sz w:val="22"/>
          <w:highlight w:val="none"/>
        </w:rPr>
        <w:t>日 期：</w:t>
      </w:r>
    </w:p>
    <w:p>
      <w:pPr>
        <w:keepLines/>
        <w:spacing w:before="260" w:after="260"/>
        <w:jc w:val="center"/>
        <w:outlineLvl w:val="1"/>
        <w:rPr>
          <w:rFonts w:hint="eastAsia" w:ascii="宋体" w:hAnsi="宋体" w:eastAsia="宋体" w:cs="宋体"/>
          <w:sz w:val="36"/>
          <w:szCs w:val="36"/>
          <w:highlight w:val="none"/>
        </w:rPr>
      </w:pPr>
      <w:r>
        <w:rPr>
          <w:rFonts w:hint="eastAsia" w:ascii="宋体" w:hAnsi="宋体" w:eastAsia="宋体" w:cs="宋体"/>
          <w:sz w:val="36"/>
          <w:szCs w:val="36"/>
          <w:highlight w:val="none"/>
        </w:rPr>
        <w:br w:type="page"/>
      </w:r>
      <w:bookmarkStart w:id="199" w:name="_Hlk69240860"/>
      <w:r>
        <w:rPr>
          <w:rFonts w:hint="eastAsia" w:ascii="宋体" w:hAnsi="宋体" w:eastAsia="宋体" w:cs="宋体"/>
          <w:sz w:val="36"/>
          <w:szCs w:val="36"/>
          <w:highlight w:val="none"/>
        </w:rPr>
        <w:t>第四部分   采购内容及要求</w:t>
      </w:r>
      <w:bookmarkEnd w:id="194"/>
      <w:bookmarkEnd w:id="195"/>
      <w:bookmarkEnd w:id="196"/>
      <w:bookmarkEnd w:id="197"/>
      <w:bookmarkEnd w:id="198"/>
    </w:p>
    <w:p>
      <w:pPr>
        <w:widowControl/>
        <w:outlineLvl w:val="1"/>
        <w:rPr>
          <w:rFonts w:hint="eastAsia" w:ascii="宋体" w:hAnsi="宋体" w:eastAsia="宋体" w:cs="宋体"/>
          <w:b/>
          <w:bCs/>
          <w:kern w:val="0"/>
          <w:szCs w:val="21"/>
          <w:highlight w:val="none"/>
        </w:rPr>
      </w:pPr>
      <w:bookmarkStart w:id="200" w:name="_Toc448846627"/>
      <w:bookmarkStart w:id="201" w:name="_Toc221374633"/>
      <w:bookmarkStart w:id="202" w:name="_Toc221356897"/>
      <w:bookmarkStart w:id="203" w:name="_Toc221356960"/>
    </w:p>
    <w:bookmarkEnd w:id="199"/>
    <w:bookmarkEnd w:id="200"/>
    <w:p>
      <w:pPr>
        <w:spacing w:before="120" w:beforeLines="50" w:after="50" w:line="240" w:lineRule="auto"/>
        <w:jc w:val="center"/>
        <w:rPr>
          <w:rFonts w:hint="eastAsia" w:ascii="宋体" w:hAnsi="宋体" w:eastAsia="宋体" w:cs="宋体"/>
          <w:b/>
          <w:bCs/>
          <w:color w:val="auto"/>
          <w:sz w:val="21"/>
          <w:szCs w:val="21"/>
          <w:highlight w:val="none"/>
        </w:rPr>
      </w:pPr>
      <w:bookmarkStart w:id="204" w:name="_Toc26699"/>
      <w:bookmarkStart w:id="205" w:name="_Toc479601381"/>
      <w:bookmarkStart w:id="206" w:name="_Toc249758722"/>
      <w:bookmarkStart w:id="207" w:name="_Toc222114886"/>
      <w:bookmarkStart w:id="208" w:name="_Toc245191321"/>
      <w:bookmarkStart w:id="209" w:name="_Toc223716005"/>
      <w:bookmarkStart w:id="210" w:name="_Toc241404209"/>
      <w:bookmarkStart w:id="211" w:name="_Toc262105511"/>
      <w:bookmarkStart w:id="212" w:name="_Toc249758872"/>
      <w:bookmarkStart w:id="213" w:name="_Toc246261272"/>
      <w:bookmarkStart w:id="214" w:name="_Toc221423626"/>
      <w:bookmarkStart w:id="215" w:name="_Toc239145361"/>
      <w:bookmarkStart w:id="216" w:name="_Toc448846693"/>
      <w:bookmarkStart w:id="217" w:name="_Toc245722288"/>
      <w:bookmarkStart w:id="218" w:name="_Toc262049426"/>
      <w:r>
        <w:rPr>
          <w:rFonts w:hint="eastAsia" w:ascii="宋体" w:hAnsi="宋体" w:eastAsia="宋体" w:cs="宋体"/>
          <w:b/>
          <w:bCs/>
          <w:color w:val="auto"/>
          <w:sz w:val="21"/>
          <w:szCs w:val="21"/>
          <w:highlight w:val="none"/>
        </w:rPr>
        <w:t>一、概述</w:t>
      </w:r>
    </w:p>
    <w:p>
      <w:pPr>
        <w:numPr>
          <w:ilvl w:val="0"/>
          <w:numId w:val="28"/>
        </w:numPr>
        <w:tabs>
          <w:tab w:val="left" w:pos="360"/>
          <w:tab w:val="clear" w:pos="680"/>
        </w:tabs>
        <w:spacing w:line="240" w:lineRule="auto"/>
        <w:ind w:left="360" w:hanging="3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本次项目为</w:t>
      </w:r>
      <w:r>
        <w:rPr>
          <w:rFonts w:hint="eastAsia" w:ascii="宋体" w:hAnsi="宋体" w:eastAsia="宋体" w:cs="宋体"/>
          <w:color w:val="auto"/>
          <w:sz w:val="21"/>
          <w:szCs w:val="21"/>
          <w:highlight w:val="none"/>
          <w:lang w:val="en-US" w:eastAsia="zh-CN"/>
        </w:rPr>
        <w:t>陶山服务区物业服务</w:t>
      </w:r>
      <w:r>
        <w:rPr>
          <w:rFonts w:hint="eastAsia" w:ascii="宋体" w:hAnsi="宋体" w:eastAsia="宋体" w:cs="宋体"/>
          <w:color w:val="auto"/>
          <w:sz w:val="21"/>
          <w:szCs w:val="21"/>
          <w:highlight w:val="none"/>
        </w:rPr>
        <w:t>，投标人应根据</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提供服务方案，在对</w:t>
      </w:r>
      <w:r>
        <w:rPr>
          <w:rFonts w:hint="eastAsia" w:ascii="宋体" w:hAnsi="宋体" w:eastAsia="宋体" w:cs="宋体"/>
          <w:color w:val="auto"/>
          <w:sz w:val="21"/>
          <w:szCs w:val="21"/>
          <w:highlight w:val="none"/>
          <w:lang w:val="en-US" w:eastAsia="zh-CN"/>
        </w:rPr>
        <w:t>值守</w:t>
      </w:r>
      <w:r>
        <w:rPr>
          <w:rFonts w:hint="eastAsia" w:ascii="宋体" w:hAnsi="宋体" w:eastAsia="宋体" w:cs="宋体"/>
          <w:color w:val="auto"/>
          <w:sz w:val="21"/>
          <w:szCs w:val="21"/>
          <w:highlight w:val="none"/>
        </w:rPr>
        <w:t>区域分布现场、周边环境全面了解的情况下编制科学合理、切实可行的组织实施计划以及具体的保障措施、工作等程序。</w:t>
      </w:r>
    </w:p>
    <w:p>
      <w:pPr>
        <w:numPr>
          <w:ilvl w:val="0"/>
          <w:numId w:val="28"/>
        </w:numPr>
        <w:tabs>
          <w:tab w:val="left" w:pos="360"/>
          <w:tab w:val="clear" w:pos="680"/>
        </w:tabs>
        <w:spacing w:line="240" w:lineRule="auto"/>
        <w:ind w:left="360" w:hanging="3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投标人须依照现代企业制度，以合理的服务流程和服务人数、优良的服务质量、科学的管理、稳定的服务队伍、优惠的价格来制订详细的服务方案，充分体现自身的实力，发挥自身优势，为使</w:t>
      </w:r>
      <w:r>
        <w:rPr>
          <w:rFonts w:hint="eastAsia" w:ascii="宋体" w:hAnsi="宋体" w:eastAsia="宋体" w:cs="宋体"/>
          <w:color w:val="auto"/>
          <w:sz w:val="21"/>
          <w:szCs w:val="21"/>
          <w:highlight w:val="none"/>
          <w:lang w:val="en-US" w:eastAsia="zh-CN"/>
        </w:rPr>
        <w:t>物业管理</w:t>
      </w:r>
      <w:r>
        <w:rPr>
          <w:rFonts w:hint="eastAsia" w:ascii="宋体" w:hAnsi="宋体" w:eastAsia="宋体" w:cs="宋体"/>
          <w:color w:val="auto"/>
          <w:sz w:val="21"/>
          <w:szCs w:val="21"/>
          <w:highlight w:val="none"/>
        </w:rPr>
        <w:t>服务工作顺利完成，并保证</w:t>
      </w:r>
      <w:r>
        <w:rPr>
          <w:rFonts w:hint="eastAsia" w:ascii="宋体" w:hAnsi="宋体" w:eastAsia="宋体" w:cs="宋体"/>
          <w:color w:val="auto"/>
          <w:sz w:val="21"/>
          <w:szCs w:val="21"/>
          <w:highlight w:val="none"/>
          <w:lang w:val="en-US" w:eastAsia="zh-CN"/>
        </w:rPr>
        <w:t>高速</w:t>
      </w:r>
      <w:r>
        <w:rPr>
          <w:rFonts w:hint="eastAsia" w:ascii="宋体" w:hAnsi="宋体" w:eastAsia="宋体" w:cs="宋体"/>
          <w:color w:val="auto"/>
          <w:sz w:val="21"/>
          <w:szCs w:val="21"/>
          <w:highlight w:val="none"/>
        </w:rPr>
        <w:t>服务质量和形象上升一个新台阶。</w:t>
      </w:r>
    </w:p>
    <w:p>
      <w:pPr>
        <w:numPr>
          <w:ilvl w:val="0"/>
          <w:numId w:val="29"/>
        </w:numPr>
        <w:spacing w:before="120" w:beforeLines="50" w:after="50" w:line="240" w:lineRule="auto"/>
        <w:jc w:val="center"/>
        <w:rPr>
          <w:rFonts w:hint="eastAsia" w:ascii="宋体" w:hAnsi="宋体" w:eastAsia="宋体" w:cs="宋体"/>
          <w:b/>
          <w:bCs/>
          <w:color w:val="auto"/>
          <w:sz w:val="21"/>
          <w:szCs w:val="21"/>
          <w:highlight w:val="none"/>
        </w:rPr>
      </w:pPr>
      <w:bookmarkStart w:id="219" w:name="_Toc187051758"/>
      <w:bookmarkStart w:id="220" w:name="_Toc184281683"/>
      <w:r>
        <w:rPr>
          <w:rFonts w:hint="eastAsia" w:ascii="宋体" w:hAnsi="宋体" w:eastAsia="宋体" w:cs="宋体"/>
          <w:b/>
          <w:bCs/>
          <w:color w:val="auto"/>
          <w:sz w:val="21"/>
          <w:szCs w:val="21"/>
          <w:highlight w:val="none"/>
        </w:rPr>
        <w:t>服务要求及规范</w:t>
      </w:r>
      <w:bookmarkEnd w:id="219"/>
      <w:bookmarkEnd w:id="220"/>
    </w:p>
    <w:p>
      <w:pPr>
        <w:widowControl w:val="0"/>
        <w:numPr>
          <w:ilvl w:val="0"/>
          <w:numId w:val="0"/>
        </w:numPr>
        <w:tabs>
          <w:tab w:val="left" w:pos="360"/>
          <w:tab w:val="left" w:pos="1080"/>
        </w:tabs>
        <w:spacing w:line="240" w:lineRule="auto"/>
        <w:jc w:val="both"/>
        <w:rPr>
          <w:rFonts w:hint="eastAsia" w:ascii="宋体" w:hAnsi="宋体" w:eastAsia="宋体" w:cs="宋体"/>
          <w:b/>
          <w:color w:val="auto"/>
          <w:sz w:val="21"/>
          <w:szCs w:val="21"/>
          <w:highlight w:val="none"/>
        </w:rPr>
      </w:pPr>
    </w:p>
    <w:p>
      <w:pPr>
        <w:numPr>
          <w:ilvl w:val="0"/>
          <w:numId w:val="30"/>
        </w:numPr>
        <w:tabs>
          <w:tab w:val="left" w:pos="640"/>
          <w:tab w:val="clear" w:pos="680"/>
        </w:tabs>
        <w:spacing w:line="240" w:lineRule="auto"/>
        <w:ind w:left="640" w:hanging="640" w:firstLineChars="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物业管理总说明</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为保障服务区环境卫生、停车秩序和服务质量等工作。</w:t>
      </w:r>
      <w:r>
        <w:rPr>
          <w:rFonts w:hint="eastAsia" w:ascii="宋体" w:hAnsi="宋体" w:eastAsia="宋体" w:cs="宋体"/>
          <w:color w:val="auto"/>
          <w:sz w:val="21"/>
          <w:szCs w:val="21"/>
          <w:highlight w:val="none"/>
        </w:rPr>
        <w:t>根据关于印发《</w:t>
      </w:r>
      <w:r>
        <w:rPr>
          <w:rFonts w:hint="eastAsia" w:ascii="宋体" w:hAnsi="宋体" w:eastAsia="宋体" w:cs="宋体"/>
          <w:color w:val="auto"/>
          <w:sz w:val="21"/>
          <w:szCs w:val="21"/>
          <w:highlight w:val="none"/>
          <w:lang w:val="en-US" w:eastAsia="zh-CN"/>
        </w:rPr>
        <w:t>关于进一步加强高速公路服务区保安、保洁工作的通知</w:t>
      </w:r>
      <w:r>
        <w:rPr>
          <w:rFonts w:hint="eastAsia" w:ascii="宋体" w:hAnsi="宋体" w:eastAsia="宋体" w:cs="宋体"/>
          <w:color w:val="auto"/>
          <w:sz w:val="21"/>
          <w:szCs w:val="21"/>
          <w:highlight w:val="none"/>
        </w:rPr>
        <w:t>》（浙</w:t>
      </w:r>
      <w:r>
        <w:rPr>
          <w:rFonts w:hint="eastAsia" w:ascii="宋体" w:hAnsi="宋体" w:eastAsia="宋体" w:cs="宋体"/>
          <w:color w:val="auto"/>
          <w:sz w:val="21"/>
          <w:szCs w:val="21"/>
          <w:highlight w:val="none"/>
          <w:lang w:val="en-US" w:eastAsia="zh-CN"/>
        </w:rPr>
        <w:t>公运</w:t>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80</w:t>
      </w:r>
      <w:r>
        <w:rPr>
          <w:rFonts w:hint="eastAsia" w:ascii="宋体" w:hAnsi="宋体" w:eastAsia="宋体" w:cs="宋体"/>
          <w:color w:val="auto"/>
          <w:sz w:val="21"/>
          <w:szCs w:val="21"/>
          <w:highlight w:val="none"/>
        </w:rPr>
        <w:t>号文件）</w:t>
      </w:r>
      <w:r>
        <w:rPr>
          <w:rFonts w:hint="eastAsia" w:ascii="宋体" w:hAnsi="宋体" w:eastAsia="宋体" w:cs="宋体"/>
          <w:color w:val="auto"/>
          <w:sz w:val="21"/>
          <w:szCs w:val="21"/>
          <w:highlight w:val="none"/>
          <w:lang w:val="en-US" w:eastAsia="zh-CN"/>
        </w:rPr>
        <w:t>文件精神</w:t>
      </w:r>
      <w:r>
        <w:rPr>
          <w:rFonts w:hint="eastAsia" w:ascii="宋体" w:hAnsi="宋体" w:eastAsia="宋体" w:cs="宋体"/>
          <w:color w:val="auto"/>
          <w:sz w:val="21"/>
          <w:szCs w:val="21"/>
          <w:highlight w:val="none"/>
        </w:rPr>
        <w:t>，优化功能布局，完善服务设施，强化服务功能，创新管理机制，全面提升本</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服务能力，为人民群众美好出行需求提供更高品质服务。</w:t>
      </w:r>
    </w:p>
    <w:p>
      <w:pPr>
        <w:widowControl/>
        <w:numPr>
          <w:ilvl w:val="1"/>
          <w:numId w:val="30"/>
        </w:numPr>
        <w:tabs>
          <w:tab w:val="left" w:pos="640"/>
          <w:tab w:val="clear" w:pos="680"/>
        </w:tabs>
        <w:spacing w:line="240" w:lineRule="auto"/>
        <w:ind w:left="640" w:hanging="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安全管理为主要服务管理内容，制定安全管理服务细则。卫生保洁的服务标准质量要求按现代化标准订立服务规程，在充分了解掌握环境的情况下编制科学合理、切实可行的组织实施计划以及具体的保障措施、工作程序。本着对企业品牌的延伸，以社会化效益为重的原则，按现代企业制度运行，以热心、爱心、专心、贴心的服务，为后勤社会化提供全方位、一体化的专业服务保障。确保各</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域处于正常、有序、高效的状态， 运转正常，各项活动顺利完成。</w:t>
      </w:r>
    </w:p>
    <w:p>
      <w:pPr>
        <w:widowControl/>
        <w:numPr>
          <w:ilvl w:val="1"/>
          <w:numId w:val="30"/>
        </w:numPr>
        <w:tabs>
          <w:tab w:val="left" w:pos="640"/>
          <w:tab w:val="clear" w:pos="680"/>
        </w:tabs>
        <w:spacing w:line="240" w:lineRule="auto"/>
        <w:ind w:left="640" w:hanging="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建立并完善各种管理制度和工作流程，明确分工职责和工作质量标准，强化工作的计划性、可操作性和实效性，确保安全有序，确保设备维运的及时性和准确性，确保设备安全和维保质量， 确保环境舒适、有序，让服务对象舒心，为各</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域提供优良的后勤保障。做好卫生保洁及生活服务的工作质量。</w:t>
      </w:r>
    </w:p>
    <w:p>
      <w:pPr>
        <w:widowControl/>
        <w:numPr>
          <w:ilvl w:val="1"/>
          <w:numId w:val="30"/>
        </w:numPr>
        <w:tabs>
          <w:tab w:val="left" w:pos="640"/>
          <w:tab w:val="clear" w:pos="680"/>
        </w:tabs>
        <w:spacing w:line="240" w:lineRule="auto"/>
        <w:ind w:left="640" w:hanging="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人员结构合理，分工明确。一般员工有相关专业所需的上岗证。所有人员要求政治上可靠，身体素质好，懂礼貌，善服务，无不良行为记录，重要岗位人员必须经采购人考核、政治审查通过方可录用。</w:t>
      </w:r>
    </w:p>
    <w:p>
      <w:pPr>
        <w:widowControl/>
        <w:numPr>
          <w:ilvl w:val="1"/>
          <w:numId w:val="30"/>
        </w:numPr>
        <w:tabs>
          <w:tab w:val="left" w:pos="640"/>
          <w:tab w:val="clear" w:pos="680"/>
        </w:tabs>
        <w:spacing w:line="240" w:lineRule="auto"/>
        <w:ind w:left="640" w:hanging="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组织人员做好管理区域内的日常管养、门卫、保安、公共安全、治安纠纷、路产及设施赔偿、停车秩序工作；</w:t>
      </w:r>
    </w:p>
    <w:p>
      <w:pPr>
        <w:widowControl/>
        <w:numPr>
          <w:ilvl w:val="1"/>
          <w:numId w:val="30"/>
        </w:numPr>
        <w:tabs>
          <w:tab w:val="left" w:pos="640"/>
          <w:tab w:val="clear" w:pos="680"/>
        </w:tabs>
        <w:spacing w:line="240" w:lineRule="auto"/>
        <w:ind w:left="640" w:hanging="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制订管理区域内管理服务的详细计划和方案，保障</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行车的方便、安全，保持外场设施完好、环境优美、公共秩序良好；</w:t>
      </w:r>
    </w:p>
    <w:p>
      <w:pPr>
        <w:widowControl/>
        <w:numPr>
          <w:ilvl w:val="1"/>
          <w:numId w:val="30"/>
        </w:numPr>
        <w:tabs>
          <w:tab w:val="left" w:pos="640"/>
          <w:tab w:val="clear" w:pos="680"/>
        </w:tabs>
        <w:spacing w:line="240" w:lineRule="auto"/>
        <w:ind w:left="640" w:hanging="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负责做好本班组员工文明值勤、现场动态管理、公共安全管理、日常巡查和检查；</w:t>
      </w:r>
    </w:p>
    <w:p>
      <w:pPr>
        <w:widowControl/>
        <w:numPr>
          <w:ilvl w:val="1"/>
          <w:numId w:val="30"/>
        </w:numPr>
        <w:tabs>
          <w:tab w:val="left" w:pos="640"/>
          <w:tab w:val="clear" w:pos="680"/>
        </w:tabs>
        <w:spacing w:line="240" w:lineRule="auto"/>
        <w:ind w:left="640" w:hanging="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制定管理区域内部管理制度，规范所属人员的行为，做好所属人员的上岗、技能培训和考核工作，及时处理下属人员的违规行为；</w:t>
      </w:r>
    </w:p>
    <w:p>
      <w:pPr>
        <w:widowControl/>
        <w:numPr>
          <w:ilvl w:val="1"/>
          <w:numId w:val="30"/>
        </w:numPr>
        <w:tabs>
          <w:tab w:val="left" w:pos="640"/>
          <w:tab w:val="clear" w:pos="680"/>
        </w:tabs>
        <w:spacing w:line="240" w:lineRule="auto"/>
        <w:ind w:left="640" w:hanging="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定期听取</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的意见和建议，改进和完善管理服务；</w:t>
      </w:r>
    </w:p>
    <w:p>
      <w:pPr>
        <w:widowControl/>
        <w:numPr>
          <w:ilvl w:val="1"/>
          <w:numId w:val="30"/>
        </w:numPr>
        <w:tabs>
          <w:tab w:val="left" w:pos="640"/>
          <w:tab w:val="clear" w:pos="680"/>
        </w:tabs>
        <w:spacing w:line="240" w:lineRule="auto"/>
        <w:ind w:left="640" w:hanging="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对管理区域内的违法行为或违反</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相关规定的行为，应立即依法劝阻、制止，并向</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有关部门报告；</w:t>
      </w:r>
    </w:p>
    <w:p>
      <w:pPr>
        <w:widowControl/>
        <w:numPr>
          <w:ilvl w:val="1"/>
          <w:numId w:val="30"/>
        </w:numPr>
        <w:tabs>
          <w:tab w:val="left" w:pos="640"/>
          <w:tab w:val="clear" w:pos="680"/>
        </w:tabs>
        <w:spacing w:line="240" w:lineRule="auto"/>
        <w:ind w:left="640" w:hanging="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配合</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做好各项迎检工作，完成</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领导交办的其他工作。建立各类应急预案（如临时性紧急会议、上级重要领导来考察调研、抗台等）， 并培训相关人员达到相关要求。</w:t>
      </w:r>
    </w:p>
    <w:p>
      <w:pPr>
        <w:numPr>
          <w:ilvl w:val="0"/>
          <w:numId w:val="30"/>
        </w:numPr>
        <w:tabs>
          <w:tab w:val="left" w:pos="640"/>
          <w:tab w:val="clear" w:pos="680"/>
        </w:tabs>
        <w:spacing w:line="240" w:lineRule="auto"/>
        <w:ind w:left="640" w:hanging="64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物业概况</w:t>
      </w:r>
    </w:p>
    <w:p>
      <w:pPr>
        <w:keepNext w:val="0"/>
        <w:keepLines w:val="0"/>
        <w:widowControl/>
        <w:numPr>
          <w:ilvl w:val="1"/>
          <w:numId w:val="30"/>
        </w:numPr>
        <w:suppressLineNumbers w:val="0"/>
        <w:tabs>
          <w:tab w:val="left" w:pos="640"/>
          <w:tab w:val="clear" w:pos="680"/>
        </w:tabs>
        <w:spacing w:line="240" w:lineRule="auto"/>
        <w:ind w:left="640" w:hanging="64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
        </w:rPr>
        <w:t xml:space="preserve">陶山服务区位于温州绕城高速公路瑞安市陶山镇境内，占地面积102亩，其中建筑面积约10000平方米，绿化面积约16600平方米，大小停车位257个；并配置商业商铺、加油站、公共卫生间、第三卫生间、开水间、母婴室、司乘休息室等公共服务设施，为司乘人员提供24小时公共服务。 </w:t>
      </w:r>
    </w:p>
    <w:p>
      <w:pPr>
        <w:keepNext w:val="0"/>
        <w:keepLines w:val="0"/>
        <w:widowControl/>
        <w:numPr>
          <w:ilvl w:val="1"/>
          <w:numId w:val="30"/>
        </w:numPr>
        <w:suppressLineNumbers w:val="0"/>
        <w:tabs>
          <w:tab w:val="left" w:pos="640"/>
          <w:tab w:val="clear" w:pos="680"/>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kern w:val="2"/>
          <w:sz w:val="21"/>
          <w:szCs w:val="21"/>
          <w:highlight w:val="none"/>
          <w:lang w:val="en-US" w:eastAsia="zh-CN" w:bidi="ar"/>
        </w:rPr>
        <w:t xml:space="preserve">服务内容：秩序维护、安保管理、卫生管理、设备维护等； </w:t>
      </w:r>
    </w:p>
    <w:p>
      <w:pPr>
        <w:pStyle w:val="2"/>
        <w:ind w:left="210" w:leftChars="100" w:firstLine="420" w:firstLineChars="200"/>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公共区域环境卫生、设施设施日常管理与维护、交通与车辆停放秩序管理、前台咨询服务、安全消防管理、会务接待等。</w:t>
      </w:r>
    </w:p>
    <w:p>
      <w:pPr>
        <w:widowControl/>
        <w:numPr>
          <w:ilvl w:val="1"/>
          <w:numId w:val="30"/>
        </w:numPr>
        <w:tabs>
          <w:tab w:val="left" w:pos="640"/>
          <w:tab w:val="clear" w:pos="680"/>
        </w:tabs>
        <w:spacing w:line="240" w:lineRule="auto"/>
        <w:ind w:left="640" w:hanging="640"/>
        <w:jc w:val="left"/>
        <w:rPr>
          <w:rFonts w:hint="eastAsia" w:ascii="宋体" w:hAnsi="宋体" w:eastAsia="宋体" w:cs="宋体"/>
          <w:b/>
          <w:color w:val="auto"/>
          <w:sz w:val="21"/>
          <w:szCs w:val="21"/>
          <w:highlight w:val="none"/>
        </w:rPr>
      </w:pPr>
      <w:r>
        <w:rPr>
          <w:rFonts w:hint="eastAsia" w:ascii="宋体" w:hAnsi="宋体" w:eastAsia="宋体" w:cs="宋体"/>
          <w:color w:val="auto"/>
          <w:kern w:val="2"/>
          <w:sz w:val="21"/>
          <w:szCs w:val="21"/>
          <w:highlight w:val="none"/>
          <w:lang w:val="en-US" w:eastAsia="zh-CN" w:bidi="ar"/>
        </w:rPr>
        <w:t>岗位配置：需配置</w:t>
      </w:r>
      <w:r>
        <w:rPr>
          <w:rFonts w:hint="eastAsia" w:ascii="宋体" w:hAnsi="宋体" w:eastAsia="宋体" w:cs="宋体"/>
          <w:color w:val="auto"/>
          <w:kern w:val="2"/>
          <w:sz w:val="21"/>
          <w:szCs w:val="21"/>
          <w:highlight w:val="none"/>
          <w:u w:val="single"/>
          <w:lang w:val="en-US" w:eastAsia="zh-CN" w:bidi="ar"/>
        </w:rPr>
        <w:t>50</w:t>
      </w:r>
      <w:r>
        <w:rPr>
          <w:rFonts w:hint="eastAsia" w:ascii="宋体" w:hAnsi="宋体" w:eastAsia="宋体" w:cs="宋体"/>
          <w:color w:val="auto"/>
          <w:kern w:val="2"/>
          <w:sz w:val="21"/>
          <w:szCs w:val="21"/>
          <w:highlight w:val="none"/>
          <w:lang w:val="en-US" w:eastAsia="zh-CN" w:bidi="ar"/>
        </w:rPr>
        <w:t>人，</w:t>
      </w:r>
      <w:r>
        <w:rPr>
          <w:rFonts w:hint="eastAsia" w:ascii="宋体" w:hAnsi="宋体" w:eastAsia="宋体" w:cs="宋体"/>
          <w:color w:val="auto"/>
          <w:sz w:val="21"/>
          <w:szCs w:val="21"/>
          <w:highlight w:val="none"/>
          <w:lang w:val="en-US" w:eastAsia="zh-CN"/>
        </w:rPr>
        <w:t>各</w:t>
      </w:r>
      <w:r>
        <w:rPr>
          <w:rFonts w:hint="eastAsia" w:ascii="宋体" w:hAnsi="宋体" w:eastAsia="宋体" w:cs="宋体"/>
          <w:color w:val="auto"/>
          <w:kern w:val="2"/>
          <w:sz w:val="21"/>
          <w:szCs w:val="21"/>
          <w:highlight w:val="none"/>
          <w:lang w:val="en-US" w:eastAsia="zh-CN" w:bidi="ar"/>
        </w:rPr>
        <w:t>岗位排班满足现场要求</w:t>
      </w:r>
      <w:r>
        <w:rPr>
          <w:rFonts w:hint="eastAsia" w:ascii="宋体" w:hAnsi="宋体" w:eastAsia="宋体" w:cs="宋体"/>
          <w:color w:val="auto"/>
          <w:sz w:val="21"/>
          <w:szCs w:val="21"/>
          <w:highlight w:val="none"/>
        </w:rPr>
        <w:t>。</w:t>
      </w:r>
    </w:p>
    <w:p>
      <w:pPr>
        <w:widowControl/>
        <w:numPr>
          <w:ilvl w:val="2"/>
          <w:numId w:val="30"/>
        </w:numPr>
        <w:tabs>
          <w:tab w:val="left" w:pos="640"/>
          <w:tab w:val="clear" w:pos="1156"/>
        </w:tabs>
        <w:spacing w:line="240" w:lineRule="auto"/>
        <w:ind w:left="640" w:hanging="640"/>
        <w:jc w:val="left"/>
        <w:rPr>
          <w:rFonts w:hint="eastAsia" w:ascii="宋体" w:hAnsi="宋体" w:eastAsia="宋体" w:cs="宋体"/>
          <w:b/>
          <w:color w:val="auto"/>
          <w:sz w:val="21"/>
          <w:szCs w:val="21"/>
          <w:highlight w:val="none"/>
        </w:rPr>
      </w:pPr>
      <w:r>
        <w:rPr>
          <w:rFonts w:hint="eastAsia" w:ascii="宋体" w:hAnsi="宋体" w:eastAsia="宋体" w:cs="宋体"/>
          <w:color w:val="auto"/>
          <w:kern w:val="2"/>
          <w:sz w:val="21"/>
          <w:szCs w:val="21"/>
          <w:highlight w:val="none"/>
          <w:lang w:val="en-US" w:eastAsia="zh-CN" w:bidi="ar"/>
        </w:rPr>
        <w:t>各岗位如下表所示：</w:t>
      </w:r>
    </w:p>
    <w:tbl>
      <w:tblPr>
        <w:tblStyle w:val="24"/>
        <w:tblW w:w="8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2166"/>
        <w:gridCol w:w="1623"/>
        <w:gridCol w:w="2037"/>
        <w:gridCol w:w="1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81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kern w:val="2"/>
                <w:sz w:val="22"/>
                <w:szCs w:val="22"/>
                <w:highlight w:val="none"/>
                <w:vertAlign w:val="baseline"/>
                <w:lang w:val="en-US" w:eastAsia="zh-CN" w:bidi="ar-SA"/>
              </w:rPr>
            </w:pPr>
            <w:r>
              <w:rPr>
                <w:rFonts w:hint="eastAsia" w:ascii="宋体" w:hAnsi="宋体" w:eastAsia="宋体" w:cs="宋体"/>
                <w:color w:val="auto"/>
                <w:kern w:val="0"/>
                <w:sz w:val="22"/>
                <w:szCs w:val="22"/>
                <w:highlight w:val="none"/>
                <w:vertAlign w:val="baseline"/>
                <w:lang w:val="en-US" w:eastAsia="zh-CN"/>
              </w:rPr>
              <w:t>序号</w:t>
            </w:r>
          </w:p>
        </w:tc>
        <w:tc>
          <w:tcPr>
            <w:tcW w:w="216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kern w:val="2"/>
                <w:sz w:val="22"/>
                <w:szCs w:val="22"/>
                <w:highlight w:val="none"/>
                <w:vertAlign w:val="baseline"/>
                <w:lang w:val="en-US" w:eastAsia="zh-CN" w:bidi="ar-SA"/>
              </w:rPr>
            </w:pPr>
            <w:r>
              <w:rPr>
                <w:rFonts w:hint="eastAsia" w:ascii="宋体" w:hAnsi="宋体" w:eastAsia="宋体" w:cs="宋体"/>
                <w:color w:val="auto"/>
                <w:kern w:val="2"/>
                <w:sz w:val="22"/>
                <w:szCs w:val="22"/>
                <w:highlight w:val="none"/>
                <w:vertAlign w:val="baseline"/>
                <w:lang w:val="en-US" w:eastAsia="zh-CN" w:bidi="ar-SA"/>
              </w:rPr>
              <w:t>工种</w:t>
            </w:r>
          </w:p>
        </w:tc>
        <w:tc>
          <w:tcPr>
            <w:tcW w:w="162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kern w:val="2"/>
                <w:sz w:val="22"/>
                <w:szCs w:val="22"/>
                <w:highlight w:val="none"/>
                <w:vertAlign w:val="baseline"/>
                <w:lang w:val="en-US" w:eastAsia="zh-CN" w:bidi="ar-SA"/>
              </w:rPr>
            </w:pPr>
            <w:r>
              <w:rPr>
                <w:rFonts w:hint="eastAsia" w:ascii="宋体" w:hAnsi="宋体" w:eastAsia="宋体" w:cs="宋体"/>
                <w:color w:val="auto"/>
                <w:kern w:val="0"/>
                <w:sz w:val="22"/>
                <w:szCs w:val="22"/>
                <w:highlight w:val="none"/>
                <w:vertAlign w:val="baseline"/>
                <w:lang w:val="en-US" w:eastAsia="zh-CN"/>
              </w:rPr>
              <w:t>配置人数</w:t>
            </w:r>
          </w:p>
        </w:tc>
        <w:tc>
          <w:tcPr>
            <w:tcW w:w="3948"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kern w:val="0"/>
                <w:sz w:val="22"/>
                <w:szCs w:val="22"/>
                <w:highlight w:val="none"/>
                <w:vertAlign w:val="baseline"/>
                <w:lang w:val="en-US" w:eastAsia="zh-CN"/>
              </w:rPr>
            </w:pPr>
            <w:r>
              <w:rPr>
                <w:rFonts w:hint="eastAsia" w:ascii="宋体" w:hAnsi="宋体" w:eastAsia="宋体" w:cs="宋体"/>
                <w:color w:val="auto"/>
                <w:kern w:val="0"/>
                <w:sz w:val="22"/>
                <w:szCs w:val="22"/>
                <w:highlight w:val="none"/>
                <w:vertAlign w:val="baseline"/>
                <w:lang w:val="en-US" w:eastAsia="zh-CN"/>
              </w:rPr>
              <w:t>具体人员分配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kern w:val="2"/>
                <w:sz w:val="22"/>
                <w:szCs w:val="22"/>
                <w:highlight w:val="none"/>
                <w:vertAlign w:val="baseline"/>
                <w:lang w:val="en-US" w:eastAsia="zh-CN" w:bidi="ar-SA"/>
              </w:rPr>
            </w:pPr>
          </w:p>
        </w:tc>
        <w:tc>
          <w:tcPr>
            <w:tcW w:w="216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kern w:val="2"/>
                <w:sz w:val="22"/>
                <w:szCs w:val="22"/>
                <w:highlight w:val="none"/>
                <w:vertAlign w:val="baseline"/>
                <w:lang w:val="en-US" w:eastAsia="zh-CN" w:bidi="ar-SA"/>
              </w:rPr>
            </w:pPr>
          </w:p>
        </w:tc>
        <w:tc>
          <w:tcPr>
            <w:tcW w:w="162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kern w:val="2"/>
                <w:sz w:val="22"/>
                <w:szCs w:val="22"/>
                <w:highlight w:val="none"/>
                <w:vertAlign w:val="baseline"/>
                <w:lang w:val="en-US" w:eastAsia="zh-CN" w:bidi="ar-SA"/>
              </w:rPr>
            </w:pPr>
          </w:p>
        </w:tc>
        <w:tc>
          <w:tcPr>
            <w:tcW w:w="2037"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kern w:val="2"/>
                <w:sz w:val="22"/>
                <w:szCs w:val="22"/>
                <w:highlight w:val="none"/>
                <w:vertAlign w:val="baseline"/>
                <w:lang w:val="en-US" w:eastAsia="zh-CN" w:bidi="ar-SA"/>
              </w:rPr>
            </w:pPr>
            <w:r>
              <w:rPr>
                <w:rFonts w:hint="eastAsia" w:ascii="宋体" w:hAnsi="宋体" w:eastAsia="宋体" w:cs="宋体"/>
                <w:color w:val="auto"/>
                <w:kern w:val="2"/>
                <w:sz w:val="22"/>
                <w:szCs w:val="22"/>
                <w:highlight w:val="none"/>
                <w:vertAlign w:val="baseline"/>
                <w:lang w:val="en-US" w:eastAsia="zh-CN" w:bidi="ar-SA"/>
              </w:rPr>
              <w:t>岗位</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kern w:val="2"/>
                <w:sz w:val="22"/>
                <w:szCs w:val="22"/>
                <w:highlight w:val="none"/>
                <w:vertAlign w:val="baseline"/>
                <w:lang w:val="en-US" w:eastAsia="zh-CN" w:bidi="ar-SA"/>
              </w:rPr>
            </w:pPr>
            <w:r>
              <w:rPr>
                <w:rFonts w:hint="eastAsia" w:ascii="宋体" w:hAnsi="宋体" w:eastAsia="宋体" w:cs="宋体"/>
                <w:color w:val="auto"/>
                <w:kern w:val="0"/>
                <w:sz w:val="22"/>
                <w:szCs w:val="22"/>
                <w:highlight w:val="none"/>
                <w:vertAlign w:val="baseline"/>
                <w:lang w:val="en-US" w:eastAsia="zh-CN"/>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14"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kern w:val="0"/>
                <w:sz w:val="22"/>
                <w:szCs w:val="22"/>
                <w:highlight w:val="none"/>
                <w:vertAlign w:val="baseline"/>
                <w:lang w:val="en-US" w:eastAsia="zh-CN"/>
              </w:rPr>
            </w:pPr>
            <w:r>
              <w:rPr>
                <w:rFonts w:hint="eastAsia" w:ascii="宋体" w:hAnsi="宋体" w:eastAsia="宋体" w:cs="宋体"/>
                <w:color w:val="auto"/>
                <w:kern w:val="0"/>
                <w:sz w:val="22"/>
                <w:szCs w:val="22"/>
                <w:highlight w:val="none"/>
                <w:vertAlign w:val="baseline"/>
                <w:lang w:val="en-US" w:eastAsia="zh-CN"/>
              </w:rPr>
              <w:t>1</w:t>
            </w:r>
          </w:p>
        </w:tc>
        <w:tc>
          <w:tcPr>
            <w:tcW w:w="2166"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kern w:val="0"/>
                <w:sz w:val="22"/>
                <w:szCs w:val="22"/>
                <w:highlight w:val="none"/>
                <w:vertAlign w:val="baseline"/>
                <w:lang w:val="en-US" w:eastAsia="zh-CN"/>
              </w:rPr>
            </w:pPr>
            <w:r>
              <w:rPr>
                <w:rFonts w:hint="eastAsia" w:ascii="宋体" w:hAnsi="宋体" w:eastAsia="宋体" w:cs="宋体"/>
                <w:color w:val="auto"/>
                <w:kern w:val="0"/>
                <w:sz w:val="22"/>
                <w:szCs w:val="22"/>
                <w:highlight w:val="none"/>
                <w:vertAlign w:val="baseline"/>
                <w:lang w:val="en-US" w:eastAsia="zh-CN"/>
              </w:rPr>
              <w:t>物业经理</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kern w:val="0"/>
                <w:sz w:val="22"/>
                <w:szCs w:val="22"/>
                <w:highlight w:val="none"/>
                <w:vertAlign w:val="baseline"/>
                <w:lang w:val="en-US" w:eastAsia="zh-CN"/>
              </w:rPr>
            </w:pPr>
            <w:r>
              <w:rPr>
                <w:rFonts w:hint="eastAsia" w:ascii="宋体" w:hAnsi="宋体" w:eastAsia="宋体" w:cs="宋体"/>
                <w:color w:val="auto"/>
                <w:kern w:val="0"/>
                <w:sz w:val="22"/>
                <w:szCs w:val="22"/>
                <w:highlight w:val="none"/>
                <w:vertAlign w:val="baseline"/>
                <w:lang w:val="en-US" w:eastAsia="zh-CN"/>
              </w:rPr>
              <w:t>1</w:t>
            </w:r>
          </w:p>
        </w:tc>
        <w:tc>
          <w:tcPr>
            <w:tcW w:w="2037"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kern w:val="0"/>
                <w:sz w:val="22"/>
                <w:szCs w:val="22"/>
                <w:highlight w:val="none"/>
                <w:vertAlign w:val="baseline"/>
                <w:lang w:val="en-US" w:eastAsia="zh-CN"/>
              </w:rPr>
            </w:pPr>
            <w:r>
              <w:rPr>
                <w:rFonts w:hint="eastAsia" w:ascii="宋体" w:hAnsi="宋体" w:eastAsia="宋体" w:cs="宋体"/>
                <w:color w:val="auto"/>
                <w:kern w:val="0"/>
                <w:sz w:val="22"/>
                <w:szCs w:val="22"/>
                <w:highlight w:val="none"/>
                <w:vertAlign w:val="baseline"/>
                <w:lang w:val="en-US" w:eastAsia="zh-CN"/>
              </w:rPr>
              <w:t>/</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kern w:val="0"/>
                <w:sz w:val="22"/>
                <w:szCs w:val="22"/>
                <w:highlight w:val="none"/>
                <w:vertAlign w:val="baseline"/>
                <w:lang w:val="en-US" w:eastAsia="zh-CN"/>
              </w:rPr>
            </w:pPr>
            <w:r>
              <w:rPr>
                <w:rFonts w:hint="eastAsia" w:ascii="宋体" w:hAnsi="宋体" w:eastAsia="宋体" w:cs="宋体"/>
                <w:color w:val="auto"/>
                <w:kern w:val="0"/>
                <w:sz w:val="22"/>
                <w:szCs w:val="22"/>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14"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kern w:val="0"/>
                <w:sz w:val="22"/>
                <w:szCs w:val="22"/>
                <w:highlight w:val="none"/>
                <w:vertAlign w:val="baseline"/>
                <w:lang w:val="en-US" w:eastAsia="zh-CN"/>
              </w:rPr>
            </w:pPr>
            <w:r>
              <w:rPr>
                <w:rFonts w:hint="eastAsia" w:ascii="宋体" w:hAnsi="宋体" w:eastAsia="宋体" w:cs="宋体"/>
                <w:color w:val="auto"/>
                <w:kern w:val="0"/>
                <w:sz w:val="22"/>
                <w:szCs w:val="22"/>
                <w:highlight w:val="none"/>
                <w:vertAlign w:val="baseline"/>
                <w:lang w:val="en-US" w:eastAsia="zh-CN"/>
              </w:rPr>
              <w:t>2</w:t>
            </w:r>
          </w:p>
        </w:tc>
        <w:tc>
          <w:tcPr>
            <w:tcW w:w="2166"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kern w:val="0"/>
                <w:sz w:val="22"/>
                <w:szCs w:val="22"/>
                <w:highlight w:val="none"/>
                <w:vertAlign w:val="baseline"/>
                <w:lang w:val="en-US" w:eastAsia="zh-CN"/>
              </w:rPr>
            </w:pPr>
            <w:r>
              <w:rPr>
                <w:rFonts w:hint="eastAsia" w:ascii="宋体" w:hAnsi="宋体" w:eastAsia="宋体" w:cs="宋体"/>
                <w:color w:val="auto"/>
                <w:kern w:val="0"/>
                <w:sz w:val="22"/>
                <w:szCs w:val="22"/>
                <w:highlight w:val="none"/>
                <w:vertAlign w:val="baseline"/>
                <w:lang w:val="en-US" w:eastAsia="zh-CN"/>
              </w:rPr>
              <w:t>水电工</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kern w:val="0"/>
                <w:sz w:val="22"/>
                <w:szCs w:val="22"/>
                <w:highlight w:val="none"/>
                <w:vertAlign w:val="baseline"/>
                <w:lang w:val="en-US" w:eastAsia="zh-CN"/>
              </w:rPr>
            </w:pPr>
            <w:r>
              <w:rPr>
                <w:rFonts w:hint="eastAsia" w:ascii="宋体" w:hAnsi="宋体" w:eastAsia="宋体" w:cs="宋体"/>
                <w:color w:val="auto"/>
                <w:kern w:val="0"/>
                <w:sz w:val="22"/>
                <w:szCs w:val="22"/>
                <w:highlight w:val="none"/>
                <w:vertAlign w:val="baseline"/>
                <w:lang w:val="en-US" w:eastAsia="zh-CN"/>
              </w:rPr>
              <w:t>1</w:t>
            </w:r>
          </w:p>
        </w:tc>
        <w:tc>
          <w:tcPr>
            <w:tcW w:w="2037"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kern w:val="0"/>
                <w:sz w:val="22"/>
                <w:szCs w:val="22"/>
                <w:highlight w:val="none"/>
                <w:vertAlign w:val="baseline"/>
                <w:lang w:val="en-US" w:eastAsia="zh-CN"/>
              </w:rPr>
            </w:pPr>
            <w:r>
              <w:rPr>
                <w:rFonts w:hint="eastAsia" w:ascii="宋体" w:hAnsi="宋体" w:eastAsia="宋体" w:cs="宋体"/>
                <w:color w:val="auto"/>
                <w:kern w:val="0"/>
                <w:sz w:val="22"/>
                <w:szCs w:val="22"/>
                <w:highlight w:val="none"/>
                <w:vertAlign w:val="baseline"/>
                <w:lang w:val="en-US" w:eastAsia="zh-CN"/>
              </w:rPr>
              <w:t>/</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kern w:val="0"/>
                <w:sz w:val="22"/>
                <w:szCs w:val="22"/>
                <w:highlight w:val="none"/>
                <w:vertAlign w:val="baseline"/>
                <w:lang w:val="en-US" w:eastAsia="zh-CN"/>
              </w:rPr>
            </w:pPr>
            <w:r>
              <w:rPr>
                <w:rFonts w:hint="eastAsia" w:ascii="宋体" w:hAnsi="宋体" w:eastAsia="宋体" w:cs="宋体"/>
                <w:color w:val="auto"/>
                <w:kern w:val="0"/>
                <w:sz w:val="22"/>
                <w:szCs w:val="22"/>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14"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kern w:val="0"/>
                <w:sz w:val="22"/>
                <w:szCs w:val="22"/>
                <w:highlight w:val="none"/>
                <w:vertAlign w:val="baseline"/>
                <w:lang w:val="en-US" w:eastAsia="zh-CN"/>
              </w:rPr>
            </w:pPr>
            <w:r>
              <w:rPr>
                <w:rFonts w:hint="eastAsia" w:ascii="宋体" w:hAnsi="宋体" w:eastAsia="宋体" w:cs="宋体"/>
                <w:color w:val="auto"/>
                <w:kern w:val="0"/>
                <w:sz w:val="22"/>
                <w:szCs w:val="22"/>
                <w:highlight w:val="none"/>
                <w:vertAlign w:val="baseline"/>
                <w:lang w:val="en-US" w:eastAsia="zh-CN"/>
              </w:rPr>
              <w:t>3</w:t>
            </w:r>
          </w:p>
        </w:tc>
        <w:tc>
          <w:tcPr>
            <w:tcW w:w="2166"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kern w:val="0"/>
                <w:sz w:val="22"/>
                <w:szCs w:val="22"/>
                <w:highlight w:val="none"/>
                <w:vertAlign w:val="baseline"/>
                <w:lang w:val="en-US" w:eastAsia="zh-CN"/>
              </w:rPr>
            </w:pPr>
            <w:r>
              <w:rPr>
                <w:rFonts w:hint="eastAsia" w:ascii="宋体" w:hAnsi="宋体" w:eastAsia="宋体" w:cs="宋体"/>
                <w:color w:val="auto"/>
                <w:kern w:val="0"/>
                <w:sz w:val="22"/>
                <w:szCs w:val="22"/>
                <w:highlight w:val="none"/>
                <w:vertAlign w:val="baseline"/>
                <w:lang w:val="en-US" w:eastAsia="zh-CN"/>
              </w:rPr>
              <w:t>咨询台人员</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kern w:val="0"/>
                <w:sz w:val="22"/>
                <w:szCs w:val="22"/>
                <w:highlight w:val="none"/>
                <w:vertAlign w:val="baseline"/>
                <w:lang w:val="en-US" w:eastAsia="zh-CN"/>
              </w:rPr>
            </w:pPr>
            <w:r>
              <w:rPr>
                <w:rFonts w:hint="eastAsia" w:ascii="宋体" w:hAnsi="宋体" w:eastAsia="宋体" w:cs="宋体"/>
                <w:color w:val="auto"/>
                <w:kern w:val="0"/>
                <w:sz w:val="22"/>
                <w:szCs w:val="22"/>
                <w:highlight w:val="none"/>
                <w:vertAlign w:val="baseline"/>
                <w:lang w:val="en-US" w:eastAsia="zh-CN"/>
              </w:rPr>
              <w:t>2</w:t>
            </w:r>
          </w:p>
        </w:tc>
        <w:tc>
          <w:tcPr>
            <w:tcW w:w="2037"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kern w:val="0"/>
                <w:sz w:val="22"/>
                <w:szCs w:val="22"/>
                <w:highlight w:val="none"/>
                <w:vertAlign w:val="baseline"/>
                <w:lang w:val="en-US" w:eastAsia="zh-CN"/>
              </w:rPr>
            </w:pPr>
            <w:r>
              <w:rPr>
                <w:rFonts w:hint="eastAsia" w:ascii="宋体" w:hAnsi="宋体" w:eastAsia="宋体" w:cs="宋体"/>
                <w:color w:val="auto"/>
                <w:kern w:val="0"/>
                <w:sz w:val="22"/>
                <w:szCs w:val="22"/>
                <w:highlight w:val="none"/>
                <w:vertAlign w:val="baseline"/>
                <w:lang w:val="en-US" w:eastAsia="zh-CN"/>
              </w:rPr>
              <w:t>/</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kern w:val="0"/>
                <w:sz w:val="22"/>
                <w:szCs w:val="22"/>
                <w:highlight w:val="none"/>
                <w:vertAlign w:val="baseline"/>
                <w:lang w:val="en-US" w:eastAsia="zh-CN"/>
              </w:rPr>
            </w:pPr>
            <w:r>
              <w:rPr>
                <w:rFonts w:hint="eastAsia" w:ascii="宋体" w:hAnsi="宋体" w:eastAsia="宋体" w:cs="宋体"/>
                <w:color w:val="auto"/>
                <w:kern w:val="0"/>
                <w:sz w:val="22"/>
                <w:szCs w:val="22"/>
                <w:highlight w:val="none"/>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14"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kern w:val="0"/>
                <w:sz w:val="22"/>
                <w:szCs w:val="22"/>
                <w:highlight w:val="none"/>
                <w:vertAlign w:val="baseline"/>
                <w:lang w:val="en-US" w:eastAsia="zh-CN" w:bidi="ar-SA"/>
              </w:rPr>
            </w:pPr>
            <w:r>
              <w:rPr>
                <w:rFonts w:hint="eastAsia" w:ascii="宋体" w:hAnsi="宋体" w:eastAsia="宋体" w:cs="宋体"/>
                <w:color w:val="auto"/>
                <w:kern w:val="0"/>
                <w:sz w:val="22"/>
                <w:szCs w:val="22"/>
                <w:highlight w:val="none"/>
                <w:vertAlign w:val="baseline"/>
                <w:lang w:val="en-US" w:eastAsia="zh-CN"/>
              </w:rPr>
              <w:t>4</w:t>
            </w:r>
          </w:p>
        </w:tc>
        <w:tc>
          <w:tcPr>
            <w:tcW w:w="2166"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kern w:val="0"/>
                <w:sz w:val="22"/>
                <w:szCs w:val="22"/>
                <w:highlight w:val="none"/>
                <w:vertAlign w:val="baseline"/>
                <w:lang w:val="en-US" w:eastAsia="zh-CN"/>
              </w:rPr>
            </w:pPr>
            <w:r>
              <w:rPr>
                <w:rFonts w:hint="eastAsia" w:ascii="宋体" w:hAnsi="宋体" w:eastAsia="宋体" w:cs="宋体"/>
                <w:color w:val="auto"/>
                <w:kern w:val="0"/>
                <w:sz w:val="22"/>
                <w:szCs w:val="22"/>
                <w:highlight w:val="none"/>
                <w:vertAlign w:val="baseline"/>
                <w:lang w:val="en-US" w:eastAsia="zh-CN"/>
              </w:rPr>
              <w:t>物业内勤</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kern w:val="0"/>
                <w:sz w:val="22"/>
                <w:szCs w:val="22"/>
                <w:highlight w:val="none"/>
                <w:vertAlign w:val="baseline"/>
                <w:lang w:val="en-US" w:eastAsia="zh-CN"/>
              </w:rPr>
            </w:pPr>
            <w:r>
              <w:rPr>
                <w:rFonts w:hint="eastAsia" w:ascii="宋体" w:hAnsi="宋体" w:eastAsia="宋体" w:cs="宋体"/>
                <w:color w:val="auto"/>
                <w:kern w:val="0"/>
                <w:sz w:val="22"/>
                <w:szCs w:val="22"/>
                <w:highlight w:val="none"/>
                <w:vertAlign w:val="baseline"/>
                <w:lang w:val="en-US" w:eastAsia="zh-CN"/>
              </w:rPr>
              <w:t>1</w:t>
            </w:r>
          </w:p>
        </w:tc>
        <w:tc>
          <w:tcPr>
            <w:tcW w:w="2037"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kern w:val="0"/>
                <w:sz w:val="22"/>
                <w:szCs w:val="22"/>
                <w:highlight w:val="none"/>
                <w:vertAlign w:val="baseline"/>
                <w:lang w:val="en-US" w:eastAsia="zh-CN"/>
              </w:rPr>
            </w:pPr>
          </w:p>
        </w:tc>
        <w:tc>
          <w:tcPr>
            <w:tcW w:w="1911"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kern w:val="0"/>
                <w:sz w:val="22"/>
                <w:szCs w:val="2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1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kern w:val="0"/>
                <w:sz w:val="22"/>
                <w:szCs w:val="22"/>
                <w:highlight w:val="none"/>
                <w:vertAlign w:val="baseline"/>
                <w:lang w:val="en-US" w:eastAsia="zh-CN"/>
              </w:rPr>
            </w:pPr>
            <w:r>
              <w:rPr>
                <w:rFonts w:hint="eastAsia" w:ascii="宋体" w:hAnsi="宋体" w:eastAsia="宋体" w:cs="宋体"/>
                <w:color w:val="auto"/>
                <w:kern w:val="0"/>
                <w:sz w:val="22"/>
                <w:szCs w:val="22"/>
                <w:highlight w:val="none"/>
                <w:vertAlign w:val="baseline"/>
                <w:lang w:val="en-US" w:eastAsia="zh-CN"/>
              </w:rPr>
              <w:t>5</w:t>
            </w:r>
          </w:p>
        </w:tc>
        <w:tc>
          <w:tcPr>
            <w:tcW w:w="216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kern w:val="0"/>
                <w:sz w:val="22"/>
                <w:szCs w:val="22"/>
                <w:highlight w:val="none"/>
                <w:vertAlign w:val="baseline"/>
                <w:lang w:val="en-US" w:eastAsia="zh-CN"/>
              </w:rPr>
            </w:pPr>
            <w:r>
              <w:rPr>
                <w:rFonts w:hint="eastAsia" w:ascii="宋体" w:hAnsi="宋体" w:eastAsia="宋体" w:cs="宋体"/>
                <w:color w:val="auto"/>
                <w:kern w:val="0"/>
                <w:sz w:val="22"/>
                <w:szCs w:val="22"/>
                <w:highlight w:val="none"/>
                <w:vertAlign w:val="baseline"/>
                <w:lang w:val="en-US" w:eastAsia="zh-CN"/>
              </w:rPr>
              <w:t>保  安</w:t>
            </w:r>
          </w:p>
        </w:tc>
        <w:tc>
          <w:tcPr>
            <w:tcW w:w="162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kern w:val="0"/>
                <w:sz w:val="22"/>
                <w:szCs w:val="22"/>
                <w:highlight w:val="none"/>
                <w:vertAlign w:val="baseline"/>
                <w:lang w:val="en-US" w:eastAsia="zh-CN"/>
              </w:rPr>
            </w:pPr>
            <w:r>
              <w:rPr>
                <w:rFonts w:hint="eastAsia" w:ascii="宋体" w:hAnsi="宋体" w:eastAsia="宋体" w:cs="宋体"/>
                <w:color w:val="auto"/>
                <w:kern w:val="0"/>
                <w:sz w:val="22"/>
                <w:szCs w:val="22"/>
                <w:highlight w:val="none"/>
                <w:vertAlign w:val="baseline"/>
                <w:lang w:val="en-US" w:eastAsia="zh-CN"/>
              </w:rPr>
              <w:t>19</w:t>
            </w:r>
          </w:p>
        </w:tc>
        <w:tc>
          <w:tcPr>
            <w:tcW w:w="2037"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kern w:val="0"/>
                <w:sz w:val="22"/>
                <w:szCs w:val="22"/>
                <w:highlight w:val="none"/>
                <w:vertAlign w:val="baseline"/>
                <w:lang w:val="en-US" w:eastAsia="zh-CN"/>
              </w:rPr>
            </w:pPr>
            <w:r>
              <w:rPr>
                <w:rFonts w:hint="eastAsia" w:ascii="宋体" w:hAnsi="宋体" w:eastAsia="宋体" w:cs="宋体"/>
                <w:color w:val="auto"/>
                <w:kern w:val="0"/>
                <w:sz w:val="22"/>
                <w:szCs w:val="22"/>
                <w:highlight w:val="none"/>
                <w:vertAlign w:val="baseline"/>
                <w:lang w:val="en-US" w:eastAsia="zh-CN"/>
              </w:rPr>
              <w:t>保安队长</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kern w:val="0"/>
                <w:sz w:val="22"/>
                <w:szCs w:val="22"/>
                <w:highlight w:val="none"/>
                <w:vertAlign w:val="baseline"/>
                <w:lang w:val="en-US" w:eastAsia="zh-CN"/>
              </w:rPr>
            </w:pPr>
            <w:r>
              <w:rPr>
                <w:rFonts w:hint="eastAsia" w:ascii="宋体" w:hAnsi="宋体" w:eastAsia="宋体" w:cs="宋体"/>
                <w:color w:val="auto"/>
                <w:kern w:val="0"/>
                <w:sz w:val="22"/>
                <w:szCs w:val="22"/>
                <w:highlight w:val="none"/>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kern w:val="0"/>
                <w:sz w:val="22"/>
                <w:szCs w:val="22"/>
                <w:highlight w:val="none"/>
                <w:vertAlign w:val="baseline"/>
                <w:lang w:val="en-US" w:eastAsia="zh-CN" w:bidi="ar-SA"/>
              </w:rPr>
            </w:pPr>
          </w:p>
        </w:tc>
        <w:tc>
          <w:tcPr>
            <w:tcW w:w="216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kern w:val="0"/>
                <w:sz w:val="22"/>
                <w:szCs w:val="22"/>
                <w:highlight w:val="none"/>
                <w:vertAlign w:val="baseline"/>
                <w:lang w:val="en-US" w:eastAsia="zh-CN"/>
              </w:rPr>
            </w:pPr>
          </w:p>
        </w:tc>
        <w:tc>
          <w:tcPr>
            <w:tcW w:w="162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kern w:val="0"/>
                <w:sz w:val="22"/>
                <w:szCs w:val="22"/>
                <w:highlight w:val="none"/>
                <w:vertAlign w:val="baseline"/>
                <w:lang w:val="en-US" w:eastAsia="zh-CN"/>
              </w:rPr>
            </w:pPr>
          </w:p>
        </w:tc>
        <w:tc>
          <w:tcPr>
            <w:tcW w:w="2037" w:type="dxa"/>
            <w:tcBorders>
              <w:top w:val="single" w:color="auto" w:sz="4" w:space="0"/>
              <w:left w:val="single" w:color="auto" w:sz="4" w:space="0"/>
              <w:right w:val="single" w:color="auto" w:sz="4" w:space="0"/>
            </w:tcBorders>
            <w:noWrap w:val="0"/>
            <w:vAlign w:val="center"/>
          </w:tcPr>
          <w:p>
            <w:pPr>
              <w:widowControl w:val="0"/>
              <w:jc w:val="center"/>
              <w:rPr>
                <w:rFonts w:hint="eastAsia" w:ascii="宋体" w:hAnsi="宋体" w:eastAsia="宋体" w:cs="宋体"/>
                <w:color w:val="auto"/>
                <w:kern w:val="2"/>
                <w:sz w:val="22"/>
                <w:szCs w:val="22"/>
                <w:highlight w:val="none"/>
                <w:vertAlign w:val="baseline"/>
                <w:lang w:val="en-US" w:eastAsia="zh-CN" w:bidi="ar-SA"/>
              </w:rPr>
            </w:pPr>
            <w:r>
              <w:rPr>
                <w:rFonts w:hint="eastAsia" w:ascii="宋体" w:hAnsi="宋体" w:eastAsia="宋体" w:cs="宋体"/>
                <w:color w:val="auto"/>
                <w:kern w:val="0"/>
                <w:sz w:val="22"/>
                <w:szCs w:val="22"/>
                <w:highlight w:val="none"/>
                <w:vertAlign w:val="baseline"/>
                <w:lang w:val="en-US" w:eastAsia="zh-CN"/>
              </w:rPr>
              <w:t>保安人员</w:t>
            </w:r>
          </w:p>
        </w:tc>
        <w:tc>
          <w:tcPr>
            <w:tcW w:w="1911" w:type="dxa"/>
            <w:tcBorders>
              <w:top w:val="single" w:color="auto" w:sz="4" w:space="0"/>
              <w:left w:val="single" w:color="auto" w:sz="4" w:space="0"/>
              <w:right w:val="single" w:color="auto" w:sz="4" w:space="0"/>
            </w:tcBorders>
            <w:noWrap w:val="0"/>
            <w:vAlign w:val="center"/>
          </w:tcPr>
          <w:p>
            <w:pPr>
              <w:widowControl w:val="0"/>
              <w:jc w:val="center"/>
              <w:rPr>
                <w:rFonts w:hint="eastAsia" w:ascii="宋体" w:hAnsi="宋体" w:eastAsia="宋体" w:cs="宋体"/>
                <w:color w:val="auto"/>
                <w:kern w:val="2"/>
                <w:sz w:val="22"/>
                <w:szCs w:val="22"/>
                <w:highlight w:val="none"/>
                <w:vertAlign w:val="baseline"/>
                <w:lang w:val="en-US" w:eastAsia="zh-CN" w:bidi="ar-SA"/>
              </w:rPr>
            </w:pPr>
            <w:r>
              <w:rPr>
                <w:rFonts w:hint="eastAsia" w:ascii="宋体" w:hAnsi="宋体" w:eastAsia="宋体" w:cs="宋体"/>
                <w:color w:val="auto"/>
                <w:kern w:val="0"/>
                <w:sz w:val="22"/>
                <w:szCs w:val="22"/>
                <w:highlight w:val="none"/>
                <w:vertAlign w:val="baseline"/>
                <w:lang w:val="en-US" w:eastAsia="zh-CN"/>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814"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kern w:val="0"/>
                <w:sz w:val="22"/>
                <w:szCs w:val="22"/>
                <w:highlight w:val="none"/>
                <w:vertAlign w:val="baseline"/>
                <w:lang w:val="en-US" w:eastAsia="zh-CN" w:bidi="ar-SA"/>
              </w:rPr>
            </w:pPr>
            <w:r>
              <w:rPr>
                <w:rFonts w:hint="eastAsia" w:ascii="宋体" w:hAnsi="宋体" w:eastAsia="宋体" w:cs="宋体"/>
                <w:color w:val="auto"/>
                <w:kern w:val="0"/>
                <w:sz w:val="22"/>
                <w:szCs w:val="22"/>
                <w:highlight w:val="none"/>
                <w:vertAlign w:val="baseline"/>
                <w:lang w:val="en-US" w:eastAsia="zh-CN"/>
              </w:rPr>
              <w:t>6</w:t>
            </w:r>
          </w:p>
        </w:tc>
        <w:tc>
          <w:tcPr>
            <w:tcW w:w="2166"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kern w:val="0"/>
                <w:sz w:val="22"/>
                <w:szCs w:val="22"/>
                <w:highlight w:val="none"/>
                <w:vertAlign w:val="baseline"/>
                <w:lang w:val="en-US" w:eastAsia="zh-CN"/>
              </w:rPr>
            </w:pPr>
            <w:r>
              <w:rPr>
                <w:rFonts w:hint="eastAsia" w:ascii="宋体" w:hAnsi="宋体" w:eastAsia="宋体" w:cs="宋体"/>
                <w:color w:val="auto"/>
                <w:kern w:val="0"/>
                <w:sz w:val="22"/>
                <w:szCs w:val="22"/>
                <w:highlight w:val="none"/>
                <w:vertAlign w:val="baseline"/>
                <w:lang w:val="en-US" w:eastAsia="zh-CN"/>
              </w:rPr>
              <w:t>监控/消控</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kern w:val="0"/>
                <w:sz w:val="22"/>
                <w:szCs w:val="22"/>
                <w:highlight w:val="none"/>
                <w:vertAlign w:val="baseline"/>
                <w:lang w:val="en-US" w:eastAsia="zh-CN"/>
              </w:rPr>
            </w:pPr>
            <w:r>
              <w:rPr>
                <w:rFonts w:hint="eastAsia" w:ascii="宋体" w:hAnsi="宋体" w:eastAsia="宋体" w:cs="宋体"/>
                <w:color w:val="auto"/>
                <w:kern w:val="0"/>
                <w:sz w:val="22"/>
                <w:szCs w:val="22"/>
                <w:highlight w:val="none"/>
                <w:vertAlign w:val="baseline"/>
                <w:lang w:val="en-US" w:eastAsia="zh-CN"/>
              </w:rPr>
              <w:t>3</w:t>
            </w:r>
          </w:p>
        </w:tc>
        <w:tc>
          <w:tcPr>
            <w:tcW w:w="2037" w:type="dxa"/>
            <w:tcBorders>
              <w:top w:val="single" w:color="auto" w:sz="4" w:space="0"/>
              <w:left w:val="single" w:color="auto" w:sz="4" w:space="0"/>
              <w:right w:val="single" w:color="auto" w:sz="4" w:space="0"/>
            </w:tcBorders>
            <w:noWrap w:val="0"/>
            <w:vAlign w:val="center"/>
          </w:tcPr>
          <w:p>
            <w:pPr>
              <w:widowControl w:val="0"/>
              <w:jc w:val="center"/>
              <w:rPr>
                <w:rFonts w:hint="eastAsia" w:ascii="宋体" w:hAnsi="宋体" w:eastAsia="宋体" w:cs="宋体"/>
                <w:color w:val="auto"/>
                <w:kern w:val="2"/>
                <w:sz w:val="22"/>
                <w:szCs w:val="22"/>
                <w:highlight w:val="none"/>
                <w:vertAlign w:val="baseline"/>
                <w:lang w:val="en-US" w:eastAsia="zh-CN" w:bidi="ar-SA"/>
              </w:rPr>
            </w:pPr>
            <w:r>
              <w:rPr>
                <w:rFonts w:hint="eastAsia" w:ascii="宋体" w:hAnsi="宋体" w:eastAsia="宋体" w:cs="宋体"/>
                <w:color w:val="auto"/>
                <w:kern w:val="0"/>
                <w:sz w:val="22"/>
                <w:szCs w:val="22"/>
                <w:highlight w:val="none"/>
                <w:vertAlign w:val="baseline"/>
                <w:lang w:val="en-US" w:eastAsia="zh-CN"/>
              </w:rPr>
              <w:t>监控/消控</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kern w:val="0"/>
                <w:sz w:val="22"/>
                <w:szCs w:val="22"/>
                <w:highlight w:val="none"/>
                <w:vertAlign w:val="baseline"/>
                <w:lang w:val="en-US" w:eastAsia="zh-CN"/>
              </w:rPr>
            </w:pPr>
            <w:r>
              <w:rPr>
                <w:rFonts w:hint="eastAsia" w:ascii="宋体" w:hAnsi="宋体" w:eastAsia="宋体" w:cs="宋体"/>
                <w:color w:val="auto"/>
                <w:kern w:val="0"/>
                <w:sz w:val="22"/>
                <w:szCs w:val="22"/>
                <w:highlight w:val="none"/>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1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kern w:val="0"/>
                <w:sz w:val="22"/>
                <w:szCs w:val="22"/>
                <w:highlight w:val="none"/>
                <w:vertAlign w:val="baseline"/>
                <w:lang w:val="en-US" w:eastAsia="zh-CN"/>
              </w:rPr>
            </w:pPr>
            <w:r>
              <w:rPr>
                <w:rFonts w:hint="eastAsia" w:ascii="宋体" w:hAnsi="宋体" w:eastAsia="宋体" w:cs="宋体"/>
                <w:color w:val="auto"/>
                <w:kern w:val="0"/>
                <w:sz w:val="22"/>
                <w:szCs w:val="22"/>
                <w:highlight w:val="none"/>
                <w:vertAlign w:val="baseline"/>
                <w:lang w:val="en-US" w:eastAsia="zh-CN"/>
              </w:rPr>
              <w:t>7</w:t>
            </w:r>
          </w:p>
        </w:tc>
        <w:tc>
          <w:tcPr>
            <w:tcW w:w="216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kern w:val="0"/>
                <w:sz w:val="22"/>
                <w:szCs w:val="22"/>
                <w:highlight w:val="none"/>
                <w:vertAlign w:val="baseline"/>
                <w:lang w:val="en-US" w:eastAsia="zh-CN"/>
              </w:rPr>
            </w:pPr>
            <w:r>
              <w:rPr>
                <w:rFonts w:hint="eastAsia" w:ascii="宋体" w:hAnsi="宋体" w:eastAsia="宋体" w:cs="宋体"/>
                <w:color w:val="auto"/>
                <w:kern w:val="0"/>
                <w:sz w:val="22"/>
                <w:szCs w:val="22"/>
                <w:highlight w:val="none"/>
                <w:vertAlign w:val="baseline"/>
                <w:lang w:val="en-US" w:eastAsia="zh-CN"/>
              </w:rPr>
              <w:t>保洁</w:t>
            </w:r>
          </w:p>
        </w:tc>
        <w:tc>
          <w:tcPr>
            <w:tcW w:w="162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kern w:val="0"/>
                <w:sz w:val="22"/>
                <w:szCs w:val="22"/>
                <w:highlight w:val="none"/>
                <w:vertAlign w:val="baseline"/>
                <w:lang w:val="en-US" w:eastAsia="zh-CN"/>
              </w:rPr>
            </w:pPr>
            <w:r>
              <w:rPr>
                <w:rFonts w:hint="eastAsia" w:ascii="宋体" w:hAnsi="宋体" w:eastAsia="宋体" w:cs="宋体"/>
                <w:color w:val="auto"/>
                <w:kern w:val="0"/>
                <w:sz w:val="22"/>
                <w:szCs w:val="22"/>
                <w:highlight w:val="none"/>
                <w:vertAlign w:val="baseline"/>
                <w:lang w:val="en-US" w:eastAsia="zh-CN"/>
              </w:rPr>
              <w:t>23</w:t>
            </w:r>
          </w:p>
        </w:tc>
        <w:tc>
          <w:tcPr>
            <w:tcW w:w="2037"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kern w:val="0"/>
                <w:sz w:val="22"/>
                <w:szCs w:val="22"/>
                <w:highlight w:val="none"/>
                <w:vertAlign w:val="baseline"/>
                <w:lang w:val="en-US" w:eastAsia="zh-CN"/>
              </w:rPr>
            </w:pPr>
            <w:r>
              <w:rPr>
                <w:rFonts w:hint="eastAsia" w:ascii="宋体" w:hAnsi="宋体" w:eastAsia="宋体" w:cs="宋体"/>
                <w:color w:val="auto"/>
                <w:kern w:val="0"/>
                <w:sz w:val="22"/>
                <w:szCs w:val="22"/>
                <w:highlight w:val="none"/>
                <w:vertAlign w:val="baseline"/>
                <w:lang w:val="en-US" w:eastAsia="zh-CN"/>
              </w:rPr>
              <w:t>保洁组长</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kern w:val="0"/>
                <w:sz w:val="22"/>
                <w:szCs w:val="22"/>
                <w:highlight w:val="none"/>
                <w:vertAlign w:val="baseline"/>
                <w:lang w:val="en-US" w:eastAsia="zh-CN"/>
              </w:rPr>
            </w:pPr>
            <w:r>
              <w:rPr>
                <w:rFonts w:hint="eastAsia" w:ascii="宋体" w:hAnsi="宋体" w:eastAsia="宋体" w:cs="宋体"/>
                <w:color w:val="auto"/>
                <w:kern w:val="0"/>
                <w:sz w:val="22"/>
                <w:szCs w:val="22"/>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8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kern w:val="0"/>
                <w:sz w:val="22"/>
                <w:szCs w:val="22"/>
                <w:highlight w:val="none"/>
                <w:vertAlign w:val="baseline"/>
                <w:lang w:val="en-US" w:eastAsia="zh-CN"/>
              </w:rPr>
            </w:pPr>
          </w:p>
        </w:tc>
        <w:tc>
          <w:tcPr>
            <w:tcW w:w="216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kern w:val="0"/>
                <w:sz w:val="22"/>
                <w:szCs w:val="22"/>
                <w:highlight w:val="none"/>
                <w:vertAlign w:val="baseline"/>
                <w:lang w:val="en-US" w:eastAsia="zh-CN"/>
              </w:rPr>
            </w:pPr>
          </w:p>
        </w:tc>
        <w:tc>
          <w:tcPr>
            <w:tcW w:w="162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kern w:val="0"/>
                <w:sz w:val="22"/>
                <w:szCs w:val="22"/>
                <w:highlight w:val="none"/>
                <w:vertAlign w:val="baseline"/>
                <w:lang w:val="en-US" w:eastAsia="zh-CN"/>
              </w:rPr>
            </w:pPr>
          </w:p>
        </w:tc>
        <w:tc>
          <w:tcPr>
            <w:tcW w:w="2037" w:type="dxa"/>
            <w:tcBorders>
              <w:top w:val="single" w:color="auto" w:sz="4" w:space="0"/>
              <w:left w:val="single" w:color="auto" w:sz="4" w:space="0"/>
              <w:right w:val="single" w:color="auto" w:sz="4" w:space="0"/>
            </w:tcBorders>
            <w:noWrap w:val="0"/>
            <w:vAlign w:val="center"/>
          </w:tcPr>
          <w:p>
            <w:pPr>
              <w:widowControl w:val="0"/>
              <w:jc w:val="center"/>
              <w:rPr>
                <w:rFonts w:hint="eastAsia" w:ascii="宋体" w:hAnsi="宋体" w:eastAsia="宋体" w:cs="宋体"/>
                <w:color w:val="auto"/>
                <w:kern w:val="2"/>
                <w:sz w:val="22"/>
                <w:szCs w:val="22"/>
                <w:highlight w:val="none"/>
                <w:vertAlign w:val="baseline"/>
                <w:lang w:val="en-US" w:eastAsia="zh-CN" w:bidi="ar-SA"/>
              </w:rPr>
            </w:pPr>
            <w:r>
              <w:rPr>
                <w:rFonts w:hint="eastAsia" w:ascii="宋体" w:hAnsi="宋体" w:eastAsia="宋体" w:cs="宋体"/>
                <w:color w:val="auto"/>
                <w:kern w:val="2"/>
                <w:sz w:val="22"/>
                <w:szCs w:val="22"/>
                <w:highlight w:val="none"/>
                <w:vertAlign w:val="baseline"/>
                <w:lang w:val="en-US" w:eastAsia="zh-CN" w:bidi="ar-SA"/>
              </w:rPr>
              <w:t>保洁员</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kern w:val="0"/>
                <w:sz w:val="22"/>
                <w:szCs w:val="22"/>
                <w:highlight w:val="none"/>
                <w:vertAlign w:val="baseline"/>
                <w:lang w:val="en-US" w:eastAsia="zh-CN"/>
              </w:rPr>
            </w:pPr>
            <w:r>
              <w:rPr>
                <w:rFonts w:hint="eastAsia" w:ascii="宋体" w:hAnsi="宋体" w:eastAsia="宋体" w:cs="宋体"/>
                <w:color w:val="auto"/>
                <w:kern w:val="0"/>
                <w:sz w:val="22"/>
                <w:szCs w:val="22"/>
                <w:highlight w:val="none"/>
                <w:vertAlign w:val="baseline"/>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14"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kern w:val="0"/>
                <w:sz w:val="22"/>
                <w:szCs w:val="22"/>
                <w:highlight w:val="none"/>
                <w:vertAlign w:val="baseline"/>
                <w:lang w:val="en-US" w:eastAsia="zh-CN"/>
              </w:rPr>
            </w:pPr>
          </w:p>
        </w:tc>
        <w:tc>
          <w:tcPr>
            <w:tcW w:w="2166"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kern w:val="0"/>
                <w:sz w:val="22"/>
                <w:szCs w:val="22"/>
                <w:highlight w:val="none"/>
                <w:vertAlign w:val="baseline"/>
                <w:lang w:val="en-US" w:eastAsia="zh-CN"/>
              </w:rPr>
            </w:pPr>
            <w:r>
              <w:rPr>
                <w:rFonts w:hint="eastAsia" w:ascii="宋体" w:hAnsi="宋体" w:eastAsia="宋体" w:cs="宋体"/>
                <w:color w:val="auto"/>
                <w:kern w:val="0"/>
                <w:sz w:val="22"/>
                <w:szCs w:val="22"/>
                <w:highlight w:val="none"/>
                <w:vertAlign w:val="baseline"/>
                <w:lang w:val="en-US" w:eastAsia="zh-CN"/>
              </w:rPr>
              <w:t>合计</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kern w:val="0"/>
                <w:sz w:val="22"/>
                <w:szCs w:val="22"/>
                <w:highlight w:val="none"/>
                <w:vertAlign w:val="baseline"/>
                <w:lang w:val="en-US" w:eastAsia="zh-CN"/>
              </w:rPr>
            </w:pPr>
            <w:r>
              <w:rPr>
                <w:rFonts w:hint="eastAsia" w:ascii="宋体" w:hAnsi="宋体" w:eastAsia="宋体" w:cs="宋体"/>
                <w:color w:val="auto"/>
                <w:kern w:val="0"/>
                <w:sz w:val="22"/>
                <w:szCs w:val="22"/>
                <w:highlight w:val="none"/>
                <w:vertAlign w:val="baseline"/>
                <w:lang w:val="en-US" w:eastAsia="zh-CN"/>
              </w:rPr>
              <w:t>50</w:t>
            </w:r>
          </w:p>
        </w:tc>
        <w:tc>
          <w:tcPr>
            <w:tcW w:w="3948"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kern w:val="0"/>
                <w:sz w:val="22"/>
                <w:szCs w:val="2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551" w:type="dxa"/>
            <w:gridSpan w:val="5"/>
            <w:tcBorders>
              <w:top w:val="single" w:color="auto" w:sz="4" w:space="0"/>
              <w:left w:val="single" w:color="auto" w:sz="4" w:space="0"/>
              <w:bottom w:val="single" w:color="auto" w:sz="4" w:space="0"/>
              <w:right w:val="single" w:color="auto" w:sz="4" w:space="0"/>
            </w:tcBorders>
            <w:noWrap w:val="0"/>
            <w:vAlign w:val="center"/>
          </w:tcPr>
          <w:p>
            <w:pPr>
              <w:widowControl w:val="0"/>
              <w:jc w:val="left"/>
              <w:rPr>
                <w:rFonts w:hint="eastAsia" w:ascii="宋体" w:hAnsi="宋体" w:eastAsia="宋体" w:cs="宋体"/>
                <w:color w:val="auto"/>
                <w:kern w:val="0"/>
                <w:sz w:val="22"/>
                <w:szCs w:val="22"/>
                <w:highlight w:val="none"/>
                <w:vertAlign w:val="baseline"/>
                <w:lang w:val="en-US" w:eastAsia="zh-CN"/>
              </w:rPr>
            </w:pPr>
            <w:r>
              <w:rPr>
                <w:rFonts w:hint="eastAsia" w:ascii="宋体" w:hAnsi="宋体" w:eastAsia="宋体" w:cs="宋体"/>
                <w:color w:val="auto"/>
                <w:sz w:val="22"/>
                <w:highlight w:val="none"/>
                <w:lang w:val="en-US" w:eastAsia="zh-CN"/>
              </w:rPr>
              <w:t>备注：所有人员均需经体检合格后方可上岗</w:t>
            </w:r>
          </w:p>
        </w:tc>
      </w:tr>
    </w:tbl>
    <w:p>
      <w:pPr>
        <w:snapToGrid w:val="0"/>
        <w:spacing w:line="240" w:lineRule="auto"/>
        <w:ind w:left="378" w:hanging="361" w:hangingChars="17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pPr>
        <w:snapToGrid w:val="0"/>
        <w:spacing w:line="24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u w:val="single"/>
        </w:rPr>
        <w:t>▲1</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b/>
          <w:color w:val="auto"/>
          <w:sz w:val="21"/>
          <w:szCs w:val="21"/>
          <w:highlight w:val="none"/>
          <w:u w:val="single"/>
        </w:rPr>
        <w:t>以上</w:t>
      </w:r>
      <w:r>
        <w:rPr>
          <w:rFonts w:hint="eastAsia" w:ascii="宋体" w:hAnsi="宋体" w:eastAsia="宋体" w:cs="宋体"/>
          <w:b/>
          <w:color w:val="auto"/>
          <w:sz w:val="21"/>
          <w:szCs w:val="21"/>
          <w:highlight w:val="none"/>
          <w:u w:val="single"/>
          <w:lang w:val="en-US" w:eastAsia="zh-CN"/>
        </w:rPr>
        <w:t>岗位</w:t>
      </w:r>
      <w:r>
        <w:rPr>
          <w:rFonts w:hint="eastAsia" w:ascii="宋体" w:hAnsi="宋体" w:eastAsia="宋体" w:cs="宋体"/>
          <w:b/>
          <w:color w:val="auto"/>
          <w:sz w:val="21"/>
          <w:szCs w:val="21"/>
          <w:highlight w:val="none"/>
          <w:u w:val="single"/>
        </w:rPr>
        <w:t>为本项目投标要求的</w:t>
      </w:r>
      <w:r>
        <w:rPr>
          <w:rFonts w:hint="eastAsia" w:ascii="宋体" w:hAnsi="宋体" w:eastAsia="宋体" w:cs="宋体"/>
          <w:b/>
          <w:color w:val="auto"/>
          <w:sz w:val="21"/>
          <w:szCs w:val="21"/>
          <w:highlight w:val="none"/>
          <w:u w:val="single"/>
          <w:lang w:val="en-US" w:eastAsia="zh-CN"/>
        </w:rPr>
        <w:t>岗位</w:t>
      </w:r>
      <w:r>
        <w:rPr>
          <w:rFonts w:hint="eastAsia" w:ascii="宋体" w:hAnsi="宋体" w:eastAsia="宋体" w:cs="宋体"/>
          <w:b/>
          <w:color w:val="auto"/>
          <w:sz w:val="21"/>
          <w:szCs w:val="21"/>
          <w:highlight w:val="none"/>
          <w:u w:val="single"/>
        </w:rPr>
        <w:t>数，</w:t>
      </w:r>
      <w:r>
        <w:rPr>
          <w:rFonts w:hint="eastAsia" w:ascii="宋体" w:hAnsi="宋体" w:eastAsia="宋体" w:cs="宋体"/>
          <w:b/>
          <w:color w:val="auto"/>
          <w:sz w:val="21"/>
          <w:szCs w:val="21"/>
          <w:highlight w:val="none"/>
          <w:u w:val="single"/>
          <w:lang w:val="en-US" w:eastAsia="zh-CN"/>
        </w:rPr>
        <w:t>投标时须严格按照该数量进行报价。</w:t>
      </w:r>
      <w:r>
        <w:rPr>
          <w:rFonts w:hint="eastAsia" w:ascii="宋体" w:hAnsi="宋体" w:eastAsia="宋体" w:cs="宋体"/>
          <w:b/>
          <w:color w:val="auto"/>
          <w:sz w:val="21"/>
          <w:szCs w:val="21"/>
          <w:highlight w:val="none"/>
          <w:u w:val="single"/>
        </w:rPr>
        <w:t>在项目实施过程中，采购人有权根据实际情况对</w:t>
      </w:r>
      <w:r>
        <w:rPr>
          <w:rFonts w:hint="eastAsia" w:ascii="宋体" w:hAnsi="宋体" w:eastAsia="宋体" w:cs="宋体"/>
          <w:b/>
          <w:color w:val="auto"/>
          <w:sz w:val="21"/>
          <w:szCs w:val="21"/>
          <w:highlight w:val="none"/>
          <w:u w:val="single"/>
          <w:lang w:val="en-US" w:eastAsia="zh-CN"/>
        </w:rPr>
        <w:t>岗位</w:t>
      </w:r>
      <w:r>
        <w:rPr>
          <w:rFonts w:hint="eastAsia" w:ascii="宋体" w:hAnsi="宋体" w:eastAsia="宋体" w:cs="宋体"/>
          <w:b/>
          <w:color w:val="auto"/>
          <w:sz w:val="21"/>
          <w:szCs w:val="21"/>
          <w:highlight w:val="none"/>
          <w:u w:val="single"/>
        </w:rPr>
        <w:t>数量和岗位配置进行调整（</w:t>
      </w:r>
      <w:r>
        <w:rPr>
          <w:rFonts w:hint="eastAsia" w:ascii="宋体" w:hAnsi="宋体" w:eastAsia="宋体" w:cs="宋体"/>
          <w:b/>
          <w:color w:val="auto"/>
          <w:sz w:val="21"/>
          <w:szCs w:val="21"/>
          <w:highlight w:val="none"/>
          <w:u w:val="single"/>
          <w:lang w:val="en-US" w:eastAsia="zh-CN"/>
        </w:rPr>
        <w:t>如调整，则</w:t>
      </w:r>
      <w:r>
        <w:rPr>
          <w:rFonts w:hint="eastAsia" w:ascii="宋体" w:hAnsi="宋体" w:eastAsia="宋体" w:cs="宋体"/>
          <w:b/>
          <w:color w:val="auto"/>
          <w:sz w:val="21"/>
          <w:szCs w:val="21"/>
          <w:highlight w:val="none"/>
          <w:u w:val="single"/>
        </w:rPr>
        <w:t>实际结算根据实际</w:t>
      </w:r>
      <w:r>
        <w:rPr>
          <w:rFonts w:hint="eastAsia" w:ascii="宋体" w:hAnsi="宋体" w:eastAsia="宋体" w:cs="宋体"/>
          <w:b/>
          <w:color w:val="auto"/>
          <w:sz w:val="21"/>
          <w:szCs w:val="21"/>
          <w:highlight w:val="none"/>
          <w:u w:val="single"/>
          <w:lang w:val="en-US" w:eastAsia="zh-CN"/>
        </w:rPr>
        <w:t>岗位</w:t>
      </w:r>
      <w:r>
        <w:rPr>
          <w:rFonts w:hint="eastAsia" w:ascii="宋体" w:hAnsi="宋体" w:eastAsia="宋体" w:cs="宋体"/>
          <w:b/>
          <w:color w:val="auto"/>
          <w:sz w:val="21"/>
          <w:szCs w:val="21"/>
          <w:highlight w:val="none"/>
          <w:u w:val="single"/>
        </w:rPr>
        <w:t>数量及</w:t>
      </w:r>
      <w:r>
        <w:rPr>
          <w:rFonts w:hint="eastAsia" w:ascii="宋体" w:hAnsi="宋体" w:eastAsia="宋体" w:cs="宋体"/>
          <w:b/>
          <w:color w:val="auto"/>
          <w:sz w:val="21"/>
          <w:szCs w:val="21"/>
          <w:highlight w:val="none"/>
          <w:u w:val="single"/>
          <w:lang w:val="en-US" w:eastAsia="zh-CN"/>
        </w:rPr>
        <w:t>供应商</w:t>
      </w:r>
      <w:r>
        <w:rPr>
          <w:rFonts w:hint="eastAsia" w:ascii="宋体" w:hAnsi="宋体" w:eastAsia="宋体" w:cs="宋体"/>
          <w:b/>
          <w:color w:val="auto"/>
          <w:sz w:val="21"/>
          <w:szCs w:val="21"/>
          <w:highlight w:val="none"/>
          <w:u w:val="single"/>
        </w:rPr>
        <w:t>最终成交分项报价表中各岗位月工资按实结算物业费，临时增加人员费用每季按实结算支付），各供应商须充分</w:t>
      </w:r>
      <w:r>
        <w:rPr>
          <w:rFonts w:hint="eastAsia" w:ascii="宋体" w:hAnsi="宋体" w:eastAsia="宋体" w:cs="宋体"/>
          <w:b/>
          <w:color w:val="auto"/>
          <w:sz w:val="21"/>
          <w:szCs w:val="21"/>
          <w:highlight w:val="none"/>
          <w:u w:val="single"/>
          <w:lang w:val="en-US" w:eastAsia="zh-CN"/>
        </w:rPr>
        <w:t>考虑项目实施工程中的人员轮岗调休等事项，自行</w:t>
      </w:r>
      <w:r>
        <w:rPr>
          <w:rFonts w:hint="eastAsia" w:ascii="宋体" w:hAnsi="宋体" w:eastAsia="宋体" w:cs="宋体"/>
          <w:b/>
          <w:color w:val="auto"/>
          <w:sz w:val="21"/>
          <w:szCs w:val="21"/>
          <w:highlight w:val="none"/>
          <w:u w:val="single"/>
        </w:rPr>
        <w:t>考虑报价风险。</w:t>
      </w:r>
    </w:p>
    <w:p>
      <w:pPr>
        <w:pStyle w:val="2"/>
        <w:numPr>
          <w:ilvl w:val="0"/>
          <w:numId w:val="0"/>
        </w:numPr>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2）物业经理需按规定参加服务区的日常排班值守，相关费用在报价过程中自行考虑，综合报价。</w:t>
      </w:r>
    </w:p>
    <w:p>
      <w:pPr>
        <w:pStyle w:val="2"/>
        <w:numPr>
          <w:ilvl w:val="0"/>
          <w:numId w:val="0"/>
        </w:numPr>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3）物业经理、水电工除规定日常工作时间外，需24小时保持联络畅通，随时待命。在接到通知后需能及时赶赴现场处理相关事宜，保障服务区的正常运转。</w:t>
      </w:r>
    </w:p>
    <w:p>
      <w:pPr>
        <w:pStyle w:val="2"/>
        <w:numPr>
          <w:ilvl w:val="0"/>
          <w:numId w:val="0"/>
        </w:numPr>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4）所有人员均需经体检合格后方可上岗。</w:t>
      </w:r>
    </w:p>
    <w:p>
      <w:pPr>
        <w:pStyle w:val="2"/>
        <w:numPr>
          <w:ilvl w:val="0"/>
          <w:numId w:val="0"/>
        </w:numPr>
        <w:spacing w:line="240" w:lineRule="auto"/>
        <w:ind w:firstLine="420"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b/>
          <w:bCs/>
          <w:color w:val="auto"/>
          <w:sz w:val="21"/>
          <w:szCs w:val="21"/>
          <w:highlight w:val="none"/>
          <w:lang w:val="en-US" w:eastAsia="zh-CN"/>
        </w:rPr>
        <w:t>消控人员、水电工必须持证上岗（国家职业资格证书），严格按作业证许可范围分别从事各自岗位工作。</w:t>
      </w:r>
    </w:p>
    <w:p>
      <w:pPr>
        <w:widowControl/>
        <w:numPr>
          <w:ilvl w:val="2"/>
          <w:numId w:val="30"/>
        </w:numPr>
        <w:tabs>
          <w:tab w:val="left" w:pos="640"/>
          <w:tab w:val="clear" w:pos="1156"/>
        </w:tabs>
        <w:snapToGrid/>
        <w:spacing w:line="240" w:lineRule="auto"/>
        <w:ind w:left="640" w:hanging="640"/>
        <w:jc w:val="left"/>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物业经理岗位：高中以上文化程度，年龄在30～</w:t>
      </w:r>
      <w:r>
        <w:rPr>
          <w:rFonts w:hint="eastAsia" w:ascii="宋体" w:hAnsi="宋体" w:eastAsia="宋体" w:cs="宋体"/>
          <w:color w:val="auto"/>
          <w:sz w:val="21"/>
          <w:szCs w:val="21"/>
          <w:highlight w:val="none"/>
          <w:lang w:val="en-US" w:eastAsia="zh-CN" w:bidi="ar"/>
        </w:rPr>
        <w:t>55</w:t>
      </w:r>
      <w:r>
        <w:rPr>
          <w:rFonts w:hint="eastAsia" w:ascii="宋体" w:hAnsi="宋体" w:eastAsia="宋体" w:cs="宋体"/>
          <w:color w:val="auto"/>
          <w:sz w:val="21"/>
          <w:szCs w:val="21"/>
          <w:highlight w:val="none"/>
          <w:lang w:eastAsia="zh-CN" w:bidi="ar"/>
        </w:rPr>
        <w:t>岁，具有3年以上物业管理经验，1年以上类似项目物业管理工作经验；工作细致、敬业、动手能力强，拥有较强的沟通力和执行力，良好的领导力和团队管理能力；责任心强，乐于奉献；全部负责管理处的日常管理工作，负责与业主及外部的沟通与协调。</w:t>
      </w:r>
    </w:p>
    <w:p>
      <w:pPr>
        <w:widowControl/>
        <w:numPr>
          <w:ilvl w:val="2"/>
          <w:numId w:val="30"/>
        </w:numPr>
        <w:tabs>
          <w:tab w:val="left" w:pos="640"/>
          <w:tab w:val="clear" w:pos="1156"/>
        </w:tabs>
        <w:snapToGrid/>
        <w:spacing w:line="240" w:lineRule="auto"/>
        <w:ind w:left="640" w:hanging="640"/>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物业内勤岗位：高中以上文化程度，22-40岁，形象良好，具备良好的沟通能力、基础电脑操作能力和良好的服务意识、注重服务细节。</w:t>
      </w:r>
    </w:p>
    <w:p>
      <w:pPr>
        <w:widowControl/>
        <w:numPr>
          <w:ilvl w:val="2"/>
          <w:numId w:val="30"/>
        </w:numPr>
        <w:tabs>
          <w:tab w:val="left" w:pos="640"/>
          <w:tab w:val="clear" w:pos="1156"/>
        </w:tabs>
        <w:snapToGrid/>
        <w:spacing w:line="240" w:lineRule="auto"/>
        <w:ind w:left="640" w:hanging="640"/>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咨询台人员岗位：高中以上文化程度，22-40岁</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特别优秀的经甲方同意可适当放宽</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，形象良好，具备良好的沟通能力、基础电脑操作能力和良好的服务意识、注重服务细节。</w:t>
      </w:r>
    </w:p>
    <w:p>
      <w:pPr>
        <w:widowControl/>
        <w:numPr>
          <w:ilvl w:val="2"/>
          <w:numId w:val="30"/>
        </w:numPr>
        <w:tabs>
          <w:tab w:val="left" w:pos="640"/>
          <w:tab w:val="clear" w:pos="1156"/>
        </w:tabs>
        <w:snapToGrid/>
        <w:spacing w:line="240" w:lineRule="auto"/>
        <w:ind w:left="640" w:hanging="640"/>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监控（消控）员岗位：高中以上文化程度，20</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55岁以下，无近视，具有较强的消防和安保知识，责任心强，应变能力强，能吃苦耐劳，消控员须持证上岗。</w:t>
      </w:r>
    </w:p>
    <w:p>
      <w:pPr>
        <w:widowControl/>
        <w:numPr>
          <w:ilvl w:val="2"/>
          <w:numId w:val="30"/>
        </w:numPr>
        <w:tabs>
          <w:tab w:val="left" w:pos="640"/>
          <w:tab w:val="clear" w:pos="1156"/>
        </w:tabs>
        <w:snapToGrid/>
        <w:spacing w:line="240" w:lineRule="auto"/>
        <w:ind w:left="640" w:hanging="640"/>
        <w:jc w:val="left"/>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水电工岗位：</w:t>
      </w:r>
      <w:r>
        <w:rPr>
          <w:rFonts w:hint="eastAsia" w:ascii="宋体" w:hAnsi="宋体" w:eastAsia="宋体" w:cs="宋体"/>
          <w:color w:val="auto"/>
          <w:sz w:val="21"/>
          <w:szCs w:val="21"/>
          <w:highlight w:val="none"/>
          <w:lang w:val="en-US" w:eastAsia="zh-CN" w:bidi="ar"/>
        </w:rPr>
        <w:t>高</w:t>
      </w:r>
      <w:r>
        <w:rPr>
          <w:rFonts w:hint="eastAsia" w:ascii="宋体" w:hAnsi="宋体" w:eastAsia="宋体" w:cs="宋体"/>
          <w:color w:val="auto"/>
          <w:sz w:val="21"/>
          <w:szCs w:val="21"/>
          <w:highlight w:val="none"/>
          <w:lang w:eastAsia="zh-CN" w:bidi="ar"/>
        </w:rPr>
        <w:t>中以上文化程度，男性，22～55岁，持有相关专业上岗证件（国家职业资格证书），</w:t>
      </w: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lang w:eastAsia="zh-CN" w:bidi="ar"/>
        </w:rPr>
        <w:t>年以上相关工作经验，具备业务实施能力和良好的服务意识、注重服务细节。</w:t>
      </w:r>
    </w:p>
    <w:p>
      <w:pPr>
        <w:widowControl/>
        <w:numPr>
          <w:ilvl w:val="2"/>
          <w:numId w:val="30"/>
        </w:numPr>
        <w:tabs>
          <w:tab w:val="left" w:pos="640"/>
          <w:tab w:val="clear" w:pos="1156"/>
        </w:tabs>
        <w:snapToGrid/>
        <w:spacing w:line="240" w:lineRule="auto"/>
        <w:ind w:left="640" w:hanging="640"/>
        <w:jc w:val="left"/>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保安</w:t>
      </w:r>
      <w:r>
        <w:rPr>
          <w:rFonts w:hint="eastAsia" w:ascii="宋体" w:hAnsi="宋体" w:eastAsia="宋体" w:cs="宋体"/>
          <w:color w:val="auto"/>
          <w:sz w:val="21"/>
          <w:szCs w:val="21"/>
          <w:highlight w:val="none"/>
          <w:lang w:val="en-US" w:eastAsia="zh-CN" w:bidi="ar"/>
        </w:rPr>
        <w:t>员</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含保安队长</w:t>
      </w:r>
      <w:r>
        <w:rPr>
          <w:rFonts w:hint="eastAsia" w:ascii="宋体" w:hAnsi="宋体" w:eastAsia="宋体" w:cs="宋体"/>
          <w:color w:val="auto"/>
          <w:sz w:val="21"/>
          <w:szCs w:val="21"/>
          <w:highlight w:val="none"/>
          <w:lang w:eastAsia="zh-CN" w:bidi="ar"/>
        </w:rPr>
        <w:t>）：初中以上文化程度，男性，20～</w:t>
      </w:r>
      <w:r>
        <w:rPr>
          <w:rFonts w:hint="eastAsia" w:ascii="宋体" w:hAnsi="宋体" w:eastAsia="宋体" w:cs="宋体"/>
          <w:color w:val="auto"/>
          <w:sz w:val="21"/>
          <w:szCs w:val="21"/>
          <w:highlight w:val="none"/>
          <w:lang w:val="en-US" w:eastAsia="zh-CN" w:bidi="ar"/>
        </w:rPr>
        <w:t>55</w:t>
      </w:r>
      <w:r>
        <w:rPr>
          <w:rFonts w:hint="eastAsia" w:ascii="宋体" w:hAnsi="宋体" w:eastAsia="宋体" w:cs="宋体"/>
          <w:color w:val="auto"/>
          <w:sz w:val="21"/>
          <w:szCs w:val="21"/>
          <w:highlight w:val="none"/>
          <w:lang w:eastAsia="zh-CN" w:bidi="ar"/>
        </w:rPr>
        <w:t>岁（</w:t>
      </w:r>
      <w:r>
        <w:rPr>
          <w:rFonts w:hint="eastAsia" w:ascii="宋体" w:hAnsi="宋体" w:eastAsia="宋体" w:cs="宋体"/>
          <w:color w:val="auto"/>
          <w:sz w:val="21"/>
          <w:szCs w:val="21"/>
          <w:highlight w:val="none"/>
          <w:lang w:val="en-US" w:eastAsia="zh-CN" w:bidi="ar"/>
        </w:rPr>
        <w:t>特别优秀的经甲方同意可适当放宽</w:t>
      </w:r>
      <w:r>
        <w:rPr>
          <w:rFonts w:hint="eastAsia" w:ascii="宋体" w:hAnsi="宋体" w:eastAsia="宋体" w:cs="宋体"/>
          <w:color w:val="auto"/>
          <w:sz w:val="21"/>
          <w:szCs w:val="21"/>
          <w:highlight w:val="none"/>
          <w:lang w:eastAsia="zh-CN" w:bidi="ar"/>
        </w:rPr>
        <w:t>），身高1.6</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eastAsia="zh-CN" w:bidi="ar"/>
        </w:rPr>
        <w:t>米以上，无近视，具有较强的安保和消防知识，</w:t>
      </w:r>
      <w:r>
        <w:rPr>
          <w:rFonts w:hint="eastAsia" w:ascii="宋体" w:hAnsi="宋体" w:eastAsia="宋体" w:cs="宋体"/>
          <w:color w:val="auto"/>
          <w:sz w:val="21"/>
          <w:szCs w:val="21"/>
          <w:highlight w:val="none"/>
          <w:lang w:val="en-US" w:eastAsia="zh-CN" w:bidi="ar"/>
        </w:rPr>
        <w:t>退伍军人优先考虑，具有保安员资格证，</w:t>
      </w:r>
      <w:r>
        <w:rPr>
          <w:rFonts w:hint="eastAsia" w:ascii="宋体" w:hAnsi="宋体" w:eastAsia="宋体" w:cs="宋体"/>
          <w:color w:val="auto"/>
          <w:sz w:val="21"/>
          <w:szCs w:val="21"/>
          <w:highlight w:val="none"/>
          <w:lang w:eastAsia="zh-CN" w:bidi="ar"/>
        </w:rPr>
        <w:t>一年以上安保工作经验，应变能力强、能吃苦耐劳。</w:t>
      </w:r>
    </w:p>
    <w:p>
      <w:pPr>
        <w:widowControl/>
        <w:numPr>
          <w:ilvl w:val="2"/>
          <w:numId w:val="30"/>
        </w:numPr>
        <w:tabs>
          <w:tab w:val="left" w:pos="640"/>
          <w:tab w:val="clear" w:pos="1156"/>
        </w:tabs>
        <w:snapToGrid/>
        <w:spacing w:line="240" w:lineRule="auto"/>
        <w:ind w:left="640" w:hanging="64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bidi="ar"/>
        </w:rPr>
        <w:t>保洁员</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含</w:t>
      </w:r>
      <w:r>
        <w:rPr>
          <w:rFonts w:hint="eastAsia" w:ascii="宋体" w:hAnsi="宋体" w:eastAsia="宋体" w:cs="宋体"/>
          <w:color w:val="auto"/>
          <w:kern w:val="2"/>
          <w:sz w:val="21"/>
          <w:szCs w:val="21"/>
          <w:highlight w:val="none"/>
          <w:lang w:val="en-US" w:eastAsia="zh-CN" w:bidi="ar"/>
        </w:rPr>
        <w:t>保洁主管</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男性20～</w:t>
      </w:r>
      <w:r>
        <w:rPr>
          <w:rFonts w:hint="eastAsia" w:ascii="宋体" w:hAnsi="宋体" w:eastAsia="宋体" w:cs="宋体"/>
          <w:color w:val="auto"/>
          <w:sz w:val="21"/>
          <w:szCs w:val="21"/>
          <w:highlight w:val="none"/>
        </w:rPr>
        <w:t>55岁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女性20</w:t>
      </w:r>
      <w:r>
        <w:rPr>
          <w:rFonts w:hint="eastAsia" w:ascii="宋体" w:hAnsi="宋体" w:eastAsia="宋体" w:cs="宋体"/>
          <w:color w:val="auto"/>
          <w:sz w:val="21"/>
          <w:szCs w:val="21"/>
          <w:highlight w:val="none"/>
          <w:lang w:val="en-US" w:eastAsia="zh-CN" w:bidi="ar"/>
        </w:rPr>
        <w:t>～</w:t>
      </w:r>
      <w:r>
        <w:rPr>
          <w:rFonts w:hint="eastAsia" w:ascii="宋体" w:hAnsi="宋体" w:eastAsia="宋体" w:cs="宋体"/>
          <w:color w:val="auto"/>
          <w:sz w:val="21"/>
          <w:szCs w:val="21"/>
          <w:highlight w:val="none"/>
          <w:lang w:val="en-US" w:eastAsia="zh-CN"/>
        </w:rPr>
        <w:t>50岁，特别优秀的经甲方同意可适当放宽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具备一定文化程度，会讲普通话，具有1年以上相关工作经验，五官端正，工作勤奋，具有服务意识、注重服务细节，具备吃苦耐劳的精神。</w:t>
      </w:r>
    </w:p>
    <w:p>
      <w:pPr>
        <w:numPr>
          <w:ilvl w:val="0"/>
          <w:numId w:val="30"/>
        </w:numPr>
        <w:tabs>
          <w:tab w:val="left" w:pos="640"/>
          <w:tab w:val="clear" w:pos="680"/>
        </w:tabs>
        <w:spacing w:line="240" w:lineRule="auto"/>
        <w:ind w:left="640" w:hanging="64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服务标准及要求</w:t>
      </w:r>
    </w:p>
    <w:p>
      <w:pPr>
        <w:numPr>
          <w:ilvl w:val="1"/>
          <w:numId w:val="30"/>
        </w:numPr>
        <w:tabs>
          <w:tab w:val="left" w:pos="640"/>
          <w:tab w:val="clear" w:pos="680"/>
        </w:tabs>
        <w:spacing w:line="240" w:lineRule="auto"/>
        <w:ind w:left="640" w:hanging="64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保洁服务要求</w:t>
      </w:r>
    </w:p>
    <w:p>
      <w:pPr>
        <w:widowControl/>
        <w:numPr>
          <w:ilvl w:val="2"/>
          <w:numId w:val="30"/>
        </w:numPr>
        <w:tabs>
          <w:tab w:val="left" w:pos="640"/>
          <w:tab w:val="clear" w:pos="1156"/>
        </w:tabs>
        <w:adjustRightInd/>
        <w:snapToGrid/>
        <w:spacing w:line="240" w:lineRule="auto"/>
        <w:ind w:left="1060" w:hanging="106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公共区域（</w:t>
      </w:r>
      <w:r>
        <w:rPr>
          <w:rFonts w:hint="eastAsia" w:ascii="宋体" w:hAnsi="宋体" w:eastAsia="宋体" w:cs="宋体"/>
          <w:b w:val="0"/>
          <w:color w:val="auto"/>
          <w:sz w:val="21"/>
          <w:szCs w:val="21"/>
          <w:highlight w:val="none"/>
          <w:lang w:bidi="ar"/>
        </w:rPr>
        <w:t>包括办公室、会议室等</w:t>
      </w:r>
      <w:r>
        <w:rPr>
          <w:rFonts w:hint="eastAsia" w:ascii="宋体" w:hAnsi="宋体" w:eastAsia="宋体" w:cs="宋体"/>
          <w:bCs w:val="0"/>
          <w:color w:val="auto"/>
          <w:sz w:val="21"/>
          <w:szCs w:val="21"/>
          <w:highlight w:val="none"/>
          <w:lang w:bidi="ar"/>
        </w:rPr>
        <w:t>）</w:t>
      </w:r>
    </w:p>
    <w:p>
      <w:pPr>
        <w:widowControl/>
        <w:numPr>
          <w:ilvl w:val="3"/>
          <w:numId w:val="30"/>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规范着装，正确穿戴防护用品，做好地面防滑工作，外场作业人员务必穿反光背心。</w:t>
      </w:r>
    </w:p>
    <w:p>
      <w:pPr>
        <w:widowControl/>
        <w:numPr>
          <w:ilvl w:val="3"/>
          <w:numId w:val="30"/>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负责广场的环境卫生工作，确保地面无明显垃圾、杂物、油污，无明显积水；垃圾全部装袋，一律投入垃圾箱，垃圾箱无寄生虫害，无蚊蝇繁衍；警示牌、指示牌、广告牌、草坪灯箱等无积灰、污垢，不锈钢栏、垃圾箱等清洁明亮，无水锈、无污渍、无损坏；垃圾桶量达到三分之二及时倾倒垃圾。</w:t>
      </w:r>
    </w:p>
    <w:p>
      <w:pPr>
        <w:widowControl/>
        <w:numPr>
          <w:ilvl w:val="3"/>
          <w:numId w:val="30"/>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负责做好公共区域公厕及草坪等绿化地带的清洁</w:t>
      </w:r>
      <w:r>
        <w:rPr>
          <w:rFonts w:hint="eastAsia" w:ascii="宋体" w:hAnsi="宋体" w:eastAsia="宋体" w:cs="宋体"/>
          <w:bCs w:val="0"/>
          <w:color w:val="auto"/>
          <w:sz w:val="21"/>
          <w:szCs w:val="21"/>
          <w:highlight w:val="none"/>
          <w:lang w:eastAsia="zh-CN" w:bidi="ar"/>
        </w:rPr>
        <w:t>、</w:t>
      </w:r>
      <w:r>
        <w:rPr>
          <w:rFonts w:hint="eastAsia" w:ascii="宋体" w:hAnsi="宋体" w:eastAsia="宋体" w:cs="宋体"/>
          <w:color w:val="auto"/>
          <w:sz w:val="21"/>
          <w:szCs w:val="21"/>
          <w:highlight w:val="none"/>
          <w:lang w:bidi="ar"/>
        </w:rPr>
        <w:t>苗木浇水</w:t>
      </w:r>
      <w:r>
        <w:rPr>
          <w:rFonts w:hint="eastAsia" w:ascii="宋体" w:hAnsi="宋体" w:eastAsia="宋体" w:cs="宋体"/>
          <w:bCs w:val="0"/>
          <w:color w:val="auto"/>
          <w:sz w:val="21"/>
          <w:szCs w:val="21"/>
          <w:highlight w:val="none"/>
          <w:lang w:bidi="ar"/>
        </w:rPr>
        <w:t>；负责定期对墙面、顶棚、门、窗、镜面进行清洁，做到无污渍、无蛛网，发现堵塞、设施损坏或其他突发事故必须要及时上报处理。</w:t>
      </w:r>
    </w:p>
    <w:p>
      <w:pPr>
        <w:widowControl/>
        <w:numPr>
          <w:ilvl w:val="3"/>
          <w:numId w:val="30"/>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定期做好灭蚊、灭蝇工作，撒放消毒药水，保障垃圾房及垃圾箱无寄生虫害，无蚊蝇繁衍。</w:t>
      </w:r>
    </w:p>
    <w:p>
      <w:pPr>
        <w:widowControl/>
        <w:numPr>
          <w:ilvl w:val="3"/>
          <w:numId w:val="30"/>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遵守</w:t>
      </w:r>
      <w:r>
        <w:rPr>
          <w:rFonts w:hint="eastAsia" w:ascii="宋体" w:hAnsi="宋体" w:eastAsia="宋体" w:cs="宋体"/>
          <w:bCs w:val="0"/>
          <w:color w:val="auto"/>
          <w:sz w:val="21"/>
          <w:szCs w:val="21"/>
          <w:highlight w:val="none"/>
          <w:lang w:eastAsia="zh-CN" w:bidi="ar"/>
        </w:rPr>
        <w:t>服务区</w:t>
      </w:r>
      <w:r>
        <w:rPr>
          <w:rFonts w:hint="eastAsia" w:ascii="宋体" w:hAnsi="宋体" w:eastAsia="宋体" w:cs="宋体"/>
          <w:bCs w:val="0"/>
          <w:color w:val="auto"/>
          <w:sz w:val="21"/>
          <w:szCs w:val="21"/>
          <w:highlight w:val="none"/>
          <w:lang w:bidi="ar"/>
        </w:rPr>
        <w:t>各项规章制度，不违反劳动纪律，不违章作业，对本岗位的安全生产负直接责任。</w:t>
      </w:r>
    </w:p>
    <w:p>
      <w:pPr>
        <w:widowControl/>
        <w:numPr>
          <w:ilvl w:val="3"/>
          <w:numId w:val="30"/>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熟悉区域内消防器材的放置位置，保持安全通道畅通，不得随意挪动、使用消防器材；学会正确使用灭火器，懂得报火警和简单的火灾扑救知识。</w:t>
      </w:r>
    </w:p>
    <w:p>
      <w:pPr>
        <w:widowControl/>
        <w:numPr>
          <w:ilvl w:val="3"/>
          <w:numId w:val="30"/>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积极参加各种活动、岗位技术练兵和应急预案演练。</w:t>
      </w:r>
    </w:p>
    <w:p>
      <w:pPr>
        <w:widowControl/>
        <w:numPr>
          <w:ilvl w:val="3"/>
          <w:numId w:val="30"/>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每日班后检查本部门区域的水、设备设施等安全事项落实情况。</w:t>
      </w:r>
    </w:p>
    <w:p>
      <w:pPr>
        <w:widowControl/>
        <w:numPr>
          <w:ilvl w:val="3"/>
          <w:numId w:val="30"/>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发现安全隐患及时上报并整改，发生安全事故应及时上报并保护现场。</w:t>
      </w:r>
    </w:p>
    <w:p>
      <w:pPr>
        <w:widowControl/>
        <w:numPr>
          <w:ilvl w:val="2"/>
          <w:numId w:val="30"/>
        </w:numPr>
        <w:tabs>
          <w:tab w:val="left" w:pos="640"/>
          <w:tab w:val="clear" w:pos="1156"/>
        </w:tabs>
        <w:adjustRightInd/>
        <w:snapToGrid/>
        <w:spacing w:line="240" w:lineRule="auto"/>
        <w:ind w:left="1060" w:hanging="1060" w:firstLineChars="0"/>
        <w:jc w:val="left"/>
        <w:rPr>
          <w:rFonts w:hint="eastAsia" w:ascii="宋体" w:hAnsi="宋体" w:eastAsia="宋体" w:cs="宋体"/>
          <w:bCs/>
          <w:color w:val="auto"/>
          <w:sz w:val="21"/>
          <w:szCs w:val="21"/>
          <w:highlight w:val="none"/>
        </w:rPr>
      </w:pPr>
      <w:r>
        <w:rPr>
          <w:rFonts w:hint="eastAsia" w:ascii="宋体" w:hAnsi="宋体" w:eastAsia="宋体" w:cs="宋体"/>
          <w:bCs w:val="0"/>
          <w:color w:val="auto"/>
          <w:sz w:val="21"/>
          <w:szCs w:val="21"/>
          <w:highlight w:val="none"/>
          <w:lang w:bidi="ar"/>
        </w:rPr>
        <w:t>公共卫生间</w:t>
      </w:r>
    </w:p>
    <w:p>
      <w:pPr>
        <w:widowControl/>
        <w:numPr>
          <w:ilvl w:val="3"/>
          <w:numId w:val="30"/>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遵守</w:t>
      </w:r>
      <w:r>
        <w:rPr>
          <w:rFonts w:hint="eastAsia" w:ascii="宋体" w:hAnsi="宋体" w:eastAsia="宋体" w:cs="宋体"/>
          <w:bCs w:val="0"/>
          <w:color w:val="auto"/>
          <w:sz w:val="21"/>
          <w:szCs w:val="21"/>
          <w:highlight w:val="none"/>
          <w:lang w:eastAsia="zh-CN" w:bidi="ar"/>
        </w:rPr>
        <w:t>服务区</w:t>
      </w:r>
      <w:r>
        <w:rPr>
          <w:rFonts w:hint="eastAsia" w:ascii="宋体" w:hAnsi="宋体" w:eastAsia="宋体" w:cs="宋体"/>
          <w:bCs w:val="0"/>
          <w:color w:val="auto"/>
          <w:sz w:val="21"/>
          <w:szCs w:val="21"/>
          <w:highlight w:val="none"/>
          <w:lang w:bidi="ar"/>
        </w:rPr>
        <w:t>各项安全生产规章制度，不违反劳动纪律，不违章作业，对本岗位的安全生产负直接责任。</w:t>
      </w:r>
    </w:p>
    <w:p>
      <w:pPr>
        <w:widowControl/>
        <w:numPr>
          <w:ilvl w:val="3"/>
          <w:numId w:val="30"/>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熟悉区域内的消防器材的放置位置，不得随意挪动、使用消防器材；学会正确使用灭火器，懂得报火警和简单的火灾扑救知识。</w:t>
      </w:r>
    </w:p>
    <w:p>
      <w:pPr>
        <w:widowControl/>
        <w:numPr>
          <w:ilvl w:val="3"/>
          <w:numId w:val="30"/>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负责洗手间的环境卫生工作，及时清除大、小便器的污垢、水锈，疏通堵塞；做到地面无杂物、灰尘、污迹，墙面、顶棚、门、窗、镜面无污渍、蛛网；定期做好灭蚊、灭蝇工作，撒放消毒药水；及时倾倒垃圾，做到垃圾不超过容器深度的三分之二。</w:t>
      </w:r>
    </w:p>
    <w:p>
      <w:pPr>
        <w:widowControl/>
        <w:numPr>
          <w:ilvl w:val="3"/>
          <w:numId w:val="30"/>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每日班后检查本部门区域的水、电、设备设施等安全事项落实情况。</w:t>
      </w:r>
    </w:p>
    <w:p>
      <w:pPr>
        <w:widowControl/>
        <w:numPr>
          <w:ilvl w:val="3"/>
          <w:numId w:val="30"/>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规范着装，正确穿戴防护用品，做好地面防滑工作，做到文明服务。</w:t>
      </w:r>
    </w:p>
    <w:p>
      <w:pPr>
        <w:widowControl/>
        <w:numPr>
          <w:ilvl w:val="3"/>
          <w:numId w:val="30"/>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 xml:space="preserve">积极参加各种安全活动、岗位技术练兵和事故预知训练。 </w:t>
      </w:r>
    </w:p>
    <w:p>
      <w:pPr>
        <w:widowControl/>
        <w:numPr>
          <w:ilvl w:val="3"/>
          <w:numId w:val="30"/>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及时放置、添加卫生纸、洗手液等。</w:t>
      </w:r>
    </w:p>
    <w:p>
      <w:pPr>
        <w:widowControl/>
        <w:numPr>
          <w:ilvl w:val="3"/>
          <w:numId w:val="30"/>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发现安全隐患及时上报并整改，发生安全事故应及时上报并保护现场。</w:t>
      </w:r>
    </w:p>
    <w:p>
      <w:pPr>
        <w:widowControl/>
        <w:numPr>
          <w:ilvl w:val="3"/>
          <w:numId w:val="30"/>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完成上级领导临时交办的其他安全工作任务。</w:t>
      </w:r>
    </w:p>
    <w:p>
      <w:pPr>
        <w:widowControl/>
        <w:numPr>
          <w:ilvl w:val="1"/>
          <w:numId w:val="30"/>
        </w:numPr>
        <w:tabs>
          <w:tab w:val="left" w:pos="640"/>
          <w:tab w:val="clear" w:pos="680"/>
        </w:tabs>
        <w:spacing w:line="240" w:lineRule="auto"/>
        <w:ind w:left="640" w:hanging="64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rPr>
        <w:t>保安服务要求</w:t>
      </w:r>
    </w:p>
    <w:p>
      <w:pPr>
        <w:widowControl/>
        <w:numPr>
          <w:ilvl w:val="2"/>
          <w:numId w:val="30"/>
        </w:numPr>
        <w:tabs>
          <w:tab w:val="left" w:pos="640"/>
          <w:tab w:val="clear" w:pos="1156"/>
        </w:tabs>
        <w:adjustRightInd/>
        <w:snapToGrid/>
        <w:spacing w:line="240" w:lineRule="auto"/>
        <w:ind w:left="640" w:hanging="6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开展</w:t>
      </w:r>
      <w:r>
        <w:rPr>
          <w:rFonts w:hint="eastAsia" w:ascii="宋体" w:hAnsi="宋体" w:eastAsia="宋体" w:cs="宋体"/>
          <w:bCs w:val="0"/>
          <w:color w:val="auto"/>
          <w:sz w:val="21"/>
          <w:szCs w:val="21"/>
          <w:highlight w:val="none"/>
          <w:lang w:eastAsia="zh-CN" w:bidi="ar"/>
        </w:rPr>
        <w:t>服务区</w:t>
      </w:r>
      <w:r>
        <w:rPr>
          <w:rFonts w:hint="eastAsia" w:ascii="宋体" w:hAnsi="宋体" w:eastAsia="宋体" w:cs="宋体"/>
          <w:bCs w:val="0"/>
          <w:color w:val="auto"/>
          <w:sz w:val="21"/>
          <w:szCs w:val="21"/>
          <w:highlight w:val="none"/>
          <w:lang w:bidi="ar"/>
        </w:rPr>
        <w:t>各项安保工作。</w:t>
      </w:r>
    </w:p>
    <w:p>
      <w:pPr>
        <w:widowControl/>
        <w:numPr>
          <w:ilvl w:val="2"/>
          <w:numId w:val="30"/>
        </w:numPr>
        <w:tabs>
          <w:tab w:val="left" w:pos="640"/>
          <w:tab w:val="clear" w:pos="1156"/>
        </w:tabs>
        <w:adjustRightInd/>
        <w:snapToGrid/>
        <w:spacing w:line="240" w:lineRule="auto"/>
        <w:ind w:left="640" w:hanging="6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负责责任区内治安管理，疏导出入口车辆和人员，确保出入口畅通有序。</w:t>
      </w:r>
    </w:p>
    <w:p>
      <w:pPr>
        <w:widowControl/>
        <w:numPr>
          <w:ilvl w:val="2"/>
          <w:numId w:val="30"/>
        </w:numPr>
        <w:tabs>
          <w:tab w:val="left" w:pos="640"/>
          <w:tab w:val="clear" w:pos="1156"/>
        </w:tabs>
        <w:adjustRightInd/>
        <w:snapToGrid/>
        <w:spacing w:line="240" w:lineRule="auto"/>
        <w:ind w:left="640" w:hanging="6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对岗位上发生突发性事件，妥善处理紧急事件，及时报告，并定期开展训练、应急演练等培训活动。</w:t>
      </w:r>
    </w:p>
    <w:p>
      <w:pPr>
        <w:widowControl/>
        <w:numPr>
          <w:ilvl w:val="2"/>
          <w:numId w:val="30"/>
        </w:numPr>
        <w:tabs>
          <w:tab w:val="left" w:pos="640"/>
          <w:tab w:val="clear" w:pos="1156"/>
        </w:tabs>
        <w:adjustRightInd/>
        <w:snapToGrid/>
        <w:spacing w:line="240" w:lineRule="auto"/>
        <w:ind w:left="640" w:hanging="6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负责做好边门进出人员、车辆的物资查验，确保</w:t>
      </w:r>
      <w:r>
        <w:rPr>
          <w:rFonts w:hint="eastAsia" w:ascii="宋体" w:hAnsi="宋体" w:eastAsia="宋体" w:cs="宋体"/>
          <w:bCs w:val="0"/>
          <w:color w:val="auto"/>
          <w:sz w:val="21"/>
          <w:szCs w:val="21"/>
          <w:highlight w:val="none"/>
          <w:lang w:eastAsia="zh-CN" w:bidi="ar"/>
        </w:rPr>
        <w:t>服务区</w:t>
      </w:r>
      <w:r>
        <w:rPr>
          <w:rFonts w:hint="eastAsia" w:ascii="宋体" w:hAnsi="宋体" w:eastAsia="宋体" w:cs="宋体"/>
          <w:bCs w:val="0"/>
          <w:color w:val="auto"/>
          <w:sz w:val="21"/>
          <w:szCs w:val="21"/>
          <w:highlight w:val="none"/>
          <w:lang w:bidi="ar"/>
        </w:rPr>
        <w:t>财产安全及现场秩序有序，对</w:t>
      </w:r>
      <w:r>
        <w:rPr>
          <w:rFonts w:hint="eastAsia" w:ascii="宋体" w:hAnsi="宋体" w:eastAsia="宋体" w:cs="宋体"/>
          <w:bCs w:val="0"/>
          <w:color w:val="auto"/>
          <w:sz w:val="21"/>
          <w:szCs w:val="21"/>
          <w:highlight w:val="none"/>
          <w:lang w:eastAsia="zh-CN" w:bidi="ar"/>
        </w:rPr>
        <w:t>服务区</w:t>
      </w:r>
      <w:r>
        <w:rPr>
          <w:rFonts w:hint="eastAsia" w:ascii="宋体" w:hAnsi="宋体" w:eastAsia="宋体" w:cs="宋体"/>
          <w:bCs w:val="0"/>
          <w:color w:val="auto"/>
          <w:sz w:val="21"/>
          <w:szCs w:val="21"/>
          <w:highlight w:val="none"/>
          <w:lang w:bidi="ar"/>
        </w:rPr>
        <w:t>边门进出情况做好详细记录。</w:t>
      </w:r>
    </w:p>
    <w:p>
      <w:pPr>
        <w:widowControl/>
        <w:numPr>
          <w:ilvl w:val="2"/>
          <w:numId w:val="30"/>
        </w:numPr>
        <w:tabs>
          <w:tab w:val="left" w:pos="640"/>
          <w:tab w:val="clear" w:pos="1156"/>
        </w:tabs>
        <w:adjustRightInd/>
        <w:snapToGrid/>
        <w:spacing w:line="240" w:lineRule="auto"/>
        <w:ind w:left="640" w:hanging="6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加强现场巡逻，负责做好各种车辆在</w:t>
      </w:r>
      <w:r>
        <w:rPr>
          <w:rFonts w:hint="eastAsia" w:ascii="宋体" w:hAnsi="宋体" w:eastAsia="宋体" w:cs="宋体"/>
          <w:bCs w:val="0"/>
          <w:color w:val="auto"/>
          <w:sz w:val="21"/>
          <w:szCs w:val="21"/>
          <w:highlight w:val="none"/>
          <w:lang w:eastAsia="zh-CN" w:bidi="ar"/>
        </w:rPr>
        <w:t>服务区</w:t>
      </w:r>
      <w:r>
        <w:rPr>
          <w:rFonts w:hint="eastAsia" w:ascii="宋体" w:hAnsi="宋体" w:eastAsia="宋体" w:cs="宋体"/>
          <w:bCs w:val="0"/>
          <w:color w:val="auto"/>
          <w:sz w:val="21"/>
          <w:szCs w:val="21"/>
          <w:highlight w:val="none"/>
          <w:lang w:bidi="ar"/>
        </w:rPr>
        <w:t>广场停放的现场指挥，做好危险品车辆的登记和指定停放工作，要求做到文明引导。</w:t>
      </w:r>
    </w:p>
    <w:p>
      <w:pPr>
        <w:widowControl/>
        <w:numPr>
          <w:ilvl w:val="2"/>
          <w:numId w:val="30"/>
        </w:numPr>
        <w:tabs>
          <w:tab w:val="left" w:pos="640"/>
          <w:tab w:val="clear" w:pos="1156"/>
        </w:tabs>
        <w:adjustRightInd/>
        <w:snapToGrid/>
        <w:spacing w:line="240" w:lineRule="auto"/>
        <w:ind w:left="640" w:hanging="6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认真做好</w:t>
      </w:r>
      <w:r>
        <w:rPr>
          <w:rFonts w:hint="eastAsia" w:ascii="宋体" w:hAnsi="宋体" w:eastAsia="宋体" w:cs="宋体"/>
          <w:bCs w:val="0"/>
          <w:color w:val="auto"/>
          <w:sz w:val="21"/>
          <w:szCs w:val="21"/>
          <w:highlight w:val="none"/>
          <w:lang w:eastAsia="zh-CN" w:bidi="ar"/>
        </w:rPr>
        <w:t>服务区</w:t>
      </w:r>
      <w:r>
        <w:rPr>
          <w:rFonts w:hint="eastAsia" w:ascii="宋体" w:hAnsi="宋体" w:eastAsia="宋体" w:cs="宋体"/>
          <w:bCs w:val="0"/>
          <w:color w:val="auto"/>
          <w:sz w:val="21"/>
          <w:szCs w:val="21"/>
          <w:highlight w:val="none"/>
          <w:lang w:bidi="ar"/>
        </w:rPr>
        <w:t>消防管理工作，在巡逻过程，关注广场设备设施，如消防栓等是否存在漏水等问题，如有发现，及时上报。负责做好消防器材和其它公共设施日常检查工作，发现损坏及时上报。</w:t>
      </w:r>
    </w:p>
    <w:p>
      <w:pPr>
        <w:widowControl/>
        <w:numPr>
          <w:ilvl w:val="2"/>
          <w:numId w:val="30"/>
        </w:numPr>
        <w:tabs>
          <w:tab w:val="left" w:pos="640"/>
          <w:tab w:val="clear" w:pos="1156"/>
        </w:tabs>
        <w:adjustRightInd/>
        <w:snapToGrid/>
        <w:spacing w:line="240" w:lineRule="auto"/>
        <w:ind w:left="640" w:hanging="6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负责保安亭内的卫生清理工作。</w:t>
      </w:r>
    </w:p>
    <w:p>
      <w:pPr>
        <w:widowControl/>
        <w:numPr>
          <w:ilvl w:val="2"/>
          <w:numId w:val="30"/>
        </w:numPr>
        <w:tabs>
          <w:tab w:val="left" w:pos="640"/>
          <w:tab w:val="clear" w:pos="1156"/>
        </w:tabs>
        <w:adjustRightInd/>
        <w:snapToGrid/>
        <w:spacing w:line="240" w:lineRule="auto"/>
        <w:ind w:left="640" w:hanging="6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严格交接班手续，认真填写《保安值班记录》。</w:t>
      </w:r>
    </w:p>
    <w:p>
      <w:pPr>
        <w:widowControl/>
        <w:numPr>
          <w:ilvl w:val="2"/>
          <w:numId w:val="30"/>
        </w:numPr>
        <w:tabs>
          <w:tab w:val="left" w:pos="640"/>
          <w:tab w:val="clear" w:pos="1156"/>
        </w:tabs>
        <w:adjustRightInd/>
        <w:snapToGrid/>
        <w:spacing w:line="240" w:lineRule="auto"/>
        <w:ind w:left="640" w:hanging="6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提醒保洁员做好停车场等场所的卫生，及时制止司乘人员</w:t>
      </w:r>
      <w:r>
        <w:rPr>
          <w:rFonts w:hint="eastAsia" w:ascii="宋体" w:hAnsi="宋体" w:eastAsia="宋体" w:cs="宋体"/>
          <w:bCs w:val="0"/>
          <w:color w:val="auto"/>
          <w:sz w:val="21"/>
          <w:szCs w:val="21"/>
          <w:highlight w:val="none"/>
          <w:lang w:eastAsia="zh-CN" w:bidi="ar"/>
        </w:rPr>
        <w:t>服务区</w:t>
      </w:r>
      <w:r>
        <w:rPr>
          <w:rFonts w:hint="eastAsia" w:ascii="宋体" w:hAnsi="宋体" w:eastAsia="宋体" w:cs="宋体"/>
          <w:bCs w:val="0"/>
          <w:color w:val="auto"/>
          <w:sz w:val="21"/>
          <w:szCs w:val="21"/>
          <w:highlight w:val="none"/>
          <w:lang w:bidi="ar"/>
        </w:rPr>
        <w:t>内的不文明行为。</w:t>
      </w:r>
    </w:p>
    <w:p>
      <w:pPr>
        <w:widowControl/>
        <w:numPr>
          <w:ilvl w:val="2"/>
          <w:numId w:val="30"/>
        </w:numPr>
        <w:tabs>
          <w:tab w:val="left" w:pos="640"/>
          <w:tab w:val="clear" w:pos="1156"/>
        </w:tabs>
        <w:adjustRightInd/>
        <w:snapToGrid/>
        <w:spacing w:line="240" w:lineRule="auto"/>
        <w:ind w:left="640" w:hanging="6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服从领导调配，认真完成上级交办的其他工作任务。</w:t>
      </w:r>
    </w:p>
    <w:p>
      <w:pPr>
        <w:widowControl/>
        <w:numPr>
          <w:ilvl w:val="1"/>
          <w:numId w:val="30"/>
        </w:numPr>
        <w:tabs>
          <w:tab w:val="left" w:pos="640"/>
          <w:tab w:val="clear" w:pos="680"/>
        </w:tabs>
        <w:spacing w:line="240" w:lineRule="auto"/>
        <w:ind w:left="640" w:hanging="64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监控值守及消控值守</w:t>
      </w:r>
    </w:p>
    <w:p>
      <w:pPr>
        <w:widowControl/>
        <w:numPr>
          <w:ilvl w:val="2"/>
          <w:numId w:val="30"/>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消控人员分班次24小时值守，具体班次及时间安排需报请采购人同意后予以实施。</w:t>
      </w:r>
    </w:p>
    <w:p>
      <w:pPr>
        <w:widowControl/>
        <w:numPr>
          <w:ilvl w:val="2"/>
          <w:numId w:val="30"/>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消防监控员岗位职责及岗位要求</w:t>
      </w:r>
    </w:p>
    <w:p>
      <w:pPr>
        <w:widowControl/>
        <w:numPr>
          <w:ilvl w:val="2"/>
          <w:numId w:val="30"/>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当班人员向主管经理负责，执行其工作指令。</w:t>
      </w:r>
    </w:p>
    <w:p>
      <w:pPr>
        <w:widowControl/>
        <w:numPr>
          <w:ilvl w:val="2"/>
          <w:numId w:val="30"/>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接班前检查中心的各项设备，包括上一班的工作记录。</w:t>
      </w:r>
    </w:p>
    <w:p>
      <w:pPr>
        <w:widowControl/>
        <w:numPr>
          <w:ilvl w:val="2"/>
          <w:numId w:val="30"/>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密切注意监控屏幕，如有异常立即通知当班领班，赶赴现场处理，并继续保持监控。</w:t>
      </w:r>
    </w:p>
    <w:p>
      <w:pPr>
        <w:widowControl/>
        <w:numPr>
          <w:ilvl w:val="2"/>
          <w:numId w:val="30"/>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熟悉单位地形环境、消防设备的分布、灭火器的摆放位置，报警系统的位置，闭路电视监控头的位置。配合各岗位工作，认真做好值班记录。</w:t>
      </w:r>
    </w:p>
    <w:p>
      <w:pPr>
        <w:widowControl/>
        <w:numPr>
          <w:ilvl w:val="2"/>
          <w:numId w:val="30"/>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认真学习各种灭火器材，熟练掌握控制中心、监控系统的操作程序，</w:t>
      </w:r>
    </w:p>
    <w:p>
      <w:pPr>
        <w:widowControl/>
        <w:numPr>
          <w:ilvl w:val="2"/>
          <w:numId w:val="30"/>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接到报警后迅速呼叫领班前往报警地点查明原因，同时对现场作定位录像并做好记录。</w:t>
      </w:r>
    </w:p>
    <w:p>
      <w:pPr>
        <w:widowControl/>
        <w:numPr>
          <w:ilvl w:val="2"/>
          <w:numId w:val="30"/>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爱护岗位上的各种设备器材，保证设施完好、灵敏有效。</w:t>
      </w:r>
    </w:p>
    <w:p>
      <w:pPr>
        <w:widowControl/>
        <w:numPr>
          <w:ilvl w:val="2"/>
          <w:numId w:val="30"/>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沉着、冷静、迅速、果断地处理当值时发生的问题，遇到难以处理的问题及时上报。工作认真负责、严格执行消防法，遵守消防中心的各项规章制度。</w:t>
      </w:r>
    </w:p>
    <w:p>
      <w:pPr>
        <w:widowControl/>
        <w:numPr>
          <w:ilvl w:val="2"/>
          <w:numId w:val="30"/>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专职人员每日要对单位的消防设施进行检查，发现有损坏应及时上报处理。并组织相关保安人员及工程部员工进行每月的消防测试及检修。</w:t>
      </w:r>
    </w:p>
    <w:p>
      <w:pPr>
        <w:widowControl/>
        <w:numPr>
          <w:ilvl w:val="2"/>
          <w:numId w:val="30"/>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做好对相关人员的定期消防培训，组织部门每周的消防培训，确保各项消防管理制度的落实，消除一切消防隐患，</w:t>
      </w:r>
    </w:p>
    <w:p>
      <w:pPr>
        <w:widowControl/>
        <w:numPr>
          <w:ilvl w:val="2"/>
          <w:numId w:val="30"/>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严格遵守保密制度，未经批准，不得向无关人员泄漏、传播保安电视监控中获知的任何信息。</w:t>
      </w:r>
    </w:p>
    <w:p>
      <w:pPr>
        <w:widowControl/>
        <w:numPr>
          <w:ilvl w:val="2"/>
          <w:numId w:val="30"/>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认真做好值勤记录，记录要准确详细。</w:t>
      </w:r>
    </w:p>
    <w:p>
      <w:pPr>
        <w:widowControl/>
        <w:numPr>
          <w:ilvl w:val="2"/>
          <w:numId w:val="30"/>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职位说明</w:t>
      </w:r>
    </w:p>
    <w:p>
      <w:pPr>
        <w:pStyle w:val="70"/>
        <w:numPr>
          <w:ilvl w:val="0"/>
          <w:numId w:val="31"/>
        </w:numPr>
        <w:tabs>
          <w:tab w:val="left" w:pos="1080"/>
          <w:tab w:val="clear" w:pos="510"/>
        </w:tabs>
        <w:spacing w:before="0" w:beforeAutospacing="0" w:after="0" w:afterAutospacing="0" w:line="240" w:lineRule="auto"/>
        <w:ind w:left="1080" w:hanging="4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教育背景：</w:t>
      </w:r>
      <w:r>
        <w:rPr>
          <w:rFonts w:hint="eastAsia" w:ascii="宋体" w:hAnsi="宋体" w:eastAsia="宋体" w:cs="宋体"/>
          <w:color w:val="auto"/>
          <w:sz w:val="21"/>
          <w:szCs w:val="21"/>
          <w:highlight w:val="none"/>
          <w:lang w:val="en-US" w:eastAsia="zh-CN"/>
        </w:rPr>
        <w:t>高</w:t>
      </w:r>
      <w:r>
        <w:rPr>
          <w:rFonts w:hint="eastAsia" w:ascii="宋体" w:hAnsi="宋体" w:eastAsia="宋体" w:cs="宋体"/>
          <w:color w:val="auto"/>
          <w:sz w:val="21"/>
          <w:szCs w:val="21"/>
          <w:highlight w:val="none"/>
        </w:rPr>
        <w:t xml:space="preserve">中及以上毕业，受过公安消防专业培训，具有上岗证。  </w:t>
      </w:r>
    </w:p>
    <w:p>
      <w:pPr>
        <w:pStyle w:val="70"/>
        <w:numPr>
          <w:ilvl w:val="0"/>
          <w:numId w:val="31"/>
        </w:numPr>
        <w:tabs>
          <w:tab w:val="left" w:pos="1080"/>
          <w:tab w:val="clear" w:pos="510"/>
        </w:tabs>
        <w:spacing w:before="0" w:beforeAutospacing="0" w:after="0" w:afterAutospacing="0" w:line="240" w:lineRule="auto"/>
        <w:ind w:left="1080" w:hanging="4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技能：消防设备控制使用，计算机操作、电视监控、事故分析处理能力和突发事件处理能力。</w:t>
      </w:r>
    </w:p>
    <w:p>
      <w:pPr>
        <w:widowControl/>
        <w:numPr>
          <w:ilvl w:val="1"/>
          <w:numId w:val="30"/>
        </w:numPr>
        <w:tabs>
          <w:tab w:val="left" w:pos="640"/>
          <w:tab w:val="clear" w:pos="680"/>
        </w:tabs>
        <w:spacing w:line="240" w:lineRule="auto"/>
        <w:ind w:left="640" w:hanging="64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水电维修</w:t>
      </w:r>
    </w:p>
    <w:p>
      <w:pPr>
        <w:widowControl/>
        <w:numPr>
          <w:ilvl w:val="2"/>
          <w:numId w:val="30"/>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设备维修过程中所需相关配件由中标人提出采购清单及要求，经采购人审核后由采购人提供。</w:t>
      </w:r>
    </w:p>
    <w:p>
      <w:pPr>
        <w:widowControl/>
        <w:numPr>
          <w:ilvl w:val="2"/>
          <w:numId w:val="30"/>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设施设备维运、保养：依据现代企业管理要求，采用国家规定的设备设施运行维护管理标准，提供</w:t>
      </w:r>
      <w:r>
        <w:rPr>
          <w:rFonts w:hint="eastAsia" w:ascii="宋体" w:hAnsi="宋体" w:eastAsia="宋体" w:cs="宋体"/>
          <w:color w:val="auto"/>
          <w:sz w:val="21"/>
          <w:szCs w:val="21"/>
          <w:highlight w:val="none"/>
          <w:lang w:eastAsia="zh-CN" w:bidi="ar"/>
        </w:rPr>
        <w:t>服务区</w:t>
      </w:r>
      <w:r>
        <w:rPr>
          <w:rFonts w:hint="eastAsia" w:ascii="宋体" w:hAnsi="宋体" w:eastAsia="宋体" w:cs="宋体"/>
          <w:color w:val="auto"/>
          <w:sz w:val="21"/>
          <w:szCs w:val="21"/>
          <w:highlight w:val="none"/>
          <w:lang w:bidi="ar"/>
        </w:rPr>
        <w:t>域供配电(含高配)及照明系统、暖通系统、直饮水系统、给排水系统、消防系统、建筑智能化系统（灯光音响系统、电源系统、网络接入、安防系统、办公系统、电话系统）、建筑幕墙和建筑装饰以及室外配套工程等的正常运行，并配合外包单位的维运、日常维修和保养。提供对其他外来维保单位或改造更新服务单位、人员进行监督、管理、配合的服务。</w:t>
      </w:r>
    </w:p>
    <w:p>
      <w:pPr>
        <w:widowControl/>
        <w:numPr>
          <w:ilvl w:val="2"/>
          <w:numId w:val="30"/>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电工应持证上岗，并符合地方行政管理部门的规范要求。</w:t>
      </w:r>
    </w:p>
    <w:p>
      <w:pPr>
        <w:widowControl/>
        <w:numPr>
          <w:ilvl w:val="2"/>
          <w:numId w:val="30"/>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房屋建筑的日常维护、维修和管理，包括：</w:t>
      </w:r>
      <w:r>
        <w:rPr>
          <w:rFonts w:hint="eastAsia" w:ascii="宋体" w:hAnsi="宋体" w:eastAsia="宋体" w:cs="宋体"/>
          <w:color w:val="auto"/>
          <w:sz w:val="21"/>
          <w:szCs w:val="21"/>
          <w:highlight w:val="none"/>
          <w:lang w:eastAsia="zh-CN" w:bidi="ar"/>
        </w:rPr>
        <w:t>服务区</w:t>
      </w:r>
      <w:r>
        <w:rPr>
          <w:rFonts w:hint="eastAsia" w:ascii="宋体" w:hAnsi="宋体" w:eastAsia="宋体" w:cs="宋体"/>
          <w:color w:val="auto"/>
          <w:sz w:val="21"/>
          <w:szCs w:val="21"/>
          <w:highlight w:val="none"/>
          <w:lang w:bidi="ar"/>
        </w:rPr>
        <w:t>域范围内的建筑物的内外墙面、楼梯间、办公区、会议室、休息区域、卫生间等。</w:t>
      </w:r>
    </w:p>
    <w:p>
      <w:pPr>
        <w:widowControl/>
        <w:numPr>
          <w:ilvl w:val="2"/>
          <w:numId w:val="30"/>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市政公用设施、附属建筑物、构筑物的维护、维修、保养和管理，包括：道路、广场、门警岗亭、</w:t>
      </w:r>
      <w:r>
        <w:rPr>
          <w:rFonts w:hint="eastAsia" w:ascii="宋体" w:hAnsi="宋体" w:eastAsia="宋体" w:cs="宋体"/>
          <w:color w:val="auto"/>
          <w:sz w:val="21"/>
          <w:szCs w:val="21"/>
          <w:highlight w:val="none"/>
          <w:lang w:eastAsia="zh-CN" w:bidi="ar"/>
        </w:rPr>
        <w:t>服务区</w:t>
      </w:r>
      <w:r>
        <w:rPr>
          <w:rFonts w:hint="eastAsia" w:ascii="宋体" w:hAnsi="宋体" w:eastAsia="宋体" w:cs="宋体"/>
          <w:color w:val="auto"/>
          <w:sz w:val="21"/>
          <w:szCs w:val="21"/>
          <w:highlight w:val="none"/>
          <w:lang w:bidi="ar"/>
        </w:rPr>
        <w:t>域内的水系景观管理与服务。</w:t>
      </w:r>
    </w:p>
    <w:p>
      <w:pPr>
        <w:widowControl/>
        <w:numPr>
          <w:ilvl w:val="2"/>
          <w:numId w:val="30"/>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房屋日常养护维修是为保持房屋原有完好程度和正常使用，而进行的日常养护和及时修复小损小坏等房屋维护管理工作。现有的建筑结构不变的基础上，均由中标人维修完成，</w:t>
      </w:r>
      <w:r>
        <w:rPr>
          <w:rFonts w:hint="eastAsia" w:ascii="宋体" w:hAnsi="宋体" w:eastAsia="宋体" w:cs="宋体"/>
          <w:color w:val="auto"/>
          <w:sz w:val="21"/>
          <w:szCs w:val="21"/>
          <w:highlight w:val="none"/>
          <w:lang w:eastAsia="zh-CN" w:bidi="ar"/>
        </w:rPr>
        <w:t>采购</w:t>
      </w:r>
      <w:r>
        <w:rPr>
          <w:rFonts w:hint="eastAsia" w:ascii="宋体" w:hAnsi="宋体" w:eastAsia="宋体" w:cs="宋体"/>
          <w:color w:val="auto"/>
          <w:sz w:val="21"/>
          <w:szCs w:val="21"/>
          <w:highlight w:val="none"/>
          <w:lang w:bidi="ar"/>
        </w:rPr>
        <w:t>人负责采购材料(政府立项项目除外)，具体标准如下：</w:t>
      </w:r>
    </w:p>
    <w:p>
      <w:pPr>
        <w:widowControl/>
        <w:numPr>
          <w:ilvl w:val="3"/>
          <w:numId w:val="30"/>
        </w:numPr>
        <w:tabs>
          <w:tab w:val="clear" w:pos="420"/>
        </w:tabs>
        <w:spacing w:line="240" w:lineRule="auto"/>
        <w:ind w:left="840" w:hanging="8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按有关法规政策规定和</w:t>
      </w:r>
      <w:r>
        <w:rPr>
          <w:rFonts w:hint="eastAsia" w:ascii="宋体" w:hAnsi="宋体" w:eastAsia="宋体" w:cs="宋体"/>
          <w:color w:val="auto"/>
          <w:sz w:val="21"/>
          <w:szCs w:val="21"/>
          <w:highlight w:val="none"/>
          <w:lang w:eastAsia="zh-CN" w:bidi="ar"/>
        </w:rPr>
        <w:t>采购</w:t>
      </w:r>
      <w:r>
        <w:rPr>
          <w:rFonts w:hint="eastAsia" w:ascii="宋体" w:hAnsi="宋体" w:eastAsia="宋体" w:cs="宋体"/>
          <w:color w:val="auto"/>
          <w:sz w:val="21"/>
          <w:szCs w:val="21"/>
          <w:highlight w:val="none"/>
          <w:lang w:bidi="ar"/>
        </w:rPr>
        <w:t>人约定对房屋及配套设施进行管理服务；</w:t>
      </w:r>
    </w:p>
    <w:p>
      <w:pPr>
        <w:widowControl/>
        <w:numPr>
          <w:ilvl w:val="3"/>
          <w:numId w:val="30"/>
        </w:numPr>
        <w:tabs>
          <w:tab w:val="clear" w:pos="420"/>
        </w:tabs>
        <w:spacing w:line="240" w:lineRule="auto"/>
        <w:ind w:left="840" w:hanging="8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房屋外观（包括屋面、天台）完好、整洁，外墙、公区楼梯间的面砖、玻璃等地面无污迹、无破损，外墙及公共空间无乱张贴、乱涂、乱画、乱悬挂现象，室外招牌、霓虹灯按规定设置，整齐有序；</w:t>
      </w:r>
    </w:p>
    <w:p>
      <w:pPr>
        <w:widowControl/>
        <w:numPr>
          <w:ilvl w:val="3"/>
          <w:numId w:val="30"/>
        </w:numPr>
        <w:tabs>
          <w:tab w:val="clear" w:pos="420"/>
        </w:tabs>
        <w:spacing w:line="240" w:lineRule="auto"/>
        <w:ind w:left="840" w:hanging="8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及时完成</w:t>
      </w:r>
      <w:r>
        <w:rPr>
          <w:rFonts w:hint="eastAsia" w:ascii="宋体" w:hAnsi="宋体" w:eastAsia="宋体" w:cs="宋体"/>
          <w:color w:val="auto"/>
          <w:sz w:val="21"/>
          <w:szCs w:val="21"/>
          <w:highlight w:val="none"/>
          <w:lang w:eastAsia="zh-CN" w:bidi="ar"/>
        </w:rPr>
        <w:t>采购</w:t>
      </w:r>
      <w:r>
        <w:rPr>
          <w:rFonts w:hint="eastAsia" w:ascii="宋体" w:hAnsi="宋体" w:eastAsia="宋体" w:cs="宋体"/>
          <w:color w:val="auto"/>
          <w:sz w:val="21"/>
          <w:szCs w:val="21"/>
          <w:highlight w:val="none"/>
          <w:lang w:bidi="ar"/>
        </w:rPr>
        <w:t>人交办的各项零星维修任务，零修合格率100%，随叫随到。</w:t>
      </w:r>
    </w:p>
    <w:p>
      <w:pPr>
        <w:widowControl/>
        <w:numPr>
          <w:ilvl w:val="2"/>
          <w:numId w:val="30"/>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维修过程中的相关维修工具及材料</w:t>
      </w:r>
      <w:r>
        <w:rPr>
          <w:rFonts w:hint="eastAsia" w:ascii="宋体" w:hAnsi="宋体" w:eastAsia="宋体" w:cs="宋体"/>
          <w:color w:val="auto"/>
          <w:sz w:val="21"/>
          <w:szCs w:val="21"/>
          <w:highlight w:val="none"/>
          <w:lang w:bidi="ar"/>
        </w:rPr>
        <w:t>由采购人提供，中标人按需领用，不得随意挪作他用。</w:t>
      </w:r>
    </w:p>
    <w:p>
      <w:pPr>
        <w:widowControl/>
        <w:numPr>
          <w:ilvl w:val="2"/>
          <w:numId w:val="30"/>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eastAsia="zh-CN" w:bidi="ar"/>
        </w:rPr>
        <w:t>采购</w:t>
      </w:r>
      <w:r>
        <w:rPr>
          <w:rFonts w:hint="eastAsia" w:ascii="宋体" w:hAnsi="宋体" w:eastAsia="宋体" w:cs="宋体"/>
          <w:color w:val="auto"/>
          <w:sz w:val="21"/>
          <w:szCs w:val="21"/>
          <w:highlight w:val="none"/>
          <w:lang w:bidi="ar"/>
        </w:rPr>
        <w:t>人委派的其他相关工作。</w:t>
      </w:r>
    </w:p>
    <w:p>
      <w:pPr>
        <w:widowControl/>
        <w:numPr>
          <w:ilvl w:val="1"/>
          <w:numId w:val="30"/>
        </w:numPr>
        <w:tabs>
          <w:tab w:val="left" w:pos="640"/>
          <w:tab w:val="clear" w:pos="680"/>
        </w:tabs>
        <w:spacing w:line="240" w:lineRule="auto"/>
        <w:ind w:left="640" w:hanging="64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其他岗位人员</w:t>
      </w:r>
    </w:p>
    <w:p>
      <w:pPr>
        <w:widowControl/>
        <w:numPr>
          <w:ilvl w:val="2"/>
          <w:numId w:val="30"/>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根据岗位要求完成相关工作。</w:t>
      </w:r>
    </w:p>
    <w:p>
      <w:pPr>
        <w:widowControl/>
        <w:numPr>
          <w:ilvl w:val="2"/>
          <w:numId w:val="30"/>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服务过程中需热情服务，不得无故迟到、早退、旷工，不得向服务对象及其他人员索要好处及回扣等。</w:t>
      </w:r>
    </w:p>
    <w:p>
      <w:pPr>
        <w:widowControl/>
        <w:numPr>
          <w:ilvl w:val="2"/>
          <w:numId w:val="30"/>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服务过程中发现问题及时向主管人员及采购人汇报。</w:t>
      </w:r>
    </w:p>
    <w:p>
      <w:pPr>
        <w:widowControl/>
        <w:numPr>
          <w:ilvl w:val="2"/>
          <w:numId w:val="30"/>
        </w:numPr>
        <w:tabs>
          <w:tab w:val="left" w:pos="640"/>
          <w:tab w:val="clear" w:pos="1156"/>
        </w:tabs>
        <w:snapToGrid/>
        <w:spacing w:line="240" w:lineRule="auto"/>
        <w:ind w:left="640" w:hanging="640"/>
        <w:jc w:val="left"/>
        <w:rPr>
          <w:rFonts w:hint="eastAsia" w:ascii="宋体" w:hAnsi="宋体" w:eastAsia="宋体" w:cs="宋体"/>
          <w:b w:val="0"/>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采购人委派的其他相关工作。</w:t>
      </w:r>
    </w:p>
    <w:p>
      <w:pPr>
        <w:widowControl/>
        <w:numPr>
          <w:ilvl w:val="1"/>
          <w:numId w:val="30"/>
        </w:numPr>
        <w:tabs>
          <w:tab w:val="left" w:pos="640"/>
          <w:tab w:val="clear" w:pos="680"/>
        </w:tabs>
        <w:snapToGrid/>
        <w:spacing w:line="240" w:lineRule="auto"/>
        <w:ind w:left="640" w:hanging="64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各岗位其他相关要求详见合同条款各岗位考核标准。</w:t>
      </w:r>
    </w:p>
    <w:p>
      <w:pPr>
        <w:widowControl/>
        <w:numPr>
          <w:ilvl w:val="0"/>
          <w:numId w:val="30"/>
        </w:numPr>
        <w:tabs>
          <w:tab w:val="left" w:pos="640"/>
          <w:tab w:val="clear" w:pos="680"/>
        </w:tabs>
        <w:snapToGrid/>
        <w:spacing w:line="240" w:lineRule="auto"/>
        <w:ind w:left="640" w:hanging="640"/>
        <w:jc w:val="left"/>
        <w:rPr>
          <w:rFonts w:hint="eastAsia" w:ascii="宋体" w:hAnsi="宋体" w:eastAsia="宋体" w:cs="宋体"/>
          <w:b/>
          <w:color w:val="auto"/>
          <w:sz w:val="21"/>
          <w:szCs w:val="21"/>
          <w:highlight w:val="none"/>
        </w:rPr>
      </w:pPr>
      <w:r>
        <w:rPr>
          <w:rFonts w:hint="eastAsia" w:ascii="宋体" w:hAnsi="宋体" w:eastAsia="宋体" w:cs="宋体"/>
          <w:b/>
          <w:bCs w:val="0"/>
          <w:color w:val="auto"/>
          <w:sz w:val="21"/>
          <w:szCs w:val="21"/>
          <w:highlight w:val="none"/>
        </w:rPr>
        <w:t>报价及其它要求</w:t>
      </w:r>
    </w:p>
    <w:p>
      <w:pPr>
        <w:widowControl/>
        <w:numPr>
          <w:ilvl w:val="1"/>
          <w:numId w:val="30"/>
        </w:numPr>
        <w:tabs>
          <w:tab w:val="left" w:pos="640"/>
          <w:tab w:val="clear" w:pos="680"/>
        </w:tabs>
        <w:spacing w:line="240" w:lineRule="auto"/>
        <w:ind w:left="640" w:hanging="640" w:firstLineChars="0"/>
        <w:jc w:val="left"/>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u w:val="single"/>
        </w:rPr>
        <w:t>▲本项目投标报价为期限壹年的承包费用报价，并采用固定总价承包。投标报价是指供应商在正确地完全履行合同义务后采购人应支付给供应商所有的价款，包括但不限于所有服务所需的人工费（包括工人工资、奖金、房补、劳保福利、社保、工伤费、教育培训费、暂住费及处理一切伤亡事故等费用）、消防远程监控维保费用、服装摊销、除四害费用及物业服务人员的装备费【包括人员各季节工作服和相关装备费用（含通讯设备及通讯费）】、交通费用、食宿费用、办公费用、保险费用、企业应缴税金和应得利润、突发应急及上级布置的专项任务、物价因素等完成合同所需的一切本身和不可或缺的所有工作开支、政策性文件规定及合同包含的所有风险、责任等各项全部费用并承担一切风险责任。投标供应商应根据上述因素自行考虑含入投标总价。</w:t>
      </w:r>
    </w:p>
    <w:p>
      <w:pPr>
        <w:widowControl/>
        <w:numPr>
          <w:ilvl w:val="1"/>
          <w:numId w:val="30"/>
        </w:numPr>
        <w:tabs>
          <w:tab w:val="left" w:pos="640"/>
          <w:tab w:val="clear" w:pos="680"/>
        </w:tabs>
        <w:spacing w:line="240" w:lineRule="auto"/>
        <w:ind w:left="640" w:hanging="640" w:firstLineChars="0"/>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物业服务人员实行8小时工作制</w:t>
      </w:r>
      <w:r>
        <w:rPr>
          <w:rFonts w:hint="eastAsia" w:ascii="宋体" w:hAnsi="宋体" w:eastAsia="宋体" w:cs="宋体"/>
          <w:color w:val="auto"/>
          <w:sz w:val="21"/>
          <w:szCs w:val="21"/>
          <w:highlight w:val="none"/>
        </w:rPr>
        <w:t>，相关加班产生的费用由投标供应商在报价中自行考虑，综合报价。</w:t>
      </w:r>
    </w:p>
    <w:p>
      <w:pPr>
        <w:widowControl/>
        <w:numPr>
          <w:ilvl w:val="1"/>
          <w:numId w:val="30"/>
        </w:numPr>
        <w:tabs>
          <w:tab w:val="left" w:pos="640"/>
          <w:tab w:val="clear" w:pos="680"/>
        </w:tabs>
        <w:spacing w:line="240" w:lineRule="auto"/>
        <w:ind w:left="640" w:hanging="64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物业经理需按规定参加服务区的日常排班值守，相关费用在报价过程中自行考虑，综合报价。</w:t>
      </w:r>
    </w:p>
    <w:p>
      <w:pPr>
        <w:widowControl/>
        <w:numPr>
          <w:ilvl w:val="1"/>
          <w:numId w:val="30"/>
        </w:numPr>
        <w:tabs>
          <w:tab w:val="left" w:pos="640"/>
          <w:tab w:val="clear" w:pos="680"/>
        </w:tabs>
        <w:spacing w:line="240" w:lineRule="auto"/>
        <w:ind w:left="640" w:hanging="64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▲服务区临时增加人员加班费，</w:t>
      </w:r>
      <w:r>
        <w:rPr>
          <w:rFonts w:hint="eastAsia" w:ascii="宋体" w:hAnsi="宋体" w:eastAsia="宋体" w:cs="宋体"/>
          <w:bCs/>
          <w:color w:val="auto"/>
          <w:sz w:val="21"/>
          <w:szCs w:val="21"/>
          <w:highlight w:val="none"/>
          <w:u w:val="single"/>
        </w:rPr>
        <w:t>加班费标准</w:t>
      </w:r>
      <w:r>
        <w:rPr>
          <w:rFonts w:hint="eastAsia" w:ascii="宋体" w:hAnsi="宋体" w:eastAsia="宋体" w:cs="宋体"/>
          <w:bCs/>
          <w:color w:val="auto"/>
          <w:sz w:val="21"/>
          <w:szCs w:val="21"/>
          <w:highlight w:val="none"/>
          <w:u w:val="single"/>
          <w:lang w:val="en-US" w:eastAsia="zh-CN"/>
        </w:rPr>
        <w:t>每人按</w:t>
      </w:r>
      <w:r>
        <w:rPr>
          <w:rFonts w:hint="eastAsia" w:ascii="宋体" w:hAnsi="宋体" w:eastAsia="宋体" w:cs="宋体"/>
          <w:bCs/>
          <w:color w:val="auto"/>
          <w:sz w:val="21"/>
          <w:szCs w:val="21"/>
          <w:highlight w:val="none"/>
          <w:u w:val="single"/>
        </w:rPr>
        <w:t>1</w:t>
      </w:r>
      <w:r>
        <w:rPr>
          <w:rFonts w:hint="eastAsia" w:ascii="宋体" w:hAnsi="宋体" w:eastAsia="宋体" w:cs="宋体"/>
          <w:bCs/>
          <w:color w:val="auto"/>
          <w:sz w:val="21"/>
          <w:szCs w:val="21"/>
          <w:highlight w:val="none"/>
          <w:u w:val="single"/>
          <w:lang w:val="en-US" w:eastAsia="zh-CN"/>
        </w:rPr>
        <w:t>2</w:t>
      </w:r>
      <w:r>
        <w:rPr>
          <w:rFonts w:hint="eastAsia" w:ascii="宋体" w:hAnsi="宋体" w:eastAsia="宋体" w:cs="宋体"/>
          <w:bCs/>
          <w:color w:val="auto"/>
          <w:sz w:val="21"/>
          <w:szCs w:val="21"/>
          <w:highlight w:val="none"/>
          <w:u w:val="single"/>
        </w:rPr>
        <w:t>0元/班</w:t>
      </w:r>
      <w:r>
        <w:rPr>
          <w:rFonts w:hint="eastAsia" w:ascii="宋体" w:hAnsi="宋体" w:eastAsia="宋体" w:cs="宋体"/>
          <w:bCs/>
          <w:color w:val="auto"/>
          <w:sz w:val="21"/>
          <w:szCs w:val="21"/>
          <w:highlight w:val="none"/>
          <w:u w:val="single"/>
          <w:lang w:val="en-US" w:eastAsia="zh-CN"/>
        </w:rPr>
        <w:t>计付</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服务区临时增加人员加班费</w:t>
      </w:r>
      <w:r>
        <w:rPr>
          <w:rFonts w:hint="eastAsia" w:ascii="宋体" w:hAnsi="宋体" w:eastAsia="宋体" w:cs="宋体"/>
          <w:color w:val="auto"/>
          <w:sz w:val="21"/>
          <w:szCs w:val="21"/>
          <w:highlight w:val="none"/>
          <w:u w:val="single"/>
          <w:lang w:val="en-US" w:eastAsia="zh-CN"/>
        </w:rPr>
        <w:t>总额限额为8</w:t>
      </w:r>
      <w:r>
        <w:rPr>
          <w:rFonts w:hint="eastAsia" w:ascii="宋体" w:hAnsi="宋体" w:eastAsia="宋体" w:cs="宋体"/>
          <w:color w:val="auto"/>
          <w:sz w:val="21"/>
          <w:szCs w:val="21"/>
          <w:highlight w:val="none"/>
          <w:u w:val="single"/>
        </w:rPr>
        <w:t>万元整，包含在报价总价中，本费用最终按实际增加人员按实结算。</w:t>
      </w:r>
    </w:p>
    <w:p>
      <w:pPr>
        <w:widowControl/>
        <w:numPr>
          <w:ilvl w:val="1"/>
          <w:numId w:val="30"/>
        </w:numPr>
        <w:tabs>
          <w:tab w:val="left" w:pos="640"/>
          <w:tab w:val="clear" w:pos="680"/>
        </w:tabs>
        <w:spacing w:line="240" w:lineRule="auto"/>
        <w:ind w:left="640" w:hanging="640" w:firstLineChars="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eastAsia="zh-CN"/>
        </w:rPr>
        <w:t>维修单价金额</w:t>
      </w:r>
      <w:r>
        <w:rPr>
          <w:rFonts w:hint="eastAsia" w:ascii="宋体" w:hAnsi="宋体" w:eastAsia="宋体" w:cs="宋体"/>
          <w:color w:val="auto"/>
          <w:sz w:val="21"/>
          <w:szCs w:val="21"/>
          <w:highlight w:val="none"/>
          <w:u w:val="single"/>
        </w:rPr>
        <w:t>在50元以下维修费用</w:t>
      </w:r>
      <w:r>
        <w:rPr>
          <w:rFonts w:hint="eastAsia" w:ascii="宋体" w:hAnsi="宋体" w:eastAsia="宋体" w:cs="宋体"/>
          <w:color w:val="auto"/>
          <w:sz w:val="21"/>
          <w:szCs w:val="21"/>
          <w:highlight w:val="none"/>
          <w:u w:val="single"/>
          <w:lang w:val="en-US" w:eastAsia="zh-CN"/>
        </w:rPr>
        <w:t>按</w:t>
      </w:r>
      <w:r>
        <w:rPr>
          <w:rFonts w:hint="eastAsia" w:ascii="宋体" w:hAnsi="宋体" w:eastAsia="宋体" w:cs="宋体"/>
          <w:color w:val="auto"/>
          <w:sz w:val="21"/>
          <w:szCs w:val="21"/>
          <w:highlight w:val="none"/>
          <w:u w:val="single"/>
        </w:rPr>
        <w:t>4万元/年</w:t>
      </w:r>
      <w:r>
        <w:rPr>
          <w:rFonts w:hint="eastAsia" w:ascii="宋体" w:hAnsi="宋体" w:eastAsia="宋体" w:cs="宋体"/>
          <w:color w:val="auto"/>
          <w:sz w:val="21"/>
          <w:szCs w:val="21"/>
          <w:highlight w:val="none"/>
          <w:u w:val="single"/>
          <w:lang w:val="en-US" w:eastAsia="zh-CN"/>
        </w:rPr>
        <w:t>总额包干</w:t>
      </w:r>
      <w:r>
        <w:rPr>
          <w:rFonts w:hint="eastAsia" w:ascii="宋体" w:hAnsi="宋体" w:eastAsia="宋体" w:cs="宋体"/>
          <w:color w:val="auto"/>
          <w:sz w:val="21"/>
          <w:szCs w:val="21"/>
          <w:highlight w:val="none"/>
          <w:u w:val="single"/>
        </w:rPr>
        <w:t>，在承包总价中列支。维修申请单需在事发时或当月由乙方提出申请，甲方负责人确认，超出时间期限的申请，一律不予确认计量。</w:t>
      </w:r>
    </w:p>
    <w:p>
      <w:pPr>
        <w:widowControl/>
        <w:numPr>
          <w:ilvl w:val="1"/>
          <w:numId w:val="30"/>
        </w:numPr>
        <w:tabs>
          <w:tab w:val="left" w:pos="640"/>
          <w:tab w:val="clear" w:pos="680"/>
        </w:tabs>
        <w:spacing w:line="240" w:lineRule="auto"/>
        <w:ind w:left="640" w:hanging="640" w:firstLineChars="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▲员工奖励金暂定每年</w:t>
      </w:r>
      <w:r>
        <w:rPr>
          <w:rFonts w:hint="eastAsia" w:ascii="宋体" w:hAnsi="宋体" w:eastAsia="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万元整，包含在投标总价中，该费用用于服务区内优秀员工的奖励，奖励金额及奖励方式由采购人根据相关员工的日常表现确定，但供应商不得因此奖励金的发放而扣减原本供应商自身应发放给员工的相关奖励。该费用供应商需按月先行垫付，足额发放至对应员工，每季度根据实际发放情况与采购人按实结算。</w:t>
      </w:r>
    </w:p>
    <w:p>
      <w:pPr>
        <w:widowControl/>
        <w:numPr>
          <w:ilvl w:val="1"/>
          <w:numId w:val="30"/>
        </w:numPr>
        <w:tabs>
          <w:tab w:val="left" w:pos="640"/>
          <w:tab w:val="clear" w:pos="680"/>
        </w:tabs>
        <w:spacing w:line="240" w:lineRule="auto"/>
        <w:ind w:left="640" w:hanging="640" w:firstLineChars="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▲中标人在服务期间的在岗员工人数不得少于采购文件规定的人数，并依法参加社保，社保缴纳基数按温州市区标准执行。</w:t>
      </w:r>
    </w:p>
    <w:p>
      <w:pPr>
        <w:widowControl/>
        <w:numPr>
          <w:ilvl w:val="1"/>
          <w:numId w:val="30"/>
        </w:numPr>
        <w:tabs>
          <w:tab w:val="left" w:pos="640"/>
          <w:tab w:val="clear" w:pos="680"/>
        </w:tabs>
        <w:spacing w:line="240" w:lineRule="auto"/>
        <w:ind w:left="640" w:hanging="640" w:firstLineChars="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结合本项目具体情况，为保证项目人员服务水平，要求本次投标供应商员工基本工资最低不得低于2800元/月，每月（最低工资不包括下列四项收入：延长工作时间的工资；中班、夜班、高温、低温、有毒有害等特殊工作环境、条件下的津贴；贴补伙食、住房等支付给劳动者的非货币性收入；法律、法规和国家规定的劳动者福利待遇等）。</w:t>
      </w:r>
    </w:p>
    <w:p>
      <w:pPr>
        <w:widowControl/>
        <w:numPr>
          <w:ilvl w:val="1"/>
          <w:numId w:val="30"/>
        </w:numPr>
        <w:tabs>
          <w:tab w:val="left" w:pos="640"/>
          <w:tab w:val="clear" w:pos="680"/>
        </w:tabs>
        <w:spacing w:line="240" w:lineRule="auto"/>
        <w:ind w:left="640" w:hanging="640" w:firstLineChars="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高温补贴：中标人需按国家规定发放相关岗位高温补贴。</w:t>
      </w:r>
    </w:p>
    <w:p>
      <w:pPr>
        <w:widowControl/>
        <w:numPr>
          <w:ilvl w:val="1"/>
          <w:numId w:val="30"/>
        </w:numPr>
        <w:tabs>
          <w:tab w:val="left" w:pos="640"/>
          <w:tab w:val="clear" w:pos="680"/>
        </w:tabs>
        <w:spacing w:line="240" w:lineRule="auto"/>
        <w:ind w:left="640" w:hanging="64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节假日补贴：本项目为高速公路服务区，为全年无休状态，中标单位需按规定发放节假日补贴。</w:t>
      </w:r>
    </w:p>
    <w:p>
      <w:pPr>
        <w:widowControl/>
        <w:numPr>
          <w:ilvl w:val="1"/>
          <w:numId w:val="30"/>
        </w:numPr>
        <w:tabs>
          <w:tab w:val="left" w:pos="640"/>
          <w:tab w:val="clear" w:pos="680"/>
        </w:tabs>
        <w:spacing w:line="240" w:lineRule="auto"/>
        <w:ind w:left="640" w:hanging="64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▲工作期间，相关服务人员需在指定餐厅搭伙就餐，伙食费按每人每月500元（只提供工作餐），包含在报价总价中。</w:t>
      </w:r>
    </w:p>
    <w:p>
      <w:pPr>
        <w:widowControl/>
        <w:numPr>
          <w:ilvl w:val="1"/>
          <w:numId w:val="30"/>
        </w:numPr>
        <w:tabs>
          <w:tab w:val="left" w:pos="640"/>
          <w:tab w:val="clear" w:pos="680"/>
        </w:tabs>
        <w:spacing w:line="240" w:lineRule="auto"/>
        <w:ind w:left="640" w:hanging="64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众责任险：中标人须投保公众责任险，承包期内相关人员在工作期间出现各种人身意外或财产损失的均由承包方负责解决处理及赔偿，采购人不再另行承担相关责任风险及赔偿责任。服务区公众责任险费用，由投标人根据各服务区面积及保险公司综合报价，自行投保，投保额度由投标人自行综合考虑，该笔费用包含在项目采购预算内，各投标供应商报价，投标总价内必须包含该笔费用。如出现因投保额度不足造成的理赔赔偿金不足的情况，由中标人自行承担。</w:t>
      </w:r>
    </w:p>
    <w:p>
      <w:pPr>
        <w:widowControl/>
        <w:numPr>
          <w:ilvl w:val="1"/>
          <w:numId w:val="30"/>
        </w:numPr>
        <w:tabs>
          <w:tab w:val="left" w:pos="640"/>
          <w:tab w:val="clear" w:pos="680"/>
        </w:tabs>
        <w:spacing w:line="240" w:lineRule="auto"/>
        <w:ind w:left="640" w:hanging="64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采购人提供的各种设备、设施、工具，中标人应安全、规范使用。除正常使用折旧外，中标人应保证各设备、设施、工具的完好性，如有非正常损坏或遗失，中标人应照价赔偿。</w:t>
      </w:r>
    </w:p>
    <w:p>
      <w:pPr>
        <w:widowControl/>
        <w:numPr>
          <w:ilvl w:val="1"/>
          <w:numId w:val="30"/>
        </w:numPr>
        <w:tabs>
          <w:tab w:val="left" w:pos="640"/>
          <w:tab w:val="clear" w:pos="680"/>
        </w:tabs>
        <w:spacing w:line="240" w:lineRule="auto"/>
        <w:ind w:left="640" w:hanging="64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人员的服装费用由供应商自行负责配备，分类统一着装，但服装样式需经采购人核准。中标人配置在服务区内的工作人员需统一着装，着装按春秋两季（含上衣、裤子、帽子、鞋子）、夏季（含上衣、裤子、帽子、鞋子）、冬季（含上衣、裤子、帽子、鞋子、冬大衣），外务人员另配一件反光背心（样式需经采购人同意），分别按实际采购人所需人员数量，统一配齐。如发生衣物破损、丢失、中标单位应及时补齐。</w:t>
      </w:r>
    </w:p>
    <w:p>
      <w:pPr>
        <w:widowControl/>
        <w:numPr>
          <w:ilvl w:val="1"/>
          <w:numId w:val="30"/>
        </w:numPr>
        <w:tabs>
          <w:tab w:val="left" w:pos="640"/>
          <w:tab w:val="clear" w:pos="680"/>
        </w:tabs>
        <w:spacing w:line="240" w:lineRule="auto"/>
        <w:ind w:left="640" w:hanging="64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中标人根据本项目投入全职工作人员的实际情况，依法参加社保。因中标人未按相关法律、法规缴纳社保而引起的纠纷投诉，由中标人自行承担相关后果，采购人概不负责。</w:t>
      </w:r>
    </w:p>
    <w:p>
      <w:pPr>
        <w:widowControl/>
        <w:numPr>
          <w:ilvl w:val="1"/>
          <w:numId w:val="30"/>
        </w:numPr>
        <w:tabs>
          <w:tab w:val="left" w:pos="640"/>
          <w:tab w:val="clear" w:pos="680"/>
        </w:tabs>
        <w:spacing w:line="240" w:lineRule="auto"/>
        <w:ind w:left="640" w:hanging="64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中标人拟派参与本项目的人数多于采购文件要求的人数时，须按拟派人员数量进行报价。</w:t>
      </w:r>
    </w:p>
    <w:p>
      <w:pPr>
        <w:widowControl/>
        <w:numPr>
          <w:ilvl w:val="1"/>
          <w:numId w:val="30"/>
        </w:numPr>
        <w:tabs>
          <w:tab w:val="left" w:pos="640"/>
          <w:tab w:val="clear" w:pos="680"/>
        </w:tabs>
        <w:spacing w:line="240" w:lineRule="auto"/>
        <w:ind w:left="640" w:hanging="64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投标人的报价应包括为完成本项目服务可能发生的全部费用及供应商的利润和应交纳的税金等,并对合同内容的费用、质量、安全、文明服务等实行全面承包。</w:t>
      </w:r>
    </w:p>
    <w:p>
      <w:pPr>
        <w:widowControl/>
        <w:numPr>
          <w:ilvl w:val="1"/>
          <w:numId w:val="30"/>
        </w:numPr>
        <w:tabs>
          <w:tab w:val="left" w:pos="640"/>
          <w:tab w:val="clear" w:pos="680"/>
        </w:tabs>
        <w:spacing w:line="240" w:lineRule="auto"/>
        <w:ind w:left="640" w:hanging="640"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本次采购，在服务期内如因政策性因素调整导致相关人员的工资、社保、节假日、高温补贴出现变化的，该部分费用由中标人自行承担，采购人不予以调整该部分费用，各投标人在报价时须综合考虑风险。</w:t>
      </w:r>
    </w:p>
    <w:p>
      <w:pPr>
        <w:widowControl/>
        <w:numPr>
          <w:ilvl w:val="1"/>
          <w:numId w:val="30"/>
        </w:numPr>
        <w:tabs>
          <w:tab w:val="left" w:pos="640"/>
          <w:tab w:val="clear" w:pos="680"/>
        </w:tabs>
        <w:spacing w:line="240" w:lineRule="auto"/>
        <w:ind w:left="640" w:hanging="640"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u w:val="single"/>
          <w:lang w:val="en-US" w:eastAsia="zh-CN"/>
        </w:rPr>
        <w:t>陶山服务区原服务合同已于2022年12月31日到期，因疫情防控等原因造成本项目采购招标进度滞后。经协商，本项目新中标人进场服务前，陶山服务区物业仍需原承包单位继续运营服务，原承包单位继续服务时间预计为2023年1月1日--2023年4月30日。此期间的服务费金额以原承包人与采购人签订的合同金额为准，并由新中标人支付给原承包单位。因此请各投标人投标报价时，投标总价中必须充分考虑该费用，并在中标后按照规定支付该笔费用</w:t>
      </w:r>
      <w:r>
        <w:rPr>
          <w:rFonts w:hint="eastAsia" w:ascii="宋体" w:hAnsi="宋体" w:eastAsia="宋体" w:cs="宋体"/>
          <w:b w:val="0"/>
          <w:bCs w:val="0"/>
          <w:color w:val="auto"/>
          <w:sz w:val="21"/>
          <w:szCs w:val="21"/>
          <w:highlight w:val="none"/>
          <w:lang w:val="en-US" w:eastAsia="zh-CN"/>
        </w:rPr>
        <w:t>。</w:t>
      </w:r>
    </w:p>
    <w:p>
      <w:pPr>
        <w:widowControl/>
        <w:numPr>
          <w:ilvl w:val="0"/>
          <w:numId w:val="0"/>
        </w:numPr>
        <w:tabs>
          <w:tab w:val="left" w:pos="640"/>
        </w:tabs>
        <w:spacing w:line="240" w:lineRule="auto"/>
        <w:ind w:leftChars="0" w:firstLine="630" w:firstLineChars="300"/>
        <w:jc w:val="left"/>
        <w:rPr>
          <w:rFonts w:hint="eastAsia"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u w:val="single"/>
          <w:lang w:val="en-US" w:eastAsia="zh-CN"/>
        </w:rPr>
        <w:t>第一年度的服务期自2023年1月1日份开始计算。</w:t>
      </w:r>
    </w:p>
    <w:p>
      <w:pPr>
        <w:widowControl/>
        <w:numPr>
          <w:ilvl w:val="1"/>
          <w:numId w:val="30"/>
        </w:numPr>
        <w:tabs>
          <w:tab w:val="left" w:pos="640"/>
          <w:tab w:val="clear" w:pos="680"/>
        </w:tabs>
        <w:spacing w:line="240" w:lineRule="auto"/>
        <w:ind w:left="640" w:hanging="640" w:firstLineChars="0"/>
        <w:jc w:val="left"/>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u w:val="single"/>
          <w:lang w:val="en-US" w:eastAsia="zh-CN"/>
        </w:rPr>
        <w:t>因承包方管理不善造成采购人损失的，由承包方承担相关损失（包括直接损失、间接损失、律师费、差旅费及其他一切合理支出等），并负责赔偿。</w:t>
      </w:r>
    </w:p>
    <w:p>
      <w:pPr>
        <w:widowControl/>
        <w:numPr>
          <w:ilvl w:val="1"/>
          <w:numId w:val="30"/>
        </w:numPr>
        <w:tabs>
          <w:tab w:val="left" w:pos="640"/>
          <w:tab w:val="clear" w:pos="680"/>
        </w:tabs>
        <w:spacing w:line="240" w:lineRule="auto"/>
        <w:ind w:left="640" w:hanging="64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特殊情况如需代班顶岗的，须经采购人确认后方可实施，否则不予以认可，顶岗人员费用只计取日常岗位工资和餐补，其他费用不予支付。</w:t>
      </w:r>
    </w:p>
    <w:p>
      <w:pPr>
        <w:widowControl/>
        <w:numPr>
          <w:ilvl w:val="0"/>
          <w:numId w:val="30"/>
        </w:numPr>
        <w:tabs>
          <w:tab w:val="left" w:pos="640"/>
          <w:tab w:val="clear" w:pos="680"/>
        </w:tabs>
        <w:spacing w:line="240" w:lineRule="auto"/>
        <w:ind w:left="640" w:hanging="64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本项目服务期限： </w:t>
      </w:r>
    </w:p>
    <w:p>
      <w:pPr>
        <w:widowControl/>
        <w:numPr>
          <w:ilvl w:val="1"/>
          <w:numId w:val="30"/>
        </w:numPr>
        <w:tabs>
          <w:tab w:val="left" w:pos="640"/>
          <w:tab w:val="clear" w:pos="680"/>
        </w:tabs>
        <w:spacing w:line="240" w:lineRule="auto"/>
        <w:ind w:left="640" w:hanging="640" w:firstLineChars="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合同签订后1年，具体服务时间在合同签订时双方协商确定</w:t>
      </w:r>
      <w:r>
        <w:rPr>
          <w:rFonts w:hint="eastAsia" w:ascii="宋体" w:hAnsi="宋体" w:eastAsia="宋体" w:cs="宋体"/>
          <w:b/>
          <w:bCs/>
          <w:color w:val="auto"/>
          <w:sz w:val="21"/>
          <w:szCs w:val="21"/>
          <w:highlight w:val="none"/>
        </w:rPr>
        <w:t>。</w:t>
      </w:r>
    </w:p>
    <w:p>
      <w:pPr>
        <w:widowControl/>
        <w:numPr>
          <w:ilvl w:val="1"/>
          <w:numId w:val="30"/>
        </w:numPr>
        <w:tabs>
          <w:tab w:val="left" w:pos="640"/>
          <w:tab w:val="clear" w:pos="680"/>
        </w:tabs>
        <w:spacing w:line="240" w:lineRule="auto"/>
        <w:ind w:left="640" w:hanging="640" w:firstLineChars="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采用1+1模式，合同一年一签，每月进行考核，连续2月考核不通过或半年内有2次考核不合格将终止合同；年终进行综合考核，考核不合格将终止合同。</w:t>
      </w:r>
    </w:p>
    <w:p>
      <w:pPr>
        <w:widowControl/>
        <w:numPr>
          <w:ilvl w:val="1"/>
          <w:numId w:val="30"/>
        </w:numPr>
        <w:tabs>
          <w:tab w:val="left" w:pos="640"/>
          <w:tab w:val="clear" w:pos="680"/>
        </w:tabs>
        <w:snapToGrid/>
        <w:spacing w:line="240" w:lineRule="auto"/>
        <w:ind w:left="640" w:hanging="640" w:firstLineChars="0"/>
        <w:jc w:val="left"/>
        <w:rPr>
          <w:rFonts w:hint="eastAsia" w:ascii="宋体" w:hAnsi="宋体" w:eastAsia="宋体" w:cs="宋体"/>
          <w:b/>
          <w:bCs/>
          <w:color w:val="auto"/>
          <w:sz w:val="21"/>
          <w:szCs w:val="21"/>
          <w:highlight w:val="none"/>
          <w:u w:val="none"/>
        </w:rPr>
      </w:pPr>
      <w:r>
        <w:rPr>
          <w:rFonts w:hint="eastAsia" w:ascii="宋体" w:hAnsi="宋体" w:eastAsia="宋体" w:cs="宋体"/>
          <w:b/>
          <w:bCs/>
          <w:color w:val="auto"/>
          <w:sz w:val="21"/>
          <w:szCs w:val="21"/>
          <w:highlight w:val="none"/>
          <w:u w:val="none"/>
        </w:rPr>
        <w:t>合同执行约束见文件附件：</w:t>
      </w:r>
      <w:r>
        <w:rPr>
          <w:rFonts w:hint="eastAsia" w:ascii="宋体" w:hAnsi="宋体" w:eastAsia="宋体" w:cs="宋体"/>
          <w:b/>
          <w:bCs/>
          <w:color w:val="auto"/>
          <w:sz w:val="21"/>
          <w:szCs w:val="21"/>
          <w:highlight w:val="none"/>
          <w:u w:val="none"/>
          <w:lang w:eastAsia="zh-CN"/>
        </w:rPr>
        <w:t>服务区</w:t>
      </w:r>
      <w:r>
        <w:rPr>
          <w:rFonts w:hint="eastAsia" w:ascii="宋体" w:hAnsi="宋体" w:eastAsia="宋体" w:cs="宋体"/>
          <w:b/>
          <w:bCs/>
          <w:color w:val="auto"/>
          <w:sz w:val="21"/>
          <w:szCs w:val="21"/>
          <w:highlight w:val="none"/>
          <w:u w:val="none"/>
        </w:rPr>
        <w:t>物业管理考核办法，见考核评分细则，评分细则采购人有权根据实际服务内容、情况进行调整。</w:t>
      </w:r>
    </w:p>
    <w:p>
      <w:pPr>
        <w:widowControl/>
        <w:numPr>
          <w:ilvl w:val="0"/>
          <w:numId w:val="30"/>
        </w:numPr>
        <w:tabs>
          <w:tab w:val="left" w:pos="640"/>
          <w:tab w:val="clear" w:pos="680"/>
        </w:tabs>
        <w:spacing w:line="240" w:lineRule="auto"/>
        <w:ind w:left="640" w:hanging="640"/>
        <w:jc w:val="left"/>
        <w:rPr>
          <w:rFonts w:hint="eastAsia" w:ascii="宋体" w:hAnsi="宋体" w:eastAsia="宋体" w:cs="宋体"/>
          <w:b/>
          <w:bCs/>
          <w:snapToGrid/>
          <w:color w:val="auto"/>
          <w:kern w:val="2"/>
          <w:sz w:val="21"/>
          <w:szCs w:val="21"/>
          <w:highlight w:val="none"/>
          <w:u w:val="none"/>
        </w:rPr>
      </w:pPr>
      <w:r>
        <w:rPr>
          <w:rFonts w:hint="eastAsia" w:ascii="宋体" w:hAnsi="宋体" w:eastAsia="宋体" w:cs="宋体"/>
          <w:b/>
          <w:bCs/>
          <w:color w:val="auto"/>
          <w:sz w:val="21"/>
          <w:szCs w:val="21"/>
          <w:highlight w:val="none"/>
          <w:u w:val="none"/>
        </w:rPr>
        <w:t>支付方式</w:t>
      </w:r>
    </w:p>
    <w:p>
      <w:pPr>
        <w:widowControl/>
        <w:numPr>
          <w:ilvl w:val="1"/>
          <w:numId w:val="30"/>
        </w:numPr>
        <w:tabs>
          <w:tab w:val="left" w:pos="640"/>
          <w:tab w:val="clear" w:pos="680"/>
        </w:tabs>
        <w:snapToGrid/>
        <w:spacing w:line="240" w:lineRule="auto"/>
        <w:ind w:left="640" w:hanging="640" w:firstLineChars="0"/>
        <w:jc w:val="left"/>
        <w:rPr>
          <w:rFonts w:hint="eastAsia" w:ascii="宋体" w:hAnsi="宋体" w:eastAsia="宋体" w:cs="宋体"/>
          <w:b/>
          <w:bCs/>
          <w:color w:val="auto"/>
          <w:sz w:val="21"/>
          <w:szCs w:val="21"/>
          <w:highlight w:val="none"/>
          <w:u w:val="single"/>
        </w:rPr>
      </w:pPr>
      <w:bookmarkStart w:id="221" w:name="OLE_LINK32"/>
      <w:bookmarkStart w:id="222" w:name="OLE_LINK31"/>
      <w:r>
        <w:rPr>
          <w:rFonts w:hint="eastAsia" w:ascii="宋体" w:hAnsi="宋体" w:eastAsia="宋体" w:cs="宋体"/>
          <w:b/>
          <w:bCs/>
          <w:color w:val="auto"/>
          <w:sz w:val="21"/>
          <w:szCs w:val="21"/>
          <w:highlight w:val="none"/>
          <w:u w:val="single"/>
        </w:rPr>
        <w:t>▲中标人在收到中标通知书后，签订合同前须向采购人提交</w:t>
      </w:r>
      <w:r>
        <w:rPr>
          <w:rFonts w:hint="eastAsia" w:ascii="宋体" w:hAnsi="宋体" w:eastAsia="宋体" w:cs="宋体"/>
          <w:b/>
          <w:bCs/>
          <w:color w:val="auto"/>
          <w:kern w:val="0"/>
          <w:sz w:val="21"/>
          <w:szCs w:val="21"/>
          <w:highlight w:val="none"/>
          <w:u w:val="single"/>
        </w:rPr>
        <w:t>合同价的5%作为</w:t>
      </w:r>
      <w:r>
        <w:rPr>
          <w:rFonts w:hint="eastAsia" w:ascii="宋体" w:hAnsi="宋体" w:eastAsia="宋体" w:cs="宋体"/>
          <w:b/>
          <w:bCs/>
          <w:color w:val="auto"/>
          <w:sz w:val="21"/>
          <w:szCs w:val="21"/>
          <w:highlight w:val="none"/>
          <w:u w:val="single"/>
        </w:rPr>
        <w:t>履约保证金（须汇入采购人指定银行账户。户名：温州市高速公路资产经营有限公司；开户行：中国建设银行温州大自然支行；账号：33050162876800000039）。</w:t>
      </w:r>
    </w:p>
    <w:p>
      <w:pPr>
        <w:widowControl/>
        <w:numPr>
          <w:ilvl w:val="1"/>
          <w:numId w:val="30"/>
        </w:numPr>
        <w:tabs>
          <w:tab w:val="left" w:pos="640"/>
          <w:tab w:val="clear" w:pos="680"/>
        </w:tabs>
        <w:snapToGrid/>
        <w:spacing w:line="240" w:lineRule="auto"/>
        <w:ind w:left="640" w:hanging="640" w:firstLineChars="0"/>
        <w:jc w:val="left"/>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rPr>
        <w:t>▲服务期结束，且所有合同义务都已履行完毕后7天内，无息退还履约保证金。</w:t>
      </w:r>
    </w:p>
    <w:p>
      <w:pPr>
        <w:widowControl/>
        <w:numPr>
          <w:ilvl w:val="0"/>
          <w:numId w:val="30"/>
        </w:numPr>
        <w:tabs>
          <w:tab w:val="left" w:pos="640"/>
          <w:tab w:val="clear" w:pos="680"/>
        </w:tabs>
        <w:spacing w:line="240" w:lineRule="auto"/>
        <w:ind w:left="640" w:hanging="640"/>
        <w:jc w:val="left"/>
        <w:rPr>
          <w:rFonts w:hint="eastAsia" w:ascii="宋体" w:hAnsi="宋体" w:eastAsia="宋体" w:cs="宋体"/>
          <w:b/>
          <w:bCs/>
          <w:highlight w:val="none"/>
        </w:rPr>
      </w:pPr>
      <w:r>
        <w:rPr>
          <w:rFonts w:hint="eastAsia" w:ascii="宋体" w:hAnsi="宋体" w:eastAsia="宋体" w:cs="宋体"/>
          <w:b/>
          <w:bCs/>
          <w:highlight w:val="none"/>
          <w:lang w:val="en-US" w:eastAsia="zh-CN"/>
        </w:rPr>
        <w:t>其他：详见合同条款</w:t>
      </w:r>
    </w:p>
    <w:bookmarkEnd w:id="204"/>
    <w:bookmarkEnd w:id="205"/>
    <w:bookmarkEnd w:id="221"/>
    <w:bookmarkEnd w:id="222"/>
    <w:p>
      <w:pP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pPr>
        <w:keepNext/>
        <w:jc w:val="center"/>
        <w:outlineLvl w:val="0"/>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第五部分   评标原则及方法</w:t>
      </w:r>
      <w:bookmarkEnd w:id="201"/>
      <w:bookmarkEnd w:id="202"/>
      <w:bookmarkEnd w:id="203"/>
      <w:bookmarkEnd w:id="206"/>
      <w:bookmarkEnd w:id="207"/>
      <w:bookmarkEnd w:id="208"/>
      <w:bookmarkEnd w:id="209"/>
      <w:bookmarkEnd w:id="210"/>
      <w:bookmarkEnd w:id="211"/>
      <w:bookmarkEnd w:id="212"/>
      <w:bookmarkEnd w:id="213"/>
      <w:bookmarkEnd w:id="214"/>
      <w:bookmarkEnd w:id="215"/>
      <w:bookmarkEnd w:id="216"/>
      <w:bookmarkEnd w:id="217"/>
      <w:bookmarkEnd w:id="218"/>
    </w:p>
    <w:p>
      <w:pPr>
        <w:jc w:val="center"/>
        <w:rPr>
          <w:rFonts w:hint="eastAsia" w:ascii="宋体" w:hAnsi="宋体" w:eastAsia="宋体" w:cs="宋体"/>
          <w:color w:val="auto"/>
          <w:sz w:val="22"/>
          <w:highlight w:val="none"/>
        </w:rPr>
      </w:pPr>
    </w:p>
    <w:p>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本项目属非政府采购项目，根据《温州市市属国有企业采购管理办法（试行）》等有关法规、规定，结合本项目的实际，按照公平、公正、科学、择优的原则选择中标单位，特制定本评标办法。</w:t>
      </w:r>
    </w:p>
    <w:p>
      <w:pP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一、总则</w:t>
      </w:r>
    </w:p>
    <w:p>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评标工作遵循公平、公正、科学、择优原则和诚实、信誉、效率的服务原则。本着科学、严谨的态度，认真进行评标。择优选用，推进技术进步，确保项目质量、服务期限，节约投资，最大限度的保护当事人权益，严格按照采购文件的商务、技术要求，对投标文件进行综合评定，提出优选方案，编写评标报告。对落标单位，评委会不作任何落标解释。投标人不得以任何方式干扰招投标工作的进行。</w:t>
      </w:r>
    </w:p>
    <w:p>
      <w:pP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二、评标组织</w:t>
      </w:r>
    </w:p>
    <w:p>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评标工作由采购人依法组建的评标委员会负责，评标全过程由有关部门指导监督。</w:t>
      </w:r>
    </w:p>
    <w:p>
      <w:pP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三、评标程序</w:t>
      </w:r>
    </w:p>
    <w:p>
      <w:pPr>
        <w:ind w:firstLine="440" w:firstLineChars="200"/>
        <w:rPr>
          <w:rFonts w:hint="eastAsia" w:ascii="宋体" w:hAnsi="宋体" w:eastAsia="宋体" w:cs="宋体"/>
          <w:color w:val="auto"/>
          <w:sz w:val="22"/>
          <w:szCs w:val="24"/>
          <w:highlight w:val="none"/>
        </w:rPr>
      </w:pPr>
      <w:r>
        <w:rPr>
          <w:rFonts w:hint="eastAsia" w:ascii="宋体" w:hAnsi="宋体" w:eastAsia="宋体" w:cs="宋体"/>
          <w:color w:val="auto"/>
          <w:sz w:val="22"/>
          <w:highlight w:val="none"/>
        </w:rPr>
        <w:t>评标委员会对各投标人的投标进行初审（资格性审查和符合性审查）；然后对合格投标人的技术资信标进行评审；技术资信标评审结束后，再进行商务（报价）标进行评审，最终得出各有效标的评审综合得分，根据综合评审结果，提交评审报告。</w:t>
      </w:r>
    </w:p>
    <w:p>
      <w:pPr>
        <w:adjustRightInd w:val="0"/>
        <w:snapToGrid w:val="0"/>
        <w:ind w:firstLine="440" w:firstLineChars="200"/>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1、本项目评标的依据为采购文件和投标文件。</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color w:val="auto"/>
          <w:kern w:val="0"/>
          <w:sz w:val="22"/>
          <w:highlight w:val="none"/>
        </w:rPr>
        <w:t>2、先熟悉采购文件和评</w:t>
      </w:r>
      <w:r>
        <w:rPr>
          <w:rFonts w:hint="eastAsia" w:ascii="宋体" w:hAnsi="宋体" w:eastAsia="宋体" w:cs="宋体"/>
          <w:snapToGrid w:val="0"/>
          <w:kern w:val="0"/>
          <w:sz w:val="22"/>
          <w:highlight w:val="none"/>
        </w:rPr>
        <w:t>标办法。</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3、投标文件的初审：初审分为资格性检查和符合性检查。</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（1）资格性检查</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依据法律法规和采购文件的规定，对投标文件中的资格条件、投标保证金等进行审查，以确定投标人是否具备投标资格。</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（2）符合性检查</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详细评标之前，评标委员会依据采购文件的规定，对各投标文件的有效性、完整性和对采购文件的响应性进行全面审查，以确定其是否对采购文件的实质性要求作出响应。评标委员会决定投标文件的响应性只根据投标文件本身的内容，而不寻求外部证据。</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如果投标文件实质上没有响应采购文件的要求，评标委员会将予以拒绝，投标人不得通过修改或撤销不合要求的偏离或保留而使其投标成为实质性响应的投标。</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4、澄清有关问题</w:t>
      </w:r>
    </w:p>
    <w:p>
      <w:pPr>
        <w:adjustRightInd w:val="0"/>
        <w:snapToGrid w:val="0"/>
        <w:ind w:firstLine="440" w:firstLineChars="200"/>
        <w:rPr>
          <w:rFonts w:hint="eastAsia" w:ascii="宋体" w:hAnsi="宋体" w:eastAsia="宋体" w:cs="宋体"/>
          <w:sz w:val="22"/>
          <w:highlight w:val="none"/>
        </w:rPr>
      </w:pPr>
      <w:r>
        <w:rPr>
          <w:rFonts w:hint="eastAsia" w:ascii="宋体" w:hAnsi="宋体" w:eastAsia="宋体" w:cs="宋体"/>
          <w:sz w:val="22"/>
          <w:highlight w:val="none"/>
        </w:rPr>
        <w:t>在</w:t>
      </w:r>
      <w:r>
        <w:rPr>
          <w:rFonts w:hint="eastAsia" w:ascii="宋体" w:hAnsi="宋体" w:eastAsia="宋体" w:cs="宋体"/>
          <w:snapToGrid w:val="0"/>
          <w:kern w:val="0"/>
          <w:sz w:val="22"/>
          <w:highlight w:val="none"/>
        </w:rPr>
        <w:t>评标</w:t>
      </w:r>
      <w:r>
        <w:rPr>
          <w:rFonts w:hint="eastAsia" w:ascii="宋体" w:hAnsi="宋体" w:eastAsia="宋体" w:cs="宋体"/>
          <w:sz w:val="22"/>
          <w:highlight w:val="none"/>
        </w:rPr>
        <w:t>期间，评标委员会可以书面方式要求投标人对投标文件中含义不明确、对同类问题前后表述不一致或者有明显文字和计算错误的内容作必要的澄清、说明或补正（</w:t>
      </w:r>
      <w:r>
        <w:rPr>
          <w:rFonts w:hint="eastAsia" w:ascii="宋体" w:hAnsi="宋体" w:eastAsia="宋体" w:cs="宋体"/>
          <w:snapToGrid w:val="0"/>
          <w:kern w:val="0"/>
          <w:sz w:val="22"/>
          <w:highlight w:val="none"/>
        </w:rPr>
        <w:t>并非对每个投标人都要求做澄清</w:t>
      </w:r>
      <w:r>
        <w:rPr>
          <w:rFonts w:hint="eastAsia" w:ascii="宋体" w:hAnsi="宋体" w:eastAsia="宋体" w:cs="宋体"/>
          <w:sz w:val="22"/>
          <w:highlight w:val="none"/>
        </w:rPr>
        <w:t>、说明或补正）。澄清、说明或补正应以书面形式并由</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或其授权代表签署，但澄清内容不得超出投标文件的范围或者改变投标文件的实质性内容。</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投标人接到评标委员会或评标委员会授权的评标工作人员的澄清要求或通知的电话后,请在30分钟之内（根据项目情况，评标委员会有权适当延长时间）,赶到通知的指定地点接受澄清如未能在规定的时间内达到指定地点的，视同该投标人自动放弃对投标文件的澄清,评标委员会对此所作的评标结果,其风险由投标人自行承担。</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评标委员会对各投标人的商务报价进行核查时，如发现投标报价内容不清楚可要求投标人书面澄清，计算上的错误，按本采购文件投标人须知22.6条规定方法进行修正。</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5、比较与评价：评标委员会按采购文件中规定的评标方法和标准，对初审检查合格的投标文件进行商务（报价）和技术资信评估、综合比较与评价，并按照评标细则进行打分。</w:t>
      </w:r>
    </w:p>
    <w:p>
      <w:pPr>
        <w:adjustRightInd w:val="0"/>
        <w:snapToGrid w:val="0"/>
        <w:ind w:firstLine="440" w:firstLineChars="200"/>
        <w:rPr>
          <w:rFonts w:hint="eastAsia" w:ascii="宋体" w:hAnsi="宋体" w:eastAsia="宋体" w:cs="宋体"/>
          <w:szCs w:val="24"/>
          <w:highlight w:val="none"/>
        </w:rPr>
      </w:pPr>
      <w:r>
        <w:rPr>
          <w:rFonts w:hint="eastAsia" w:ascii="宋体" w:hAnsi="宋体" w:eastAsia="宋体" w:cs="宋体"/>
          <w:snapToGrid w:val="0"/>
          <w:kern w:val="0"/>
          <w:sz w:val="22"/>
          <w:highlight w:val="none"/>
        </w:rPr>
        <w:t>6、推荐中标候选人：评标委员会依据法律、法规及采购文件有关规定在有效标中按投标人的综合得分（即技术资信分与商务（报价）分之和）高低进行排序，综合得分第一名的投标人推荐为中标候选人（综合得分相同以投标报价低的排序第一；综合得分且投标报价相同的，则由评标委员会在所有得分均相同者中随机抽取其中一名为名次优先者）。</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7、完成评标报告。评标报告是评标委员会根据全体评标成员签字的原始评标记录和评标结果编写的报告。</w:t>
      </w:r>
    </w:p>
    <w:p>
      <w:pPr>
        <w:rPr>
          <w:rFonts w:hint="eastAsia" w:ascii="宋体" w:hAnsi="宋体" w:eastAsia="宋体" w:cs="宋体"/>
          <w:sz w:val="22"/>
          <w:szCs w:val="24"/>
          <w:highlight w:val="none"/>
        </w:rPr>
      </w:pPr>
      <w:r>
        <w:rPr>
          <w:rFonts w:hint="eastAsia" w:ascii="宋体" w:hAnsi="宋体" w:eastAsia="宋体" w:cs="宋体"/>
          <w:sz w:val="22"/>
          <w:szCs w:val="24"/>
          <w:highlight w:val="none"/>
        </w:rPr>
        <w:t>四、评标办法</w:t>
      </w:r>
    </w:p>
    <w:p>
      <w:pPr>
        <w:ind w:firstLine="440" w:firstLineChars="200"/>
        <w:rPr>
          <w:rFonts w:hint="eastAsia" w:ascii="宋体" w:hAnsi="宋体" w:eastAsia="宋体" w:cs="宋体"/>
          <w:sz w:val="22"/>
          <w:highlight w:val="none"/>
        </w:rPr>
      </w:pPr>
      <w:r>
        <w:rPr>
          <w:rFonts w:hint="eastAsia" w:ascii="宋体" w:hAnsi="宋体" w:eastAsia="宋体" w:cs="宋体"/>
          <w:sz w:val="22"/>
          <w:szCs w:val="24"/>
          <w:highlight w:val="none"/>
        </w:rPr>
        <w:t>本次采购采用百分制综合评分法，即投标人最大限度地满足采购文件实质性要求的基础上，按照采购文件的各项因素进行综合评审后，以评标总得分最高的投标人作为第一的中标候选人的评标方法。根据采购要求，总分设定为100分；其中技术资信分8</w:t>
      </w:r>
      <w:r>
        <w:rPr>
          <w:rFonts w:hint="eastAsia" w:ascii="宋体" w:hAnsi="宋体" w:eastAsia="宋体" w:cs="宋体"/>
          <w:sz w:val="22"/>
          <w:szCs w:val="24"/>
          <w:highlight w:val="none"/>
          <w:lang w:val="en-US" w:eastAsia="zh-CN"/>
        </w:rPr>
        <w:t>0</w:t>
      </w:r>
      <w:r>
        <w:rPr>
          <w:rFonts w:hint="eastAsia" w:ascii="宋体" w:hAnsi="宋体" w:eastAsia="宋体" w:cs="宋体"/>
          <w:sz w:val="22"/>
          <w:szCs w:val="24"/>
          <w:highlight w:val="none"/>
        </w:rPr>
        <w:t>分，商务（报价）分</w:t>
      </w:r>
      <w:r>
        <w:rPr>
          <w:rFonts w:hint="eastAsia" w:ascii="宋体" w:hAnsi="宋体" w:eastAsia="宋体" w:cs="宋体"/>
          <w:sz w:val="22"/>
          <w:szCs w:val="24"/>
          <w:highlight w:val="none"/>
          <w:lang w:val="en-US" w:eastAsia="zh-CN"/>
        </w:rPr>
        <w:t>20</w:t>
      </w:r>
      <w:r>
        <w:rPr>
          <w:rFonts w:hint="eastAsia" w:ascii="宋体" w:hAnsi="宋体" w:eastAsia="宋体" w:cs="宋体"/>
          <w:sz w:val="22"/>
          <w:szCs w:val="24"/>
          <w:highlight w:val="none"/>
        </w:rPr>
        <w:t>分。</w:t>
      </w:r>
    </w:p>
    <w:p>
      <w:pPr>
        <w:rPr>
          <w:rFonts w:hint="eastAsia" w:ascii="宋体" w:hAnsi="宋体" w:eastAsia="宋体" w:cs="宋体"/>
          <w:sz w:val="22"/>
          <w:szCs w:val="24"/>
          <w:highlight w:val="none"/>
        </w:rPr>
      </w:pPr>
      <w:r>
        <w:rPr>
          <w:rFonts w:hint="eastAsia" w:ascii="宋体" w:hAnsi="宋体" w:eastAsia="宋体" w:cs="宋体"/>
          <w:sz w:val="22"/>
          <w:szCs w:val="24"/>
          <w:highlight w:val="none"/>
        </w:rPr>
        <w:t>五、评分细则</w:t>
      </w:r>
    </w:p>
    <w:p>
      <w:pPr>
        <w:adjustRightInd w:val="0"/>
        <w:snapToGrid w:val="0"/>
        <w:rPr>
          <w:rFonts w:hint="eastAsia" w:ascii="宋体" w:hAnsi="宋体" w:eastAsia="宋体" w:cs="宋体"/>
          <w:b/>
          <w:bCs/>
          <w:color w:val="auto"/>
          <w:sz w:val="22"/>
          <w:highlight w:val="none"/>
        </w:rPr>
      </w:pPr>
      <w:r>
        <w:rPr>
          <w:rFonts w:hint="eastAsia" w:ascii="宋体" w:hAnsi="宋体" w:eastAsia="宋体" w:cs="宋体"/>
          <w:b/>
          <w:bCs/>
          <w:sz w:val="22"/>
          <w:highlight w:val="none"/>
        </w:rPr>
        <w:t>1、技术资信评审分值（8</w:t>
      </w:r>
      <w:r>
        <w:rPr>
          <w:rFonts w:hint="eastAsia" w:ascii="宋体" w:hAnsi="宋体" w:eastAsia="宋体" w:cs="宋体"/>
          <w:b/>
          <w:bCs/>
          <w:color w:val="auto"/>
          <w:sz w:val="22"/>
          <w:highlight w:val="none"/>
          <w:lang w:val="en-US" w:eastAsia="zh-CN"/>
        </w:rPr>
        <w:t>0</w:t>
      </w:r>
      <w:r>
        <w:rPr>
          <w:rFonts w:hint="eastAsia" w:ascii="宋体" w:hAnsi="宋体" w:eastAsia="宋体" w:cs="宋体"/>
          <w:b/>
          <w:bCs/>
          <w:color w:val="auto"/>
          <w:sz w:val="22"/>
          <w:highlight w:val="none"/>
        </w:rPr>
        <w:t>分）</w:t>
      </w:r>
    </w:p>
    <w:p>
      <w:pPr>
        <w:ind w:firstLine="440" w:firstLineChars="200"/>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各评委成员按下列评分项目进行评定，每人一张评分计算表，由评标委员会成员各自评定打分并记实名。如任何一张表的一项评分内容分值超过规定的范围，则该张表无效。评标委员会成员对各投标人的各项评分内容评分合计值的算术平均值为该投标人技术资信部分的最终得分（四舍五入，保留小数点后二位）：</w:t>
      </w:r>
    </w:p>
    <w:tbl>
      <w:tblPr>
        <w:tblStyle w:val="24"/>
        <w:tblW w:w="9027" w:type="dxa"/>
        <w:jc w:val="center"/>
        <w:tblLayout w:type="fixed"/>
        <w:tblCellMar>
          <w:top w:w="0" w:type="dxa"/>
          <w:left w:w="108" w:type="dxa"/>
          <w:bottom w:w="0" w:type="dxa"/>
          <w:right w:w="108" w:type="dxa"/>
        </w:tblCellMar>
      </w:tblPr>
      <w:tblGrid>
        <w:gridCol w:w="462"/>
        <w:gridCol w:w="625"/>
        <w:gridCol w:w="1575"/>
        <w:gridCol w:w="713"/>
        <w:gridCol w:w="5652"/>
      </w:tblGrid>
      <w:tr>
        <w:tblPrEx>
          <w:tblCellMar>
            <w:top w:w="0" w:type="dxa"/>
            <w:left w:w="108" w:type="dxa"/>
            <w:bottom w:w="0" w:type="dxa"/>
            <w:right w:w="108" w:type="dxa"/>
          </w:tblCellMar>
        </w:tblPrEx>
        <w:trPr>
          <w:trHeight w:val="23" w:hRule="atLeast"/>
          <w:jc w:val="center"/>
        </w:trPr>
        <w:tc>
          <w:tcPr>
            <w:tcW w:w="462" w:type="dxa"/>
            <w:tcBorders>
              <w:top w:val="single" w:color="auto" w:sz="12" w:space="0"/>
              <w:left w:val="single" w:color="auto" w:sz="12"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序号</w:t>
            </w:r>
          </w:p>
        </w:tc>
        <w:tc>
          <w:tcPr>
            <w:tcW w:w="2200" w:type="dxa"/>
            <w:gridSpan w:val="2"/>
            <w:tcBorders>
              <w:top w:val="single" w:color="auto" w:sz="12"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项目</w:t>
            </w:r>
          </w:p>
        </w:tc>
        <w:tc>
          <w:tcPr>
            <w:tcW w:w="713" w:type="dxa"/>
            <w:tcBorders>
              <w:top w:val="single" w:color="auto" w:sz="12"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满</w:t>
            </w:r>
            <w:r>
              <w:rPr>
                <w:rFonts w:hint="eastAsia" w:ascii="宋体" w:hAnsi="宋体" w:eastAsia="宋体" w:cs="宋体"/>
                <w:color w:val="auto"/>
                <w:sz w:val="18"/>
                <w:szCs w:val="18"/>
                <w:highlight w:val="none"/>
              </w:rPr>
              <w:t>分值</w:t>
            </w:r>
          </w:p>
        </w:tc>
        <w:tc>
          <w:tcPr>
            <w:tcW w:w="5652" w:type="dxa"/>
            <w:tcBorders>
              <w:top w:val="single" w:color="auto" w:sz="12" w:space="0"/>
              <w:left w:val="single" w:color="auto" w:sz="4" w:space="0"/>
              <w:bottom w:val="single" w:color="auto" w:sz="4" w:space="0"/>
              <w:right w:val="single" w:color="auto" w:sz="12"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备注</w:t>
            </w:r>
          </w:p>
        </w:tc>
      </w:tr>
      <w:tr>
        <w:tblPrEx>
          <w:tblCellMar>
            <w:top w:w="0" w:type="dxa"/>
            <w:left w:w="108" w:type="dxa"/>
            <w:bottom w:w="0" w:type="dxa"/>
            <w:right w:w="108" w:type="dxa"/>
          </w:tblCellMar>
        </w:tblPrEx>
        <w:trPr>
          <w:trHeight w:val="23" w:hRule="atLeast"/>
          <w:jc w:val="center"/>
        </w:trPr>
        <w:tc>
          <w:tcPr>
            <w:tcW w:w="462" w:type="dxa"/>
            <w:vMerge w:val="restart"/>
            <w:tcBorders>
              <w:top w:val="single" w:color="auto" w:sz="4" w:space="0"/>
              <w:left w:val="single" w:color="auto" w:sz="12"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625" w:type="dxa"/>
            <w:vMerge w:val="restart"/>
            <w:tcBorders>
              <w:top w:val="single" w:color="auto" w:sz="4" w:space="0"/>
              <w:left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投标人综合实力</w:t>
            </w:r>
          </w:p>
        </w:tc>
        <w:tc>
          <w:tcPr>
            <w:tcW w:w="1575" w:type="dxa"/>
            <w:tcBorders>
              <w:top w:val="single" w:color="auto" w:sz="4" w:space="0"/>
              <w:left w:val="single" w:color="auto" w:sz="4" w:space="0"/>
              <w:right w:val="single" w:color="auto" w:sz="4" w:space="0"/>
            </w:tcBorders>
            <w:noWrap w:val="0"/>
            <w:vAlign w:val="center"/>
          </w:tcPr>
          <w:p>
            <w:pPr>
              <w:adjustRightInd w:val="0"/>
              <w:snapToGrid w:val="0"/>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投标人认证情况</w:t>
            </w:r>
          </w:p>
        </w:tc>
        <w:tc>
          <w:tcPr>
            <w:tcW w:w="713" w:type="dxa"/>
            <w:tcBorders>
              <w:top w:val="single" w:color="auto" w:sz="4" w:space="0"/>
              <w:left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6</w:t>
            </w:r>
          </w:p>
        </w:tc>
        <w:tc>
          <w:tcPr>
            <w:tcW w:w="5652" w:type="dxa"/>
            <w:tcBorders>
              <w:top w:val="single" w:color="auto" w:sz="4" w:space="0"/>
              <w:left w:val="single" w:color="auto" w:sz="4" w:space="0"/>
              <w:right w:val="single" w:color="auto" w:sz="12" w:space="0"/>
            </w:tcBorders>
            <w:noWrap w:val="0"/>
            <w:vAlign w:val="center"/>
          </w:tcPr>
          <w:p>
            <w:pPr>
              <w:widowControl/>
              <w:adjustRightInd w:val="0"/>
              <w:snapToGrid w:val="0"/>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1）通过ISO9001质量管理体系认证，并获得有效证书得1分；</w:t>
            </w:r>
          </w:p>
          <w:p>
            <w:pPr>
              <w:widowControl/>
              <w:adjustRightInd w:val="0"/>
              <w:snapToGrid w:val="0"/>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2）通过ISO14001环境体系认证，并获得有效证书得1分；</w:t>
            </w:r>
          </w:p>
          <w:p>
            <w:pPr>
              <w:widowControl/>
              <w:adjustRightInd w:val="0"/>
              <w:snapToGrid w:val="0"/>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3）通过ISO18001职业健康安全体系认证，并获得有效证书得1分</w:t>
            </w:r>
            <w:r>
              <w:rPr>
                <w:rFonts w:hint="eastAsia" w:ascii="宋体" w:hAnsi="宋体" w:eastAsia="宋体" w:cs="宋体"/>
                <w:color w:val="auto"/>
                <w:kern w:val="0"/>
                <w:sz w:val="18"/>
                <w:szCs w:val="18"/>
                <w:highlight w:val="none"/>
                <w:lang w:eastAsia="zh-CN"/>
              </w:rPr>
              <w:t>；</w:t>
            </w:r>
          </w:p>
          <w:p>
            <w:pPr>
              <w:widowControl/>
              <w:adjustRightInd w:val="0"/>
              <w:snapToGrid w:val="0"/>
              <w:spacing w:line="240" w:lineRule="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w:t>
            </w:r>
            <w:r>
              <w:rPr>
                <w:rFonts w:hint="eastAsia" w:ascii="宋体" w:hAnsi="宋体" w:eastAsia="宋体" w:cs="宋体"/>
                <w:color w:val="auto"/>
                <w:kern w:val="0"/>
                <w:sz w:val="18"/>
                <w:szCs w:val="18"/>
                <w:highlight w:val="none"/>
              </w:rPr>
              <w:t>通过政府主管部门服务业标准化创建，并获得有效证书的得</w:t>
            </w:r>
            <w:r>
              <w:rPr>
                <w:rFonts w:hint="eastAsia" w:ascii="宋体" w:hAnsi="宋体" w:eastAsia="宋体" w:cs="宋体"/>
                <w:color w:val="auto"/>
                <w:kern w:val="0"/>
                <w:sz w:val="18"/>
                <w:szCs w:val="18"/>
                <w:highlight w:val="none"/>
                <w:lang w:val="en-US" w:eastAsia="zh-CN"/>
              </w:rPr>
              <w:t>3分。</w:t>
            </w:r>
          </w:p>
          <w:p>
            <w:pPr>
              <w:widowControl/>
              <w:adjustRightInd w:val="0"/>
              <w:snapToGrid w:val="0"/>
              <w:spacing w:line="240" w:lineRule="auto"/>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须提供有效证明文件复印件加盖单位盖章，</w:t>
            </w:r>
            <w:r>
              <w:rPr>
                <w:rFonts w:hint="eastAsia" w:ascii="宋体" w:hAnsi="宋体" w:eastAsia="宋体" w:cs="宋体"/>
                <w:b/>
                <w:bCs/>
                <w:color w:val="auto"/>
                <w:kern w:val="0"/>
                <w:sz w:val="18"/>
                <w:szCs w:val="18"/>
                <w:highlight w:val="none"/>
                <w:u w:val="single"/>
                <w:lang w:val="en-US" w:eastAsia="zh-CN"/>
              </w:rPr>
              <w:t>同时提供原件核对，不提供原件的不得分</w:t>
            </w:r>
            <w:r>
              <w:rPr>
                <w:rFonts w:hint="eastAsia" w:ascii="宋体" w:hAnsi="宋体" w:eastAsia="宋体" w:cs="宋体"/>
                <w:color w:val="auto"/>
                <w:kern w:val="0"/>
                <w:sz w:val="18"/>
                <w:szCs w:val="18"/>
                <w:highlight w:val="none"/>
                <w:lang w:val="en-US" w:eastAsia="zh-CN"/>
              </w:rPr>
              <w:t>，没有的不得分</w:t>
            </w:r>
            <w:r>
              <w:rPr>
                <w:rFonts w:hint="eastAsia" w:ascii="宋体" w:hAnsi="宋体" w:eastAsia="宋体" w:cs="宋体"/>
                <w:color w:val="auto"/>
                <w:kern w:val="0"/>
                <w:sz w:val="18"/>
                <w:szCs w:val="18"/>
                <w:highlight w:val="none"/>
                <w:lang w:eastAsia="zh-CN"/>
              </w:rPr>
              <w:t>。</w:t>
            </w:r>
          </w:p>
        </w:tc>
      </w:tr>
      <w:tr>
        <w:tblPrEx>
          <w:tblCellMar>
            <w:top w:w="0" w:type="dxa"/>
            <w:left w:w="108" w:type="dxa"/>
            <w:bottom w:w="0" w:type="dxa"/>
            <w:right w:w="108" w:type="dxa"/>
          </w:tblCellMar>
        </w:tblPrEx>
        <w:trPr>
          <w:trHeight w:val="23" w:hRule="atLeast"/>
          <w:jc w:val="center"/>
        </w:trPr>
        <w:tc>
          <w:tcPr>
            <w:tcW w:w="462" w:type="dxa"/>
            <w:vMerge w:val="continue"/>
            <w:tcBorders>
              <w:left w:val="single" w:color="auto" w:sz="12"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rPr>
            </w:pPr>
          </w:p>
        </w:tc>
        <w:tc>
          <w:tcPr>
            <w:tcW w:w="625"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宋体" w:hAnsi="宋体" w:eastAsia="宋体" w:cs="宋体"/>
                <w:color w:val="auto"/>
                <w:sz w:val="18"/>
                <w:szCs w:val="18"/>
                <w:highlight w:val="none"/>
              </w:rPr>
            </w:pPr>
          </w:p>
        </w:tc>
        <w:tc>
          <w:tcPr>
            <w:tcW w:w="1575" w:type="dxa"/>
            <w:tcBorders>
              <w:top w:val="single" w:color="auto" w:sz="4" w:space="0"/>
              <w:left w:val="single" w:color="auto" w:sz="4" w:space="0"/>
              <w:right w:val="single" w:color="auto" w:sz="4" w:space="0"/>
            </w:tcBorders>
            <w:noWrap w:val="0"/>
            <w:vAlign w:val="center"/>
          </w:tcPr>
          <w:p>
            <w:pPr>
              <w:adjustRightInd w:val="0"/>
              <w:snapToGrid w:val="0"/>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投标人获得荣誉</w:t>
            </w:r>
          </w:p>
        </w:tc>
        <w:tc>
          <w:tcPr>
            <w:tcW w:w="713" w:type="dxa"/>
            <w:tcBorders>
              <w:top w:val="single" w:color="auto" w:sz="4" w:space="0"/>
              <w:left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w:t>
            </w:r>
          </w:p>
        </w:tc>
        <w:tc>
          <w:tcPr>
            <w:tcW w:w="5652" w:type="dxa"/>
            <w:tcBorders>
              <w:top w:val="single" w:color="auto" w:sz="4" w:space="0"/>
              <w:left w:val="single" w:color="auto" w:sz="4" w:space="0"/>
              <w:right w:val="single" w:color="auto" w:sz="12" w:space="0"/>
            </w:tcBorders>
            <w:noWrap w:val="0"/>
            <w:vAlign w:val="center"/>
          </w:tcPr>
          <w:p>
            <w:pPr>
              <w:adjustRightInd w:val="0"/>
              <w:snapToGrid w:val="0"/>
              <w:spacing w:line="240" w:lineRule="auto"/>
              <w:rPr>
                <w:rFonts w:hint="eastAsia" w:ascii="宋体" w:hAnsi="宋体" w:eastAsia="宋体" w:cs="宋体"/>
                <w:snapToGrid w:val="0"/>
                <w:color w:val="auto"/>
                <w:kern w:val="0"/>
                <w:sz w:val="18"/>
                <w:szCs w:val="18"/>
                <w:highlight w:val="none"/>
                <w:lang w:eastAsia="zh-CN"/>
              </w:rPr>
            </w:pPr>
            <w:r>
              <w:rPr>
                <w:rFonts w:hint="eastAsia" w:ascii="宋体" w:hAnsi="宋体" w:eastAsia="宋体" w:cs="宋体"/>
                <w:snapToGrid w:val="0"/>
                <w:color w:val="auto"/>
                <w:kern w:val="0"/>
                <w:sz w:val="18"/>
                <w:szCs w:val="18"/>
                <w:highlight w:val="none"/>
              </w:rPr>
              <w:t>201</w:t>
            </w:r>
            <w:r>
              <w:rPr>
                <w:rFonts w:hint="eastAsia" w:ascii="宋体" w:hAnsi="宋体" w:eastAsia="宋体" w:cs="宋体"/>
                <w:snapToGrid w:val="0"/>
                <w:color w:val="auto"/>
                <w:kern w:val="0"/>
                <w:sz w:val="18"/>
                <w:szCs w:val="18"/>
                <w:highlight w:val="none"/>
                <w:lang w:val="en-US" w:eastAsia="zh-CN"/>
              </w:rPr>
              <w:t>6年1月1日</w:t>
            </w:r>
            <w:r>
              <w:rPr>
                <w:rFonts w:hint="eastAsia" w:ascii="宋体" w:hAnsi="宋体" w:eastAsia="宋体" w:cs="宋体"/>
                <w:snapToGrid w:val="0"/>
                <w:color w:val="auto"/>
                <w:kern w:val="0"/>
                <w:sz w:val="18"/>
                <w:szCs w:val="18"/>
                <w:highlight w:val="none"/>
              </w:rPr>
              <w:t>以来企业获得区级（含区级）以上人民政府或部门颁发的各种荣誉的</w:t>
            </w:r>
            <w:r>
              <w:rPr>
                <w:rFonts w:hint="eastAsia" w:ascii="宋体" w:hAnsi="宋体" w:eastAsia="宋体" w:cs="宋体"/>
                <w:snapToGrid w:val="0"/>
                <w:color w:val="auto"/>
                <w:kern w:val="0"/>
                <w:sz w:val="18"/>
                <w:szCs w:val="18"/>
                <w:highlight w:val="none"/>
                <w:lang w:eastAsia="zh-CN"/>
              </w:rPr>
              <w:t>1</w:t>
            </w:r>
            <w:r>
              <w:rPr>
                <w:rFonts w:hint="eastAsia" w:ascii="宋体" w:hAnsi="宋体" w:eastAsia="宋体" w:cs="宋体"/>
                <w:snapToGrid w:val="0"/>
                <w:color w:val="auto"/>
                <w:kern w:val="0"/>
                <w:sz w:val="18"/>
                <w:szCs w:val="18"/>
                <w:highlight w:val="none"/>
              </w:rPr>
              <w:t>分/个，最高</w:t>
            </w:r>
            <w:r>
              <w:rPr>
                <w:rFonts w:hint="eastAsia" w:ascii="宋体" w:hAnsi="宋体" w:eastAsia="宋体" w:cs="宋体"/>
                <w:snapToGrid w:val="0"/>
                <w:color w:val="auto"/>
                <w:kern w:val="0"/>
                <w:sz w:val="18"/>
                <w:szCs w:val="18"/>
                <w:highlight w:val="none"/>
                <w:lang w:val="en-US" w:eastAsia="zh-CN"/>
              </w:rPr>
              <w:t>3</w:t>
            </w:r>
            <w:r>
              <w:rPr>
                <w:rFonts w:hint="eastAsia" w:ascii="宋体" w:hAnsi="宋体" w:eastAsia="宋体" w:cs="宋体"/>
                <w:snapToGrid w:val="0"/>
                <w:color w:val="auto"/>
                <w:kern w:val="0"/>
                <w:sz w:val="18"/>
                <w:szCs w:val="18"/>
                <w:highlight w:val="none"/>
              </w:rPr>
              <w:t>分（管理项目荣誉不计，同类荣誉不累计计分）</w:t>
            </w:r>
            <w:r>
              <w:rPr>
                <w:rFonts w:hint="eastAsia" w:ascii="宋体" w:hAnsi="宋体" w:eastAsia="宋体" w:cs="宋体"/>
                <w:snapToGrid w:val="0"/>
                <w:color w:val="auto"/>
                <w:kern w:val="0"/>
                <w:sz w:val="18"/>
                <w:szCs w:val="18"/>
                <w:highlight w:val="none"/>
                <w:lang w:eastAsia="zh-CN"/>
              </w:rPr>
              <w:t>。</w:t>
            </w:r>
          </w:p>
          <w:p>
            <w:pPr>
              <w:adjustRightInd w:val="0"/>
              <w:snapToGrid w:val="0"/>
              <w:spacing w:line="240" w:lineRule="auto"/>
              <w:rPr>
                <w:rFonts w:hint="eastAsia" w:ascii="宋体" w:hAnsi="宋体" w:eastAsia="宋体" w:cs="宋体"/>
                <w:snapToGrid w:val="0"/>
                <w:color w:val="auto"/>
                <w:kern w:val="0"/>
                <w:sz w:val="18"/>
                <w:szCs w:val="18"/>
                <w:highlight w:val="none"/>
              </w:rPr>
            </w:pPr>
            <w:r>
              <w:rPr>
                <w:rFonts w:hint="eastAsia" w:ascii="宋体" w:hAnsi="宋体" w:eastAsia="宋体" w:cs="宋体"/>
                <w:color w:val="auto"/>
                <w:kern w:val="0"/>
                <w:sz w:val="18"/>
                <w:szCs w:val="18"/>
                <w:highlight w:val="none"/>
                <w:lang w:val="en-US" w:eastAsia="zh-CN"/>
              </w:rPr>
              <w:t>须提供有效证明文件复印件加盖单位盖章，没有的不得分</w:t>
            </w:r>
            <w:r>
              <w:rPr>
                <w:rFonts w:hint="eastAsia" w:ascii="宋体" w:hAnsi="宋体" w:eastAsia="宋体" w:cs="宋体"/>
                <w:color w:val="auto"/>
                <w:kern w:val="0"/>
                <w:sz w:val="18"/>
                <w:szCs w:val="18"/>
                <w:highlight w:val="none"/>
                <w:lang w:eastAsia="zh-CN"/>
              </w:rPr>
              <w:t>。</w:t>
            </w:r>
          </w:p>
        </w:tc>
      </w:tr>
      <w:tr>
        <w:tblPrEx>
          <w:tblCellMar>
            <w:top w:w="0" w:type="dxa"/>
            <w:left w:w="108" w:type="dxa"/>
            <w:bottom w:w="0" w:type="dxa"/>
            <w:right w:w="108" w:type="dxa"/>
          </w:tblCellMar>
        </w:tblPrEx>
        <w:trPr>
          <w:trHeight w:val="23" w:hRule="atLeast"/>
          <w:jc w:val="center"/>
        </w:trPr>
        <w:tc>
          <w:tcPr>
            <w:tcW w:w="462" w:type="dxa"/>
            <w:vMerge w:val="continue"/>
            <w:tcBorders>
              <w:left w:val="single" w:color="auto" w:sz="12"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rPr>
            </w:pPr>
          </w:p>
        </w:tc>
        <w:tc>
          <w:tcPr>
            <w:tcW w:w="625"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宋体" w:hAnsi="宋体" w:eastAsia="宋体" w:cs="宋体"/>
                <w:color w:val="auto"/>
                <w:sz w:val="18"/>
                <w:szCs w:val="18"/>
                <w:highlight w:val="none"/>
              </w:rPr>
            </w:pPr>
          </w:p>
        </w:tc>
        <w:tc>
          <w:tcPr>
            <w:tcW w:w="1575" w:type="dxa"/>
            <w:tcBorders>
              <w:top w:val="single" w:color="auto" w:sz="4" w:space="0"/>
              <w:left w:val="single" w:color="auto" w:sz="4" w:space="0"/>
              <w:right w:val="single" w:color="auto" w:sz="4" w:space="0"/>
            </w:tcBorders>
            <w:noWrap w:val="0"/>
            <w:vAlign w:val="center"/>
          </w:tcPr>
          <w:p>
            <w:pPr>
              <w:adjustRightInd w:val="0"/>
              <w:snapToGrid w:val="0"/>
              <w:spacing w:line="240" w:lineRule="auto"/>
              <w:ind w:left="-34"/>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投标人</w:t>
            </w:r>
            <w:r>
              <w:rPr>
                <w:rFonts w:hint="eastAsia" w:ascii="宋体" w:hAnsi="宋体" w:eastAsia="宋体" w:cs="宋体"/>
                <w:color w:val="auto"/>
                <w:kern w:val="0"/>
                <w:sz w:val="18"/>
                <w:szCs w:val="18"/>
                <w:highlight w:val="none"/>
              </w:rPr>
              <w:t>项目获奖情况</w:t>
            </w:r>
          </w:p>
        </w:tc>
        <w:tc>
          <w:tcPr>
            <w:tcW w:w="713" w:type="dxa"/>
            <w:tcBorders>
              <w:top w:val="single" w:color="auto" w:sz="4" w:space="0"/>
              <w:left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w:t>
            </w:r>
          </w:p>
        </w:tc>
        <w:tc>
          <w:tcPr>
            <w:tcW w:w="5652" w:type="dxa"/>
            <w:tcBorders>
              <w:top w:val="single" w:color="auto" w:sz="4" w:space="0"/>
              <w:left w:val="single" w:color="auto" w:sz="4" w:space="0"/>
              <w:right w:val="single" w:color="auto" w:sz="12" w:space="0"/>
            </w:tcBorders>
            <w:noWrap w:val="0"/>
            <w:vAlign w:val="center"/>
          </w:tcPr>
          <w:p>
            <w:pPr>
              <w:adjustRightInd w:val="0"/>
              <w:snapToGrid w:val="0"/>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2016年1月</w:t>
            </w:r>
            <w:r>
              <w:rPr>
                <w:rFonts w:hint="eastAsia" w:ascii="宋体" w:hAnsi="宋体" w:eastAsia="宋体" w:cs="宋体"/>
                <w:color w:val="auto"/>
                <w:kern w:val="0"/>
                <w:sz w:val="18"/>
                <w:szCs w:val="18"/>
                <w:highlight w:val="none"/>
                <w:lang w:val="en-US" w:eastAsia="zh-CN"/>
              </w:rPr>
              <w:t>1日以来</w:t>
            </w:r>
            <w:r>
              <w:rPr>
                <w:rFonts w:hint="eastAsia" w:ascii="宋体" w:hAnsi="宋体" w:eastAsia="宋体" w:cs="宋体"/>
                <w:color w:val="auto"/>
                <w:kern w:val="0"/>
                <w:sz w:val="18"/>
                <w:szCs w:val="18"/>
                <w:highlight w:val="none"/>
              </w:rPr>
              <w:t>公共场所项目获部级物业管理示范项目或复评通过的，得3分；获省示范或复评通过的，得2分，获市示范或复评通过的，得1分。</w:t>
            </w:r>
          </w:p>
          <w:p>
            <w:pPr>
              <w:adjustRightInd w:val="0"/>
              <w:snapToGrid w:val="0"/>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注：</w:t>
            </w:r>
            <w:r>
              <w:rPr>
                <w:rFonts w:hint="eastAsia" w:ascii="宋体" w:hAnsi="宋体" w:eastAsia="宋体" w:cs="宋体"/>
                <w:color w:val="auto"/>
                <w:kern w:val="0"/>
                <w:sz w:val="18"/>
                <w:szCs w:val="18"/>
                <w:highlight w:val="none"/>
              </w:rPr>
              <w:t>各项目获奖情况不累计计分，仅取最高奖项，即不同项目获得不同荣誉称号，仅取最高荣誉计分</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须提供有效证明文件复印件加盖单位盖章，没有的不得分</w:t>
            </w:r>
            <w:r>
              <w:rPr>
                <w:rFonts w:hint="eastAsia" w:ascii="宋体" w:hAnsi="宋体" w:eastAsia="宋体" w:cs="宋体"/>
                <w:color w:val="auto"/>
                <w:kern w:val="0"/>
                <w:sz w:val="18"/>
                <w:szCs w:val="18"/>
                <w:highlight w:val="none"/>
                <w:lang w:eastAsia="zh-CN"/>
              </w:rPr>
              <w:t>。</w:t>
            </w:r>
          </w:p>
        </w:tc>
      </w:tr>
      <w:tr>
        <w:tblPrEx>
          <w:tblCellMar>
            <w:top w:w="0" w:type="dxa"/>
            <w:left w:w="108" w:type="dxa"/>
            <w:bottom w:w="0" w:type="dxa"/>
            <w:right w:w="108" w:type="dxa"/>
          </w:tblCellMar>
        </w:tblPrEx>
        <w:trPr>
          <w:trHeight w:val="23" w:hRule="atLeast"/>
          <w:jc w:val="center"/>
        </w:trPr>
        <w:tc>
          <w:tcPr>
            <w:tcW w:w="462"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220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人员投入、服务员工配备情况</w:t>
            </w:r>
          </w:p>
        </w:tc>
        <w:tc>
          <w:tcPr>
            <w:tcW w:w="7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6</w:t>
            </w:r>
          </w:p>
        </w:tc>
        <w:tc>
          <w:tcPr>
            <w:tcW w:w="5652" w:type="dxa"/>
            <w:tcBorders>
              <w:top w:val="single" w:color="auto" w:sz="4" w:space="0"/>
              <w:left w:val="single" w:color="auto" w:sz="4" w:space="0"/>
              <w:bottom w:val="single" w:color="auto" w:sz="4" w:space="0"/>
              <w:right w:val="single" w:color="auto" w:sz="12" w:space="0"/>
            </w:tcBorders>
            <w:noWrap w:val="0"/>
            <w:vAlign w:val="center"/>
          </w:tcPr>
          <w:p>
            <w:pPr>
              <w:numPr>
                <w:ilvl w:val="0"/>
                <w:numId w:val="0"/>
              </w:numPr>
              <w:adjustRightInd w:val="0"/>
              <w:snapToGrid w:val="0"/>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岗位设置及配备情况（包括岗位明细、每个岗位的工作安排</w:t>
            </w:r>
            <w:r>
              <w:rPr>
                <w:rFonts w:hint="eastAsia" w:ascii="宋体" w:hAnsi="宋体" w:eastAsia="宋体" w:cs="宋体"/>
                <w:color w:val="auto"/>
                <w:sz w:val="18"/>
                <w:szCs w:val="18"/>
                <w:highlight w:val="none"/>
                <w:lang w:val="en-US" w:eastAsia="zh-CN"/>
              </w:rPr>
              <w:t>计划等</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综合评价，一般0-2分，良2-4分，优4</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分</w:t>
            </w:r>
            <w:r>
              <w:rPr>
                <w:rFonts w:hint="eastAsia" w:ascii="宋体" w:hAnsi="宋体" w:eastAsia="宋体" w:cs="宋体"/>
                <w:color w:val="auto"/>
                <w:kern w:val="0"/>
                <w:sz w:val="18"/>
                <w:szCs w:val="18"/>
                <w:highlight w:val="none"/>
                <w:lang w:eastAsia="zh-CN"/>
              </w:rPr>
              <w:t>。</w:t>
            </w:r>
          </w:p>
        </w:tc>
      </w:tr>
      <w:tr>
        <w:tblPrEx>
          <w:tblCellMar>
            <w:top w:w="0" w:type="dxa"/>
            <w:left w:w="108" w:type="dxa"/>
            <w:bottom w:w="0" w:type="dxa"/>
            <w:right w:w="108" w:type="dxa"/>
          </w:tblCellMar>
        </w:tblPrEx>
        <w:trPr>
          <w:trHeight w:val="23" w:hRule="atLeast"/>
          <w:jc w:val="center"/>
        </w:trPr>
        <w:tc>
          <w:tcPr>
            <w:tcW w:w="462"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3</w:t>
            </w:r>
          </w:p>
        </w:tc>
        <w:tc>
          <w:tcPr>
            <w:tcW w:w="220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员工服装配置</w:t>
            </w:r>
          </w:p>
        </w:tc>
        <w:tc>
          <w:tcPr>
            <w:tcW w:w="7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6</w:t>
            </w:r>
          </w:p>
        </w:tc>
        <w:tc>
          <w:tcPr>
            <w:tcW w:w="5652"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240" w:lineRule="auto"/>
              <w:jc w:val="both"/>
              <w:rPr>
                <w:rFonts w:hint="eastAsia" w:ascii="宋体" w:hAnsi="宋体" w:eastAsia="宋体" w:cs="宋体"/>
                <w:color w:val="auto"/>
                <w:sz w:val="18"/>
                <w:szCs w:val="18"/>
                <w:highlight w:val="none"/>
                <w:lang w:eastAsia="zh-CN"/>
              </w:rPr>
            </w:pPr>
            <w:r>
              <w:rPr>
                <w:rFonts w:hint="eastAsia" w:ascii="宋体" w:hAnsi="宋体" w:eastAsia="宋体" w:cs="宋体"/>
                <w:color w:val="auto"/>
                <w:kern w:val="0"/>
                <w:sz w:val="18"/>
                <w:szCs w:val="18"/>
                <w:highlight w:val="none"/>
              </w:rPr>
              <w:t>根据各类</w:t>
            </w:r>
            <w:r>
              <w:rPr>
                <w:rFonts w:hint="eastAsia" w:ascii="宋体" w:hAnsi="宋体" w:eastAsia="宋体" w:cs="宋体"/>
                <w:color w:val="auto"/>
                <w:kern w:val="0"/>
                <w:sz w:val="18"/>
                <w:szCs w:val="18"/>
                <w:highlight w:val="none"/>
                <w:lang w:val="en-US" w:eastAsia="zh-CN"/>
              </w:rPr>
              <w:t>服务</w:t>
            </w:r>
            <w:r>
              <w:rPr>
                <w:rFonts w:hint="eastAsia" w:ascii="宋体" w:hAnsi="宋体" w:eastAsia="宋体" w:cs="宋体"/>
                <w:color w:val="auto"/>
                <w:kern w:val="0"/>
                <w:sz w:val="18"/>
                <w:szCs w:val="18"/>
                <w:highlight w:val="none"/>
              </w:rPr>
              <w:t>人员着装配置是否齐备等因素酌情打分</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sz w:val="18"/>
                <w:szCs w:val="18"/>
                <w:highlight w:val="none"/>
                <w:lang w:val="en-US" w:eastAsia="zh-CN"/>
              </w:rPr>
              <w:t>一般0-2分，良2-4分，优4</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分</w:t>
            </w:r>
            <w:r>
              <w:rPr>
                <w:rFonts w:hint="eastAsia" w:ascii="宋体" w:hAnsi="宋体" w:eastAsia="宋体" w:cs="宋体"/>
                <w:color w:val="auto"/>
                <w:kern w:val="0"/>
                <w:sz w:val="18"/>
                <w:szCs w:val="18"/>
                <w:highlight w:val="none"/>
                <w:lang w:eastAsia="zh-CN"/>
              </w:rPr>
              <w:t>。</w:t>
            </w:r>
          </w:p>
        </w:tc>
      </w:tr>
      <w:tr>
        <w:tblPrEx>
          <w:tblCellMar>
            <w:top w:w="0" w:type="dxa"/>
            <w:left w:w="108" w:type="dxa"/>
            <w:bottom w:w="0" w:type="dxa"/>
            <w:right w:w="108" w:type="dxa"/>
          </w:tblCellMar>
        </w:tblPrEx>
        <w:trPr>
          <w:trHeight w:val="23" w:hRule="atLeast"/>
          <w:jc w:val="center"/>
        </w:trPr>
        <w:tc>
          <w:tcPr>
            <w:tcW w:w="462" w:type="dxa"/>
            <w:vMerge w:val="restart"/>
            <w:tcBorders>
              <w:top w:val="single" w:color="auto" w:sz="4" w:space="0"/>
              <w:left w:val="single" w:color="auto" w:sz="12"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4</w:t>
            </w:r>
          </w:p>
        </w:tc>
        <w:tc>
          <w:tcPr>
            <w:tcW w:w="625" w:type="dxa"/>
            <w:vMerge w:val="restart"/>
            <w:tcBorders>
              <w:top w:val="single" w:color="auto" w:sz="4" w:space="0"/>
              <w:left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服务方案</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管理服务组织机构设置、运作流程、服务管理机制</w:t>
            </w:r>
          </w:p>
        </w:tc>
        <w:tc>
          <w:tcPr>
            <w:tcW w:w="7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w:t>
            </w:r>
          </w:p>
        </w:tc>
        <w:tc>
          <w:tcPr>
            <w:tcW w:w="5652"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根据管理服务组织机构设置（附组织机构图）、运作流程（附运作流程图）、激励机制、监督机制、自我约束机制和信息反馈渠道及处理机制等是否科学、合理、高效，</w:t>
            </w:r>
            <w:r>
              <w:rPr>
                <w:rFonts w:hint="eastAsia" w:ascii="宋体" w:hAnsi="宋体" w:eastAsia="宋体" w:cs="宋体"/>
                <w:color w:val="auto"/>
                <w:sz w:val="18"/>
                <w:szCs w:val="18"/>
                <w:highlight w:val="none"/>
                <w:lang w:val="en-US" w:eastAsia="zh-CN"/>
              </w:rPr>
              <w:t>进行综合评价，一般0-2分，良2-4分，优4</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分</w:t>
            </w:r>
            <w:r>
              <w:rPr>
                <w:rFonts w:hint="eastAsia" w:ascii="宋体" w:hAnsi="宋体" w:eastAsia="宋体" w:cs="宋体"/>
                <w:color w:val="auto"/>
                <w:kern w:val="0"/>
                <w:sz w:val="18"/>
                <w:szCs w:val="18"/>
                <w:highlight w:val="none"/>
                <w:lang w:eastAsia="zh-CN"/>
              </w:rPr>
              <w:t>。</w:t>
            </w:r>
          </w:p>
        </w:tc>
      </w:tr>
      <w:tr>
        <w:tblPrEx>
          <w:tblCellMar>
            <w:top w:w="0" w:type="dxa"/>
            <w:left w:w="108" w:type="dxa"/>
            <w:bottom w:w="0" w:type="dxa"/>
            <w:right w:w="108" w:type="dxa"/>
          </w:tblCellMar>
        </w:tblPrEx>
        <w:trPr>
          <w:trHeight w:val="23" w:hRule="atLeast"/>
          <w:jc w:val="center"/>
        </w:trPr>
        <w:tc>
          <w:tcPr>
            <w:tcW w:w="462" w:type="dxa"/>
            <w:vMerge w:val="continue"/>
            <w:tcBorders>
              <w:left w:val="single" w:color="auto" w:sz="12"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lang w:eastAsia="zh-CN"/>
              </w:rPr>
            </w:pPr>
          </w:p>
        </w:tc>
        <w:tc>
          <w:tcPr>
            <w:tcW w:w="625"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宋体" w:hAnsi="宋体" w:eastAsia="宋体" w:cs="宋体"/>
                <w:color w:val="auto"/>
                <w:sz w:val="18"/>
                <w:szCs w:val="18"/>
                <w:highlight w:val="none"/>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各项管理规章制度及考核方法</w:t>
            </w:r>
          </w:p>
        </w:tc>
        <w:tc>
          <w:tcPr>
            <w:tcW w:w="7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6</w:t>
            </w:r>
          </w:p>
        </w:tc>
        <w:tc>
          <w:tcPr>
            <w:tcW w:w="5652"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各项公众制度、内部岗位责任制度、管理人员考核制度及标准等，要求符合规范，体现高标准、高档次、科学合理、详细完备；人员、设施、设备管理服务、业主方反馈资料、文件资料等档案的建立与管理。</w:t>
            </w:r>
            <w:r>
              <w:rPr>
                <w:rFonts w:hint="eastAsia" w:ascii="宋体" w:hAnsi="宋体" w:eastAsia="宋体" w:cs="宋体"/>
                <w:color w:val="auto"/>
                <w:sz w:val="18"/>
                <w:szCs w:val="18"/>
                <w:highlight w:val="none"/>
                <w:lang w:val="en-US" w:eastAsia="zh-CN"/>
              </w:rPr>
              <w:t>综合评价，一般0-2分，良2-4分，优4</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分</w:t>
            </w:r>
            <w:r>
              <w:rPr>
                <w:rFonts w:hint="eastAsia" w:ascii="宋体" w:hAnsi="宋体" w:eastAsia="宋体" w:cs="宋体"/>
                <w:color w:val="auto"/>
                <w:kern w:val="0"/>
                <w:sz w:val="18"/>
                <w:szCs w:val="18"/>
                <w:highlight w:val="none"/>
                <w:lang w:eastAsia="zh-CN"/>
              </w:rPr>
              <w:t>。</w:t>
            </w:r>
          </w:p>
        </w:tc>
      </w:tr>
      <w:tr>
        <w:tblPrEx>
          <w:tblCellMar>
            <w:top w:w="0" w:type="dxa"/>
            <w:left w:w="108" w:type="dxa"/>
            <w:bottom w:w="0" w:type="dxa"/>
            <w:right w:w="108" w:type="dxa"/>
          </w:tblCellMar>
        </w:tblPrEx>
        <w:trPr>
          <w:trHeight w:val="23" w:hRule="atLeast"/>
          <w:jc w:val="center"/>
        </w:trPr>
        <w:tc>
          <w:tcPr>
            <w:tcW w:w="462" w:type="dxa"/>
            <w:vMerge w:val="continue"/>
            <w:tcBorders>
              <w:left w:val="single" w:color="auto" w:sz="12"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lang w:eastAsia="zh-CN"/>
              </w:rPr>
            </w:pPr>
          </w:p>
        </w:tc>
        <w:tc>
          <w:tcPr>
            <w:tcW w:w="625"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宋体" w:hAnsi="宋体" w:eastAsia="宋体" w:cs="宋体"/>
                <w:color w:val="auto"/>
                <w:sz w:val="18"/>
                <w:szCs w:val="18"/>
                <w:highlight w:val="none"/>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针对本项目的特点和难点分析及解决措施</w:t>
            </w:r>
          </w:p>
        </w:tc>
        <w:tc>
          <w:tcPr>
            <w:tcW w:w="7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8</w:t>
            </w:r>
          </w:p>
        </w:tc>
        <w:tc>
          <w:tcPr>
            <w:tcW w:w="5652"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根据对本项目运行特点和难点分析的准确性及解决措施的科学性进行比较</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进行</w:t>
            </w:r>
            <w:r>
              <w:rPr>
                <w:rFonts w:hint="eastAsia" w:ascii="宋体" w:hAnsi="宋体" w:eastAsia="宋体" w:cs="宋体"/>
                <w:color w:val="auto"/>
                <w:sz w:val="18"/>
                <w:szCs w:val="18"/>
                <w:highlight w:val="none"/>
                <w:lang w:val="en-US" w:eastAsia="zh-CN"/>
              </w:rPr>
              <w:t>综合评价，一般0-3分，良3-6分，优6</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8</w:t>
            </w:r>
            <w:r>
              <w:rPr>
                <w:rFonts w:hint="eastAsia" w:ascii="宋体" w:hAnsi="宋体" w:eastAsia="宋体" w:cs="宋体"/>
                <w:color w:val="auto"/>
                <w:kern w:val="0"/>
                <w:sz w:val="18"/>
                <w:szCs w:val="18"/>
                <w:highlight w:val="none"/>
              </w:rPr>
              <w:t>分</w:t>
            </w:r>
            <w:r>
              <w:rPr>
                <w:rFonts w:hint="eastAsia" w:ascii="宋体" w:hAnsi="宋体" w:eastAsia="宋体" w:cs="宋体"/>
                <w:color w:val="auto"/>
                <w:kern w:val="0"/>
                <w:sz w:val="18"/>
                <w:szCs w:val="18"/>
                <w:highlight w:val="none"/>
                <w:lang w:eastAsia="zh-CN"/>
              </w:rPr>
              <w:t>。</w:t>
            </w:r>
          </w:p>
        </w:tc>
      </w:tr>
      <w:tr>
        <w:tblPrEx>
          <w:tblCellMar>
            <w:top w:w="0" w:type="dxa"/>
            <w:left w:w="108" w:type="dxa"/>
            <w:bottom w:w="0" w:type="dxa"/>
            <w:right w:w="108" w:type="dxa"/>
          </w:tblCellMar>
        </w:tblPrEx>
        <w:trPr>
          <w:trHeight w:val="23" w:hRule="atLeast"/>
          <w:jc w:val="center"/>
        </w:trPr>
        <w:tc>
          <w:tcPr>
            <w:tcW w:w="462" w:type="dxa"/>
            <w:vMerge w:val="continue"/>
            <w:tcBorders>
              <w:left w:val="single" w:color="auto" w:sz="12"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lang w:eastAsia="zh-CN"/>
              </w:rPr>
            </w:pPr>
          </w:p>
        </w:tc>
        <w:tc>
          <w:tcPr>
            <w:tcW w:w="625" w:type="dxa"/>
            <w:vMerge w:val="continue"/>
            <w:tcBorders>
              <w:left w:val="single" w:color="auto" w:sz="4" w:space="0"/>
              <w:right w:val="single" w:color="auto" w:sz="4" w:space="0"/>
            </w:tcBorders>
            <w:noWrap w:val="0"/>
            <w:vAlign w:val="center"/>
          </w:tcPr>
          <w:p>
            <w:pPr>
              <w:widowControl/>
              <w:adjustRightInd w:val="0"/>
              <w:snapToGrid w:val="0"/>
              <w:spacing w:line="240" w:lineRule="auto"/>
              <w:rPr>
                <w:rFonts w:hint="eastAsia" w:ascii="宋体" w:hAnsi="宋体" w:eastAsia="宋体" w:cs="宋体"/>
                <w:color w:val="auto"/>
                <w:kern w:val="0"/>
                <w:sz w:val="18"/>
                <w:szCs w:val="18"/>
                <w:highlight w:val="none"/>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环境卫生管理实施方案</w:t>
            </w:r>
          </w:p>
        </w:tc>
        <w:tc>
          <w:tcPr>
            <w:tcW w:w="71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6</w:t>
            </w:r>
          </w:p>
        </w:tc>
        <w:tc>
          <w:tcPr>
            <w:tcW w:w="5652"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240" w:lineRule="auto"/>
              <w:rPr>
                <w:rFonts w:hint="eastAsia" w:ascii="宋体" w:hAnsi="宋体" w:eastAsia="宋体" w:cs="宋体"/>
                <w:color w:val="auto"/>
                <w:sz w:val="18"/>
                <w:szCs w:val="18"/>
                <w:highlight w:val="none"/>
                <w:lang w:val="en-US"/>
              </w:rPr>
            </w:pPr>
            <w:r>
              <w:rPr>
                <w:rFonts w:hint="eastAsia" w:ascii="宋体" w:hAnsi="宋体" w:eastAsia="宋体" w:cs="宋体"/>
                <w:color w:val="auto"/>
                <w:kern w:val="0"/>
                <w:sz w:val="18"/>
                <w:szCs w:val="18"/>
                <w:highlight w:val="none"/>
              </w:rPr>
              <w:t>根据实施方案的科学性及合理性</w:t>
            </w:r>
            <w:r>
              <w:rPr>
                <w:rFonts w:hint="eastAsia" w:ascii="宋体" w:hAnsi="宋体" w:eastAsia="宋体" w:cs="宋体"/>
                <w:color w:val="auto"/>
                <w:kern w:val="0"/>
                <w:sz w:val="18"/>
                <w:szCs w:val="18"/>
                <w:highlight w:val="none"/>
                <w:lang w:val="en-US" w:eastAsia="zh-CN"/>
              </w:rPr>
              <w:t>综合打分，</w:t>
            </w:r>
            <w:r>
              <w:rPr>
                <w:rFonts w:hint="eastAsia" w:ascii="宋体" w:hAnsi="宋体" w:eastAsia="宋体" w:cs="宋体"/>
                <w:color w:val="auto"/>
                <w:sz w:val="18"/>
                <w:szCs w:val="18"/>
                <w:highlight w:val="none"/>
                <w:lang w:val="en-US" w:eastAsia="zh-CN"/>
              </w:rPr>
              <w:t>一般0-2分，良2-4分，优4</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分</w:t>
            </w:r>
            <w:r>
              <w:rPr>
                <w:rFonts w:hint="eastAsia" w:ascii="宋体" w:hAnsi="宋体" w:eastAsia="宋体" w:cs="宋体"/>
                <w:color w:val="auto"/>
                <w:kern w:val="0"/>
                <w:sz w:val="18"/>
                <w:szCs w:val="18"/>
                <w:highlight w:val="none"/>
                <w:lang w:eastAsia="zh-CN"/>
              </w:rPr>
              <w:t>。</w:t>
            </w:r>
          </w:p>
        </w:tc>
      </w:tr>
      <w:tr>
        <w:tblPrEx>
          <w:tblCellMar>
            <w:top w:w="0" w:type="dxa"/>
            <w:left w:w="108" w:type="dxa"/>
            <w:bottom w:w="0" w:type="dxa"/>
            <w:right w:w="108" w:type="dxa"/>
          </w:tblCellMar>
        </w:tblPrEx>
        <w:trPr>
          <w:trHeight w:val="23" w:hRule="atLeast"/>
          <w:jc w:val="center"/>
        </w:trPr>
        <w:tc>
          <w:tcPr>
            <w:tcW w:w="462" w:type="dxa"/>
            <w:vMerge w:val="continue"/>
            <w:tcBorders>
              <w:left w:val="single" w:color="auto" w:sz="12"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lang w:eastAsia="zh-CN"/>
              </w:rPr>
            </w:pPr>
          </w:p>
        </w:tc>
        <w:tc>
          <w:tcPr>
            <w:tcW w:w="625" w:type="dxa"/>
            <w:vMerge w:val="continue"/>
            <w:tcBorders>
              <w:left w:val="single" w:color="auto" w:sz="4" w:space="0"/>
              <w:right w:val="single" w:color="auto" w:sz="4" w:space="0"/>
            </w:tcBorders>
            <w:noWrap w:val="0"/>
            <w:vAlign w:val="center"/>
          </w:tcPr>
          <w:p>
            <w:pPr>
              <w:widowControl/>
              <w:adjustRightInd w:val="0"/>
              <w:snapToGrid w:val="0"/>
              <w:spacing w:line="240" w:lineRule="auto"/>
              <w:rPr>
                <w:rFonts w:hint="eastAsia" w:ascii="宋体" w:hAnsi="宋体" w:eastAsia="宋体" w:cs="宋体"/>
                <w:color w:val="auto"/>
                <w:kern w:val="0"/>
                <w:sz w:val="18"/>
                <w:szCs w:val="18"/>
                <w:highlight w:val="none"/>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安防实施方案</w:t>
            </w:r>
          </w:p>
        </w:tc>
        <w:tc>
          <w:tcPr>
            <w:tcW w:w="71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6</w:t>
            </w:r>
          </w:p>
        </w:tc>
        <w:tc>
          <w:tcPr>
            <w:tcW w:w="5652"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240" w:lineRule="auto"/>
              <w:rPr>
                <w:rFonts w:hint="eastAsia" w:ascii="宋体" w:hAnsi="宋体" w:eastAsia="宋体" w:cs="宋体"/>
                <w:color w:val="auto"/>
                <w:sz w:val="18"/>
                <w:szCs w:val="18"/>
                <w:highlight w:val="none"/>
                <w:lang w:val="en-US"/>
              </w:rPr>
            </w:pPr>
            <w:r>
              <w:rPr>
                <w:rFonts w:hint="eastAsia" w:ascii="宋体" w:hAnsi="宋体" w:eastAsia="宋体" w:cs="宋体"/>
                <w:color w:val="auto"/>
                <w:kern w:val="0"/>
                <w:sz w:val="18"/>
                <w:szCs w:val="18"/>
                <w:highlight w:val="none"/>
              </w:rPr>
              <w:t>根据实施方案的科学性及合理性</w:t>
            </w:r>
            <w:r>
              <w:rPr>
                <w:rFonts w:hint="eastAsia" w:ascii="宋体" w:hAnsi="宋体" w:eastAsia="宋体" w:cs="宋体"/>
                <w:color w:val="auto"/>
                <w:kern w:val="0"/>
                <w:sz w:val="18"/>
                <w:szCs w:val="18"/>
                <w:highlight w:val="none"/>
                <w:lang w:val="en-US" w:eastAsia="zh-CN"/>
              </w:rPr>
              <w:t>综合打分，</w:t>
            </w:r>
            <w:r>
              <w:rPr>
                <w:rFonts w:hint="eastAsia" w:ascii="宋体" w:hAnsi="宋体" w:eastAsia="宋体" w:cs="宋体"/>
                <w:color w:val="auto"/>
                <w:sz w:val="18"/>
                <w:szCs w:val="18"/>
                <w:highlight w:val="none"/>
                <w:lang w:val="en-US" w:eastAsia="zh-CN"/>
              </w:rPr>
              <w:t>一般0-2分，良2-4分，优4</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分</w:t>
            </w:r>
            <w:r>
              <w:rPr>
                <w:rFonts w:hint="eastAsia" w:ascii="宋体" w:hAnsi="宋体" w:eastAsia="宋体" w:cs="宋体"/>
                <w:color w:val="auto"/>
                <w:kern w:val="0"/>
                <w:sz w:val="18"/>
                <w:szCs w:val="18"/>
                <w:highlight w:val="none"/>
                <w:lang w:eastAsia="zh-CN"/>
              </w:rPr>
              <w:t>。</w:t>
            </w:r>
          </w:p>
        </w:tc>
      </w:tr>
      <w:tr>
        <w:tblPrEx>
          <w:tblCellMar>
            <w:top w:w="0" w:type="dxa"/>
            <w:left w:w="108" w:type="dxa"/>
            <w:bottom w:w="0" w:type="dxa"/>
            <w:right w:w="108" w:type="dxa"/>
          </w:tblCellMar>
        </w:tblPrEx>
        <w:trPr>
          <w:trHeight w:val="23" w:hRule="atLeast"/>
          <w:jc w:val="center"/>
        </w:trPr>
        <w:tc>
          <w:tcPr>
            <w:tcW w:w="462" w:type="dxa"/>
            <w:vMerge w:val="continue"/>
            <w:tcBorders>
              <w:left w:val="single" w:color="auto" w:sz="12"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lang w:eastAsia="zh-CN"/>
              </w:rPr>
            </w:pPr>
          </w:p>
        </w:tc>
        <w:tc>
          <w:tcPr>
            <w:tcW w:w="625"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spacing w:line="240" w:lineRule="auto"/>
              <w:rPr>
                <w:rFonts w:hint="eastAsia" w:ascii="宋体" w:hAnsi="宋体" w:eastAsia="宋体" w:cs="宋体"/>
                <w:color w:val="auto"/>
                <w:kern w:val="0"/>
                <w:sz w:val="18"/>
                <w:szCs w:val="18"/>
                <w:highlight w:val="none"/>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项目质量管理保证措施方案</w:t>
            </w:r>
          </w:p>
        </w:tc>
        <w:tc>
          <w:tcPr>
            <w:tcW w:w="71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6</w:t>
            </w:r>
          </w:p>
        </w:tc>
        <w:tc>
          <w:tcPr>
            <w:tcW w:w="5652" w:type="dxa"/>
            <w:tcBorders>
              <w:top w:val="single" w:color="auto" w:sz="4" w:space="0"/>
              <w:left w:val="single" w:color="auto" w:sz="4" w:space="0"/>
              <w:bottom w:val="single" w:color="auto" w:sz="4" w:space="0"/>
              <w:right w:val="single" w:color="auto" w:sz="12" w:space="0"/>
            </w:tcBorders>
            <w:noWrap w:val="0"/>
            <w:vAlign w:val="center"/>
          </w:tcPr>
          <w:p>
            <w:pPr>
              <w:widowControl/>
              <w:adjustRightInd w:val="0"/>
              <w:snapToGrid w:val="0"/>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根据为本项目就管理程序文件、质量记录，管理过程中存在的问题解决对策，管理成果检验评估方法，质量管理改进方法等，</w:t>
            </w:r>
            <w:r>
              <w:rPr>
                <w:rFonts w:hint="eastAsia" w:ascii="宋体" w:hAnsi="宋体" w:eastAsia="宋体" w:cs="宋体"/>
                <w:color w:val="auto"/>
                <w:kern w:val="0"/>
                <w:sz w:val="18"/>
                <w:szCs w:val="18"/>
                <w:highlight w:val="none"/>
                <w:lang w:val="en-US" w:eastAsia="zh-CN"/>
              </w:rPr>
              <w:t>进行</w:t>
            </w:r>
            <w:r>
              <w:rPr>
                <w:rFonts w:hint="eastAsia" w:ascii="宋体" w:hAnsi="宋体" w:eastAsia="宋体" w:cs="宋体"/>
                <w:color w:val="auto"/>
                <w:sz w:val="18"/>
                <w:szCs w:val="18"/>
                <w:highlight w:val="none"/>
                <w:lang w:val="en-US" w:eastAsia="zh-CN"/>
              </w:rPr>
              <w:t>综合评价，一般0-2分，良2-4分，优4</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分</w:t>
            </w:r>
            <w:r>
              <w:rPr>
                <w:rFonts w:hint="eastAsia" w:ascii="宋体" w:hAnsi="宋体" w:eastAsia="宋体" w:cs="宋体"/>
                <w:color w:val="auto"/>
                <w:kern w:val="0"/>
                <w:sz w:val="18"/>
                <w:szCs w:val="18"/>
                <w:highlight w:val="none"/>
                <w:lang w:eastAsia="zh-CN"/>
              </w:rPr>
              <w:t>。</w:t>
            </w:r>
          </w:p>
        </w:tc>
      </w:tr>
      <w:tr>
        <w:tblPrEx>
          <w:tblCellMar>
            <w:top w:w="0" w:type="dxa"/>
            <w:left w:w="108" w:type="dxa"/>
            <w:bottom w:w="0" w:type="dxa"/>
            <w:right w:w="108" w:type="dxa"/>
          </w:tblCellMar>
        </w:tblPrEx>
        <w:trPr>
          <w:trHeight w:val="437" w:hRule="atLeast"/>
          <w:jc w:val="center"/>
        </w:trPr>
        <w:tc>
          <w:tcPr>
            <w:tcW w:w="462"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w:t>
            </w:r>
          </w:p>
        </w:tc>
        <w:tc>
          <w:tcPr>
            <w:tcW w:w="220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left="-50"/>
              <w:jc w:val="both"/>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lang w:val="en-US" w:eastAsia="zh-CN"/>
              </w:rPr>
              <w:t>人均月工资</w:t>
            </w:r>
          </w:p>
        </w:tc>
        <w:tc>
          <w:tcPr>
            <w:tcW w:w="7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right="3"/>
              <w:jc w:val="center"/>
              <w:rPr>
                <w:rFonts w:hint="eastAsia" w:ascii="宋体" w:hAnsi="宋体" w:eastAsia="宋体" w:cs="宋体"/>
                <w:color w:val="auto"/>
                <w:kern w:val="0"/>
                <w:sz w:val="18"/>
                <w:szCs w:val="18"/>
                <w:highlight w:val="none"/>
              </w:rPr>
            </w:pPr>
            <w:r>
              <w:rPr>
                <w:rFonts w:hint="eastAsia" w:ascii="宋体" w:hAnsi="宋体" w:eastAsia="宋体" w:cs="宋体"/>
                <w:bCs/>
                <w:color w:val="auto"/>
                <w:kern w:val="28"/>
                <w:sz w:val="18"/>
                <w:szCs w:val="18"/>
                <w:highlight w:val="none"/>
                <w:lang w:val="en-US" w:eastAsia="zh-CN"/>
              </w:rPr>
              <w:t>4</w:t>
            </w:r>
          </w:p>
        </w:tc>
        <w:tc>
          <w:tcPr>
            <w:tcW w:w="5652" w:type="dxa"/>
            <w:tcBorders>
              <w:top w:val="single" w:color="auto" w:sz="4" w:space="0"/>
              <w:left w:val="single" w:color="auto" w:sz="4" w:space="0"/>
              <w:bottom w:val="single" w:color="auto" w:sz="4" w:space="0"/>
              <w:right w:val="single" w:color="auto" w:sz="12"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right="-11" w:firstLine="0" w:firstLineChars="0"/>
              <w:jc w:val="left"/>
              <w:textAlignment w:val="auto"/>
              <w:rPr>
                <w:rFonts w:hint="eastAsia" w:ascii="宋体" w:hAnsi="宋体" w:eastAsia="宋体" w:cs="宋体"/>
                <w:color w:val="auto"/>
                <w:sz w:val="18"/>
                <w:szCs w:val="18"/>
                <w:highlight w:val="none"/>
                <w:lang w:val="en-US" w:eastAsia="zh-CN" w:bidi="ar"/>
              </w:rPr>
            </w:pPr>
            <w:r>
              <w:rPr>
                <w:rFonts w:hint="eastAsia" w:ascii="宋体" w:hAnsi="宋体" w:eastAsia="宋体" w:cs="宋体"/>
                <w:b w:val="0"/>
                <w:color w:val="auto"/>
                <w:spacing w:val="0"/>
                <w:kern w:val="2"/>
                <w:sz w:val="18"/>
                <w:szCs w:val="18"/>
                <w:highlight w:val="none"/>
                <w:lang w:val="en-US" w:eastAsia="zh-CN" w:bidi="ar"/>
              </w:rPr>
              <w:t>保安人员与保洁人员承诺</w:t>
            </w:r>
            <w:r>
              <w:rPr>
                <w:rFonts w:hint="eastAsia" w:ascii="宋体" w:hAnsi="宋体" w:eastAsia="宋体" w:cs="宋体"/>
                <w:color w:val="auto"/>
                <w:sz w:val="18"/>
                <w:szCs w:val="18"/>
                <w:highlight w:val="none"/>
                <w:lang w:bidi="ar"/>
              </w:rPr>
              <w:t>日常人员工资</w:t>
            </w:r>
            <w:r>
              <w:rPr>
                <w:rFonts w:hint="eastAsia" w:ascii="宋体" w:hAnsi="宋体" w:eastAsia="宋体" w:cs="宋体"/>
                <w:color w:val="auto"/>
                <w:sz w:val="18"/>
                <w:szCs w:val="18"/>
                <w:highlight w:val="none"/>
                <w:lang w:val="en-US" w:eastAsia="zh-CN" w:bidi="ar"/>
              </w:rPr>
              <w:t>不低于2800.00元的，每增加50元加0.5分，满分2分。</w:t>
            </w:r>
          </w:p>
          <w:p>
            <w:pPr>
              <w:pStyle w:val="2"/>
              <w:keepNext w:val="0"/>
              <w:keepLines w:val="0"/>
              <w:pageBreakBefore w:val="0"/>
              <w:widowControl w:val="0"/>
              <w:kinsoku/>
              <w:wordWrap/>
              <w:overflowPunct/>
              <w:topLinePunct w:val="0"/>
              <w:autoSpaceDE/>
              <w:autoSpaceDN/>
              <w:bidi w:val="0"/>
              <w:adjustRightInd/>
              <w:snapToGrid/>
              <w:spacing w:line="240" w:lineRule="exact"/>
              <w:ind w:left="0" w:right="-11" w:firstLine="0" w:firstLineChars="0"/>
              <w:jc w:val="left"/>
              <w:textAlignment w:val="auto"/>
              <w:rPr>
                <w:rFonts w:hint="eastAsia" w:ascii="宋体" w:hAnsi="宋体" w:eastAsia="宋体" w:cs="宋体"/>
                <w:color w:val="auto"/>
                <w:kern w:val="2"/>
                <w:sz w:val="18"/>
                <w:szCs w:val="18"/>
                <w:highlight w:val="none"/>
                <w:lang w:val="en-US" w:eastAsia="zh-CN" w:bidi="ar"/>
              </w:rPr>
            </w:pPr>
            <w:r>
              <w:rPr>
                <w:rFonts w:hint="eastAsia" w:ascii="宋体" w:hAnsi="宋体" w:eastAsia="宋体" w:cs="宋体"/>
                <w:color w:val="auto"/>
                <w:sz w:val="18"/>
                <w:szCs w:val="18"/>
                <w:highlight w:val="none"/>
                <w:lang w:val="en-US" w:eastAsia="zh-CN" w:bidi="ar"/>
              </w:rPr>
              <w:t>保安队长、保洁组长、前台、</w:t>
            </w:r>
            <w:r>
              <w:rPr>
                <w:rFonts w:hint="eastAsia" w:ascii="宋体" w:hAnsi="宋体" w:eastAsia="宋体" w:cs="宋体"/>
                <w:color w:val="auto"/>
                <w:kern w:val="2"/>
                <w:sz w:val="18"/>
                <w:szCs w:val="18"/>
                <w:highlight w:val="none"/>
                <w:lang w:val="en-US" w:eastAsia="zh-CN" w:bidi="ar"/>
              </w:rPr>
              <w:t>监控消控员承诺日常工资不低于3500.00元的得0.5分，每增加100元加0.1分，满分1分。</w:t>
            </w:r>
          </w:p>
          <w:p>
            <w:pPr>
              <w:pStyle w:val="2"/>
              <w:keepNext w:val="0"/>
              <w:keepLines w:val="0"/>
              <w:pageBreakBefore w:val="0"/>
              <w:widowControl w:val="0"/>
              <w:kinsoku/>
              <w:wordWrap/>
              <w:overflowPunct/>
              <w:topLinePunct w:val="0"/>
              <w:autoSpaceDE/>
              <w:autoSpaceDN/>
              <w:bidi w:val="0"/>
              <w:adjustRightInd/>
              <w:snapToGrid/>
              <w:spacing w:line="240" w:lineRule="exact"/>
              <w:ind w:left="0" w:right="-11" w:firstLine="0" w:firstLineChars="0"/>
              <w:jc w:val="left"/>
              <w:textAlignment w:val="auto"/>
              <w:rPr>
                <w:rFonts w:hint="eastAsia" w:ascii="宋体" w:hAnsi="宋体" w:eastAsia="宋体" w:cs="宋体"/>
                <w:color w:val="auto"/>
                <w:kern w:val="2"/>
                <w:sz w:val="18"/>
                <w:szCs w:val="18"/>
                <w:highlight w:val="none"/>
                <w:lang w:val="en-US" w:eastAsia="zh-CN" w:bidi="ar"/>
              </w:rPr>
            </w:pPr>
            <w:r>
              <w:rPr>
                <w:rFonts w:hint="eastAsia" w:ascii="宋体" w:hAnsi="宋体" w:eastAsia="宋体" w:cs="宋体"/>
                <w:color w:val="auto"/>
                <w:kern w:val="2"/>
                <w:sz w:val="18"/>
                <w:szCs w:val="18"/>
                <w:highlight w:val="none"/>
                <w:lang w:val="en-US" w:eastAsia="zh-CN" w:bidi="ar"/>
              </w:rPr>
              <w:t>物业经理、电工承诺日常工资不低于5800.00元的得0.5分，每增加100元加0.1分，满分1分。</w:t>
            </w:r>
          </w:p>
        </w:tc>
      </w:tr>
      <w:tr>
        <w:tblPrEx>
          <w:tblCellMar>
            <w:top w:w="0" w:type="dxa"/>
            <w:left w:w="108" w:type="dxa"/>
            <w:bottom w:w="0" w:type="dxa"/>
            <w:right w:w="108" w:type="dxa"/>
          </w:tblCellMar>
        </w:tblPrEx>
        <w:trPr>
          <w:trHeight w:val="23" w:hRule="atLeast"/>
          <w:jc w:val="center"/>
        </w:trPr>
        <w:tc>
          <w:tcPr>
            <w:tcW w:w="462"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w:t>
            </w:r>
          </w:p>
        </w:tc>
        <w:tc>
          <w:tcPr>
            <w:tcW w:w="220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left="-5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
              </w:rPr>
              <w:t>投标人为本项目拟投入的设备情况</w:t>
            </w:r>
          </w:p>
        </w:tc>
        <w:tc>
          <w:tcPr>
            <w:tcW w:w="7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right="3"/>
              <w:jc w:val="center"/>
              <w:rPr>
                <w:rFonts w:hint="eastAsia" w:ascii="宋体" w:hAnsi="宋体" w:eastAsia="宋体" w:cs="宋体"/>
                <w:bCs/>
                <w:color w:val="auto"/>
                <w:kern w:val="28"/>
                <w:sz w:val="18"/>
                <w:szCs w:val="18"/>
                <w:highlight w:val="none"/>
                <w:lang w:val="en-US" w:eastAsia="zh-CN"/>
              </w:rPr>
            </w:pPr>
            <w:r>
              <w:rPr>
                <w:rFonts w:hint="eastAsia" w:ascii="宋体" w:hAnsi="宋体" w:eastAsia="宋体" w:cs="宋体"/>
                <w:bCs/>
                <w:color w:val="auto"/>
                <w:kern w:val="28"/>
                <w:sz w:val="18"/>
                <w:szCs w:val="18"/>
                <w:highlight w:val="none"/>
                <w:lang w:val="en-US" w:eastAsia="zh-CN"/>
              </w:rPr>
              <w:t>4</w:t>
            </w:r>
          </w:p>
        </w:tc>
        <w:tc>
          <w:tcPr>
            <w:tcW w:w="5652" w:type="dxa"/>
            <w:tcBorders>
              <w:top w:val="single" w:color="auto" w:sz="4" w:space="0"/>
              <w:left w:val="single" w:color="auto" w:sz="4" w:space="0"/>
              <w:bottom w:val="single" w:color="auto" w:sz="4" w:space="0"/>
              <w:right w:val="single" w:color="auto" w:sz="12" w:space="0"/>
            </w:tcBorders>
            <w:noWrap w:val="0"/>
            <w:vAlign w:val="center"/>
          </w:tcPr>
          <w:p>
            <w:pPr>
              <w:widowControl/>
              <w:numPr>
                <w:ilvl w:val="0"/>
                <w:numId w:val="0"/>
              </w:numPr>
              <w:tabs>
                <w:tab w:val="left" w:pos="420"/>
              </w:tabs>
              <w:adjustRightInd w:val="0"/>
              <w:snapToGrid w:val="0"/>
              <w:spacing w:line="240" w:lineRule="auto"/>
              <w:ind w:left="0" w:firstLine="0"/>
              <w:jc w:val="both"/>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投标人为本项目拟投入的设备其中提供：</w:t>
            </w:r>
          </w:p>
          <w:p>
            <w:pPr>
              <w:widowControl/>
              <w:numPr>
                <w:ilvl w:val="0"/>
                <w:numId w:val="32"/>
              </w:numPr>
              <w:tabs>
                <w:tab w:val="left" w:pos="420"/>
              </w:tabs>
              <w:adjustRightInd w:val="0"/>
              <w:snapToGrid w:val="0"/>
              <w:spacing w:line="240" w:lineRule="auto"/>
              <w:ind w:left="425" w:leftChars="0" w:hanging="425" w:firstLineChars="0"/>
              <w:jc w:val="both"/>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四轮双排巡逻车（基本参数中电机功率≥4000W且载客人数达到4-5 人的，得2分，不满足参数要求的不得分）。</w:t>
            </w:r>
          </w:p>
          <w:p>
            <w:pPr>
              <w:widowControl/>
              <w:numPr>
                <w:ilvl w:val="0"/>
                <w:numId w:val="32"/>
              </w:numPr>
              <w:tabs>
                <w:tab w:val="left" w:pos="420"/>
              </w:tabs>
              <w:adjustRightInd w:val="0"/>
              <w:snapToGrid w:val="0"/>
              <w:spacing w:line="240" w:lineRule="auto"/>
              <w:ind w:left="425" w:leftChars="0" w:hanging="425" w:firstLineChars="0"/>
              <w:jc w:val="both"/>
              <w:rPr>
                <w:rFonts w:hint="eastAsia" w:ascii="宋体" w:hAnsi="宋体" w:eastAsia="宋体" w:cs="宋体"/>
                <w:b w:val="0"/>
                <w:color w:val="auto"/>
                <w:spacing w:val="0"/>
                <w:kern w:val="0"/>
                <w:sz w:val="18"/>
                <w:szCs w:val="18"/>
                <w:highlight w:val="none"/>
                <w:lang w:val="en-US" w:eastAsia="zh-CN" w:bidi="ar-SA"/>
              </w:rPr>
            </w:pPr>
            <w:r>
              <w:rPr>
                <w:rFonts w:hint="eastAsia" w:ascii="宋体" w:hAnsi="宋体" w:eastAsia="宋体" w:cs="宋体"/>
                <w:b w:val="0"/>
                <w:color w:val="auto"/>
                <w:spacing w:val="0"/>
                <w:kern w:val="0"/>
                <w:sz w:val="18"/>
                <w:szCs w:val="18"/>
                <w:highlight w:val="none"/>
                <w:lang w:val="en-US" w:eastAsia="zh-CN" w:bidi="ar-SA"/>
              </w:rPr>
              <w:t>根据投标供应商提供专业地面清洗设备的情况，由评标委员会综合打分，得0-2分。</w:t>
            </w:r>
          </w:p>
        </w:tc>
      </w:tr>
      <w:tr>
        <w:tblPrEx>
          <w:tblCellMar>
            <w:top w:w="0" w:type="dxa"/>
            <w:left w:w="108" w:type="dxa"/>
            <w:bottom w:w="0" w:type="dxa"/>
            <w:right w:w="108" w:type="dxa"/>
          </w:tblCellMar>
        </w:tblPrEx>
        <w:trPr>
          <w:trHeight w:val="23" w:hRule="atLeast"/>
          <w:jc w:val="center"/>
        </w:trPr>
        <w:tc>
          <w:tcPr>
            <w:tcW w:w="462"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7</w:t>
            </w:r>
          </w:p>
        </w:tc>
        <w:tc>
          <w:tcPr>
            <w:tcW w:w="220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投标人20</w:t>
            </w:r>
            <w:r>
              <w:rPr>
                <w:rFonts w:hint="eastAsia" w:ascii="宋体" w:hAnsi="宋体" w:eastAsia="宋体" w:cs="宋体"/>
                <w:color w:val="auto"/>
                <w:sz w:val="18"/>
                <w:szCs w:val="18"/>
                <w:highlight w:val="none"/>
                <w:lang w:val="en-US" w:eastAsia="zh-CN"/>
              </w:rPr>
              <w:t>19</w:t>
            </w:r>
            <w:r>
              <w:rPr>
                <w:rFonts w:hint="eastAsia" w:ascii="宋体" w:hAnsi="宋体" w:eastAsia="宋体" w:cs="宋体"/>
                <w:color w:val="auto"/>
                <w:sz w:val="18"/>
                <w:szCs w:val="18"/>
                <w:highlight w:val="none"/>
              </w:rPr>
              <w:t>年</w:t>
            </w:r>
            <w:r>
              <w:rPr>
                <w:rFonts w:hint="eastAsia" w:ascii="宋体" w:hAnsi="宋体" w:eastAsia="宋体" w:cs="宋体"/>
                <w:color w:val="auto"/>
                <w:sz w:val="18"/>
                <w:szCs w:val="18"/>
                <w:highlight w:val="none"/>
                <w:lang w:val="en-US" w:eastAsia="zh-CN"/>
              </w:rPr>
              <w:t>1月1日</w:t>
            </w:r>
            <w:r>
              <w:rPr>
                <w:rFonts w:hint="eastAsia" w:ascii="宋体" w:hAnsi="宋体" w:eastAsia="宋体" w:cs="宋体"/>
                <w:color w:val="auto"/>
                <w:sz w:val="18"/>
                <w:szCs w:val="18"/>
                <w:highlight w:val="none"/>
              </w:rPr>
              <w:t>以来项目业绩</w:t>
            </w:r>
          </w:p>
        </w:tc>
        <w:tc>
          <w:tcPr>
            <w:tcW w:w="7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kern w:val="28"/>
                <w:sz w:val="18"/>
                <w:szCs w:val="18"/>
                <w:highlight w:val="none"/>
                <w:lang w:val="en-US" w:eastAsia="zh-CN"/>
              </w:rPr>
            </w:pPr>
            <w:r>
              <w:rPr>
                <w:rFonts w:hint="eastAsia" w:ascii="宋体" w:hAnsi="宋体" w:eastAsia="宋体" w:cs="宋体"/>
                <w:color w:val="auto"/>
                <w:sz w:val="18"/>
                <w:szCs w:val="18"/>
                <w:highlight w:val="none"/>
              </w:rPr>
              <w:t>1</w:t>
            </w:r>
            <w:r>
              <w:rPr>
                <w:rFonts w:hint="eastAsia" w:ascii="宋体" w:hAnsi="宋体" w:eastAsia="宋体" w:cs="宋体"/>
                <w:color w:val="auto"/>
                <w:sz w:val="18"/>
                <w:szCs w:val="18"/>
                <w:highlight w:val="none"/>
                <w:lang w:eastAsia="zh-CN"/>
              </w:rPr>
              <w:t>0</w:t>
            </w:r>
          </w:p>
        </w:tc>
        <w:tc>
          <w:tcPr>
            <w:tcW w:w="5652" w:type="dxa"/>
            <w:tcBorders>
              <w:top w:val="single" w:color="auto" w:sz="4" w:space="0"/>
              <w:left w:val="single" w:color="auto" w:sz="4" w:space="0"/>
              <w:bottom w:val="single" w:color="auto" w:sz="4" w:space="0"/>
              <w:right w:val="single" w:color="auto" w:sz="12" w:space="0"/>
            </w:tcBorders>
            <w:noWrap w:val="0"/>
            <w:vAlign w:val="center"/>
          </w:tcPr>
          <w:p>
            <w:pPr>
              <w:widowControl/>
              <w:adjustRightInd w:val="0"/>
              <w:snapToGrid w:val="0"/>
              <w:spacing w:line="240" w:lineRule="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投标人项目业绩（有效业绩以中标通知书发出日期或合同签订日期为准）：</w:t>
            </w:r>
          </w:p>
          <w:p>
            <w:pPr>
              <w:widowControl/>
              <w:adjustRightInd w:val="0"/>
              <w:snapToGrid w:val="0"/>
              <w:spacing w:line="240" w:lineRule="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1、提供投标供应商2019年1月1日以来的有高速服务区（停车区）物业管理业绩的，每提供1项业绩得1分，最高4分。</w:t>
            </w:r>
          </w:p>
          <w:p>
            <w:pPr>
              <w:widowControl/>
              <w:adjustRightInd w:val="0"/>
              <w:snapToGrid w:val="0"/>
              <w:spacing w:line="240" w:lineRule="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2、提供投标供应商自2019年1月1日以来的公共场所物业管理项目业绩的，每提供1项业绩得0.5分，最高6分。</w:t>
            </w:r>
          </w:p>
          <w:p>
            <w:pPr>
              <w:widowControl/>
              <w:adjustRightInd w:val="0"/>
              <w:snapToGrid w:val="0"/>
              <w:spacing w:line="240" w:lineRule="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（提供中标通知书或合同，同个项目不可重复计分，</w:t>
            </w:r>
            <w:r>
              <w:rPr>
                <w:rFonts w:hint="eastAsia" w:ascii="宋体" w:hAnsi="宋体" w:eastAsia="宋体" w:cs="宋体"/>
                <w:b/>
                <w:bCs/>
                <w:color w:val="auto"/>
                <w:kern w:val="0"/>
                <w:sz w:val="18"/>
                <w:szCs w:val="18"/>
                <w:highlight w:val="none"/>
                <w:u w:val="single"/>
                <w:lang w:val="en-US" w:eastAsia="zh-CN" w:bidi="ar"/>
              </w:rPr>
              <w:t>须同时提供原件核对，不提供的不得分</w:t>
            </w:r>
            <w:r>
              <w:rPr>
                <w:rFonts w:hint="eastAsia" w:ascii="宋体" w:hAnsi="宋体" w:eastAsia="宋体" w:cs="宋体"/>
                <w:color w:val="auto"/>
                <w:kern w:val="0"/>
                <w:sz w:val="18"/>
                <w:szCs w:val="18"/>
                <w:highlight w:val="none"/>
                <w:lang w:val="en-US" w:eastAsia="zh-CN" w:bidi="ar"/>
              </w:rPr>
              <w:t>）。</w:t>
            </w:r>
          </w:p>
        </w:tc>
      </w:tr>
      <w:tr>
        <w:tblPrEx>
          <w:tblCellMar>
            <w:top w:w="0" w:type="dxa"/>
            <w:left w:w="108" w:type="dxa"/>
            <w:bottom w:w="0" w:type="dxa"/>
            <w:right w:w="108" w:type="dxa"/>
          </w:tblCellMar>
        </w:tblPrEx>
        <w:trPr>
          <w:trHeight w:val="23" w:hRule="atLeast"/>
          <w:jc w:val="center"/>
        </w:trPr>
        <w:tc>
          <w:tcPr>
            <w:tcW w:w="462" w:type="dxa"/>
            <w:tcBorders>
              <w:top w:val="single" w:color="auto" w:sz="4" w:space="0"/>
              <w:left w:val="single" w:color="auto" w:sz="12" w:space="0"/>
              <w:bottom w:val="single" w:color="auto" w:sz="12"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lang w:val="en-US" w:eastAsia="zh-CN"/>
              </w:rPr>
            </w:pPr>
          </w:p>
        </w:tc>
        <w:tc>
          <w:tcPr>
            <w:tcW w:w="2200" w:type="dxa"/>
            <w:gridSpan w:val="2"/>
            <w:tcBorders>
              <w:top w:val="single" w:color="auto" w:sz="4" w:space="0"/>
              <w:left w:val="single" w:color="auto" w:sz="4" w:space="0"/>
              <w:bottom w:val="single" w:color="auto" w:sz="12"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合计满分</w:t>
            </w:r>
          </w:p>
        </w:tc>
        <w:tc>
          <w:tcPr>
            <w:tcW w:w="713" w:type="dxa"/>
            <w:tcBorders>
              <w:top w:val="single" w:color="auto" w:sz="4" w:space="0"/>
              <w:left w:val="single" w:color="auto" w:sz="4" w:space="0"/>
              <w:bottom w:val="single" w:color="auto" w:sz="12"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fldChar w:fldCharType="begin"/>
            </w:r>
            <w:r>
              <w:rPr>
                <w:rFonts w:hint="eastAsia" w:ascii="宋体" w:hAnsi="宋体" w:eastAsia="宋体" w:cs="宋体"/>
                <w:color w:val="auto"/>
                <w:sz w:val="18"/>
                <w:szCs w:val="18"/>
                <w:highlight w:val="none"/>
              </w:rPr>
              <w:instrText xml:space="preserve"> =SUM(ABOVE) \* MERGEFORMAT </w:instrText>
            </w:r>
            <w:r>
              <w:rPr>
                <w:rFonts w:hint="eastAsia" w:ascii="宋体" w:hAnsi="宋体" w:eastAsia="宋体" w:cs="宋体"/>
                <w:color w:val="auto"/>
                <w:sz w:val="18"/>
                <w:szCs w:val="18"/>
                <w:highlight w:val="none"/>
              </w:rPr>
              <w:fldChar w:fldCharType="separate"/>
            </w:r>
            <w:r>
              <w:rPr>
                <w:rFonts w:hint="eastAsia" w:ascii="宋体" w:hAnsi="宋体" w:eastAsia="宋体" w:cs="宋体"/>
                <w:color w:val="auto"/>
                <w:sz w:val="18"/>
                <w:szCs w:val="18"/>
                <w:highlight w:val="none"/>
              </w:rPr>
              <w:t>80</w:t>
            </w:r>
            <w:r>
              <w:rPr>
                <w:rFonts w:hint="eastAsia" w:ascii="宋体" w:hAnsi="宋体" w:eastAsia="宋体" w:cs="宋体"/>
                <w:color w:val="auto"/>
                <w:sz w:val="18"/>
                <w:szCs w:val="18"/>
                <w:highlight w:val="none"/>
              </w:rPr>
              <w:fldChar w:fldCharType="end"/>
            </w:r>
          </w:p>
        </w:tc>
        <w:tc>
          <w:tcPr>
            <w:tcW w:w="5652" w:type="dxa"/>
            <w:tcBorders>
              <w:top w:val="single" w:color="auto" w:sz="4" w:space="0"/>
              <w:left w:val="single" w:color="auto" w:sz="4" w:space="0"/>
              <w:bottom w:val="single" w:color="auto" w:sz="12" w:space="0"/>
              <w:right w:val="single" w:color="auto" w:sz="12" w:space="0"/>
            </w:tcBorders>
            <w:noWrap w:val="0"/>
            <w:vAlign w:val="center"/>
          </w:tcPr>
          <w:p>
            <w:pPr>
              <w:widowControl/>
              <w:adjustRightInd w:val="0"/>
              <w:snapToGrid w:val="0"/>
              <w:spacing w:line="240" w:lineRule="auto"/>
              <w:rPr>
                <w:rFonts w:hint="eastAsia" w:ascii="宋体" w:hAnsi="宋体" w:eastAsia="宋体" w:cs="宋体"/>
                <w:color w:val="auto"/>
                <w:kern w:val="0"/>
                <w:sz w:val="18"/>
                <w:szCs w:val="18"/>
                <w:highlight w:val="none"/>
                <w:lang w:val="en-US" w:eastAsia="zh-CN" w:bidi="ar"/>
              </w:rPr>
            </w:pPr>
          </w:p>
        </w:tc>
      </w:tr>
    </w:tbl>
    <w:p>
      <w:pPr>
        <w:overflowPunct w:val="0"/>
        <w:ind w:firstLine="440" w:firstLineChars="200"/>
        <w:rPr>
          <w:rFonts w:hint="eastAsia" w:ascii="宋体" w:hAnsi="宋体" w:eastAsia="宋体" w:cs="宋体"/>
          <w:color w:val="auto"/>
          <w:sz w:val="22"/>
          <w:highlight w:val="none"/>
        </w:rPr>
      </w:pPr>
    </w:p>
    <w:p>
      <w:pPr>
        <w:overflowPunct w:val="0"/>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评标委员会、采购机构在项目评审直至合同签订、履约期间，有权要求投标供应商出具投标文件中的合同文本，予以确认其的真实性和有效性，如出现与事实不符等情况，将根据有关规定以“提供虚假材料谋取中标”予以处理。</w:t>
      </w:r>
    </w:p>
    <w:p>
      <w:pPr>
        <w:overflowPunct w:val="0"/>
        <w:ind w:firstLine="442" w:firstLineChars="200"/>
        <w:rPr>
          <w:rFonts w:hint="eastAsia" w:ascii="宋体" w:hAnsi="宋体" w:eastAsia="宋体" w:cs="宋体"/>
          <w:b/>
          <w:color w:val="auto"/>
          <w:sz w:val="22"/>
          <w:highlight w:val="none"/>
        </w:rPr>
      </w:pPr>
      <w:bookmarkStart w:id="223" w:name="_Hlk11188594"/>
      <w:r>
        <w:rPr>
          <w:rFonts w:hint="eastAsia" w:ascii="宋体" w:hAnsi="宋体" w:eastAsia="宋体" w:cs="宋体"/>
          <w:b/>
          <w:color w:val="auto"/>
          <w:sz w:val="22"/>
          <w:highlight w:val="none"/>
        </w:rPr>
        <w:t>2）</w:t>
      </w:r>
      <w:r>
        <w:rPr>
          <w:rFonts w:hint="eastAsia" w:ascii="宋体" w:hAnsi="宋体" w:eastAsia="宋体" w:cs="宋体"/>
          <w:color w:val="auto"/>
          <w:sz w:val="22"/>
          <w:highlight w:val="none"/>
          <w:u w:val="single"/>
        </w:rPr>
        <w:t>投标供应商若提交原件资料的</w:t>
      </w:r>
      <w:r>
        <w:rPr>
          <w:rFonts w:hint="eastAsia" w:ascii="宋体" w:hAnsi="宋体" w:eastAsia="宋体" w:cs="宋体"/>
          <w:color w:val="auto"/>
          <w:sz w:val="22"/>
          <w:highlight w:val="none"/>
          <w:u w:val="single"/>
          <w:lang w:eastAsia="zh-CN"/>
        </w:rPr>
        <w:t>，</w:t>
      </w:r>
      <w:r>
        <w:rPr>
          <w:rFonts w:hint="eastAsia" w:ascii="宋体" w:hAnsi="宋体" w:eastAsia="宋体" w:cs="宋体"/>
          <w:color w:val="auto"/>
          <w:sz w:val="22"/>
          <w:highlight w:val="none"/>
          <w:u w:val="single"/>
        </w:rPr>
        <w:t>应将原件单独包封（密封形式不限），与投标文件一同在投标截至时间前递交给采购代理机构，投标截至时间后，不允许补充原件。</w:t>
      </w:r>
    </w:p>
    <w:p>
      <w:pPr>
        <w:rPr>
          <w:rFonts w:hint="eastAsia" w:ascii="宋体" w:hAnsi="宋体" w:eastAsia="宋体" w:cs="宋体"/>
          <w:b/>
          <w:color w:val="auto"/>
          <w:sz w:val="22"/>
          <w:highlight w:val="none"/>
        </w:rPr>
      </w:pPr>
      <w:r>
        <w:rPr>
          <w:rFonts w:hint="eastAsia" w:ascii="宋体" w:hAnsi="宋体" w:eastAsia="宋体" w:cs="宋体"/>
          <w:b/>
          <w:color w:val="auto"/>
          <w:sz w:val="22"/>
          <w:highlight w:val="none"/>
        </w:rPr>
        <w:t>2、商务（报价）评分（</w:t>
      </w:r>
      <w:r>
        <w:rPr>
          <w:rFonts w:hint="eastAsia" w:ascii="宋体" w:hAnsi="宋体" w:eastAsia="宋体" w:cs="宋体"/>
          <w:b/>
          <w:color w:val="auto"/>
          <w:sz w:val="22"/>
          <w:highlight w:val="none"/>
          <w:lang w:val="en-US" w:eastAsia="zh-CN"/>
        </w:rPr>
        <w:t>20</w:t>
      </w:r>
      <w:r>
        <w:rPr>
          <w:rFonts w:hint="eastAsia" w:ascii="宋体" w:hAnsi="宋体" w:eastAsia="宋体" w:cs="宋体"/>
          <w:b/>
          <w:color w:val="auto"/>
          <w:sz w:val="22"/>
          <w:highlight w:val="none"/>
        </w:rPr>
        <w:t>分）：</w:t>
      </w:r>
    </w:p>
    <w:bookmarkEnd w:id="223"/>
    <w:p>
      <w:pPr>
        <w:ind w:firstLine="440" w:firstLineChars="200"/>
        <w:rPr>
          <w:rFonts w:hint="eastAsia" w:ascii="宋体" w:hAnsi="宋体" w:eastAsia="宋体" w:cs="宋体"/>
          <w:color w:val="auto"/>
          <w:sz w:val="22"/>
          <w:highlight w:val="none"/>
        </w:rPr>
      </w:pPr>
      <w:bookmarkStart w:id="224" w:name="_Hlk11191261"/>
      <w:r>
        <w:rPr>
          <w:rFonts w:hint="eastAsia" w:ascii="宋体" w:hAnsi="宋体" w:eastAsia="宋体" w:cs="宋体"/>
          <w:color w:val="auto"/>
          <w:sz w:val="22"/>
          <w:highlight w:val="none"/>
        </w:rPr>
        <w:t>满足</w:t>
      </w:r>
      <w:r>
        <w:rPr>
          <w:rFonts w:hint="eastAsia" w:ascii="宋体" w:hAnsi="宋体" w:eastAsia="宋体" w:cs="宋体"/>
          <w:color w:val="auto"/>
          <w:sz w:val="22"/>
          <w:highlight w:val="none"/>
          <w:lang w:val="en-US" w:eastAsia="zh-CN"/>
        </w:rPr>
        <w:t>采购</w:t>
      </w:r>
      <w:r>
        <w:rPr>
          <w:rFonts w:hint="eastAsia" w:ascii="宋体" w:hAnsi="宋体" w:eastAsia="宋体" w:cs="宋体"/>
          <w:color w:val="auto"/>
          <w:sz w:val="22"/>
          <w:highlight w:val="none"/>
        </w:rPr>
        <w:t>文件要求且投标价格最低的投标报价为评标基准价</w:t>
      </w:r>
      <w:r>
        <w:rPr>
          <w:rFonts w:hint="eastAsia" w:ascii="宋体" w:hAnsi="宋体" w:eastAsia="宋体" w:cs="宋体"/>
          <w:color w:val="auto"/>
          <w:sz w:val="22"/>
          <w:highlight w:val="none"/>
          <w:lang w:eastAsia="zh-CN"/>
        </w:rPr>
        <w:t>；</w:t>
      </w:r>
    </w:p>
    <w:p>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有效投标人的投标价等于评标基准价时，其商务</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报价</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评分值为满分20分；</w:t>
      </w:r>
    </w:p>
    <w:p>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其他</w:t>
      </w:r>
      <w:r>
        <w:rPr>
          <w:rFonts w:hint="eastAsia" w:ascii="宋体" w:hAnsi="宋体" w:eastAsia="宋体" w:cs="宋体"/>
          <w:color w:val="auto"/>
          <w:sz w:val="22"/>
          <w:highlight w:val="none"/>
          <w:lang w:val="en-US" w:eastAsia="zh-CN"/>
        </w:rPr>
        <w:t>有效</w:t>
      </w:r>
      <w:r>
        <w:rPr>
          <w:rFonts w:hint="eastAsia" w:ascii="宋体" w:hAnsi="宋体" w:eastAsia="宋体" w:cs="宋体"/>
          <w:color w:val="auto"/>
          <w:sz w:val="22"/>
          <w:highlight w:val="none"/>
        </w:rPr>
        <w:t>投标人的商务</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报价</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评分值按以下公式计算：</w:t>
      </w:r>
    </w:p>
    <w:p>
      <w:pPr>
        <w:ind w:firstLine="440" w:firstLineChars="200"/>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商务</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报价</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评分值</w:t>
      </w:r>
      <w:r>
        <w:rPr>
          <w:rFonts w:hint="eastAsia" w:ascii="宋体" w:hAnsi="宋体" w:eastAsia="宋体" w:cs="宋体"/>
          <w:color w:val="auto"/>
          <w:sz w:val="22"/>
          <w:highlight w:val="none"/>
          <w:lang w:val="en-US" w:eastAsia="zh-CN"/>
        </w:rPr>
        <w:t xml:space="preserve"> </w:t>
      </w:r>
      <w:r>
        <w:rPr>
          <w:rFonts w:hint="eastAsia" w:ascii="宋体" w:hAnsi="宋体" w:eastAsia="宋体" w:cs="宋体"/>
          <w:color w:val="auto"/>
          <w:sz w:val="22"/>
          <w:highlight w:val="none"/>
        </w:rPr>
        <w:t>=（评标基准价/投标人投标报价）×价格权值×100（四舍五入后保留小数2位）</w:t>
      </w:r>
      <w:r>
        <w:rPr>
          <w:rFonts w:hint="eastAsia" w:ascii="宋体" w:hAnsi="宋体" w:eastAsia="宋体" w:cs="宋体"/>
          <w:color w:val="auto"/>
          <w:sz w:val="22"/>
          <w:highlight w:val="none"/>
          <w:lang w:eastAsia="zh-CN"/>
        </w:rPr>
        <w:t>；</w:t>
      </w:r>
    </w:p>
    <w:p>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本项目价格权值为20%</w:t>
      </w:r>
      <w:r>
        <w:rPr>
          <w:rFonts w:hint="eastAsia" w:ascii="宋体" w:hAnsi="宋体" w:eastAsia="宋体" w:cs="宋体"/>
          <w:color w:val="auto"/>
          <w:sz w:val="22"/>
          <w:highlight w:val="none"/>
        </w:rPr>
        <w:t>。</w:t>
      </w:r>
    </w:p>
    <w:bookmarkEnd w:id="224"/>
    <w:p>
      <w:pPr>
        <w:rPr>
          <w:rFonts w:hint="eastAsia" w:ascii="宋体" w:hAnsi="宋体" w:eastAsia="宋体" w:cs="宋体"/>
          <w:b/>
          <w:color w:val="auto"/>
          <w:sz w:val="22"/>
          <w:highlight w:val="none"/>
        </w:rPr>
      </w:pPr>
      <w:r>
        <w:rPr>
          <w:rFonts w:hint="eastAsia" w:ascii="宋体" w:hAnsi="宋体" w:eastAsia="宋体" w:cs="宋体"/>
          <w:color w:val="auto"/>
          <w:sz w:val="22"/>
          <w:highlight w:val="none"/>
        </w:rPr>
        <w:t xml:space="preserve">    </w:t>
      </w:r>
      <w:r>
        <w:rPr>
          <w:rFonts w:hint="eastAsia" w:ascii="宋体" w:hAnsi="宋体" w:eastAsia="宋体" w:cs="宋体"/>
          <w:b/>
          <w:color w:val="auto"/>
          <w:sz w:val="22"/>
          <w:highlight w:val="none"/>
        </w:rPr>
        <w:t>3、本次采购</w:t>
      </w:r>
      <w:r>
        <w:rPr>
          <w:rFonts w:hint="eastAsia" w:ascii="宋体" w:hAnsi="宋体" w:eastAsia="宋体" w:cs="宋体"/>
          <w:b/>
          <w:color w:val="auto"/>
          <w:sz w:val="22"/>
          <w:highlight w:val="none"/>
          <w:lang w:eastAsia="zh-CN"/>
        </w:rPr>
        <w:t>采购预算</w:t>
      </w:r>
      <w:r>
        <w:rPr>
          <w:rFonts w:hint="eastAsia" w:ascii="宋体" w:hAnsi="宋体" w:eastAsia="宋体" w:cs="宋体"/>
          <w:b/>
          <w:color w:val="auto"/>
          <w:sz w:val="22"/>
          <w:highlight w:val="none"/>
        </w:rPr>
        <w:t>为人民币</w:t>
      </w:r>
      <w:r>
        <w:rPr>
          <w:rFonts w:hint="eastAsia" w:ascii="宋体" w:hAnsi="宋体" w:eastAsia="宋体" w:cs="宋体"/>
          <w:b/>
          <w:color w:val="auto"/>
          <w:sz w:val="22"/>
          <w:highlight w:val="none"/>
          <w:lang w:val="en-US" w:eastAsia="zh-CN"/>
        </w:rPr>
        <w:t>362.5</w:t>
      </w:r>
      <w:r>
        <w:rPr>
          <w:rFonts w:hint="eastAsia" w:ascii="宋体" w:hAnsi="宋体" w:eastAsia="宋体" w:cs="宋体"/>
          <w:b/>
          <w:color w:val="auto"/>
          <w:sz w:val="22"/>
          <w:highlight w:val="none"/>
        </w:rPr>
        <w:t>万元, 如投标供应商报价超过</w:t>
      </w:r>
      <w:r>
        <w:rPr>
          <w:rFonts w:hint="eastAsia" w:ascii="宋体" w:hAnsi="宋体" w:eastAsia="宋体" w:cs="宋体"/>
          <w:b/>
          <w:color w:val="auto"/>
          <w:sz w:val="22"/>
          <w:highlight w:val="none"/>
          <w:lang w:eastAsia="zh-CN"/>
        </w:rPr>
        <w:t>采购预算</w:t>
      </w:r>
      <w:r>
        <w:rPr>
          <w:rFonts w:hint="eastAsia" w:ascii="宋体" w:hAnsi="宋体" w:eastAsia="宋体" w:cs="宋体"/>
          <w:b/>
          <w:color w:val="auto"/>
          <w:sz w:val="22"/>
          <w:highlight w:val="none"/>
        </w:rPr>
        <w:t>按无效标处理。</w:t>
      </w:r>
    </w:p>
    <w:p>
      <w:pPr>
        <w:rPr>
          <w:rFonts w:hint="eastAsia" w:ascii="宋体" w:hAnsi="宋体" w:eastAsia="宋体" w:cs="宋体"/>
          <w:color w:val="auto"/>
          <w:sz w:val="22"/>
          <w:highlight w:val="none"/>
        </w:rPr>
      </w:pPr>
      <w:r>
        <w:rPr>
          <w:rFonts w:hint="eastAsia" w:ascii="宋体" w:hAnsi="宋体" w:eastAsia="宋体" w:cs="宋体"/>
          <w:b/>
          <w:color w:val="auto"/>
          <w:sz w:val="22"/>
          <w:highlight w:val="none"/>
        </w:rPr>
        <w:t xml:space="preserve">    4、如所有投标供应商报价均超过</w:t>
      </w:r>
      <w:r>
        <w:rPr>
          <w:rFonts w:hint="eastAsia" w:ascii="宋体" w:hAnsi="宋体" w:eastAsia="宋体" w:cs="宋体"/>
          <w:b/>
          <w:color w:val="auto"/>
          <w:sz w:val="22"/>
          <w:highlight w:val="none"/>
          <w:lang w:eastAsia="zh-CN"/>
        </w:rPr>
        <w:t>采购预算</w:t>
      </w:r>
      <w:r>
        <w:rPr>
          <w:rFonts w:hint="eastAsia" w:ascii="宋体" w:hAnsi="宋体" w:eastAsia="宋体" w:cs="宋体"/>
          <w:b/>
          <w:color w:val="auto"/>
          <w:sz w:val="22"/>
          <w:highlight w:val="none"/>
        </w:rPr>
        <w:t>，此项目废标，应重新组织</w:t>
      </w:r>
      <w:r>
        <w:rPr>
          <w:rFonts w:hint="eastAsia" w:ascii="宋体" w:hAnsi="宋体" w:eastAsia="宋体" w:cs="宋体"/>
          <w:b/>
          <w:color w:val="auto"/>
          <w:sz w:val="22"/>
          <w:highlight w:val="none"/>
          <w:lang w:eastAsia="zh-CN"/>
        </w:rPr>
        <w:t>采购</w:t>
      </w:r>
      <w:r>
        <w:rPr>
          <w:rFonts w:hint="eastAsia" w:ascii="宋体" w:hAnsi="宋体" w:eastAsia="宋体" w:cs="宋体"/>
          <w:b/>
          <w:color w:val="auto"/>
          <w:sz w:val="22"/>
          <w:highlight w:val="none"/>
        </w:rPr>
        <w:t>。</w:t>
      </w:r>
    </w:p>
    <w:p>
      <w:pPr>
        <w:ind w:firstLine="442" w:firstLineChars="200"/>
        <w:rPr>
          <w:rFonts w:hint="eastAsia" w:ascii="宋体" w:hAnsi="宋体" w:eastAsia="宋体" w:cs="宋体"/>
          <w:color w:val="auto"/>
          <w:sz w:val="22"/>
          <w:highlight w:val="none"/>
          <w:lang w:val="en-US" w:eastAsia="zh-CN"/>
        </w:rPr>
      </w:pPr>
      <w:r>
        <w:rPr>
          <w:rFonts w:hint="eastAsia" w:ascii="宋体" w:hAnsi="宋体" w:eastAsia="宋体" w:cs="宋体"/>
          <w:b/>
          <w:bCs/>
          <w:color w:val="auto"/>
          <w:sz w:val="22"/>
          <w:szCs w:val="22"/>
          <w:highlight w:val="none"/>
          <w:lang w:val="en-US" w:eastAsia="zh-CN"/>
        </w:rPr>
        <w:t>5、投标分项报价表中</w:t>
      </w:r>
      <w:r>
        <w:rPr>
          <w:rFonts w:hint="eastAsia" w:ascii="宋体" w:hAnsi="宋体" w:eastAsia="宋体" w:cs="宋体"/>
          <w:b/>
          <w:bCs/>
          <w:color w:val="auto"/>
          <w:sz w:val="21"/>
          <w:szCs w:val="21"/>
          <w:highlight w:val="none"/>
          <w:lang w:val="en-US" w:eastAsia="zh-CN"/>
        </w:rPr>
        <w:t>各岗位人员“</w:t>
      </w:r>
      <w:r>
        <w:rPr>
          <w:rFonts w:hint="eastAsia" w:ascii="宋体" w:hAnsi="宋体" w:eastAsia="宋体" w:cs="宋体"/>
          <w:b/>
          <w:bCs/>
          <w:color w:val="auto"/>
          <w:sz w:val="21"/>
          <w:szCs w:val="21"/>
          <w:highlight w:val="none"/>
        </w:rPr>
        <w:t>日常</w:t>
      </w:r>
      <w:r>
        <w:rPr>
          <w:rFonts w:hint="eastAsia" w:ascii="宋体" w:hAnsi="宋体" w:eastAsia="宋体" w:cs="宋体"/>
          <w:b/>
          <w:bCs/>
          <w:color w:val="auto"/>
          <w:sz w:val="21"/>
          <w:szCs w:val="21"/>
          <w:highlight w:val="none"/>
          <w:lang w:val="en-US" w:eastAsia="zh-CN"/>
        </w:rPr>
        <w:t>岗位</w:t>
      </w:r>
      <w:r>
        <w:rPr>
          <w:rFonts w:hint="eastAsia" w:ascii="宋体" w:hAnsi="宋体" w:eastAsia="宋体" w:cs="宋体"/>
          <w:b/>
          <w:bCs/>
          <w:color w:val="auto"/>
          <w:sz w:val="21"/>
          <w:szCs w:val="21"/>
          <w:highlight w:val="none"/>
        </w:rPr>
        <w:t>工资</w:t>
      </w:r>
      <w:r>
        <w:rPr>
          <w:rFonts w:hint="eastAsia" w:ascii="宋体" w:hAnsi="宋体" w:eastAsia="宋体" w:cs="宋体"/>
          <w:b/>
          <w:bCs/>
          <w:color w:val="auto"/>
          <w:sz w:val="21"/>
          <w:szCs w:val="21"/>
          <w:highlight w:val="none"/>
          <w:lang w:val="en-US" w:eastAsia="zh-CN"/>
        </w:rPr>
        <w:t>”报价低于附件十一“服务人员最低月工资承诺函”中所承诺金额的，商务报价评分将按0分处理，低于2800元/月·人的作无效标处理。</w:t>
      </w:r>
    </w:p>
    <w:p>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6</w:t>
      </w:r>
      <w:r>
        <w:rPr>
          <w:rFonts w:hint="eastAsia" w:ascii="宋体" w:hAnsi="宋体" w:eastAsia="宋体" w:cs="宋体"/>
          <w:color w:val="auto"/>
          <w:sz w:val="22"/>
          <w:highlight w:val="none"/>
        </w:rPr>
        <w:t>、各有效投标供应商的综合得分为技术资信分和商务（报价）分的总和。</w:t>
      </w:r>
    </w:p>
    <w:p>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7</w:t>
      </w:r>
      <w:r>
        <w:rPr>
          <w:rFonts w:hint="eastAsia" w:ascii="宋体" w:hAnsi="宋体" w:eastAsia="宋体" w:cs="宋体"/>
          <w:color w:val="auto"/>
          <w:sz w:val="22"/>
          <w:highlight w:val="none"/>
        </w:rPr>
        <w:t>、评标委员会按各有效投标供应商综合得分高低顺序排列，综合得分第一名的投标人作为中标候选供应商，并提交评标报告。</w:t>
      </w:r>
    </w:p>
    <w:p>
      <w:pPr>
        <w:ind w:firstLine="440" w:firstLineChars="200"/>
        <w:rPr>
          <w:rFonts w:hint="eastAsia" w:ascii="宋体" w:hAnsi="宋体" w:eastAsia="宋体" w:cs="宋体"/>
          <w:b/>
          <w:color w:val="auto"/>
          <w:sz w:val="22"/>
          <w:szCs w:val="24"/>
          <w:highlight w:val="none"/>
        </w:rPr>
      </w:pPr>
      <w:r>
        <w:rPr>
          <w:rFonts w:hint="eastAsia" w:ascii="宋体" w:hAnsi="宋体" w:eastAsia="宋体" w:cs="宋体"/>
          <w:color w:val="auto"/>
          <w:sz w:val="22"/>
          <w:highlight w:val="none"/>
          <w:lang w:val="en-US" w:eastAsia="zh-CN"/>
        </w:rPr>
        <w:t>8</w:t>
      </w:r>
      <w:r>
        <w:rPr>
          <w:rFonts w:hint="eastAsia" w:ascii="宋体" w:hAnsi="宋体" w:eastAsia="宋体" w:cs="宋体"/>
          <w:color w:val="auto"/>
          <w:sz w:val="22"/>
          <w:highlight w:val="none"/>
        </w:rPr>
        <w:t>、评标委员会、</w:t>
      </w:r>
      <w:r>
        <w:rPr>
          <w:rFonts w:hint="eastAsia" w:ascii="宋体" w:hAnsi="宋体" w:eastAsia="宋体" w:cs="宋体"/>
          <w:bCs/>
          <w:color w:val="auto"/>
          <w:sz w:val="22"/>
          <w:highlight w:val="none"/>
        </w:rPr>
        <w:t>采购人对决标结果不做任何解释，也不保证最低价中标。</w:t>
      </w:r>
    </w:p>
    <w:p>
      <w:pPr>
        <w:rPr>
          <w:rFonts w:hint="eastAsia" w:ascii="宋体" w:hAnsi="宋体" w:eastAsia="宋体" w:cs="宋体"/>
          <w:b/>
          <w:color w:val="auto"/>
          <w:sz w:val="22"/>
          <w:szCs w:val="24"/>
          <w:highlight w:val="none"/>
        </w:rPr>
      </w:pPr>
      <w:r>
        <w:rPr>
          <w:rFonts w:hint="eastAsia" w:ascii="宋体" w:hAnsi="宋体" w:eastAsia="宋体" w:cs="宋体"/>
          <w:b/>
          <w:color w:val="auto"/>
          <w:sz w:val="22"/>
          <w:szCs w:val="24"/>
          <w:highlight w:val="none"/>
        </w:rPr>
        <w:t>六、定标办法</w:t>
      </w:r>
      <w:bookmarkStart w:id="225" w:name="_Toc221356967"/>
      <w:bookmarkStart w:id="226" w:name="_Toc221356904"/>
    </w:p>
    <w:p>
      <w:pPr>
        <w:ind w:left="424" w:leftChars="1" w:hanging="422" w:hangingChars="191"/>
        <w:rPr>
          <w:rFonts w:hint="eastAsia" w:ascii="宋体" w:hAnsi="宋体" w:eastAsia="宋体" w:cs="宋体"/>
          <w:color w:val="auto"/>
          <w:highlight w:val="none"/>
        </w:rPr>
      </w:pPr>
      <w:r>
        <w:rPr>
          <w:rFonts w:hint="eastAsia" w:ascii="宋体" w:hAnsi="宋体" w:eastAsia="宋体" w:cs="宋体"/>
          <w:b/>
          <w:color w:val="auto"/>
          <w:sz w:val="22"/>
          <w:szCs w:val="24"/>
          <w:highlight w:val="none"/>
        </w:rPr>
        <w:t xml:space="preserve">1、 </w:t>
      </w:r>
      <w:r>
        <w:rPr>
          <w:rFonts w:hint="eastAsia" w:ascii="宋体" w:hAnsi="宋体" w:eastAsia="宋体" w:cs="宋体"/>
          <w:color w:val="auto"/>
          <w:sz w:val="22"/>
          <w:highlight w:val="none"/>
        </w:rPr>
        <w:t>本次采购由评标委员会依据法律、法规及采购文件有关规定在有效标中按投标人的综合得分（即技术资信分与商务（报价）分之和）高低进行排序，综合得分第一名的投标人推荐为中标候选人（综合得分相同以投标报价低的排序第一；综合得分且投标报价相同的，则由评标委员会组长在所有得分均相同者中随机抽取其中一名为名次优先者）。</w:t>
      </w:r>
    </w:p>
    <w:p>
      <w:pPr>
        <w:ind w:left="425" w:hanging="424" w:hangingChars="193"/>
        <w:rPr>
          <w:rFonts w:hint="eastAsia" w:ascii="宋体" w:hAnsi="宋体" w:eastAsia="宋体" w:cs="宋体"/>
          <w:color w:val="auto"/>
          <w:sz w:val="22"/>
          <w:highlight w:val="none"/>
        </w:rPr>
      </w:pPr>
      <w:r>
        <w:rPr>
          <w:rFonts w:hint="eastAsia" w:ascii="宋体" w:hAnsi="宋体" w:eastAsia="宋体" w:cs="宋体"/>
          <w:color w:val="auto"/>
          <w:sz w:val="22"/>
          <w:highlight w:val="none"/>
        </w:rPr>
        <w:t>2、采购人根据评标委员会的意见进行最终确认中标候选人</w:t>
      </w:r>
      <w:r>
        <w:rPr>
          <w:rFonts w:hint="eastAsia" w:ascii="宋体" w:hAnsi="宋体" w:eastAsia="宋体" w:cs="宋体"/>
          <w:b/>
          <w:color w:val="auto"/>
          <w:sz w:val="22"/>
          <w:highlight w:val="none"/>
        </w:rPr>
        <w:t>。</w:t>
      </w:r>
    </w:p>
    <w:p>
      <w:pPr>
        <w:ind w:left="425" w:hanging="424" w:hangingChars="193"/>
        <w:rPr>
          <w:rFonts w:hint="eastAsia" w:ascii="宋体" w:hAnsi="宋体" w:eastAsia="宋体" w:cs="宋体"/>
          <w:color w:val="auto"/>
          <w:sz w:val="22"/>
          <w:highlight w:val="none"/>
        </w:rPr>
      </w:pPr>
      <w:r>
        <w:rPr>
          <w:rFonts w:hint="eastAsia" w:ascii="宋体" w:hAnsi="宋体" w:eastAsia="宋体" w:cs="宋体"/>
          <w:color w:val="auto"/>
          <w:sz w:val="22"/>
          <w:highlight w:val="none"/>
        </w:rPr>
        <w:t>3、 排名第一的中标候选人放弃中标；因不可抗力提出不能履行合同；或者采购文件规定应当提交履约担保而在规定的期限内未能提交的；或未能在规定时间内与采购人签订合同的；或者经质疑，采购人审查后，确因排名第一的候选人在本次采购活动中存在违法违规行为或其他原因使质疑成立的，本次采购失败，重新组织采购。</w:t>
      </w:r>
    </w:p>
    <w:p>
      <w:pPr>
        <w:rPr>
          <w:rFonts w:hint="eastAsia" w:ascii="宋体" w:hAnsi="宋体" w:eastAsia="宋体" w:cs="宋体"/>
          <w:b/>
          <w:sz w:val="22"/>
          <w:szCs w:val="24"/>
          <w:highlight w:val="none"/>
        </w:rPr>
      </w:pPr>
      <w:r>
        <w:rPr>
          <w:rFonts w:hint="eastAsia" w:ascii="宋体" w:hAnsi="宋体" w:eastAsia="宋体" w:cs="宋体"/>
          <w:b/>
          <w:sz w:val="22"/>
          <w:szCs w:val="24"/>
          <w:highlight w:val="none"/>
        </w:rPr>
        <w:t>七、确定中标人</w:t>
      </w:r>
      <w:bookmarkEnd w:id="225"/>
      <w:bookmarkEnd w:id="226"/>
    </w:p>
    <w:p>
      <w:pPr>
        <w:ind w:firstLine="440" w:firstLineChars="200"/>
        <w:rPr>
          <w:rFonts w:hint="eastAsia" w:ascii="宋体" w:hAnsi="宋体" w:eastAsia="宋体" w:cs="宋体"/>
          <w:sz w:val="22"/>
          <w:highlight w:val="none"/>
        </w:rPr>
      </w:pPr>
      <w:r>
        <w:rPr>
          <w:rFonts w:hint="eastAsia" w:ascii="宋体" w:hAnsi="宋体" w:eastAsia="宋体" w:cs="宋体"/>
          <w:sz w:val="22"/>
          <w:highlight w:val="none"/>
        </w:rPr>
        <w:t>评标结束后，采购人将在浙江政府采购网、温州国企采购平台等发布采购公告的网站上公示中标结果。中标公告期为1个工作日，中标公告期限结束无异议的，采购人与中标人按照采购文件和中标人投标文件的约定签订合同。</w:t>
      </w:r>
    </w:p>
    <w:p>
      <w:pPr>
        <w:ind w:firstLine="440" w:firstLineChars="200"/>
        <w:rPr>
          <w:rFonts w:hint="eastAsia" w:ascii="宋体" w:hAnsi="宋体" w:eastAsia="宋体" w:cs="宋体"/>
          <w:sz w:val="22"/>
          <w:highlight w:val="none"/>
        </w:rPr>
      </w:pPr>
      <w:r>
        <w:rPr>
          <w:rFonts w:hint="eastAsia" w:ascii="宋体" w:hAnsi="宋体" w:eastAsia="宋体" w:cs="宋体"/>
          <w:sz w:val="22"/>
          <w:highlight w:val="none"/>
        </w:rPr>
        <w:t>各投标人对评标结果如有异议，可在中标结果公告之日起7个工作日内以书面形式向采购人进行署名投诉或提出质疑，但需对投诉或质疑内容的真实性承担法律责任。</w:t>
      </w:r>
    </w:p>
    <w:p>
      <w:pPr>
        <w:rPr>
          <w:rFonts w:hint="eastAsia" w:ascii="宋体" w:hAnsi="宋体" w:eastAsia="宋体" w:cs="宋体"/>
          <w:b/>
          <w:sz w:val="22"/>
          <w:szCs w:val="24"/>
          <w:highlight w:val="none"/>
        </w:rPr>
      </w:pPr>
      <w:r>
        <w:rPr>
          <w:rFonts w:hint="eastAsia" w:ascii="宋体" w:hAnsi="宋体" w:eastAsia="宋体" w:cs="宋体"/>
          <w:b/>
          <w:sz w:val="22"/>
          <w:szCs w:val="24"/>
          <w:highlight w:val="none"/>
        </w:rPr>
        <w:t>八、投标人义务</w:t>
      </w:r>
    </w:p>
    <w:p>
      <w:pPr>
        <w:ind w:firstLine="440" w:firstLineChars="200"/>
        <w:rPr>
          <w:rFonts w:hint="eastAsia" w:ascii="宋体" w:hAnsi="宋体" w:eastAsia="宋体" w:cs="宋体"/>
          <w:szCs w:val="24"/>
          <w:highlight w:val="none"/>
        </w:rPr>
      </w:pPr>
      <w:r>
        <w:rPr>
          <w:rFonts w:hint="eastAsia" w:ascii="宋体" w:hAnsi="宋体" w:eastAsia="宋体" w:cs="宋体"/>
          <w:kern w:val="0"/>
          <w:sz w:val="22"/>
          <w:highlight w:val="none"/>
          <w:lang w:bidi="ar"/>
        </w:rPr>
        <w:t>投标人应随时</w:t>
      </w:r>
      <w:r>
        <w:rPr>
          <w:rFonts w:hint="eastAsia" w:ascii="宋体" w:hAnsi="宋体" w:eastAsia="宋体" w:cs="宋体"/>
          <w:sz w:val="22"/>
          <w:highlight w:val="none"/>
        </w:rPr>
        <w:t>接受评标</w:t>
      </w:r>
      <w:r>
        <w:rPr>
          <w:rFonts w:hint="eastAsia" w:ascii="宋体" w:hAnsi="宋体" w:eastAsia="宋体" w:cs="宋体"/>
          <w:kern w:val="0"/>
          <w:sz w:val="22"/>
          <w:highlight w:val="none"/>
          <w:lang w:bidi="ar"/>
        </w:rPr>
        <w:t>委员会的询标，解答包括有关的商务、技术问题等。评标结束，所有评标资料存采购机构备查。</w:t>
      </w:r>
    </w:p>
    <w:sectPr>
      <w:pgSz w:w="11906" w:h="16838"/>
      <w:pgMar w:top="1474" w:right="1474" w:bottom="1417" w:left="1474" w:header="737" w:footer="73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宋体,Verdana,Arial">
    <w:altName w:val="宋体"/>
    <w:panose1 w:val="00000000000000000000"/>
    <w:charset w:val="86"/>
    <w:family w:val="roman"/>
    <w:pitch w:val="default"/>
    <w:sig w:usb0="00000000" w:usb1="00000000" w:usb2="00000010" w:usb3="00000000" w:csb0="00040000" w:csb1="00000000"/>
  </w:font>
  <w:font w:name="Consolas">
    <w:panose1 w:val="020B0609020204030204"/>
    <w:charset w:val="00"/>
    <w:family w:val="modern"/>
    <w:pitch w:val="default"/>
    <w:sig w:usb0="E00006FF" w:usb1="0000FCFF" w:usb2="00000001" w:usb3="00000000" w:csb0="6000019F" w:csb1="DFD70000"/>
  </w:font>
  <w:font w:name="Arial Unicode MS">
    <w:altName w:val="宋体"/>
    <w:panose1 w:val="020B0604020202020204"/>
    <w:charset w:val="86"/>
    <w:family w:val="swiss"/>
    <w:pitch w:val="default"/>
    <w:sig w:usb0="00000000" w:usb1="00000000" w:usb2="0000003F" w:usb3="00000000" w:csb0="003F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szCs w:val="21"/>
      </w:rPr>
    </w:pPr>
    <w:r>
      <w:rPr>
        <w:szCs w:val="21"/>
      </w:rPr>
      <w:fldChar w:fldCharType="begin"/>
    </w:r>
    <w:r>
      <w:rPr>
        <w:szCs w:val="21"/>
      </w:rPr>
      <w:instrText xml:space="preserve">PAGE   \* MERGEFORMAT</w:instrText>
    </w:r>
    <w:r>
      <w:rPr>
        <w:szCs w:val="21"/>
      </w:rPr>
      <w:fldChar w:fldCharType="separate"/>
    </w:r>
    <w:r>
      <w:rPr>
        <w:szCs w:val="21"/>
        <w:lang w:val="zh-CN"/>
      </w:rPr>
      <w:t>58</w:t>
    </w:r>
    <w:r>
      <w:rPr>
        <w:szCs w:val="21"/>
      </w:rPr>
      <w:fldChar w:fldCharType="end"/>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ED257"/>
    <w:multiLevelType w:val="multilevel"/>
    <w:tmpl w:val="85BED257"/>
    <w:lvl w:ilvl="0" w:tentative="0">
      <w:start w:val="23"/>
      <w:numFmt w:val="decimal"/>
      <w:lvlText w:val="%1"/>
      <w:lvlJc w:val="left"/>
      <w:pPr>
        <w:tabs>
          <w:tab w:val="left" w:pos="450"/>
        </w:tabs>
        <w:ind w:left="450" w:hanging="450"/>
      </w:pPr>
      <w:rPr>
        <w:rFonts w:hint="default"/>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
    <w:nsid w:val="9E8211EC"/>
    <w:multiLevelType w:val="singleLevel"/>
    <w:tmpl w:val="9E8211EC"/>
    <w:lvl w:ilvl="0" w:tentative="0">
      <w:start w:val="1"/>
      <w:numFmt w:val="decimal"/>
      <w:lvlText w:val="(%1)"/>
      <w:lvlJc w:val="left"/>
      <w:pPr>
        <w:ind w:left="425" w:hanging="425"/>
      </w:pPr>
      <w:rPr>
        <w:rFonts w:hint="default"/>
      </w:rPr>
    </w:lvl>
  </w:abstractNum>
  <w:abstractNum w:abstractNumId="2">
    <w:nsid w:val="A37627CE"/>
    <w:multiLevelType w:val="multilevel"/>
    <w:tmpl w:val="A37627CE"/>
    <w:lvl w:ilvl="0" w:tentative="0">
      <w:start w:val="1"/>
      <w:numFmt w:val="decimal"/>
      <w:lvlText w:val="30.%1"/>
      <w:lvlJc w:val="left"/>
      <w:pPr>
        <w:tabs>
          <w:tab w:val="left" w:pos="450"/>
        </w:tabs>
        <w:ind w:left="450" w:hanging="450"/>
      </w:pPr>
      <w:rPr>
        <w:rFonts w:hint="default" w:ascii="宋体" w:hAnsi="宋体" w:eastAsia="宋体" w:cs="宋体"/>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3">
    <w:nsid w:val="E6117B7B"/>
    <w:multiLevelType w:val="multilevel"/>
    <w:tmpl w:val="E6117B7B"/>
    <w:lvl w:ilvl="0" w:tentative="0">
      <w:start w:val="23"/>
      <w:numFmt w:val="decimal"/>
      <w:lvlText w:val="%1"/>
      <w:lvlJc w:val="left"/>
      <w:pPr>
        <w:tabs>
          <w:tab w:val="left" w:pos="450"/>
        </w:tabs>
        <w:ind w:left="450" w:hanging="450"/>
      </w:pPr>
      <w:rPr>
        <w:rFonts w:hint="default"/>
      </w:rPr>
    </w:lvl>
    <w:lvl w:ilvl="1" w:tentative="0">
      <w:start w:val="1"/>
      <w:numFmt w:val="decimal"/>
      <w:lvlText w:val="24.%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4">
    <w:nsid w:val="00000001"/>
    <w:multiLevelType w:val="singleLevel"/>
    <w:tmpl w:val="00000001"/>
    <w:lvl w:ilvl="0" w:tentative="0">
      <w:start w:val="1"/>
      <w:numFmt w:val="decimal"/>
      <w:lvlText w:val="%1."/>
      <w:lvlJc w:val="left"/>
      <w:pPr>
        <w:ind w:left="425" w:hanging="425"/>
      </w:pPr>
      <w:rPr>
        <w:rFonts w:hint="default"/>
      </w:rPr>
    </w:lvl>
  </w:abstractNum>
  <w:abstractNum w:abstractNumId="5">
    <w:nsid w:val="00000002"/>
    <w:multiLevelType w:val="multilevel"/>
    <w:tmpl w:val="00000002"/>
    <w:lvl w:ilvl="0" w:tentative="0">
      <w:start w:val="1"/>
      <w:numFmt w:val="chineseCounting"/>
      <w:suff w:val="nothing"/>
      <w:lvlText w:val="%1、"/>
      <w:lvlJc w:val="left"/>
      <w:pPr>
        <w:ind w:left="0" w:firstLine="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00000003"/>
    <w:multiLevelType w:val="multilevel"/>
    <w:tmpl w:val="00000003"/>
    <w:lvl w:ilvl="0" w:tentative="0">
      <w:start w:val="1"/>
      <w:numFmt w:val="decimal"/>
      <w:lvlText w:val="%1)"/>
      <w:lvlJc w:val="left"/>
      <w:pPr>
        <w:ind w:left="1200" w:hanging="36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7">
    <w:nsid w:val="00000005"/>
    <w:multiLevelType w:val="multilevel"/>
    <w:tmpl w:val="00000005"/>
    <w:lvl w:ilvl="0" w:tentative="0">
      <w:start w:val="1"/>
      <w:numFmt w:val="bullet"/>
      <w:lvlText w:val=""/>
      <w:lvlJc w:val="left"/>
      <w:pPr>
        <w:tabs>
          <w:tab w:val="left" w:pos="510"/>
        </w:tabs>
        <w:ind w:left="510" w:hanging="51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0B"/>
    <w:multiLevelType w:val="multilevel"/>
    <w:tmpl w:val="0000000B"/>
    <w:lvl w:ilvl="0" w:tentative="0">
      <w:start w:val="1"/>
      <w:numFmt w:val="decimal"/>
      <w:lvlText w:val="%1)"/>
      <w:lvlJc w:val="left"/>
      <w:pPr>
        <w:tabs>
          <w:tab w:val="left" w:pos="780"/>
        </w:tabs>
        <w:ind w:left="7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0E"/>
    <w:multiLevelType w:val="multilevel"/>
    <w:tmpl w:val="0000000E"/>
    <w:lvl w:ilvl="0" w:tentative="0">
      <w:start w:val="1"/>
      <w:numFmt w:val="decimal"/>
      <w:lvlText w:val="%1."/>
      <w:lvlJc w:val="left"/>
      <w:pPr>
        <w:tabs>
          <w:tab w:val="left" w:pos="635"/>
        </w:tabs>
        <w:ind w:left="635" w:hanging="425"/>
      </w:pPr>
      <w:rPr>
        <w:rFonts w:hint="eastAsia"/>
        <w:b w:val="0"/>
      </w:rPr>
    </w:lvl>
    <w:lvl w:ilvl="1" w:tentative="0">
      <w:start w:val="1"/>
      <w:numFmt w:val="decimal"/>
      <w:lvlText w:val="%1.%2."/>
      <w:lvlJc w:val="left"/>
      <w:pPr>
        <w:tabs>
          <w:tab w:val="left" w:pos="567"/>
        </w:tabs>
        <w:ind w:left="567" w:hanging="567"/>
      </w:pPr>
      <w:rPr>
        <w:rFonts w:hint="eastAsia" w:ascii="宋体" w:hAnsi="宋体" w:eastAsia="宋体"/>
        <w:b w:val="0"/>
      </w:r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0">
    <w:nsid w:val="00000012"/>
    <w:multiLevelType w:val="multilevel"/>
    <w:tmpl w:val="00000012"/>
    <w:lvl w:ilvl="0" w:tentative="0">
      <w:start w:val="21"/>
      <w:numFmt w:val="decimal"/>
      <w:lvlText w:val="%1"/>
      <w:lvlJc w:val="left"/>
      <w:pPr>
        <w:tabs>
          <w:tab w:val="left" w:pos="450"/>
        </w:tabs>
        <w:ind w:left="450" w:hanging="450"/>
      </w:pPr>
      <w:rPr>
        <w:rFonts w:hint="default"/>
      </w:rPr>
    </w:lvl>
    <w:lvl w:ilvl="1" w:tentative="0">
      <w:start w:val="1"/>
      <w:numFmt w:val="decimal"/>
      <w:lvlText w:val="22.%2"/>
      <w:lvlJc w:val="left"/>
      <w:pPr>
        <w:tabs>
          <w:tab w:val="left" w:pos="450"/>
        </w:tabs>
        <w:ind w:left="450" w:hanging="450"/>
      </w:pPr>
      <w:rPr>
        <w:rFonts w:hint="default"/>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1">
    <w:nsid w:val="00000015"/>
    <w:multiLevelType w:val="multilevel"/>
    <w:tmpl w:val="00000015"/>
    <w:lvl w:ilvl="0" w:tentative="0">
      <w:start w:val="1"/>
      <w:numFmt w:val="decimal"/>
      <w:lvlText w:val="%1)"/>
      <w:lvlJc w:val="left"/>
      <w:pPr>
        <w:tabs>
          <w:tab w:val="left" w:pos="780"/>
        </w:tabs>
        <w:ind w:left="7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8"/>
    <w:multiLevelType w:val="multilevel"/>
    <w:tmpl w:val="00000018"/>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1B"/>
    <w:multiLevelType w:val="multilevel"/>
    <w:tmpl w:val="0000001B"/>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1C"/>
    <w:multiLevelType w:val="multilevel"/>
    <w:tmpl w:val="0000001C"/>
    <w:lvl w:ilvl="0" w:tentative="0">
      <w:start w:val="1"/>
      <w:numFmt w:val="none"/>
      <w:lvlText w:val="2"/>
      <w:lvlJc w:val="left"/>
      <w:pPr>
        <w:tabs>
          <w:tab w:val="left" w:pos="425"/>
        </w:tabs>
        <w:ind w:left="425" w:hanging="425"/>
      </w:pPr>
      <w:rPr>
        <w:rFonts w:hint="eastAsia"/>
      </w:rPr>
    </w:lvl>
    <w:lvl w:ilvl="1" w:tentative="0">
      <w:start w:val="1"/>
      <w:numFmt w:val="decimal"/>
      <w:lvlText w:val="%118.%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5">
    <w:nsid w:val="0000001D"/>
    <w:multiLevelType w:val="multilevel"/>
    <w:tmpl w:val="0000001D"/>
    <w:lvl w:ilvl="0" w:tentative="0">
      <w:start w:val="1"/>
      <w:numFmt w:val="none"/>
      <w:lvlText w:val="2"/>
      <w:lvlJc w:val="left"/>
      <w:pPr>
        <w:tabs>
          <w:tab w:val="left" w:pos="425"/>
        </w:tabs>
        <w:ind w:left="425" w:hanging="425"/>
      </w:pPr>
      <w:rPr>
        <w:rFonts w:hint="eastAsia"/>
      </w:rPr>
    </w:lvl>
    <w:lvl w:ilvl="1" w:tentative="0">
      <w:start w:val="1"/>
      <w:numFmt w:val="decimal"/>
      <w:lvlText w:val="%119.%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6">
    <w:nsid w:val="0000001F"/>
    <w:multiLevelType w:val="multilevel"/>
    <w:tmpl w:val="0000001F"/>
    <w:lvl w:ilvl="0" w:tentative="0">
      <w:start w:val="1"/>
      <w:numFmt w:val="none"/>
      <w:lvlText w:val="2"/>
      <w:lvlJc w:val="left"/>
      <w:pPr>
        <w:tabs>
          <w:tab w:val="left" w:pos="425"/>
        </w:tabs>
        <w:ind w:left="425" w:hanging="425"/>
      </w:pPr>
      <w:rPr>
        <w:rFonts w:hint="eastAsia"/>
      </w:rPr>
    </w:lvl>
    <w:lvl w:ilvl="1" w:tentative="0">
      <w:start w:val="1"/>
      <w:numFmt w:val="decimal"/>
      <w:lvlText w:val="%116.%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7">
    <w:nsid w:val="00000025"/>
    <w:multiLevelType w:val="multilevel"/>
    <w:tmpl w:val="00000025"/>
    <w:lvl w:ilvl="0" w:tentative="0">
      <w:start w:val="1"/>
      <w:numFmt w:val="decimal"/>
      <w:lvlText w:val="%1)"/>
      <w:lvlJc w:val="left"/>
      <w:pPr>
        <w:tabs>
          <w:tab w:val="left" w:pos="780"/>
        </w:tabs>
        <w:ind w:left="78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0000026"/>
    <w:multiLevelType w:val="multilevel"/>
    <w:tmpl w:val="00000026"/>
    <w:lvl w:ilvl="0" w:tentative="0">
      <w:start w:val="1"/>
      <w:numFmt w:val="none"/>
      <w:lvlText w:val="2"/>
      <w:lvlJc w:val="left"/>
      <w:pPr>
        <w:tabs>
          <w:tab w:val="left" w:pos="425"/>
        </w:tabs>
        <w:ind w:left="425" w:hanging="425"/>
      </w:pPr>
      <w:rPr>
        <w:rFonts w:hint="eastAsia"/>
      </w:rPr>
    </w:lvl>
    <w:lvl w:ilvl="1" w:tentative="0">
      <w:start w:val="1"/>
      <w:numFmt w:val="decimal"/>
      <w:lvlText w:val="%117.%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9">
    <w:nsid w:val="00000028"/>
    <w:multiLevelType w:val="multilevel"/>
    <w:tmpl w:val="00000028"/>
    <w:lvl w:ilvl="0" w:tentative="0">
      <w:start w:val="1"/>
      <w:numFmt w:val="none"/>
      <w:lvlText w:val="2"/>
      <w:lvlJc w:val="left"/>
      <w:pPr>
        <w:tabs>
          <w:tab w:val="left" w:pos="425"/>
        </w:tabs>
        <w:ind w:left="425" w:hanging="425"/>
      </w:pPr>
      <w:rPr>
        <w:rFonts w:hint="eastAsia"/>
      </w:rPr>
    </w:lvl>
    <w:lvl w:ilvl="1" w:tentative="0">
      <w:start w:val="1"/>
      <w:numFmt w:val="decimal"/>
      <w:lvlText w:val="%115.%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0">
    <w:nsid w:val="00000029"/>
    <w:multiLevelType w:val="multilevel"/>
    <w:tmpl w:val="00000029"/>
    <w:lvl w:ilvl="0" w:tentative="0">
      <w:start w:val="22"/>
      <w:numFmt w:val="decimal"/>
      <w:lvlText w:val="%1"/>
      <w:lvlJc w:val="left"/>
      <w:pPr>
        <w:tabs>
          <w:tab w:val="left" w:pos="450"/>
        </w:tabs>
        <w:ind w:left="450" w:hanging="450"/>
      </w:pPr>
      <w:rPr>
        <w:rFonts w:hint="default"/>
      </w:rPr>
    </w:lvl>
    <w:lvl w:ilvl="1" w:tentative="0">
      <w:start w:val="1"/>
      <w:numFmt w:val="decimal"/>
      <w:lvlText w:val="23.%2"/>
      <w:lvlJc w:val="left"/>
      <w:pPr>
        <w:tabs>
          <w:tab w:val="left" w:pos="765"/>
        </w:tabs>
        <w:ind w:left="765" w:hanging="45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21">
    <w:nsid w:val="3DC032F5"/>
    <w:multiLevelType w:val="multilevel"/>
    <w:tmpl w:val="3DC032F5"/>
    <w:lvl w:ilvl="0" w:tentative="0">
      <w:start w:val="1"/>
      <w:numFmt w:val="decimal"/>
      <w:lvlText w:val="%1、"/>
      <w:lvlJc w:val="left"/>
      <w:pPr>
        <w:tabs>
          <w:tab w:val="left" w:pos="1407"/>
        </w:tabs>
        <w:ind w:left="1407" w:hanging="567"/>
      </w:pPr>
      <w:rPr>
        <w:rFonts w:hint="default" w:ascii="Arial" w:hAnsi="Arial" w:eastAsia="宋体"/>
        <w:b/>
        <w:i w:val="0"/>
        <w:sz w:val="24"/>
        <w:szCs w:val="24"/>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ascii="Arial" w:hAnsi="Arial"/>
        <w:b w:val="0"/>
        <w:i w:val="0"/>
        <w:sz w:val="24"/>
        <w:szCs w:val="24"/>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421020B9"/>
    <w:multiLevelType w:val="multilevel"/>
    <w:tmpl w:val="421020B9"/>
    <w:lvl w:ilvl="0" w:tentative="0">
      <w:start w:val="1"/>
      <w:numFmt w:val="decimal"/>
      <w:lvlText w:val="%1."/>
      <w:lvlJc w:val="left"/>
      <w:pPr>
        <w:tabs>
          <w:tab w:val="left" w:pos="680"/>
        </w:tabs>
        <w:ind w:left="680" w:hanging="680"/>
      </w:pPr>
      <w:rPr>
        <w:rFonts w:hint="default" w:ascii="Arial" w:hAnsi="Arial" w:eastAsia="宋体"/>
        <w:b w:val="0"/>
        <w:i w:val="0"/>
        <w:sz w:val="21"/>
      </w:rPr>
    </w:lvl>
    <w:lvl w:ilvl="1" w:tentative="0">
      <w:start w:val="1"/>
      <w:numFmt w:val="decimal"/>
      <w:lvlText w:val="%1.%2"/>
      <w:lvlJc w:val="left"/>
      <w:pPr>
        <w:tabs>
          <w:tab w:val="left" w:pos="680"/>
        </w:tabs>
        <w:ind w:left="680" w:hanging="680"/>
      </w:pPr>
      <w:rPr>
        <w:rFonts w:hint="default" w:ascii="Arial" w:hAnsi="Arial" w:eastAsia="宋体"/>
        <w:b w:val="0"/>
        <w:i w:val="0"/>
        <w:sz w:val="21"/>
      </w:rPr>
    </w:lvl>
    <w:lvl w:ilvl="2" w:tentative="0">
      <w:start w:val="1"/>
      <w:numFmt w:val="decimal"/>
      <w:lvlText w:val="%1.%2.%3"/>
      <w:lvlJc w:val="left"/>
      <w:pPr>
        <w:tabs>
          <w:tab w:val="left" w:pos="720"/>
        </w:tabs>
        <w:ind w:left="420" w:hanging="420"/>
      </w:pPr>
      <w:rPr>
        <w:rFonts w:hint="eastAsia"/>
      </w:rPr>
    </w:lvl>
    <w:lvl w:ilvl="3" w:tentative="0">
      <w:start w:val="1"/>
      <w:numFmt w:val="decimal"/>
      <w:lvlText w:val="%1.%2.%3.%4"/>
      <w:lvlJc w:val="left"/>
      <w:pPr>
        <w:tabs>
          <w:tab w:val="left" w:pos="420"/>
        </w:tabs>
        <w:ind w:left="420" w:hanging="420"/>
      </w:pPr>
      <w:rPr>
        <w:rFonts w:hint="eastAsia"/>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abstractNum w:abstractNumId="23">
    <w:nsid w:val="486E7732"/>
    <w:multiLevelType w:val="multilevel"/>
    <w:tmpl w:val="486E7732"/>
    <w:lvl w:ilvl="0" w:tentative="0">
      <w:start w:val="1"/>
      <w:numFmt w:val="decimal"/>
      <w:lvlText w:val="%1、"/>
      <w:lvlJc w:val="left"/>
      <w:pPr>
        <w:ind w:left="644" w:hanging="360"/>
      </w:pPr>
      <w:rPr>
        <w:rFonts w:hint="default" w:cs="Times New Roman"/>
      </w:rPr>
    </w:lvl>
    <w:lvl w:ilvl="1" w:tentative="0">
      <w:start w:val="1"/>
      <w:numFmt w:val="lowerLetter"/>
      <w:lvlText w:val="%2)"/>
      <w:lvlJc w:val="left"/>
      <w:pPr>
        <w:ind w:left="1170" w:hanging="420"/>
      </w:pPr>
      <w:rPr>
        <w:rFonts w:cs="Times New Roman"/>
      </w:rPr>
    </w:lvl>
    <w:lvl w:ilvl="2" w:tentative="0">
      <w:start w:val="1"/>
      <w:numFmt w:val="lowerRoman"/>
      <w:lvlText w:val="%3."/>
      <w:lvlJc w:val="right"/>
      <w:pPr>
        <w:ind w:left="1590" w:hanging="420"/>
      </w:pPr>
      <w:rPr>
        <w:rFonts w:cs="Times New Roman"/>
      </w:rPr>
    </w:lvl>
    <w:lvl w:ilvl="3" w:tentative="0">
      <w:start w:val="1"/>
      <w:numFmt w:val="decimal"/>
      <w:lvlText w:val="%4."/>
      <w:lvlJc w:val="left"/>
      <w:pPr>
        <w:ind w:left="2010" w:hanging="420"/>
      </w:pPr>
      <w:rPr>
        <w:rFonts w:cs="Times New Roman"/>
      </w:rPr>
    </w:lvl>
    <w:lvl w:ilvl="4" w:tentative="0">
      <w:start w:val="1"/>
      <w:numFmt w:val="lowerLetter"/>
      <w:lvlText w:val="%5)"/>
      <w:lvlJc w:val="left"/>
      <w:pPr>
        <w:ind w:left="2430" w:hanging="420"/>
      </w:pPr>
      <w:rPr>
        <w:rFonts w:cs="Times New Roman"/>
      </w:rPr>
    </w:lvl>
    <w:lvl w:ilvl="5" w:tentative="0">
      <w:start w:val="1"/>
      <w:numFmt w:val="lowerRoman"/>
      <w:lvlText w:val="%6."/>
      <w:lvlJc w:val="right"/>
      <w:pPr>
        <w:ind w:left="2850" w:hanging="420"/>
      </w:pPr>
      <w:rPr>
        <w:rFonts w:cs="Times New Roman"/>
      </w:rPr>
    </w:lvl>
    <w:lvl w:ilvl="6" w:tentative="0">
      <w:start w:val="1"/>
      <w:numFmt w:val="decimal"/>
      <w:lvlText w:val="%7."/>
      <w:lvlJc w:val="left"/>
      <w:pPr>
        <w:ind w:left="3270" w:hanging="420"/>
      </w:pPr>
      <w:rPr>
        <w:rFonts w:cs="Times New Roman"/>
      </w:rPr>
    </w:lvl>
    <w:lvl w:ilvl="7" w:tentative="0">
      <w:start w:val="1"/>
      <w:numFmt w:val="lowerLetter"/>
      <w:lvlText w:val="%8)"/>
      <w:lvlJc w:val="left"/>
      <w:pPr>
        <w:ind w:left="3690" w:hanging="420"/>
      </w:pPr>
      <w:rPr>
        <w:rFonts w:cs="Times New Roman"/>
      </w:rPr>
    </w:lvl>
    <w:lvl w:ilvl="8" w:tentative="0">
      <w:start w:val="1"/>
      <w:numFmt w:val="lowerRoman"/>
      <w:lvlText w:val="%9."/>
      <w:lvlJc w:val="right"/>
      <w:pPr>
        <w:ind w:left="4110" w:hanging="420"/>
      </w:pPr>
      <w:rPr>
        <w:rFonts w:cs="Times New Roman"/>
      </w:rPr>
    </w:lvl>
  </w:abstractNum>
  <w:abstractNum w:abstractNumId="24">
    <w:nsid w:val="5D327579"/>
    <w:multiLevelType w:val="singleLevel"/>
    <w:tmpl w:val="5D327579"/>
    <w:lvl w:ilvl="0" w:tentative="0">
      <w:start w:val="1"/>
      <w:numFmt w:val="decimal"/>
      <w:suff w:val="nothing"/>
      <w:lvlText w:val="%1、"/>
      <w:lvlJc w:val="left"/>
    </w:lvl>
  </w:abstractNum>
  <w:abstractNum w:abstractNumId="25">
    <w:nsid w:val="61C91FB3"/>
    <w:multiLevelType w:val="multilevel"/>
    <w:tmpl w:val="61C91FB3"/>
    <w:lvl w:ilvl="0" w:tentative="0">
      <w:start w:val="1"/>
      <w:numFmt w:val="decimal"/>
      <w:pStyle w:val="55"/>
      <w:lvlText w:val="%1)"/>
      <w:lvlJc w:val="left"/>
      <w:pPr>
        <w:tabs>
          <w:tab w:val="left" w:pos="0"/>
        </w:tabs>
        <w:ind w:firstLine="420"/>
      </w:pPr>
      <w:rPr>
        <w:rFonts w:hint="eastAsia" w:ascii="宋体" w:hAnsi="Times New Roman" w:eastAsia="宋体" w:cs="Times New Roman"/>
        <w:b w:val="0"/>
        <w:i w:val="0"/>
        <w:sz w:val="24"/>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26">
    <w:nsid w:val="6FC6743F"/>
    <w:multiLevelType w:val="multilevel"/>
    <w:tmpl w:val="6FC6743F"/>
    <w:lvl w:ilvl="0" w:tentative="0">
      <w:start w:val="1"/>
      <w:numFmt w:val="decimal"/>
      <w:lvlText w:val="29.%1"/>
      <w:lvlJc w:val="left"/>
      <w:pPr>
        <w:tabs>
          <w:tab w:val="left" w:pos="450"/>
        </w:tabs>
        <w:ind w:left="450" w:hanging="450"/>
      </w:pPr>
      <w:rPr>
        <w:rFonts w:hint="default" w:ascii="宋体" w:hAnsi="宋体" w:eastAsia="宋体" w:cs="宋体"/>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27">
    <w:nsid w:val="72516D77"/>
    <w:multiLevelType w:val="multilevel"/>
    <w:tmpl w:val="72516D77"/>
    <w:lvl w:ilvl="0" w:tentative="0">
      <w:start w:val="1"/>
      <w:numFmt w:val="decimal"/>
      <w:lvlText w:val="%1"/>
      <w:lvlJc w:val="center"/>
      <w:pPr>
        <w:ind w:left="227" w:hanging="29"/>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78C8710F"/>
    <w:multiLevelType w:val="multilevel"/>
    <w:tmpl w:val="78C8710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9">
    <w:nsid w:val="7AE01F9E"/>
    <w:multiLevelType w:val="singleLevel"/>
    <w:tmpl w:val="7AE01F9E"/>
    <w:lvl w:ilvl="0" w:tentative="0">
      <w:start w:val="2"/>
      <w:numFmt w:val="chineseCounting"/>
      <w:suff w:val="nothing"/>
      <w:lvlText w:val="%1、"/>
      <w:lvlJc w:val="left"/>
      <w:rPr>
        <w:rFonts w:hint="eastAsia"/>
      </w:rPr>
    </w:lvl>
  </w:abstractNum>
  <w:abstractNum w:abstractNumId="30">
    <w:nsid w:val="7F3C0690"/>
    <w:multiLevelType w:val="multilevel"/>
    <w:tmpl w:val="7F3C0690"/>
    <w:lvl w:ilvl="0" w:tentative="0">
      <w:start w:val="1"/>
      <w:numFmt w:val="decimal"/>
      <w:lvlText w:val="%1."/>
      <w:lvlJc w:val="left"/>
      <w:pPr>
        <w:tabs>
          <w:tab w:val="left" w:pos="680"/>
        </w:tabs>
        <w:ind w:left="680" w:hanging="680"/>
      </w:pPr>
      <w:rPr>
        <w:rFonts w:hint="default" w:ascii="Arial" w:hAnsi="Arial" w:eastAsia="宋体"/>
        <w:b/>
        <w:i w:val="0"/>
        <w:sz w:val="21"/>
      </w:rPr>
    </w:lvl>
    <w:lvl w:ilvl="1" w:tentative="0">
      <w:start w:val="1"/>
      <w:numFmt w:val="decimal"/>
      <w:lvlText w:val="%1.%2"/>
      <w:lvlJc w:val="left"/>
      <w:pPr>
        <w:tabs>
          <w:tab w:val="left" w:pos="680"/>
        </w:tabs>
        <w:ind w:left="680" w:hanging="680"/>
      </w:pPr>
      <w:rPr>
        <w:rFonts w:hint="default" w:ascii="Arial" w:hAnsi="Arial" w:eastAsia="宋体"/>
        <w:b w:val="0"/>
        <w:i w:val="0"/>
        <w:sz w:val="21"/>
      </w:rPr>
    </w:lvl>
    <w:lvl w:ilvl="2" w:tentative="0">
      <w:start w:val="1"/>
      <w:numFmt w:val="decimal"/>
      <w:lvlText w:val="%1.%2.%3"/>
      <w:lvlJc w:val="left"/>
      <w:pPr>
        <w:tabs>
          <w:tab w:val="left" w:pos="1156"/>
        </w:tabs>
        <w:ind w:left="856" w:hanging="420"/>
      </w:pPr>
      <w:rPr>
        <w:rFonts w:hint="default" w:ascii="Arial" w:hAnsi="Arial" w:cs="Arial"/>
        <w:b w:val="0"/>
        <w:sz w:val="21"/>
        <w:szCs w:val="21"/>
      </w:rPr>
    </w:lvl>
    <w:lvl w:ilvl="3" w:tentative="0">
      <w:start w:val="1"/>
      <w:numFmt w:val="decimal"/>
      <w:lvlText w:val="%1.%2.%3.%4"/>
      <w:lvlJc w:val="left"/>
      <w:pPr>
        <w:tabs>
          <w:tab w:val="left" w:pos="420"/>
        </w:tabs>
        <w:ind w:left="420" w:hanging="420"/>
      </w:pPr>
      <w:rPr>
        <w:rFonts w:hint="eastAsia"/>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num w:numId="1">
    <w:abstractNumId w:val="25"/>
  </w:num>
  <w:num w:numId="2">
    <w:abstractNumId w:val="27"/>
  </w:num>
  <w:num w:numId="3">
    <w:abstractNumId w:val="9"/>
  </w:num>
  <w:num w:numId="4">
    <w:abstractNumId w:val="8"/>
  </w:num>
  <w:num w:numId="5">
    <w:abstractNumId w:val="11"/>
  </w:num>
  <w:num w:numId="6">
    <w:abstractNumId w:val="19"/>
  </w:num>
  <w:num w:numId="7">
    <w:abstractNumId w:val="16"/>
  </w:num>
  <w:num w:numId="8">
    <w:abstractNumId w:val="18"/>
  </w:num>
  <w:num w:numId="9">
    <w:abstractNumId w:val="28"/>
  </w:num>
  <w:num w:numId="10">
    <w:abstractNumId w:val="14"/>
  </w:num>
  <w:num w:numId="11">
    <w:abstractNumId w:val="15"/>
  </w:num>
  <w:num w:numId="12">
    <w:abstractNumId w:val="10"/>
  </w:num>
  <w:num w:numId="13">
    <w:abstractNumId w:val="1"/>
  </w:num>
  <w:num w:numId="14">
    <w:abstractNumId w:val="17"/>
  </w:num>
  <w:num w:numId="15">
    <w:abstractNumId w:val="12"/>
  </w:num>
  <w:num w:numId="16">
    <w:abstractNumId w:val="13"/>
  </w:num>
  <w:num w:numId="17">
    <w:abstractNumId w:val="20"/>
  </w:num>
  <w:num w:numId="18">
    <w:abstractNumId w:val="3"/>
  </w:num>
  <w:num w:numId="19">
    <w:abstractNumId w:val="0"/>
  </w:num>
  <w:num w:numId="20">
    <w:abstractNumId w:val="26"/>
  </w:num>
  <w:num w:numId="21">
    <w:abstractNumId w:val="2"/>
  </w:num>
  <w:num w:numId="22">
    <w:abstractNumId w:val="5"/>
    <w:lvlOverride w:ilvl="0">
      <w:startOverride w:val="1"/>
    </w:lvlOverride>
  </w:num>
  <w:num w:numId="23">
    <w:abstractNumId w:val="5"/>
  </w:num>
  <w:num w:numId="24">
    <w:abstractNumId w:val="6"/>
  </w:num>
  <w:num w:numId="25">
    <w:abstractNumId w:val="23"/>
  </w:num>
  <w:num w:numId="26">
    <w:abstractNumId w:val="21"/>
  </w:num>
  <w:num w:numId="27">
    <w:abstractNumId w:val="24"/>
  </w:num>
  <w:num w:numId="28">
    <w:abstractNumId w:val="22"/>
  </w:num>
  <w:num w:numId="29">
    <w:abstractNumId w:val="29"/>
  </w:num>
  <w:num w:numId="30">
    <w:abstractNumId w:val="30"/>
  </w:num>
  <w:num w:numId="31">
    <w:abstractNumId w:val="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DJkMWY0NzMwOTMyNjM3YWM1MjE4YWZjMjliZmIifQ=="/>
  </w:docVars>
  <w:rsids>
    <w:rsidRoot w:val="00CD6746"/>
    <w:rsid w:val="00002209"/>
    <w:rsid w:val="00010E87"/>
    <w:rsid w:val="00017920"/>
    <w:rsid w:val="00046C7A"/>
    <w:rsid w:val="000802B4"/>
    <w:rsid w:val="000B78F9"/>
    <w:rsid w:val="000C1346"/>
    <w:rsid w:val="000D11D0"/>
    <w:rsid w:val="000E618F"/>
    <w:rsid w:val="001362B5"/>
    <w:rsid w:val="001722E2"/>
    <w:rsid w:val="001B5FCD"/>
    <w:rsid w:val="001C6521"/>
    <w:rsid w:val="00224B63"/>
    <w:rsid w:val="0026550F"/>
    <w:rsid w:val="00293F84"/>
    <w:rsid w:val="002F4EEF"/>
    <w:rsid w:val="003525B4"/>
    <w:rsid w:val="00367145"/>
    <w:rsid w:val="00371AB3"/>
    <w:rsid w:val="003A00F9"/>
    <w:rsid w:val="003B1312"/>
    <w:rsid w:val="00411F28"/>
    <w:rsid w:val="00427082"/>
    <w:rsid w:val="0044502A"/>
    <w:rsid w:val="00450D7D"/>
    <w:rsid w:val="00451648"/>
    <w:rsid w:val="00451C63"/>
    <w:rsid w:val="004C0DAD"/>
    <w:rsid w:val="004C5425"/>
    <w:rsid w:val="004D7813"/>
    <w:rsid w:val="00553944"/>
    <w:rsid w:val="00561D6D"/>
    <w:rsid w:val="005B0A7C"/>
    <w:rsid w:val="005B7971"/>
    <w:rsid w:val="00643E84"/>
    <w:rsid w:val="0064661C"/>
    <w:rsid w:val="006609C0"/>
    <w:rsid w:val="006A31BD"/>
    <w:rsid w:val="006A6A05"/>
    <w:rsid w:val="006A7317"/>
    <w:rsid w:val="006E7A33"/>
    <w:rsid w:val="00763F7B"/>
    <w:rsid w:val="007C268B"/>
    <w:rsid w:val="00810666"/>
    <w:rsid w:val="00895C97"/>
    <w:rsid w:val="008C23B2"/>
    <w:rsid w:val="00993496"/>
    <w:rsid w:val="00995E81"/>
    <w:rsid w:val="009D2146"/>
    <w:rsid w:val="00AB610C"/>
    <w:rsid w:val="00AC4A5E"/>
    <w:rsid w:val="00AC4E1A"/>
    <w:rsid w:val="00B048F6"/>
    <w:rsid w:val="00B11B43"/>
    <w:rsid w:val="00B5717E"/>
    <w:rsid w:val="00BB31F2"/>
    <w:rsid w:val="00BB3236"/>
    <w:rsid w:val="00C13189"/>
    <w:rsid w:val="00C16302"/>
    <w:rsid w:val="00C946C8"/>
    <w:rsid w:val="00CA71C7"/>
    <w:rsid w:val="00CC659D"/>
    <w:rsid w:val="00CD6746"/>
    <w:rsid w:val="00D32D61"/>
    <w:rsid w:val="00D4194F"/>
    <w:rsid w:val="00DC5486"/>
    <w:rsid w:val="00DD5DF5"/>
    <w:rsid w:val="00E47644"/>
    <w:rsid w:val="00E6656A"/>
    <w:rsid w:val="00E931CA"/>
    <w:rsid w:val="00ED7B43"/>
    <w:rsid w:val="00F03F37"/>
    <w:rsid w:val="00F213A8"/>
    <w:rsid w:val="00F56231"/>
    <w:rsid w:val="00FC1656"/>
    <w:rsid w:val="011D0AED"/>
    <w:rsid w:val="01274FF8"/>
    <w:rsid w:val="01E43A9D"/>
    <w:rsid w:val="02197961"/>
    <w:rsid w:val="02D24484"/>
    <w:rsid w:val="0390360A"/>
    <w:rsid w:val="039C74BF"/>
    <w:rsid w:val="04824617"/>
    <w:rsid w:val="04D83AD1"/>
    <w:rsid w:val="05380AFF"/>
    <w:rsid w:val="055022DD"/>
    <w:rsid w:val="07B211EB"/>
    <w:rsid w:val="07E27C7A"/>
    <w:rsid w:val="097769B8"/>
    <w:rsid w:val="0A0C1598"/>
    <w:rsid w:val="0A0D1766"/>
    <w:rsid w:val="0A474359"/>
    <w:rsid w:val="0B681B73"/>
    <w:rsid w:val="0EF123DD"/>
    <w:rsid w:val="0FA90764"/>
    <w:rsid w:val="10DC4179"/>
    <w:rsid w:val="127D5FE1"/>
    <w:rsid w:val="12D60804"/>
    <w:rsid w:val="131F731B"/>
    <w:rsid w:val="134C3973"/>
    <w:rsid w:val="13855179"/>
    <w:rsid w:val="14362C14"/>
    <w:rsid w:val="144607CD"/>
    <w:rsid w:val="14E775D9"/>
    <w:rsid w:val="16F0162C"/>
    <w:rsid w:val="17204078"/>
    <w:rsid w:val="175D20E7"/>
    <w:rsid w:val="17951D53"/>
    <w:rsid w:val="17F42F7B"/>
    <w:rsid w:val="189F6425"/>
    <w:rsid w:val="194873ED"/>
    <w:rsid w:val="194A795A"/>
    <w:rsid w:val="1A832753"/>
    <w:rsid w:val="1AB7139C"/>
    <w:rsid w:val="1B55070F"/>
    <w:rsid w:val="1C1A3373"/>
    <w:rsid w:val="1C74219B"/>
    <w:rsid w:val="1CA9457D"/>
    <w:rsid w:val="1CFE561E"/>
    <w:rsid w:val="1FED6319"/>
    <w:rsid w:val="201179B6"/>
    <w:rsid w:val="20512598"/>
    <w:rsid w:val="20643D84"/>
    <w:rsid w:val="20E12C42"/>
    <w:rsid w:val="211D2FFF"/>
    <w:rsid w:val="22AE0075"/>
    <w:rsid w:val="23701F89"/>
    <w:rsid w:val="23E20B30"/>
    <w:rsid w:val="25074D3A"/>
    <w:rsid w:val="25722EEF"/>
    <w:rsid w:val="267E7AA6"/>
    <w:rsid w:val="27A0246B"/>
    <w:rsid w:val="27A25135"/>
    <w:rsid w:val="27AB3D4E"/>
    <w:rsid w:val="27CB4942"/>
    <w:rsid w:val="292170A7"/>
    <w:rsid w:val="2A4F3B9E"/>
    <w:rsid w:val="2A5D30E7"/>
    <w:rsid w:val="2BAE17FF"/>
    <w:rsid w:val="2BE91F37"/>
    <w:rsid w:val="2C7A749B"/>
    <w:rsid w:val="2CF325E7"/>
    <w:rsid w:val="2D394F92"/>
    <w:rsid w:val="2D8C35AC"/>
    <w:rsid w:val="2D8D700C"/>
    <w:rsid w:val="2DE46FCA"/>
    <w:rsid w:val="2F922452"/>
    <w:rsid w:val="2FD76B14"/>
    <w:rsid w:val="30856178"/>
    <w:rsid w:val="323F36A4"/>
    <w:rsid w:val="34122848"/>
    <w:rsid w:val="341A30EC"/>
    <w:rsid w:val="34402E73"/>
    <w:rsid w:val="363F6564"/>
    <w:rsid w:val="367A561E"/>
    <w:rsid w:val="370E5AB9"/>
    <w:rsid w:val="373B5261"/>
    <w:rsid w:val="3879381B"/>
    <w:rsid w:val="38DA2725"/>
    <w:rsid w:val="38F76E7A"/>
    <w:rsid w:val="39644506"/>
    <w:rsid w:val="396E7463"/>
    <w:rsid w:val="397702BB"/>
    <w:rsid w:val="3A3B0A05"/>
    <w:rsid w:val="3B274F84"/>
    <w:rsid w:val="3B665F58"/>
    <w:rsid w:val="3BAF5709"/>
    <w:rsid w:val="3C294FC1"/>
    <w:rsid w:val="3D602EC0"/>
    <w:rsid w:val="3D6B3046"/>
    <w:rsid w:val="3F2A0CE7"/>
    <w:rsid w:val="400A66DC"/>
    <w:rsid w:val="41E16035"/>
    <w:rsid w:val="43255009"/>
    <w:rsid w:val="436822EB"/>
    <w:rsid w:val="43E2309D"/>
    <w:rsid w:val="446316C8"/>
    <w:rsid w:val="457703BB"/>
    <w:rsid w:val="461D61E6"/>
    <w:rsid w:val="465B07E0"/>
    <w:rsid w:val="465B19C6"/>
    <w:rsid w:val="46D87095"/>
    <w:rsid w:val="46F359A1"/>
    <w:rsid w:val="4766166B"/>
    <w:rsid w:val="47CF2F88"/>
    <w:rsid w:val="47FE4D25"/>
    <w:rsid w:val="486B260B"/>
    <w:rsid w:val="499015D2"/>
    <w:rsid w:val="49B7682C"/>
    <w:rsid w:val="4A6142EA"/>
    <w:rsid w:val="4A7C50FD"/>
    <w:rsid w:val="4B9C5A94"/>
    <w:rsid w:val="4BC573A8"/>
    <w:rsid w:val="4BE13907"/>
    <w:rsid w:val="4C1C3E43"/>
    <w:rsid w:val="4CBD124A"/>
    <w:rsid w:val="4DF55A70"/>
    <w:rsid w:val="4ECB70F3"/>
    <w:rsid w:val="4F5D3335"/>
    <w:rsid w:val="4F6164F5"/>
    <w:rsid w:val="4FA97952"/>
    <w:rsid w:val="506F4E1E"/>
    <w:rsid w:val="51F35615"/>
    <w:rsid w:val="53F44CB7"/>
    <w:rsid w:val="540E20B0"/>
    <w:rsid w:val="55482FE4"/>
    <w:rsid w:val="55D40B98"/>
    <w:rsid w:val="56F02839"/>
    <w:rsid w:val="576D6D37"/>
    <w:rsid w:val="58A514A0"/>
    <w:rsid w:val="58D20B4F"/>
    <w:rsid w:val="59B33345"/>
    <w:rsid w:val="5A431DCD"/>
    <w:rsid w:val="5A4474E6"/>
    <w:rsid w:val="5D1C7AB0"/>
    <w:rsid w:val="5DFE4642"/>
    <w:rsid w:val="5F99219D"/>
    <w:rsid w:val="60AB6EDD"/>
    <w:rsid w:val="63007260"/>
    <w:rsid w:val="63160A12"/>
    <w:rsid w:val="641D786A"/>
    <w:rsid w:val="64795514"/>
    <w:rsid w:val="65172004"/>
    <w:rsid w:val="65F9165C"/>
    <w:rsid w:val="66951383"/>
    <w:rsid w:val="67404828"/>
    <w:rsid w:val="68D67726"/>
    <w:rsid w:val="69F04C89"/>
    <w:rsid w:val="6A6E2984"/>
    <w:rsid w:val="6B253BC7"/>
    <w:rsid w:val="6B924AC0"/>
    <w:rsid w:val="6BE14F0E"/>
    <w:rsid w:val="6C6E57C2"/>
    <w:rsid w:val="6CEE2778"/>
    <w:rsid w:val="6DEC77D0"/>
    <w:rsid w:val="6F9371EB"/>
    <w:rsid w:val="6FDB3E77"/>
    <w:rsid w:val="71B740EC"/>
    <w:rsid w:val="72223A16"/>
    <w:rsid w:val="72245523"/>
    <w:rsid w:val="72BB0AD8"/>
    <w:rsid w:val="72C1286E"/>
    <w:rsid w:val="74277D91"/>
    <w:rsid w:val="7465193A"/>
    <w:rsid w:val="759E0068"/>
    <w:rsid w:val="76110A91"/>
    <w:rsid w:val="7649793B"/>
    <w:rsid w:val="77AD0A02"/>
    <w:rsid w:val="785A05EC"/>
    <w:rsid w:val="78A35E38"/>
    <w:rsid w:val="79E93803"/>
    <w:rsid w:val="79F57DFF"/>
    <w:rsid w:val="7A316A2D"/>
    <w:rsid w:val="7AEE79C2"/>
    <w:rsid w:val="7B933E36"/>
    <w:rsid w:val="7C200EF9"/>
    <w:rsid w:val="7C2C6B59"/>
    <w:rsid w:val="7D7B47E8"/>
    <w:rsid w:val="7E6F0C8B"/>
    <w:rsid w:val="7EA44C35"/>
    <w:rsid w:val="7F0A5FAD"/>
    <w:rsid w:val="7F9D77A7"/>
    <w:rsid w:val="7FE76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qFormat/>
    <w:uiPriority w:val="0"/>
    <w:pPr>
      <w:keepNext/>
      <w:jc w:val="center"/>
      <w:outlineLvl w:val="0"/>
    </w:pPr>
    <w:rPr>
      <w:rFonts w:ascii="Tahoma" w:eastAsia="Tahoma"/>
      <w:b/>
      <w:bCs/>
    </w:rPr>
  </w:style>
  <w:style w:type="paragraph" w:styleId="4">
    <w:name w:val="heading 3"/>
    <w:basedOn w:val="1"/>
    <w:next w:val="1"/>
    <w:qFormat/>
    <w:uiPriority w:val="0"/>
    <w:pPr>
      <w:keepNext/>
      <w:keepLines/>
      <w:spacing w:before="260" w:after="260" w:line="413"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spacing w:before="156" w:beforeLines="50" w:after="156" w:afterLines="50"/>
      <w:ind w:left="426" w:right="-11" w:hanging="426" w:hangingChars="203"/>
    </w:pPr>
    <w:rPr>
      <w:rFonts w:eastAsia="楷体_GB2312"/>
    </w:rPr>
  </w:style>
  <w:style w:type="paragraph" w:styleId="7">
    <w:name w:val="Normal Indent"/>
    <w:basedOn w:val="1"/>
    <w:qFormat/>
    <w:uiPriority w:val="0"/>
    <w:pPr>
      <w:adjustRightInd w:val="0"/>
      <w:spacing w:line="312" w:lineRule="atLeast"/>
      <w:ind w:firstLine="420"/>
      <w:textAlignment w:val="baseline"/>
    </w:pPr>
    <w:rPr>
      <w:kern w:val="0"/>
      <w:szCs w:val="20"/>
    </w:rPr>
  </w:style>
  <w:style w:type="paragraph" w:styleId="8">
    <w:name w:val="annotation text"/>
    <w:basedOn w:val="1"/>
    <w:link w:val="36"/>
    <w:qFormat/>
    <w:uiPriority w:val="0"/>
    <w:pPr>
      <w:jc w:val="left"/>
    </w:pPr>
  </w:style>
  <w:style w:type="paragraph" w:styleId="9">
    <w:name w:val="Body Text"/>
    <w:basedOn w:val="1"/>
    <w:next w:val="10"/>
    <w:qFormat/>
    <w:uiPriority w:val="0"/>
    <w:pPr>
      <w:spacing w:after="120"/>
    </w:pPr>
    <w:rPr>
      <w:rFonts w:eastAsia="宋体,Verdana,Arial"/>
    </w:rPr>
  </w:style>
  <w:style w:type="paragraph" w:styleId="10">
    <w:name w:val="Body Text First Indent"/>
    <w:basedOn w:val="9"/>
    <w:next w:val="11"/>
    <w:qFormat/>
    <w:uiPriority w:val="0"/>
    <w:pPr>
      <w:autoSpaceDE w:val="0"/>
      <w:autoSpaceDN w:val="0"/>
      <w:adjustRightInd w:val="0"/>
      <w:ind w:firstLine="420" w:firstLineChars="100"/>
      <w:jc w:val="left"/>
    </w:pPr>
  </w:style>
  <w:style w:type="paragraph" w:styleId="11">
    <w:name w:val="toc 6"/>
    <w:basedOn w:val="1"/>
    <w:next w:val="1"/>
    <w:semiHidden/>
    <w:qFormat/>
    <w:uiPriority w:val="0"/>
    <w:pPr>
      <w:ind w:left="1050"/>
      <w:jc w:val="left"/>
    </w:pPr>
    <w:rPr>
      <w:sz w:val="18"/>
      <w:szCs w:val="18"/>
    </w:rPr>
  </w:style>
  <w:style w:type="paragraph" w:styleId="12">
    <w:name w:val="Body Text Indent"/>
    <w:basedOn w:val="1"/>
    <w:next w:val="1"/>
    <w:qFormat/>
    <w:uiPriority w:val="0"/>
    <w:pPr>
      <w:ind w:left="480" w:hanging="480" w:hangingChars="200"/>
    </w:pPr>
    <w:rPr>
      <w:sz w:val="24"/>
    </w:rPr>
  </w:style>
  <w:style w:type="paragraph" w:styleId="13">
    <w:name w:val="Plain Text"/>
    <w:basedOn w:val="1"/>
    <w:qFormat/>
    <w:uiPriority w:val="0"/>
    <w:pPr>
      <w:widowControl/>
      <w:overflowPunct w:val="0"/>
      <w:autoSpaceDE w:val="0"/>
      <w:autoSpaceDN w:val="0"/>
      <w:adjustRightInd w:val="0"/>
      <w:jc w:val="left"/>
      <w:textAlignment w:val="baseline"/>
    </w:pPr>
    <w:rPr>
      <w:rFonts w:ascii="宋体,Verdana,Arial" w:hAnsi="Tahoma" w:eastAsia="宋体,Verdana,Arial"/>
      <w:kern w:val="0"/>
      <w:szCs w:val="21"/>
    </w:rPr>
  </w:style>
  <w:style w:type="paragraph" w:styleId="14">
    <w:name w:val="Date"/>
    <w:basedOn w:val="1"/>
    <w:next w:val="1"/>
    <w:qFormat/>
    <w:uiPriority w:val="0"/>
    <w:pPr>
      <w:ind w:left="100" w:leftChars="2500"/>
    </w:pPr>
    <w:rPr>
      <w:rFonts w:ascii="Times New Roman" w:hAnsi="Times New Roman"/>
    </w:rPr>
  </w:style>
  <w:style w:type="paragraph" w:styleId="15">
    <w:name w:val="Body Text Indent 2"/>
    <w:basedOn w:val="1"/>
    <w:qFormat/>
    <w:uiPriority w:val="0"/>
    <w:pPr>
      <w:ind w:firstLine="568" w:firstLineChars="203"/>
    </w:pPr>
    <w:rPr>
      <w:rFonts w:ascii="宋体" w:hAnsi="宋体"/>
      <w:sz w:val="28"/>
    </w:rPr>
  </w:style>
  <w:style w:type="paragraph" w:styleId="16">
    <w:name w:val="Balloon Text"/>
    <w:basedOn w:val="1"/>
    <w:link w:val="62"/>
    <w:qFormat/>
    <w:uiPriority w:val="0"/>
    <w:rPr>
      <w:sz w:val="18"/>
      <w:szCs w:val="18"/>
    </w:rPr>
  </w:style>
  <w:style w:type="paragraph" w:styleId="17">
    <w:name w:val="footer"/>
    <w:basedOn w:val="1"/>
    <w:qFormat/>
    <w:uiPriority w:val="99"/>
    <w:pPr>
      <w:tabs>
        <w:tab w:val="center" w:pos="4153"/>
        <w:tab w:val="right" w:pos="8306"/>
      </w:tabs>
      <w:snapToGrid w:val="0"/>
      <w:jc w:val="left"/>
    </w:pPr>
    <w:rPr>
      <w:rFonts w:ascii="Times New Roman" w:hAnsi="Times New Roman" w:eastAsia="宋体"/>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sz w:val="18"/>
      <w:szCs w:val="18"/>
    </w:rPr>
  </w:style>
  <w:style w:type="paragraph" w:styleId="19">
    <w:name w:val="toc 1"/>
    <w:basedOn w:val="1"/>
    <w:next w:val="1"/>
    <w:qFormat/>
    <w:uiPriority w:val="39"/>
    <w:pPr>
      <w:tabs>
        <w:tab w:val="right" w:leader="dot" w:pos="9660"/>
      </w:tabs>
      <w:spacing w:line="480" w:lineRule="auto"/>
    </w:pPr>
  </w:style>
  <w:style w:type="paragraph" w:styleId="20">
    <w:name w:val="toc 4"/>
    <w:basedOn w:val="1"/>
    <w:next w:val="1"/>
    <w:qFormat/>
    <w:uiPriority w:val="0"/>
    <w:pPr>
      <w:wordWrap w:val="0"/>
      <w:ind w:left="850"/>
    </w:pPr>
  </w:style>
  <w:style w:type="paragraph" w:styleId="21">
    <w:name w:val="Normal (Web)"/>
    <w:basedOn w:val="1"/>
    <w:qFormat/>
    <w:uiPriority w:val="0"/>
    <w:pPr>
      <w:spacing w:after="210"/>
      <w:jc w:val="left"/>
    </w:pPr>
    <w:rPr>
      <w:kern w:val="0"/>
      <w:sz w:val="24"/>
    </w:rPr>
  </w:style>
  <w:style w:type="paragraph" w:styleId="22">
    <w:name w:val="annotation subject"/>
    <w:basedOn w:val="8"/>
    <w:next w:val="8"/>
    <w:link w:val="37"/>
    <w:qFormat/>
    <w:uiPriority w:val="0"/>
    <w:rPr>
      <w:b/>
      <w:bCs/>
    </w:rPr>
  </w:style>
  <w:style w:type="paragraph" w:styleId="23">
    <w:name w:val="Body Text First Indent 2"/>
    <w:basedOn w:val="12"/>
    <w:qFormat/>
    <w:uiPriority w:val="99"/>
    <w:pPr>
      <w:ind w:firstLine="420" w:firstLineChars="2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bCs/>
    </w:rPr>
  </w:style>
  <w:style w:type="character" w:styleId="28">
    <w:name w:val="FollowedHyperlink"/>
    <w:basedOn w:val="26"/>
    <w:qFormat/>
    <w:uiPriority w:val="0"/>
    <w:rPr>
      <w:color w:val="1890FF"/>
      <w:u w:val="none"/>
    </w:rPr>
  </w:style>
  <w:style w:type="character" w:styleId="29">
    <w:name w:val="HTML Definition"/>
    <w:basedOn w:val="26"/>
    <w:qFormat/>
    <w:uiPriority w:val="0"/>
    <w:rPr>
      <w:i/>
      <w:iCs/>
    </w:rPr>
  </w:style>
  <w:style w:type="character" w:styleId="30">
    <w:name w:val="Hyperlink"/>
    <w:qFormat/>
    <w:uiPriority w:val="99"/>
    <w:rPr>
      <w:color w:val="0000FF"/>
      <w:u w:val="single"/>
    </w:rPr>
  </w:style>
  <w:style w:type="character" w:styleId="31">
    <w:name w:val="HTML Code"/>
    <w:basedOn w:val="26"/>
    <w:qFormat/>
    <w:uiPriority w:val="0"/>
    <w:rPr>
      <w:rFonts w:ascii="Consolas" w:hAnsi="Consolas" w:eastAsia="Consolas" w:cs="Consolas"/>
      <w:sz w:val="21"/>
      <w:szCs w:val="21"/>
    </w:rPr>
  </w:style>
  <w:style w:type="character" w:styleId="32">
    <w:name w:val="annotation reference"/>
    <w:basedOn w:val="26"/>
    <w:qFormat/>
    <w:uiPriority w:val="0"/>
    <w:rPr>
      <w:sz w:val="21"/>
      <w:szCs w:val="21"/>
    </w:rPr>
  </w:style>
  <w:style w:type="character" w:styleId="33">
    <w:name w:val="HTML Keyboard"/>
    <w:basedOn w:val="26"/>
    <w:qFormat/>
    <w:uiPriority w:val="0"/>
    <w:rPr>
      <w:rFonts w:hint="default" w:ascii="Consolas" w:hAnsi="Consolas" w:eastAsia="Consolas" w:cs="Consolas"/>
      <w:sz w:val="21"/>
      <w:szCs w:val="21"/>
    </w:rPr>
  </w:style>
  <w:style w:type="character" w:styleId="34">
    <w:name w:val="HTML Sample"/>
    <w:basedOn w:val="26"/>
    <w:qFormat/>
    <w:uiPriority w:val="0"/>
    <w:rPr>
      <w:rFonts w:hint="default" w:ascii="Consolas" w:hAnsi="Consolas" w:eastAsia="Consolas" w:cs="Consolas"/>
      <w:sz w:val="21"/>
      <w:szCs w:val="21"/>
    </w:rPr>
  </w:style>
  <w:style w:type="paragraph" w:customStyle="1" w:styleId="35">
    <w:name w:val="正文文本首行缩进1"/>
    <w:basedOn w:val="9"/>
    <w:qFormat/>
    <w:uiPriority w:val="0"/>
    <w:pPr>
      <w:ind w:firstLine="420" w:firstLineChars="100"/>
    </w:pPr>
    <w:rPr>
      <w:szCs w:val="21"/>
    </w:rPr>
  </w:style>
  <w:style w:type="character" w:customStyle="1" w:styleId="36">
    <w:name w:val="批注文字 Char"/>
    <w:basedOn w:val="26"/>
    <w:link w:val="8"/>
    <w:qFormat/>
    <w:uiPriority w:val="0"/>
    <w:rPr>
      <w:rFonts w:ascii="等线" w:hAnsi="等线" w:eastAsia="等线"/>
      <w:kern w:val="2"/>
      <w:sz w:val="21"/>
      <w:szCs w:val="22"/>
    </w:rPr>
  </w:style>
  <w:style w:type="character" w:customStyle="1" w:styleId="37">
    <w:name w:val="批注主题 Char"/>
    <w:basedOn w:val="36"/>
    <w:link w:val="22"/>
    <w:qFormat/>
    <w:uiPriority w:val="0"/>
    <w:rPr>
      <w:rFonts w:ascii="等线" w:hAnsi="等线" w:eastAsia="等线"/>
      <w:b/>
      <w:bCs/>
      <w:kern w:val="2"/>
      <w:sz w:val="21"/>
      <w:szCs w:val="22"/>
    </w:rPr>
  </w:style>
  <w:style w:type="character" w:customStyle="1" w:styleId="38">
    <w:name w:val="user-acct"/>
    <w:basedOn w:val="26"/>
    <w:qFormat/>
    <w:uiPriority w:val="0"/>
    <w:rPr>
      <w:color w:val="7C7070"/>
    </w:rPr>
  </w:style>
  <w:style w:type="character" w:customStyle="1" w:styleId="39">
    <w:name w:val="hover12"/>
    <w:basedOn w:val="26"/>
    <w:qFormat/>
    <w:uiPriority w:val="0"/>
  </w:style>
  <w:style w:type="character" w:customStyle="1" w:styleId="40">
    <w:name w:val="current"/>
    <w:basedOn w:val="26"/>
    <w:qFormat/>
    <w:uiPriority w:val="0"/>
    <w:rPr>
      <w:color w:val="00C1DE"/>
    </w:rPr>
  </w:style>
  <w:style w:type="character" w:customStyle="1" w:styleId="41">
    <w:name w:val="current1"/>
    <w:basedOn w:val="26"/>
    <w:qFormat/>
    <w:uiPriority w:val="0"/>
    <w:rPr>
      <w:color w:val="00C1DE"/>
    </w:rPr>
  </w:style>
  <w:style w:type="character" w:customStyle="1" w:styleId="42">
    <w:name w:val="selected"/>
    <w:basedOn w:val="26"/>
    <w:qFormat/>
    <w:uiPriority w:val="0"/>
    <w:rPr>
      <w:color w:val="1C81FE"/>
    </w:rPr>
  </w:style>
  <w:style w:type="character" w:customStyle="1" w:styleId="43">
    <w:name w:val="selected1"/>
    <w:basedOn w:val="26"/>
    <w:qFormat/>
    <w:uiPriority w:val="0"/>
    <w:rPr>
      <w:color w:val="1C81FE"/>
    </w:rPr>
  </w:style>
  <w:style w:type="character" w:customStyle="1" w:styleId="44">
    <w:name w:val="desc"/>
    <w:basedOn w:val="26"/>
    <w:qFormat/>
    <w:uiPriority w:val="0"/>
    <w:rPr>
      <w:b/>
      <w:bCs/>
      <w:color w:val="404040"/>
    </w:rPr>
  </w:style>
  <w:style w:type="character" w:customStyle="1" w:styleId="45">
    <w:name w:val="desc1"/>
    <w:basedOn w:val="26"/>
    <w:qFormat/>
    <w:uiPriority w:val="0"/>
    <w:rPr>
      <w:b/>
      <w:bCs/>
      <w:color w:val="404040"/>
    </w:rPr>
  </w:style>
  <w:style w:type="character" w:customStyle="1" w:styleId="46">
    <w:name w:val="helper"/>
    <w:basedOn w:val="26"/>
    <w:qFormat/>
    <w:uiPriority w:val="0"/>
    <w:rPr>
      <w:b/>
      <w:bCs/>
      <w:color w:val="404040"/>
      <w:sz w:val="38"/>
      <w:szCs w:val="38"/>
    </w:rPr>
  </w:style>
  <w:style w:type="character" w:customStyle="1" w:styleId="47">
    <w:name w:val="icon6"/>
    <w:basedOn w:val="26"/>
    <w:qFormat/>
    <w:uiPriority w:val="0"/>
  </w:style>
  <w:style w:type="character" w:customStyle="1" w:styleId="48">
    <w:name w:val="ant-typography-ellipsis"/>
    <w:basedOn w:val="26"/>
    <w:qFormat/>
    <w:uiPriority w:val="0"/>
  </w:style>
  <w:style w:type="character" w:customStyle="1" w:styleId="49">
    <w:name w:val="ant-radio+*"/>
    <w:basedOn w:val="26"/>
    <w:qFormat/>
    <w:uiPriority w:val="0"/>
  </w:style>
  <w:style w:type="character" w:customStyle="1" w:styleId="50">
    <w:name w:val="content72"/>
    <w:basedOn w:val="26"/>
    <w:qFormat/>
    <w:uiPriority w:val="0"/>
    <w:rPr>
      <w:color w:val="7C7070"/>
      <w:sz w:val="14"/>
      <w:szCs w:val="14"/>
    </w:rPr>
  </w:style>
  <w:style w:type="character" w:customStyle="1" w:styleId="51">
    <w:name w:val="info-label"/>
    <w:basedOn w:val="26"/>
    <w:qFormat/>
    <w:uiPriority w:val="0"/>
    <w:rPr>
      <w:b/>
      <w:bCs/>
    </w:rPr>
  </w:style>
  <w:style w:type="character" w:customStyle="1" w:styleId="52">
    <w:name w:val="info-content"/>
    <w:basedOn w:val="26"/>
    <w:qFormat/>
    <w:uiPriority w:val="0"/>
    <w:rPr>
      <w:color w:val="808080"/>
    </w:rPr>
  </w:style>
  <w:style w:type="character" w:customStyle="1" w:styleId="53">
    <w:name w:val="phone-number1"/>
    <w:basedOn w:val="26"/>
    <w:qFormat/>
    <w:uiPriority w:val="0"/>
    <w:rPr>
      <w:color w:val="0876FF"/>
    </w:rPr>
  </w:style>
  <w:style w:type="paragraph" w:styleId="54">
    <w:name w:val="List Paragraph"/>
    <w:basedOn w:val="1"/>
    <w:qFormat/>
    <w:uiPriority w:val="34"/>
    <w:pPr>
      <w:ind w:firstLine="420" w:firstLineChars="200"/>
    </w:pPr>
  </w:style>
  <w:style w:type="paragraph" w:customStyle="1" w:styleId="55">
    <w:name w:val="格式条款-2 Char Char"/>
    <w:basedOn w:val="1"/>
    <w:qFormat/>
    <w:uiPriority w:val="99"/>
    <w:pPr>
      <w:numPr>
        <w:ilvl w:val="0"/>
        <w:numId w:val="1"/>
      </w:numPr>
      <w:tabs>
        <w:tab w:val="left" w:pos="735"/>
        <w:tab w:val="clear" w:pos="0"/>
      </w:tabs>
    </w:pPr>
    <w:rPr>
      <w:rFonts w:ascii="宋体" w:hAnsi="宋体"/>
      <w:sz w:val="24"/>
      <w:szCs w:val="24"/>
    </w:rPr>
  </w:style>
  <w:style w:type="paragraph" w:customStyle="1" w:styleId="56">
    <w:name w:val="正文_0_0"/>
    <w:basedOn w:val="1"/>
    <w:qFormat/>
    <w:uiPriority w:val="0"/>
    <w:rPr>
      <w:rFonts w:ascii="Calibri" w:hAnsi="Calibri" w:cs="Calibri"/>
      <w:szCs w:val="21"/>
    </w:rPr>
  </w:style>
  <w:style w:type="paragraph" w:customStyle="1" w:styleId="57">
    <w:name w:val="[Normal]"/>
    <w:qFormat/>
    <w:uiPriority w:val="0"/>
    <w:rPr>
      <w:rFonts w:ascii="宋体" w:hAnsi="宋体" w:eastAsia="宋体" w:cs="Times New Roman"/>
      <w:sz w:val="24"/>
      <w:szCs w:val="22"/>
      <w:lang w:val="zh-CN" w:eastAsia="zh-CN" w:bidi="ar-SA"/>
    </w:rPr>
  </w:style>
  <w:style w:type="paragraph" w:customStyle="1" w:styleId="58">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kern w:val="0"/>
      <w:sz w:val="24"/>
    </w:rPr>
  </w:style>
  <w:style w:type="character" w:customStyle="1" w:styleId="59">
    <w:name w:val="p5"/>
    <w:basedOn w:val="26"/>
    <w:qFormat/>
    <w:uiPriority w:val="0"/>
  </w:style>
  <w:style w:type="paragraph" w:customStyle="1" w:styleId="60">
    <w:name w:val="正文首行缩进1"/>
    <w:basedOn w:val="9"/>
    <w:qFormat/>
    <w:uiPriority w:val="0"/>
    <w:pPr>
      <w:ind w:firstLine="420" w:firstLineChars="100"/>
    </w:pPr>
    <w:rPr>
      <w:rFonts w:ascii="Times New Roman" w:hAnsi="Times New Roman"/>
    </w:rPr>
  </w:style>
  <w:style w:type="paragraph" w:customStyle="1" w:styleId="61">
    <w:name w:val="列出段落1"/>
    <w:basedOn w:val="1"/>
    <w:qFormat/>
    <w:uiPriority w:val="0"/>
    <w:pPr>
      <w:ind w:firstLine="420" w:firstLineChars="200"/>
    </w:pPr>
    <w:rPr>
      <w:szCs w:val="20"/>
    </w:rPr>
  </w:style>
  <w:style w:type="character" w:customStyle="1" w:styleId="62">
    <w:name w:val="批注框文本 Char"/>
    <w:basedOn w:val="26"/>
    <w:link w:val="16"/>
    <w:qFormat/>
    <w:uiPriority w:val="0"/>
    <w:rPr>
      <w:rFonts w:ascii="等线" w:hAnsi="等线" w:eastAsia="等线"/>
      <w:kern w:val="2"/>
      <w:sz w:val="18"/>
      <w:szCs w:val="18"/>
    </w:rPr>
  </w:style>
  <w:style w:type="paragraph" w:customStyle="1" w:styleId="63">
    <w:name w:val="hb.1"/>
    <w:basedOn w:val="1"/>
    <w:qFormat/>
    <w:uiPriority w:val="0"/>
    <w:pPr>
      <w:tabs>
        <w:tab w:val="left" w:pos="992"/>
      </w:tabs>
      <w:spacing w:after="156"/>
      <w:ind w:left="992" w:hanging="567"/>
    </w:pPr>
    <w:rPr>
      <w:rFonts w:ascii="Times New Roman" w:hAnsi="Times New Roman"/>
      <w:szCs w:val="20"/>
    </w:rPr>
  </w:style>
  <w:style w:type="paragraph" w:customStyle="1" w:styleId="64">
    <w:name w:val="htbh"/>
    <w:basedOn w:val="4"/>
    <w:qFormat/>
    <w:uiPriority w:val="0"/>
    <w:pPr>
      <w:keepNext w:val="0"/>
      <w:keepLines w:val="0"/>
      <w:spacing w:line="240" w:lineRule="auto"/>
      <w:ind w:right="240" w:rightChars="100"/>
      <w:jc w:val="center"/>
      <w:outlineLvl w:val="9"/>
    </w:pPr>
    <w:rPr>
      <w:rFonts w:ascii="Times New Roman" w:hAnsi="Times New Roman" w:eastAsia="黑体"/>
      <w:bCs w:val="0"/>
      <w:szCs w:val="20"/>
    </w:rPr>
  </w:style>
  <w:style w:type="paragraph" w:customStyle="1" w:styleId="65">
    <w:name w:val="合同标题"/>
    <w:basedOn w:val="1"/>
    <w:qFormat/>
    <w:uiPriority w:val="0"/>
    <w:pPr>
      <w:autoSpaceDE w:val="0"/>
      <w:autoSpaceDN w:val="0"/>
      <w:adjustRightInd w:val="0"/>
      <w:spacing w:beforeLines="50" w:afterLines="50" w:line="360" w:lineRule="auto"/>
      <w:jc w:val="center"/>
    </w:pPr>
    <w:rPr>
      <w:rFonts w:ascii="黑体" w:hAnsi="黑体" w:eastAsia="黑体" w:cs="宋体"/>
      <w:bCs/>
      <w:sz w:val="28"/>
      <w:szCs w:val="28"/>
      <w:lang w:val="zh-CN"/>
    </w:rPr>
  </w:style>
  <w:style w:type="paragraph" w:customStyle="1" w:styleId="66">
    <w:name w:val="正文表标题"/>
    <w:next w:val="67"/>
    <w:qFormat/>
    <w:uiPriority w:val="0"/>
    <w:pPr>
      <w:tabs>
        <w:tab w:val="left" w:pos="360"/>
      </w:tabs>
      <w:spacing w:beforeLines="50" w:afterLines="50"/>
      <w:ind w:left="630" w:hanging="420"/>
      <w:jc w:val="center"/>
    </w:pPr>
    <w:rPr>
      <w:rFonts w:ascii="黑体" w:hAnsi="Times New Roman" w:eastAsia="黑体" w:cs="Times New Roman"/>
      <w:sz w:val="21"/>
      <w:lang w:val="en-US" w:eastAsia="zh-CN" w:bidi="ar-SA"/>
    </w:rPr>
  </w:style>
  <w:style w:type="paragraph" w:customStyle="1" w:styleId="6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8">
    <w:name w:val="表内文字"/>
    <w:basedOn w:val="1"/>
    <w:qFormat/>
    <w:uiPriority w:val="0"/>
    <w:pPr>
      <w:spacing w:line="240" w:lineRule="atLeast"/>
      <w:jc w:val="center"/>
    </w:pPr>
    <w:rPr>
      <w:rFonts w:ascii="Arial" w:hAnsi="Arial" w:eastAsia="宋体" w:cs="Arial"/>
      <w:b/>
      <w:bCs/>
    </w:rPr>
  </w:style>
  <w:style w:type="paragraph" w:customStyle="1" w:styleId="69">
    <w:name w:val="xl55"/>
    <w:basedOn w:val="1"/>
    <w:qFormat/>
    <w:uiPriority w:val="0"/>
    <w:pPr>
      <w:widowControl/>
      <w:spacing w:before="100" w:beforeLines="0" w:beforeAutospacing="1" w:after="100" w:afterLines="0" w:afterAutospacing="1"/>
      <w:jc w:val="center"/>
      <w:textAlignment w:val="center"/>
    </w:pPr>
    <w:rPr>
      <w:rFonts w:ascii="Arial Unicode MS" w:hAnsi="Arial Unicode MS"/>
      <w:kern w:val="0"/>
      <w:sz w:val="24"/>
      <w:szCs w:val="20"/>
    </w:rPr>
  </w:style>
  <w:style w:type="paragraph" w:customStyle="1" w:styleId="70">
    <w:name w:val="reader-word-layer reader-word-s1-2"/>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613B23-58E6-4D0E-84C8-97738C18B4A6}">
  <ds:schemaRefs/>
</ds:datastoreItem>
</file>

<file path=docProps/app.xml><?xml version="1.0" encoding="utf-8"?>
<Properties xmlns="http://schemas.openxmlformats.org/officeDocument/2006/extended-properties" xmlns:vt="http://schemas.openxmlformats.org/officeDocument/2006/docPropsVTypes">
  <Template>Normal.dotm</Template>
  <Company>中国移动</Company>
  <Pages>65</Pages>
  <Words>46784</Words>
  <Characters>48088</Characters>
  <Lines>373</Lines>
  <Paragraphs>105</Paragraphs>
  <TotalTime>23</TotalTime>
  <ScaleCrop>false</ScaleCrop>
  <LinksUpToDate>false</LinksUpToDate>
  <CharactersWithSpaces>50983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2021-05-04T11:07:00Z</dcterms:created>
  <dc:creator>rr</dc:creator>
  <cp:lastModifiedBy>易</cp:lastModifiedBy>
  <dcterms:modified xsi:type="dcterms:W3CDTF">2023-03-23T02:48:28Z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A73C200C73F34C9998DDAE0C166A00A9</vt:lpwstr>
  </property>
</Properties>
</file>